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D379A">
      <w:pPr>
        <w:pStyle w:val="13"/>
        <w:spacing w:before="312" w:beforeLines="100" w:line="400" w:lineRule="exact"/>
        <w:jc w:val="left"/>
        <w:outlineLvl w:val="9"/>
        <w:rPr>
          <w:rFonts w:hint="eastAsia" w:ascii="宋体" w:hAnsi="宋体" w:eastAsia="宋体" w:cs="宋体"/>
          <w:color w:val="auto"/>
          <w:sz w:val="44"/>
          <w:szCs w:val="44"/>
          <w:highlight w:val="none"/>
        </w:rPr>
      </w:pPr>
      <w:bookmarkStart w:id="0" w:name="_Toc183682338"/>
      <w:bookmarkStart w:id="1" w:name="_Toc217446030"/>
      <w:r>
        <w:rPr>
          <w:rFonts w:hint="eastAsia" w:ascii="宋体" w:hAnsi="宋体" w:eastAsia="宋体" w:cs="宋体"/>
          <w:color w:val="auto"/>
          <w:spacing w:val="34"/>
          <w:sz w:val="44"/>
          <w:szCs w:val="44"/>
          <w:highlight w:val="none"/>
        </w:rPr>
        <w:drawing>
          <wp:anchor distT="0" distB="0" distL="114300" distR="114300" simplePos="0" relativeHeight="251662336" behindDoc="1" locked="0" layoutInCell="1" allowOverlap="1">
            <wp:simplePos x="0" y="0"/>
            <wp:positionH relativeFrom="column">
              <wp:posOffset>254000</wp:posOffset>
            </wp:positionH>
            <wp:positionV relativeFrom="paragraph">
              <wp:posOffset>75565</wp:posOffset>
            </wp:positionV>
            <wp:extent cx="1337945" cy="677545"/>
            <wp:effectExtent l="0" t="0" r="14605" b="8255"/>
            <wp:wrapTight wrapText="bothSides">
              <wp:wrapPolygon>
                <wp:start x="0" y="0"/>
                <wp:lineTo x="0" y="21256"/>
                <wp:lineTo x="21221" y="21256"/>
                <wp:lineTo x="21221" y="0"/>
                <wp:lineTo x="0" y="0"/>
              </wp:wrapPolygon>
            </wp:wrapTight>
            <wp:docPr id="1" name="图片 2"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1"/>
                    <pic:cNvPicPr>
                      <a:picLocks noChangeAspect="1"/>
                    </pic:cNvPicPr>
                  </pic:nvPicPr>
                  <pic:blipFill>
                    <a:blip r:embed="rId19">
                      <a:lum contrast="29999"/>
                    </a:blip>
                    <a:srcRect l="21884" t="33784" r="22130" b="37869"/>
                    <a:stretch>
                      <a:fillRect/>
                    </a:stretch>
                  </pic:blipFill>
                  <pic:spPr>
                    <a:xfrm>
                      <a:off x="0" y="0"/>
                      <a:ext cx="1337945" cy="677545"/>
                    </a:xfrm>
                    <a:prstGeom prst="rect">
                      <a:avLst/>
                    </a:prstGeom>
                    <a:noFill/>
                    <a:ln>
                      <a:noFill/>
                    </a:ln>
                  </pic:spPr>
                </pic:pic>
              </a:graphicData>
            </a:graphic>
          </wp:anchor>
        </w:drawing>
      </w:r>
      <w:r>
        <w:rPr>
          <w:rFonts w:hint="eastAsia" w:ascii="宋体" w:hAnsi="宋体" w:eastAsia="宋体" w:cs="宋体"/>
          <w:b/>
          <w:color w:val="auto"/>
          <w:spacing w:val="34"/>
          <w:sz w:val="44"/>
          <w:szCs w:val="44"/>
          <w:highlight w:val="none"/>
        </w:rPr>
        <w:t xml:space="preserve">广西新凯林管理咨询有限公司 </w:t>
      </w:r>
    </w:p>
    <w:p w14:paraId="75C2DCBC">
      <w:pPr>
        <w:spacing w:line="400" w:lineRule="exact"/>
        <w:jc w:val="left"/>
        <w:outlineLvl w:val="9"/>
        <w:rPr>
          <w:rFonts w:hint="eastAsia" w:ascii="宋体" w:hAnsi="宋体" w:eastAsia="宋体" w:cs="宋体"/>
          <w:color w:val="auto"/>
          <w:spacing w:val="17"/>
          <w:sz w:val="28"/>
          <w:highlight w:val="none"/>
        </w:rPr>
      </w:pPr>
      <w:r>
        <w:rPr>
          <w:rFonts w:hint="eastAsia" w:ascii="宋体" w:hAnsi="宋体" w:eastAsia="宋体" w:cs="宋体"/>
          <w:b/>
          <w:bCs/>
          <w:color w:val="auto"/>
          <w:spacing w:val="17"/>
          <w:sz w:val="24"/>
          <w:highlight w:val="none"/>
        </w:rPr>
        <w:t>Guangxi Xinkailin Management Consulting Co., Ltd.</w:t>
      </w:r>
    </w:p>
    <w:p w14:paraId="0EB6168F">
      <w:pPr>
        <w:rPr>
          <w:rFonts w:ascii="宋体" w:hAnsi="宋体" w:eastAsia="宋体" w:cs="宋体"/>
          <w:color w:val="auto"/>
          <w:lang w:val="en-US"/>
        </w:rPr>
      </w:pPr>
    </w:p>
    <w:p w14:paraId="17A18918">
      <w:pPr>
        <w:rPr>
          <w:rFonts w:ascii="宋体" w:hAnsi="宋体" w:eastAsia="宋体" w:cs="宋体"/>
          <w:color w:val="auto"/>
          <w:lang w:val="en-US"/>
        </w:rPr>
      </w:pPr>
    </w:p>
    <w:p w14:paraId="1C80DA96">
      <w:pPr>
        <w:rPr>
          <w:rFonts w:ascii="宋体" w:hAnsi="宋体" w:eastAsia="宋体" w:cs="宋体"/>
          <w:color w:val="auto"/>
          <w:lang w:val="en-US"/>
        </w:rPr>
      </w:pPr>
      <w:r>
        <w:rPr>
          <w:rFonts w:hint="eastAsia" w:ascii="宋体" w:hAnsi="宋体" w:eastAsia="宋体" w:cs="宋体"/>
          <w:color w:val="auto"/>
          <w:sz w:val="20"/>
          <w:highlight w:val="none"/>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-360045</wp:posOffset>
                </wp:positionV>
                <wp:extent cx="5991860" cy="635"/>
                <wp:effectExtent l="0" t="0" r="0" b="0"/>
                <wp:wrapNone/>
                <wp:docPr id="3" name="直接连接符 2"/>
                <wp:cNvGraphicFramePr/>
                <a:graphic xmlns:a="http://schemas.openxmlformats.org/drawingml/2006/main">
                  <a:graphicData uri="http://schemas.microsoft.com/office/word/2010/wordprocessingShape">
                    <wps:wsp>
                      <wps:cNvCnPr/>
                      <wps:spPr>
                        <a:xfrm>
                          <a:off x="0" y="0"/>
                          <a:ext cx="599186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1pt;margin-top:-28.35pt;height:0.05pt;width:471.8pt;z-index:251664384;mso-width-relative:page;mso-height-relative:page;" filled="f" stroked="t" coordsize="21600,21600" o:gfxdata="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19FW/WAAAACQEAAA8AAAAAAAAAAQAgAAAAIgAAAGRycy9kb3ducmV2LnhtbFBLAQIUABQA&#10;AAAIAIdO4kBPBwM58gEAAOkDAAAOAAAAAAAAAAEAIAAAACUBAABkcnMvZTJvRG9jLnhtbFBLBQYA&#10;AAAABgAGAFkBAACJBQAAAAA=&#10;">
                <v:fill on="f" focussize="0,0"/>
                <v:stroke weight="1.5pt" color="#000000" joinstyle="round"/>
                <v:imagedata o:title=""/>
                <o:lock v:ext="edit" aspectratio="f"/>
              </v:line>
            </w:pict>
          </mc:Fallback>
        </mc:AlternateContent>
      </w:r>
    </w:p>
    <w:p w14:paraId="55A66F27">
      <w:pPr>
        <w:rPr>
          <w:rFonts w:ascii="宋体" w:hAnsi="宋体" w:eastAsia="宋体" w:cs="宋体"/>
          <w:color w:val="auto"/>
          <w:lang w:val="en-US"/>
        </w:rPr>
      </w:pPr>
    </w:p>
    <w:p w14:paraId="667433A5">
      <w:pPr>
        <w:pStyle w:val="13"/>
        <w:jc w:val="both"/>
        <w:rPr>
          <w:rFonts w:hint="eastAsia" w:hAnsi="宋体" w:eastAsia="宋体" w:cs="宋体"/>
          <w:b/>
          <w:bCs/>
          <w:color w:val="auto"/>
          <w:spacing w:val="32"/>
          <w:sz w:val="72"/>
          <w:szCs w:val="72"/>
        </w:rPr>
      </w:pPr>
    </w:p>
    <w:p w14:paraId="35563A38">
      <w:pPr>
        <w:rPr>
          <w:rFonts w:hint="eastAsia" w:hAnsi="宋体" w:eastAsia="宋体" w:cs="宋体"/>
          <w:b/>
          <w:bCs/>
          <w:color w:val="auto"/>
          <w:spacing w:val="32"/>
          <w:sz w:val="72"/>
          <w:szCs w:val="72"/>
        </w:rPr>
      </w:pPr>
    </w:p>
    <w:p w14:paraId="428F4C5D">
      <w:pPr>
        <w:pStyle w:val="2"/>
        <w:rPr>
          <w:rFonts w:hint="eastAsia"/>
          <w:color w:val="auto"/>
        </w:rPr>
      </w:pPr>
    </w:p>
    <w:p w14:paraId="7B8C4848">
      <w:pPr>
        <w:rPr>
          <w:rFonts w:hint="eastAsia"/>
          <w:color w:val="auto"/>
        </w:rPr>
      </w:pPr>
    </w:p>
    <w:p w14:paraId="78FA5420">
      <w:pPr>
        <w:rPr>
          <w:rFonts w:hint="eastAsia"/>
          <w:color w:val="auto"/>
        </w:rPr>
      </w:pPr>
    </w:p>
    <w:p w14:paraId="56C219D1">
      <w:pPr>
        <w:pStyle w:val="13"/>
        <w:jc w:val="center"/>
        <w:rPr>
          <w:rFonts w:hAnsi="宋体" w:eastAsia="宋体" w:cs="宋体"/>
          <w:color w:val="auto"/>
          <w:spacing w:val="32"/>
          <w:sz w:val="72"/>
          <w:szCs w:val="72"/>
        </w:rPr>
      </w:pPr>
      <w:r>
        <w:rPr>
          <w:rFonts w:hint="eastAsia" w:hAnsi="宋体" w:eastAsia="宋体" w:cs="宋体"/>
          <w:b/>
          <w:bCs/>
          <w:color w:val="auto"/>
          <w:spacing w:val="32"/>
          <w:sz w:val="72"/>
          <w:szCs w:val="72"/>
        </w:rPr>
        <w:t>竞争性磋商采购文件</w:t>
      </w:r>
    </w:p>
    <w:p w14:paraId="6E0397E4">
      <w:pPr>
        <w:pStyle w:val="13"/>
        <w:jc w:val="center"/>
        <w:rPr>
          <w:rFonts w:hint="eastAsia" w:hAnsi="宋体" w:eastAsia="宋体" w:cs="宋体"/>
          <w:b/>
          <w:color w:val="auto"/>
          <w:sz w:val="32"/>
          <w:szCs w:val="32"/>
          <w:lang w:eastAsia="zh-CN"/>
        </w:rPr>
      </w:pPr>
      <w:r>
        <w:rPr>
          <w:rFonts w:hint="eastAsia" w:hAnsi="宋体" w:eastAsia="宋体" w:cs="宋体"/>
          <w:b/>
          <w:color w:val="auto"/>
          <w:sz w:val="32"/>
          <w:szCs w:val="32"/>
          <w:lang w:eastAsia="zh-CN"/>
        </w:rPr>
        <w:t>（远程异地评标）</w:t>
      </w:r>
    </w:p>
    <w:p w14:paraId="33039DD6">
      <w:pPr>
        <w:rPr>
          <w:rFonts w:hAnsi="宋体" w:eastAsia="宋体" w:cs="宋体"/>
          <w:b/>
          <w:color w:val="auto"/>
          <w:sz w:val="28"/>
          <w:szCs w:val="28"/>
        </w:rPr>
      </w:pPr>
    </w:p>
    <w:p w14:paraId="01DA7B78">
      <w:pPr>
        <w:rPr>
          <w:color w:val="auto"/>
        </w:rPr>
      </w:pPr>
    </w:p>
    <w:p w14:paraId="287A99C7">
      <w:pPr>
        <w:rPr>
          <w:color w:val="auto"/>
        </w:rPr>
      </w:pPr>
    </w:p>
    <w:p w14:paraId="7395162E">
      <w:pPr>
        <w:pStyle w:val="13"/>
        <w:rPr>
          <w:rFonts w:hAnsi="宋体" w:eastAsia="宋体" w:cs="宋体"/>
          <w:b/>
          <w:color w:val="auto"/>
          <w:sz w:val="28"/>
          <w:szCs w:val="28"/>
        </w:rPr>
      </w:pPr>
    </w:p>
    <w:p w14:paraId="62665F25">
      <w:pPr>
        <w:pStyle w:val="13"/>
        <w:ind w:firstLine="281" w:firstLineChars="100"/>
        <w:rPr>
          <w:rFonts w:hint="default" w:hAnsi="宋体" w:eastAsia="宋体" w:cs="宋体"/>
          <w:b/>
          <w:color w:val="auto"/>
          <w:sz w:val="28"/>
          <w:szCs w:val="28"/>
          <w:lang w:val="en-US" w:eastAsia="zh-CN"/>
        </w:rPr>
      </w:pPr>
      <w:r>
        <w:rPr>
          <w:rFonts w:hint="eastAsia" w:hAnsi="宋体" w:eastAsia="宋体" w:cs="宋体"/>
          <w:b/>
          <w:color w:val="auto"/>
          <w:sz w:val="28"/>
          <w:szCs w:val="28"/>
        </w:rPr>
        <w:t>项目名称：</w:t>
      </w:r>
      <w:r>
        <w:rPr>
          <w:rFonts w:hint="eastAsia" w:hAnsi="宋体" w:eastAsia="宋体" w:cs="宋体"/>
          <w:b/>
          <w:color w:val="auto"/>
          <w:sz w:val="28"/>
          <w:szCs w:val="28"/>
          <w:lang w:eastAsia="zh-CN"/>
        </w:rPr>
        <w:t>保安服务采购</w:t>
      </w:r>
    </w:p>
    <w:p w14:paraId="570A9E5E">
      <w:pPr>
        <w:pStyle w:val="13"/>
        <w:ind w:firstLine="281" w:firstLineChars="100"/>
        <w:rPr>
          <w:rFonts w:hint="default" w:hAnsi="宋体" w:eastAsia="宋体" w:cs="宋体"/>
          <w:b/>
          <w:color w:val="auto"/>
          <w:sz w:val="28"/>
          <w:szCs w:val="28"/>
          <w:lang w:val="en-US" w:eastAsia="zh-CN"/>
        </w:rPr>
      </w:pPr>
      <w:r>
        <w:rPr>
          <w:rFonts w:hint="eastAsia" w:hAnsi="宋体" w:eastAsia="宋体" w:cs="宋体"/>
          <w:b/>
          <w:color w:val="auto"/>
          <w:sz w:val="28"/>
          <w:szCs w:val="28"/>
        </w:rPr>
        <w:t>项目编号：</w:t>
      </w:r>
      <w:r>
        <w:rPr>
          <w:rFonts w:hint="eastAsia" w:hAnsi="宋体" w:eastAsia="宋体" w:cs="宋体"/>
          <w:b/>
          <w:color w:val="auto"/>
          <w:sz w:val="28"/>
          <w:szCs w:val="28"/>
          <w:highlight w:val="none"/>
          <w:lang w:eastAsia="zh-CN"/>
        </w:rPr>
        <w:t>BHZC2025-C3-990093-GXXK</w:t>
      </w:r>
    </w:p>
    <w:p w14:paraId="019E9A1A">
      <w:pPr>
        <w:pStyle w:val="13"/>
        <w:ind w:firstLine="281" w:firstLineChars="100"/>
        <w:rPr>
          <w:rFonts w:hAnsi="宋体" w:eastAsia="宋体" w:cs="宋体"/>
          <w:b/>
          <w:color w:val="auto"/>
          <w:sz w:val="28"/>
          <w:szCs w:val="28"/>
        </w:rPr>
      </w:pPr>
      <w:r>
        <w:rPr>
          <w:rFonts w:hint="eastAsia" w:hAnsi="宋体" w:eastAsia="宋体" w:cs="宋体"/>
          <w:b/>
          <w:color w:val="auto"/>
          <w:sz w:val="28"/>
          <w:szCs w:val="28"/>
        </w:rPr>
        <w:t>采购类别：服务类</w:t>
      </w:r>
    </w:p>
    <w:p w14:paraId="430F79E6">
      <w:pPr>
        <w:pStyle w:val="13"/>
        <w:ind w:firstLine="281" w:firstLineChars="100"/>
        <w:rPr>
          <w:rFonts w:hint="eastAsia" w:hAnsi="宋体" w:eastAsia="宋体" w:cs="宋体"/>
          <w:color w:val="auto"/>
          <w:lang w:eastAsia="zh-CN"/>
        </w:rPr>
      </w:pPr>
      <w:r>
        <w:rPr>
          <w:rFonts w:hint="eastAsia" w:hAnsi="宋体" w:eastAsia="宋体" w:cs="宋体"/>
          <w:b/>
          <w:color w:val="auto"/>
          <w:sz w:val="28"/>
          <w:szCs w:val="28"/>
        </w:rPr>
        <w:t>采购单位：</w:t>
      </w:r>
      <w:r>
        <w:rPr>
          <w:rFonts w:hint="eastAsia" w:hAnsi="宋体" w:eastAsia="宋体" w:cs="宋体"/>
          <w:b/>
          <w:color w:val="auto"/>
          <w:sz w:val="28"/>
          <w:szCs w:val="28"/>
          <w:lang w:eastAsia="zh-CN"/>
        </w:rPr>
        <w:t>北海市妇幼保健院</w:t>
      </w:r>
    </w:p>
    <w:p w14:paraId="0F9AD9B1">
      <w:pPr>
        <w:pStyle w:val="13"/>
        <w:rPr>
          <w:rFonts w:hAnsi="宋体" w:eastAsia="宋体" w:cs="宋体"/>
          <w:color w:val="auto"/>
          <w:u w:val="single"/>
        </w:rPr>
      </w:pPr>
    </w:p>
    <w:p w14:paraId="54759663">
      <w:pPr>
        <w:pStyle w:val="13"/>
        <w:rPr>
          <w:rFonts w:hAnsi="宋体" w:eastAsia="宋体" w:cs="宋体"/>
          <w:color w:val="auto"/>
          <w:u w:val="single"/>
        </w:rPr>
      </w:pPr>
    </w:p>
    <w:p w14:paraId="1843C2A0">
      <w:pPr>
        <w:pStyle w:val="13"/>
        <w:jc w:val="center"/>
        <w:rPr>
          <w:rFonts w:hAnsi="宋体" w:eastAsia="宋体" w:cs="宋体"/>
          <w:color w:val="auto"/>
          <w:spacing w:val="45"/>
          <w:sz w:val="28"/>
          <w:szCs w:val="28"/>
        </w:rPr>
      </w:pPr>
      <w:r>
        <w:rPr>
          <w:rFonts w:hint="eastAsia"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54610</wp:posOffset>
                </wp:positionV>
                <wp:extent cx="5931535" cy="1270"/>
                <wp:effectExtent l="0" t="0" r="0" b="0"/>
                <wp:wrapNone/>
                <wp:docPr id="13" name="直接连接符 3"/>
                <wp:cNvGraphicFramePr/>
                <a:graphic xmlns:a="http://schemas.openxmlformats.org/drawingml/2006/main">
                  <a:graphicData uri="http://schemas.microsoft.com/office/word/2010/wordprocessingShape">
                    <wps:wsp>
                      <wps:cNvCnPr/>
                      <wps:spPr>
                        <a:xfrm>
                          <a:off x="901700" y="7720965"/>
                          <a:ext cx="5931535" cy="1270"/>
                        </a:xfrm>
                        <a:prstGeom prst="line">
                          <a:avLst/>
                        </a:prstGeom>
                        <a:noFill/>
                        <a:ln w="9525" cap="flat" cmpd="sng" algn="ctr">
                          <a:solidFill>
                            <a:srgbClr val="000000"/>
                          </a:solidFill>
                          <a:prstDash val="solid"/>
                        </a:ln>
                        <a:effectLst/>
                      </wps:spPr>
                      <wps:bodyPr/>
                    </wps:wsp>
                  </a:graphicData>
                </a:graphic>
              </wp:anchor>
            </w:drawing>
          </mc:Choice>
          <mc:Fallback>
            <w:pict>
              <v:line id="直接连接符 3" o:spid="_x0000_s1026" o:spt="20" style="position:absolute;left:0pt;margin-left:0.85pt;margin-top:4.3pt;height:0.1pt;width:467.05pt;z-index:251660288;mso-width-relative:page;mso-height-relative:page;" filled="f" stroked="t" coordsize="21600,21600" o:gfxdata="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iXz&#10;odMAAAAFAQAADwAAAAAAAAABACAAAAAiAAAAZHJzL2Rvd25yZXYueG1sUEsBAhQAFAAAAAgAh07i&#10;QLu9fBnuAQAAtwMAAA4AAAAAAAAAAQAgAAAAIgEAAGRycy9lMm9Eb2MueG1sUEsFBgAAAAAGAAYA&#10;WQEAAIIFAAAAAA==&#10;">
                <v:fill on="f" focussize="0,0"/>
                <v:stroke color="#000000" joinstyle="round"/>
                <v:imagedata o:title=""/>
                <o:lock v:ext="edit" aspectratio="f"/>
              </v:line>
            </w:pict>
          </mc:Fallback>
        </mc:AlternateContent>
      </w:r>
    </w:p>
    <w:p w14:paraId="3E1F5C0D">
      <w:pPr>
        <w:pStyle w:val="13"/>
        <w:jc w:val="center"/>
        <w:rPr>
          <w:rFonts w:hint="eastAsia" w:hAnsi="宋体" w:eastAsia="宋体" w:cs="宋体"/>
          <w:b/>
          <w:bCs/>
          <w:color w:val="auto"/>
          <w:spacing w:val="-8"/>
          <w:sz w:val="28"/>
          <w:szCs w:val="28"/>
          <w:lang w:eastAsia="zh-CN"/>
        </w:rPr>
      </w:pPr>
      <w:r>
        <w:rPr>
          <w:rFonts w:hint="eastAsia" w:hAnsi="宋体" w:eastAsia="宋体" w:cs="宋体"/>
          <w:b/>
          <w:bCs/>
          <w:color w:val="auto"/>
          <w:spacing w:val="45"/>
          <w:sz w:val="28"/>
          <w:szCs w:val="28"/>
          <w:lang w:eastAsia="zh-CN"/>
        </w:rPr>
        <w:t>广西新凯林管理咨询有限公司</w:t>
      </w:r>
    </w:p>
    <w:p w14:paraId="567D244A">
      <w:pPr>
        <w:pStyle w:val="13"/>
        <w:jc w:val="center"/>
        <w:rPr>
          <w:rFonts w:hint="default" w:hAnsi="宋体" w:eastAsia="宋体" w:cs="宋体"/>
          <w:b/>
          <w:bCs/>
          <w:color w:val="auto"/>
          <w:sz w:val="40"/>
          <w:szCs w:val="40"/>
          <w:highlight w:val="none"/>
          <w:lang w:val="en-US" w:eastAsia="zh-CN"/>
        </w:rPr>
        <w:sectPr>
          <w:headerReference r:id="rId4" w:type="first"/>
          <w:headerReference r:id="rId3" w:type="default"/>
          <w:pgSz w:w="11906" w:h="16838"/>
          <w:pgMar w:top="1247" w:right="849" w:bottom="1247" w:left="1418" w:header="851" w:footer="992" w:gutter="0"/>
          <w:cols w:space="720" w:num="1"/>
          <w:titlePg/>
          <w:docGrid w:type="lines" w:linePitch="312" w:charSpace="0"/>
        </w:sectPr>
      </w:pPr>
      <w:r>
        <w:rPr>
          <w:rFonts w:hint="eastAsia" w:hAnsi="宋体" w:eastAsia="宋体" w:cs="宋体"/>
          <w:b/>
          <w:bCs/>
          <w:color w:val="auto"/>
          <w:sz w:val="28"/>
          <w:szCs w:val="28"/>
          <w:highlight w:val="none"/>
        </w:rPr>
        <w:t>202</w:t>
      </w:r>
      <w:r>
        <w:rPr>
          <w:rFonts w:hint="eastAsia" w:hAnsi="宋体" w:eastAsia="宋体" w:cs="宋体"/>
          <w:b/>
          <w:bCs/>
          <w:color w:val="auto"/>
          <w:sz w:val="28"/>
          <w:szCs w:val="28"/>
          <w:highlight w:val="none"/>
          <w:lang w:val="en-US" w:eastAsia="zh-CN"/>
        </w:rPr>
        <w:t>5</w:t>
      </w:r>
      <w:r>
        <w:rPr>
          <w:rFonts w:hint="eastAsia" w:hAnsi="宋体" w:eastAsia="宋体" w:cs="宋体"/>
          <w:b/>
          <w:bCs/>
          <w:color w:val="auto"/>
          <w:sz w:val="28"/>
          <w:szCs w:val="28"/>
          <w:highlight w:val="none"/>
        </w:rPr>
        <w:t>年</w:t>
      </w:r>
      <w:r>
        <w:rPr>
          <w:rFonts w:hint="eastAsia" w:hAnsi="宋体" w:eastAsia="宋体" w:cs="宋体"/>
          <w:b/>
          <w:bCs/>
          <w:color w:val="auto"/>
          <w:sz w:val="28"/>
          <w:szCs w:val="28"/>
          <w:highlight w:val="none"/>
          <w:lang w:val="en-US" w:eastAsia="zh-CN"/>
        </w:rPr>
        <w:t>7</w:t>
      </w:r>
      <w:r>
        <w:rPr>
          <w:rFonts w:hint="eastAsia" w:hAnsi="宋体" w:eastAsia="宋体" w:cs="宋体"/>
          <w:b/>
          <w:bCs/>
          <w:color w:val="auto"/>
          <w:sz w:val="28"/>
          <w:szCs w:val="28"/>
          <w:highlight w:val="none"/>
        </w:rPr>
        <w:t>月</w:t>
      </w:r>
      <w:r>
        <w:rPr>
          <w:rFonts w:hint="eastAsia" w:hAnsi="宋体" w:eastAsia="宋体" w:cs="宋体"/>
          <w:b/>
          <w:bCs/>
          <w:color w:val="auto"/>
          <w:sz w:val="28"/>
          <w:szCs w:val="28"/>
          <w:highlight w:val="none"/>
          <w:lang w:val="en-US" w:eastAsia="zh-CN"/>
        </w:rPr>
        <w:tab/>
      </w:r>
    </w:p>
    <w:bookmarkEnd w:id="0"/>
    <w:bookmarkEnd w:id="1"/>
    <w:p w14:paraId="40746226">
      <w:pPr>
        <w:pStyle w:val="12"/>
        <w:rPr>
          <w:rFonts w:ascii="宋体" w:hAnsi="宋体" w:eastAsia="宋体" w:cs="宋体"/>
          <w:color w:val="FF0000"/>
          <w:szCs w:val="24"/>
        </w:rPr>
      </w:pPr>
    </w:p>
    <w:sdt>
      <w:sdtPr>
        <w:rPr>
          <w:rFonts w:hint="eastAsia" w:ascii="宋体" w:hAnsi="宋体" w:eastAsia="宋体" w:cs="宋体"/>
          <w:color w:val="auto"/>
          <w:sz w:val="24"/>
          <w:szCs w:val="24"/>
        </w:rPr>
        <w:id w:val="147453052"/>
        <w15:color w:val="DBDBDB"/>
        <w:docPartObj>
          <w:docPartGallery w:val="Table of Contents"/>
          <w:docPartUnique/>
        </w:docPartObj>
      </w:sdtPr>
      <w:sdtEndPr>
        <w:rPr>
          <w:rFonts w:hint="eastAsia" w:ascii="宋体" w:hAnsi="宋体" w:eastAsia="宋体" w:cs="宋体"/>
          <w:bCs/>
          <w:color w:val="FF0000"/>
          <w:sz w:val="22"/>
          <w:szCs w:val="24"/>
        </w:rPr>
      </w:sdtEndPr>
      <w:sdtContent>
        <w:p w14:paraId="7B13DD30">
          <w:pPr>
            <w:jc w:val="center"/>
            <w:rPr>
              <w:rFonts w:ascii="宋体" w:hAnsi="宋体" w:eastAsia="宋体" w:cs="宋体"/>
              <w:color w:val="auto"/>
              <w:sz w:val="44"/>
              <w:szCs w:val="44"/>
            </w:rPr>
          </w:pPr>
          <w:r>
            <w:rPr>
              <w:rFonts w:hint="eastAsia" w:ascii="宋体" w:hAnsi="宋体" w:eastAsia="宋体" w:cs="宋体"/>
              <w:color w:val="auto"/>
              <w:sz w:val="44"/>
              <w:szCs w:val="44"/>
            </w:rPr>
            <w:t>目录</w:t>
          </w:r>
        </w:p>
        <w:p w14:paraId="4118F52D">
          <w:pPr>
            <w:pStyle w:val="18"/>
            <w:tabs>
              <w:tab w:val="right" w:leader="dot" w:pos="9642"/>
            </w:tabs>
            <w:spacing w:line="360" w:lineRule="auto"/>
            <w:rPr>
              <w:rFonts w:ascii="宋体" w:hAnsi="宋体" w:eastAsia="宋体" w:cs="宋体"/>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color w:val="auto"/>
            </w:rPr>
            <w:fldChar w:fldCharType="begin"/>
          </w:r>
          <w:r>
            <w:rPr>
              <w:color w:val="auto"/>
            </w:rPr>
            <w:instrText xml:space="preserve"> HYPERLINK \l "_Toc3887" </w:instrText>
          </w:r>
          <w:r>
            <w:rPr>
              <w:color w:val="auto"/>
            </w:rPr>
            <w:fldChar w:fldCharType="separate"/>
          </w:r>
          <w:r>
            <w:rPr>
              <w:rFonts w:hint="eastAsia" w:ascii="宋体" w:hAnsi="宋体" w:eastAsia="宋体" w:cs="宋体"/>
              <w:color w:val="auto"/>
              <w:sz w:val="28"/>
              <w:szCs w:val="28"/>
            </w:rPr>
            <w:t xml:space="preserve">第一章 </w:t>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_Toc3887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6A8FC7C">
          <w:pPr>
            <w:pStyle w:val="18"/>
            <w:tabs>
              <w:tab w:val="right" w:leader="dot" w:pos="9642"/>
            </w:tabs>
            <w:spacing w:line="360" w:lineRule="auto"/>
            <w:rPr>
              <w:rFonts w:ascii="宋体" w:hAnsi="宋体" w:eastAsia="宋体" w:cs="宋体"/>
              <w:color w:val="auto"/>
              <w:sz w:val="28"/>
              <w:szCs w:val="28"/>
            </w:rPr>
          </w:pPr>
          <w:r>
            <w:rPr>
              <w:color w:val="auto"/>
            </w:rPr>
            <w:fldChar w:fldCharType="begin"/>
          </w:r>
          <w:r>
            <w:rPr>
              <w:color w:val="auto"/>
            </w:rPr>
            <w:instrText xml:space="preserve"> HYPERLINK \l "_Toc27488" </w:instrText>
          </w:r>
          <w:r>
            <w:rPr>
              <w:color w:val="auto"/>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磋商须知及前附表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_Toc27488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A246438">
          <w:pPr>
            <w:pStyle w:val="18"/>
            <w:tabs>
              <w:tab w:val="right" w:leader="dot" w:pos="9642"/>
            </w:tabs>
            <w:spacing w:line="360" w:lineRule="auto"/>
            <w:rPr>
              <w:rFonts w:ascii="宋体" w:hAnsi="宋体" w:eastAsia="宋体" w:cs="宋体"/>
              <w:color w:val="auto"/>
              <w:sz w:val="28"/>
              <w:szCs w:val="28"/>
            </w:rPr>
          </w:pPr>
          <w:r>
            <w:rPr>
              <w:color w:val="auto"/>
            </w:rPr>
            <w:fldChar w:fldCharType="begin"/>
          </w:r>
          <w:r>
            <w:rPr>
              <w:color w:val="auto"/>
            </w:rPr>
            <w:instrText xml:space="preserve"> HYPERLINK \l "_Toc24208" </w:instrText>
          </w:r>
          <w:r>
            <w:rPr>
              <w:color w:val="auto"/>
            </w:rPr>
            <w:fldChar w:fldCharType="separate"/>
          </w:r>
          <w:r>
            <w:rPr>
              <w:rFonts w:hint="eastAsia" w:ascii="宋体" w:hAnsi="宋体" w:eastAsia="宋体" w:cs="宋体"/>
              <w:color w:val="auto"/>
              <w:sz w:val="28"/>
              <w:szCs w:val="28"/>
            </w:rPr>
            <w:t xml:space="preserve">第三章 </w:t>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采购项目需求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_Toc24208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43B4818">
          <w:pPr>
            <w:pStyle w:val="18"/>
            <w:tabs>
              <w:tab w:val="right" w:leader="dot" w:pos="9642"/>
            </w:tabs>
            <w:spacing w:line="360" w:lineRule="auto"/>
            <w:rPr>
              <w:rFonts w:ascii="宋体" w:hAnsi="宋体" w:eastAsia="宋体" w:cs="宋体"/>
              <w:color w:val="auto"/>
              <w:sz w:val="28"/>
              <w:szCs w:val="28"/>
              <w:lang w:val="en-US"/>
            </w:rPr>
          </w:pPr>
          <w:r>
            <w:rPr>
              <w:color w:val="auto"/>
            </w:rPr>
            <w:fldChar w:fldCharType="begin"/>
          </w:r>
          <w:r>
            <w:rPr>
              <w:color w:val="auto"/>
            </w:rPr>
            <w:instrText xml:space="preserve"> HYPERLINK \l "_Toc26149" </w:instrText>
          </w:r>
          <w:r>
            <w:rPr>
              <w:color w:val="auto"/>
            </w:rPr>
            <w:fldChar w:fldCharType="separate"/>
          </w:r>
          <w:r>
            <w:rPr>
              <w:rFonts w:hint="eastAsia" w:ascii="宋体" w:hAnsi="宋体" w:eastAsia="宋体" w:cs="宋体"/>
              <w:color w:val="auto"/>
              <w:sz w:val="28"/>
              <w:szCs w:val="28"/>
            </w:rPr>
            <w:t>第四章</w:t>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竞争性磋商响应文件格式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rPr>
            <w:t>20</w:t>
          </w:r>
        </w:p>
        <w:p w14:paraId="164443CF">
          <w:pPr>
            <w:pStyle w:val="18"/>
            <w:tabs>
              <w:tab w:val="right" w:pos="2400"/>
              <w:tab w:val="right" w:leader="dot" w:pos="9642"/>
            </w:tabs>
            <w:spacing w:line="360" w:lineRule="auto"/>
            <w:rPr>
              <w:rFonts w:ascii="宋体" w:hAnsi="宋体" w:eastAsia="宋体" w:cs="宋体"/>
              <w:color w:val="auto"/>
              <w:sz w:val="28"/>
              <w:szCs w:val="28"/>
            </w:rPr>
          </w:pPr>
          <w:r>
            <w:rPr>
              <w:color w:val="auto"/>
            </w:rPr>
            <w:fldChar w:fldCharType="begin"/>
          </w:r>
          <w:r>
            <w:rPr>
              <w:color w:val="auto"/>
            </w:rPr>
            <w:instrText xml:space="preserve"> HYPERLINK \l "_Toc677" </w:instrText>
          </w:r>
          <w:r>
            <w:rPr>
              <w:color w:val="auto"/>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rPr>
            <w:tab/>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合同格式及合同条款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61926FB">
          <w:pPr>
            <w:pStyle w:val="18"/>
            <w:tabs>
              <w:tab w:val="right" w:leader="dot" w:pos="9642"/>
            </w:tabs>
            <w:spacing w:line="360" w:lineRule="auto"/>
            <w:rPr>
              <w:rFonts w:ascii="宋体" w:hAnsi="宋体" w:eastAsia="宋体" w:cs="宋体"/>
              <w:color w:val="auto"/>
              <w:sz w:val="28"/>
              <w:szCs w:val="28"/>
            </w:rPr>
          </w:pPr>
          <w:r>
            <w:rPr>
              <w:color w:val="auto"/>
            </w:rPr>
            <w:fldChar w:fldCharType="begin"/>
          </w:r>
          <w:r>
            <w:rPr>
              <w:color w:val="auto"/>
            </w:rPr>
            <w:instrText xml:space="preserve"> HYPERLINK \l "_Toc20315" </w:instrText>
          </w:r>
          <w:r>
            <w:rPr>
              <w:color w:val="auto"/>
            </w:rPr>
            <w:fldChar w:fldCharType="separate"/>
          </w:r>
          <w:r>
            <w:rPr>
              <w:rFonts w:hint="eastAsia" w:ascii="宋体" w:hAnsi="宋体" w:eastAsia="宋体" w:cs="宋体"/>
              <w:color w:val="auto"/>
              <w:sz w:val="28"/>
              <w:szCs w:val="28"/>
            </w:rPr>
            <w:t>第六章</w:t>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评审方法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_Toc20315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AA6F39F">
          <w:pPr>
            <w:spacing w:line="360" w:lineRule="auto"/>
            <w:rPr>
              <w:rFonts w:ascii="宋体" w:hAnsi="宋体" w:eastAsia="宋体" w:cs="宋体"/>
              <w:b/>
              <w:bCs/>
              <w:color w:val="FF0000"/>
              <w:sz w:val="24"/>
              <w:szCs w:val="24"/>
            </w:rPr>
          </w:pPr>
          <w:r>
            <w:rPr>
              <w:rFonts w:hint="eastAsia" w:ascii="宋体" w:hAnsi="宋体" w:eastAsia="宋体" w:cs="宋体"/>
              <w:bCs/>
              <w:color w:val="auto"/>
              <w:sz w:val="28"/>
              <w:szCs w:val="28"/>
            </w:rPr>
            <w:fldChar w:fldCharType="end"/>
          </w:r>
        </w:p>
      </w:sdtContent>
    </w:sdt>
    <w:p w14:paraId="3DE3A499">
      <w:pPr>
        <w:tabs>
          <w:tab w:val="left" w:pos="4740"/>
        </w:tabs>
        <w:spacing w:before="125"/>
        <w:ind w:left="3538"/>
        <w:rPr>
          <w:rFonts w:ascii="宋体" w:hAnsi="宋体" w:eastAsia="宋体" w:cs="宋体"/>
          <w:b/>
          <w:bCs/>
          <w:color w:val="FF0000"/>
          <w:sz w:val="24"/>
          <w:szCs w:val="24"/>
        </w:rPr>
        <w:sectPr>
          <w:headerReference r:id="rId5" w:type="default"/>
          <w:footerReference r:id="rId6" w:type="default"/>
          <w:pgSz w:w="11910" w:h="16840"/>
          <w:pgMar w:top="1134" w:right="1134" w:bottom="1134" w:left="1134" w:header="610" w:footer="550" w:gutter="0"/>
          <w:pgNumType w:start="1"/>
          <w:cols w:space="720" w:num="1"/>
        </w:sectPr>
      </w:pPr>
    </w:p>
    <w:p w14:paraId="656C9BED">
      <w:pPr>
        <w:pStyle w:val="3"/>
        <w:keepNext w:val="0"/>
        <w:keepLines w:val="0"/>
        <w:pageBreakBefore w:val="0"/>
        <w:widowControl w:val="0"/>
        <w:kinsoku w:val="0"/>
        <w:wordWrap/>
        <w:overflowPunct w:val="0"/>
        <w:topLinePunct w:val="0"/>
        <w:autoSpaceDE w:val="0"/>
        <w:autoSpaceDN w:val="0"/>
        <w:bidi w:val="0"/>
        <w:adjustRightInd/>
        <w:snapToGrid/>
        <w:spacing w:line="400" w:lineRule="exact"/>
        <w:ind w:right="578"/>
        <w:textAlignment w:val="auto"/>
        <w:rPr>
          <w:rFonts w:ascii="宋体" w:hAnsi="宋体" w:eastAsia="宋体" w:cs="宋体"/>
          <w:color w:val="auto"/>
          <w:sz w:val="36"/>
          <w:szCs w:val="36"/>
        </w:rPr>
      </w:pPr>
      <w:bookmarkStart w:id="2" w:name="_Toc257"/>
      <w:bookmarkStart w:id="3" w:name="_Toc3887"/>
      <w:bookmarkStart w:id="4" w:name="_Toc7595_WPSOffice_Level1"/>
      <w:bookmarkStart w:id="5" w:name="_Toc29939_WPSOffice_Level1"/>
      <w:r>
        <w:rPr>
          <w:rFonts w:hint="eastAsia" w:ascii="宋体" w:hAnsi="宋体" w:eastAsia="宋体" w:cs="宋体"/>
          <w:color w:val="auto"/>
          <w:sz w:val="36"/>
          <w:szCs w:val="36"/>
        </w:rPr>
        <w:t xml:space="preserve">第一章 </w:t>
      </w:r>
      <w:r>
        <w:rPr>
          <w:rFonts w:hint="eastAsia" w:ascii="宋体" w:hAnsi="宋体" w:eastAsia="宋体" w:cs="宋体"/>
          <w:color w:val="auto"/>
          <w:sz w:val="36"/>
          <w:szCs w:val="36"/>
          <w:lang w:val="en-US"/>
        </w:rPr>
        <w:t xml:space="preserve"> </w:t>
      </w:r>
      <w:r>
        <w:rPr>
          <w:rFonts w:hint="eastAsia" w:ascii="宋体" w:hAnsi="宋体" w:eastAsia="宋体" w:cs="宋体"/>
          <w:color w:val="auto"/>
          <w:sz w:val="36"/>
          <w:szCs w:val="36"/>
        </w:rPr>
        <w:t>竞争性磋商公告</w:t>
      </w:r>
      <w:bookmarkEnd w:id="2"/>
      <w:bookmarkEnd w:id="3"/>
    </w:p>
    <w:p w14:paraId="6095763D">
      <w:pPr>
        <w:keepNext w:val="0"/>
        <w:keepLines w:val="0"/>
        <w:pageBreakBefore w:val="0"/>
        <w:wordWrap/>
        <w:topLinePunct w:val="0"/>
        <w:autoSpaceDE w:val="0"/>
        <w:bidi w:val="0"/>
        <w:adjustRightInd/>
        <w:snapToGrid/>
        <w:spacing w:line="400" w:lineRule="exact"/>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广西新凯林管理咨询有限公司</w:t>
      </w:r>
      <w:r>
        <w:rPr>
          <w:rFonts w:hint="eastAsia" w:ascii="宋体" w:hAnsi="宋体" w:eastAsia="宋体" w:cs="宋体"/>
          <w:b/>
          <w:color w:val="auto"/>
          <w:sz w:val="28"/>
          <w:szCs w:val="28"/>
        </w:rPr>
        <w:t>关于</w:t>
      </w:r>
      <w:r>
        <w:rPr>
          <w:rFonts w:hint="eastAsia" w:ascii="宋体" w:hAnsi="宋体" w:eastAsia="宋体" w:cs="宋体"/>
          <w:b/>
          <w:color w:val="auto"/>
          <w:sz w:val="28"/>
          <w:szCs w:val="28"/>
          <w:lang w:eastAsia="zh-CN"/>
        </w:rPr>
        <w:t>保安服务采购</w:t>
      </w:r>
      <w:r>
        <w:rPr>
          <w:rFonts w:hint="eastAsia" w:ascii="宋体" w:hAnsi="宋体" w:eastAsia="宋体" w:cs="宋体"/>
          <w:b/>
          <w:color w:val="auto"/>
          <w:sz w:val="28"/>
          <w:szCs w:val="28"/>
        </w:rPr>
        <w:t>(</w:t>
      </w:r>
      <w:r>
        <w:rPr>
          <w:rFonts w:hint="eastAsia" w:ascii="宋体" w:hAnsi="宋体" w:eastAsia="宋体" w:cs="宋体"/>
          <w:b/>
          <w:color w:val="auto"/>
          <w:sz w:val="28"/>
          <w:szCs w:val="28"/>
          <w:lang w:eastAsia="zh-CN"/>
        </w:rPr>
        <w:t>BHZC2025-C3-990093-GXXK</w:t>
      </w:r>
      <w:r>
        <w:rPr>
          <w:rFonts w:hint="eastAsia" w:ascii="宋体" w:hAnsi="宋体" w:eastAsia="宋体" w:cs="宋体"/>
          <w:b/>
          <w:color w:val="auto"/>
          <w:sz w:val="28"/>
          <w:szCs w:val="28"/>
        </w:rPr>
        <w:t>)竞争性磋商公告</w:t>
      </w:r>
      <w:r>
        <w:rPr>
          <w:rFonts w:hint="eastAsia" w:ascii="宋体" w:hAnsi="宋体" w:eastAsia="宋体" w:cs="宋体"/>
          <w:b/>
          <w:color w:val="auto"/>
          <w:sz w:val="28"/>
          <w:szCs w:val="28"/>
          <w:lang w:eastAsia="zh-CN"/>
        </w:rPr>
        <w:t>（远程异地评标）</w:t>
      </w:r>
    </w:p>
    <w:p w14:paraId="48BC6203">
      <w:pPr>
        <w:pStyle w:val="19"/>
        <w:keepNext w:val="0"/>
        <w:keepLines w:val="0"/>
        <w:pageBreakBefore w:val="0"/>
        <w:pBdr>
          <w:top w:val="single" w:color="auto" w:sz="6" w:space="0"/>
          <w:left w:val="single" w:color="auto" w:sz="6" w:space="3"/>
          <w:bottom w:val="single" w:color="auto" w:sz="6" w:space="0"/>
          <w:right w:val="single" w:color="auto" w:sz="6" w:space="3"/>
        </w:pBdr>
        <w:wordWrap/>
        <w:topLinePunct w:val="0"/>
        <w:autoSpaceDE w:val="0"/>
        <w:autoSpaceDN/>
        <w:bidi w:val="0"/>
        <w:adjustRightInd/>
        <w:snapToGrid/>
        <w:spacing w:before="0" w:beforeAutospacing="0" w:after="0" w:afterAutospacing="0" w:line="400" w:lineRule="exact"/>
        <w:jc w:val="both"/>
        <w:textAlignment w:val="auto"/>
        <w:rPr>
          <w:rFonts w:eastAsia="宋体" w:cs="宋体"/>
          <w:color w:val="auto"/>
          <w:sz w:val="21"/>
          <w:szCs w:val="21"/>
        </w:rPr>
      </w:pPr>
      <w:r>
        <w:rPr>
          <w:rFonts w:hint="eastAsia" w:eastAsia="宋体" w:cs="宋体"/>
          <w:color w:val="auto"/>
          <w:sz w:val="21"/>
          <w:szCs w:val="21"/>
        </w:rPr>
        <w:t>项目概况：</w:t>
      </w:r>
    </w:p>
    <w:p w14:paraId="57DB2054">
      <w:pPr>
        <w:pStyle w:val="19"/>
        <w:keepNext w:val="0"/>
        <w:keepLines w:val="0"/>
        <w:pageBreakBefore w:val="0"/>
        <w:pBdr>
          <w:top w:val="single" w:color="auto" w:sz="6" w:space="0"/>
          <w:left w:val="single" w:color="auto" w:sz="6" w:space="3"/>
          <w:bottom w:val="single" w:color="auto" w:sz="6" w:space="0"/>
          <w:right w:val="single" w:color="auto" w:sz="6" w:space="3"/>
        </w:pBdr>
        <w:wordWrap/>
        <w:topLinePunct w:val="0"/>
        <w:autoSpaceDE w:val="0"/>
        <w:autoSpaceDN/>
        <w:bidi w:val="0"/>
        <w:adjustRightInd/>
        <w:snapToGrid/>
        <w:spacing w:before="0" w:beforeAutospacing="0" w:after="0" w:afterAutospacing="0" w:line="400" w:lineRule="exact"/>
        <w:ind w:firstLine="420" w:firstLineChars="200"/>
        <w:jc w:val="both"/>
        <w:textAlignment w:val="auto"/>
        <w:rPr>
          <w:rFonts w:eastAsia="宋体" w:cs="宋体"/>
          <w:color w:val="FF0000"/>
          <w:sz w:val="21"/>
          <w:szCs w:val="21"/>
        </w:rPr>
      </w:pPr>
      <w:r>
        <w:rPr>
          <w:rFonts w:hint="eastAsia" w:ascii="Times New Roman" w:hAnsi="Times New Roman" w:eastAsia="宋体" w:cs="Times New Roman"/>
          <w:color w:val="auto"/>
          <w:sz w:val="21"/>
          <w:szCs w:val="21"/>
          <w:u w:val="single"/>
          <w:lang w:eastAsia="zh-CN"/>
        </w:rPr>
        <w:t>保安服务采购</w:t>
      </w:r>
      <w:r>
        <w:rPr>
          <w:rFonts w:hint="default" w:ascii="Times New Roman" w:hAnsi="Times New Roman" w:eastAsia="宋体" w:cs="Times New Roman"/>
          <w:color w:val="auto"/>
          <w:sz w:val="21"/>
          <w:szCs w:val="21"/>
          <w:lang w:val="en-US"/>
        </w:rPr>
        <w:t>的潜在供应商应在广西政府采购云平台（https://www.gcy.zfcg.gxzf.gov.cn/）获取采购文件</w:t>
      </w:r>
      <w:r>
        <w:rPr>
          <w:rFonts w:hint="default" w:ascii="Times New Roman" w:hAnsi="Times New Roman" w:eastAsia="宋体" w:cs="Times New Roman"/>
          <w:color w:val="auto"/>
          <w:sz w:val="21"/>
          <w:szCs w:val="21"/>
        </w:rPr>
        <w:t>，并</w:t>
      </w:r>
      <w:r>
        <w:rPr>
          <w:rFonts w:hint="default" w:ascii="Times New Roman" w:hAnsi="Times New Roman" w:eastAsia="宋体" w:cs="Times New Roman"/>
          <w:color w:val="auto"/>
          <w:sz w:val="21"/>
          <w:szCs w:val="21"/>
          <w:highlight w:val="none"/>
        </w:rPr>
        <w:t>于</w:t>
      </w:r>
      <w:r>
        <w:rPr>
          <w:rFonts w:hint="eastAsia" w:ascii="Times New Roman" w:hAnsi="Times New Roman" w:eastAsia="宋体" w:cs="Times New Roman"/>
          <w:color w:val="auto"/>
          <w:sz w:val="21"/>
          <w:szCs w:val="21"/>
          <w:highlight w:val="none"/>
          <w:u w:val="single"/>
          <w:lang w:eastAsia="zh-CN"/>
        </w:rPr>
        <w:t>2025年</w:t>
      </w:r>
      <w:r>
        <w:rPr>
          <w:rFonts w:hint="eastAsia" w:ascii="Times New Roman" w:hAnsi="Times New Roman" w:eastAsia="宋体" w:cs="Times New Roman"/>
          <w:color w:val="auto"/>
          <w:sz w:val="21"/>
          <w:szCs w:val="21"/>
          <w:highlight w:val="none"/>
          <w:u w:val="single"/>
          <w:lang w:val="en-US" w:eastAsia="zh-CN"/>
        </w:rPr>
        <w:t>7</w:t>
      </w:r>
      <w:r>
        <w:rPr>
          <w:rFonts w:hint="eastAsia" w:ascii="Times New Roman" w:hAnsi="Times New Roman" w:eastAsia="宋体" w:cs="Times New Roman"/>
          <w:color w:val="auto"/>
          <w:sz w:val="21"/>
          <w:szCs w:val="21"/>
          <w:highlight w:val="none"/>
          <w:u w:val="single"/>
          <w:lang w:eastAsia="zh-CN"/>
        </w:rPr>
        <w:t>月</w:t>
      </w:r>
      <w:r>
        <w:rPr>
          <w:rFonts w:hint="eastAsia" w:ascii="Times New Roman" w:hAnsi="Times New Roman" w:eastAsia="宋体" w:cs="Times New Roman"/>
          <w:color w:val="auto"/>
          <w:sz w:val="21"/>
          <w:szCs w:val="21"/>
          <w:highlight w:val="none"/>
          <w:u w:val="single"/>
          <w:lang w:val="en-US" w:eastAsia="zh-CN"/>
        </w:rPr>
        <w:t>21</w:t>
      </w:r>
      <w:r>
        <w:rPr>
          <w:rFonts w:hint="eastAsia" w:ascii="Times New Roman" w:hAnsi="Times New Roman" w:eastAsia="宋体" w:cs="Times New Roman"/>
          <w:color w:val="auto"/>
          <w:sz w:val="21"/>
          <w:szCs w:val="21"/>
          <w:highlight w:val="none"/>
          <w:u w:val="single"/>
          <w:lang w:eastAsia="zh-CN"/>
        </w:rPr>
        <w:t>日</w:t>
      </w:r>
      <w:r>
        <w:rPr>
          <w:rFonts w:hint="eastAsia" w:ascii="Times New Roman" w:hAnsi="Times New Roman" w:eastAsia="宋体" w:cs="Times New Roman"/>
          <w:color w:val="auto"/>
          <w:sz w:val="21"/>
          <w:szCs w:val="21"/>
          <w:highlight w:val="none"/>
          <w:u w:val="single"/>
          <w:lang w:val="en-US" w:eastAsia="zh-CN"/>
        </w:rPr>
        <w:t>15</w:t>
      </w:r>
      <w:r>
        <w:rPr>
          <w:rFonts w:hint="eastAsia" w:ascii="Times New Roman" w:hAnsi="Times New Roman" w:eastAsia="宋体" w:cs="Times New Roman"/>
          <w:color w:val="auto"/>
          <w:sz w:val="21"/>
          <w:szCs w:val="21"/>
          <w:highlight w:val="none"/>
          <w:u w:val="single"/>
          <w:lang w:eastAsia="zh-CN"/>
        </w:rPr>
        <w:t>点00分</w:t>
      </w:r>
      <w:r>
        <w:rPr>
          <w:rFonts w:hint="default" w:ascii="Times New Roman" w:hAnsi="Times New Roman" w:eastAsia="宋体" w:cs="Times New Roman"/>
          <w:color w:val="auto"/>
          <w:sz w:val="21"/>
          <w:szCs w:val="21"/>
          <w:highlight w:val="none"/>
          <w:u w:val="single"/>
        </w:rPr>
        <w:t>（</w:t>
      </w:r>
      <w:r>
        <w:rPr>
          <w:rFonts w:hint="eastAsia" w:eastAsia="宋体" w:cs="宋体"/>
          <w:color w:val="auto"/>
          <w:sz w:val="21"/>
          <w:szCs w:val="21"/>
        </w:rPr>
        <w:t>北京时间）前</w:t>
      </w:r>
      <w:r>
        <w:rPr>
          <w:rFonts w:hint="eastAsia" w:eastAsia="宋体" w:cs="宋体"/>
          <w:color w:val="auto"/>
          <w:sz w:val="21"/>
          <w:szCs w:val="21"/>
          <w:lang w:eastAsia="zh-CN"/>
        </w:rPr>
        <w:t>提</w:t>
      </w:r>
      <w:r>
        <w:rPr>
          <w:rFonts w:hint="eastAsia" w:eastAsia="宋体" w:cs="宋体"/>
          <w:color w:val="auto"/>
          <w:sz w:val="21"/>
          <w:szCs w:val="21"/>
        </w:rPr>
        <w:t>交响应文件。</w:t>
      </w:r>
    </w:p>
    <w:p w14:paraId="1EF043A0">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Fonts w:eastAsia="宋体" w:cs="宋体"/>
          <w:color w:val="auto"/>
          <w:sz w:val="21"/>
          <w:szCs w:val="21"/>
        </w:rPr>
      </w:pPr>
      <w:r>
        <w:rPr>
          <w:rStyle w:val="25"/>
          <w:rFonts w:hint="eastAsia" w:eastAsia="宋体" w:cs="宋体"/>
          <w:color w:val="auto"/>
          <w:sz w:val="21"/>
          <w:szCs w:val="21"/>
        </w:rPr>
        <w:t>一、项目基本情况</w:t>
      </w:r>
    </w:p>
    <w:p w14:paraId="0DB59CD3">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en-US" w:eastAsia="zh-CN"/>
        </w:rPr>
      </w:pPr>
      <w:r>
        <w:rPr>
          <w:rFonts w:hint="eastAsia" w:eastAsia="宋体" w:cs="宋体"/>
          <w:color w:val="auto"/>
          <w:sz w:val="21"/>
          <w:szCs w:val="21"/>
        </w:rPr>
        <w:t>项目编号：</w:t>
      </w:r>
      <w:r>
        <w:rPr>
          <w:rFonts w:hint="eastAsia" w:eastAsia="宋体" w:cs="宋体"/>
          <w:color w:val="auto"/>
          <w:sz w:val="21"/>
          <w:szCs w:val="21"/>
          <w:highlight w:val="none"/>
          <w:lang w:eastAsia="zh-CN"/>
        </w:rPr>
        <w:t>BHZC2025-C3-990093-GXXK</w:t>
      </w:r>
      <w:r>
        <w:rPr>
          <w:rFonts w:hint="eastAsia" w:eastAsia="宋体" w:cs="宋体"/>
          <w:color w:val="auto"/>
          <w:sz w:val="21"/>
          <w:szCs w:val="21"/>
        </w:rPr>
        <w:t> </w:t>
      </w:r>
      <w:r>
        <w:rPr>
          <w:rFonts w:hint="eastAsia" w:eastAsia="宋体" w:cs="宋体"/>
          <w:color w:val="auto"/>
          <w:sz w:val="21"/>
          <w:szCs w:val="21"/>
          <w:lang w:val="en-US" w:eastAsia="zh-CN"/>
        </w:rPr>
        <w:t xml:space="preserve">          </w:t>
      </w:r>
    </w:p>
    <w:p w14:paraId="542E40AD">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rPr>
      </w:pPr>
      <w:r>
        <w:rPr>
          <w:rFonts w:hint="eastAsia" w:eastAsia="宋体" w:cs="宋体"/>
          <w:color w:val="auto"/>
          <w:sz w:val="21"/>
          <w:szCs w:val="21"/>
        </w:rPr>
        <w:t>项目名称：</w:t>
      </w:r>
      <w:r>
        <w:rPr>
          <w:rFonts w:hint="eastAsia" w:eastAsia="宋体" w:cs="宋体"/>
          <w:color w:val="auto"/>
          <w:sz w:val="21"/>
          <w:szCs w:val="21"/>
          <w:lang w:eastAsia="zh-CN"/>
        </w:rPr>
        <w:t>保安服务采购</w:t>
      </w:r>
    </w:p>
    <w:p w14:paraId="159BE264">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rPr>
      </w:pPr>
      <w:r>
        <w:rPr>
          <w:rFonts w:hint="eastAsia" w:eastAsia="宋体" w:cs="宋体"/>
          <w:color w:val="auto"/>
          <w:sz w:val="21"/>
          <w:szCs w:val="21"/>
        </w:rPr>
        <w:t>采购方式：竞争性磋商</w:t>
      </w:r>
    </w:p>
    <w:p w14:paraId="756D58B7">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color w:val="auto"/>
          <w:sz w:val="21"/>
          <w:szCs w:val="21"/>
        </w:rPr>
        <w:t>预算总金额（元）：</w:t>
      </w:r>
      <w:r>
        <w:rPr>
          <w:rFonts w:hint="eastAsia" w:ascii="Times New Roman" w:hAnsi="Times New Roman" w:eastAsia="宋体" w:cs="Times New Roman"/>
          <w:color w:val="auto"/>
          <w:sz w:val="21"/>
          <w:szCs w:val="21"/>
          <w:lang w:val="en-US" w:eastAsia="zh-CN"/>
        </w:rPr>
        <w:t>850300.00</w:t>
      </w:r>
    </w:p>
    <w:p w14:paraId="4AB88BED">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zh-CN" w:eastAsia="zh-CN"/>
        </w:rPr>
      </w:pPr>
      <w:r>
        <w:rPr>
          <w:rFonts w:hint="eastAsia" w:eastAsia="宋体" w:cs="宋体"/>
          <w:color w:val="auto"/>
          <w:sz w:val="21"/>
          <w:szCs w:val="21"/>
        </w:rPr>
        <w:t>采购需求：</w:t>
      </w:r>
    </w:p>
    <w:p w14:paraId="12C63F4E">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zh-CN" w:eastAsia="zh-CN"/>
        </w:rPr>
      </w:pPr>
      <w:r>
        <w:rPr>
          <w:rFonts w:hint="eastAsia" w:eastAsia="宋体" w:cs="宋体"/>
          <w:color w:val="auto"/>
          <w:sz w:val="21"/>
          <w:szCs w:val="21"/>
          <w:lang w:val="zh-CN" w:eastAsia="zh-CN"/>
        </w:rPr>
        <w:t>标项名称:保安服务采购</w:t>
      </w:r>
    </w:p>
    <w:p w14:paraId="0B3A1F03">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zh-CN" w:eastAsia="zh-CN"/>
        </w:rPr>
      </w:pPr>
      <w:r>
        <w:rPr>
          <w:rFonts w:hint="eastAsia" w:eastAsia="宋体" w:cs="宋体"/>
          <w:color w:val="auto"/>
          <w:sz w:val="21"/>
          <w:szCs w:val="21"/>
          <w:lang w:val="zh-CN" w:eastAsia="zh-CN"/>
        </w:rPr>
        <w:t>数量:1</w:t>
      </w:r>
    </w:p>
    <w:p w14:paraId="194F1F72">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zh-CN" w:eastAsia="zh-CN"/>
        </w:rPr>
        <w:t>预算金额（元）：</w:t>
      </w:r>
      <w:r>
        <w:rPr>
          <w:rFonts w:hint="eastAsia" w:ascii="Times New Roman" w:hAnsi="Times New Roman" w:eastAsia="宋体" w:cs="Times New Roman"/>
          <w:color w:val="auto"/>
          <w:sz w:val="21"/>
          <w:szCs w:val="21"/>
          <w:lang w:val="en-US" w:eastAsia="zh-CN"/>
        </w:rPr>
        <w:t>850300.00</w:t>
      </w:r>
    </w:p>
    <w:p w14:paraId="6F6F9D10">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zh-CN" w:eastAsia="zh-CN"/>
        </w:rPr>
      </w:pPr>
      <w:r>
        <w:rPr>
          <w:rFonts w:hint="eastAsia" w:eastAsia="宋体" w:cs="宋体"/>
          <w:color w:val="auto"/>
          <w:sz w:val="21"/>
          <w:szCs w:val="21"/>
          <w:lang w:val="zh-CN" w:eastAsia="zh-CN"/>
        </w:rPr>
        <w:t>简要规格描述或项目基本概况介绍、用途：</w:t>
      </w:r>
      <w:r>
        <w:rPr>
          <w:rFonts w:hint="eastAsia" w:eastAsia="宋体" w:cs="宋体"/>
          <w:color w:val="auto"/>
          <w:sz w:val="21"/>
          <w:szCs w:val="21"/>
          <w:lang w:eastAsia="zh-CN"/>
        </w:rPr>
        <w:t>对北海市妇幼保健院保安服务</w:t>
      </w:r>
      <w:r>
        <w:rPr>
          <w:rFonts w:hint="eastAsia" w:eastAsia="宋体" w:cs="宋体"/>
          <w:color w:val="auto"/>
          <w:sz w:val="21"/>
          <w:szCs w:val="21"/>
          <w:lang w:val="en-US" w:eastAsia="zh-CN"/>
        </w:rPr>
        <w:t>进行采购</w:t>
      </w:r>
      <w:r>
        <w:rPr>
          <w:rFonts w:hint="eastAsia" w:eastAsia="宋体" w:cs="宋体"/>
          <w:color w:val="auto"/>
          <w:sz w:val="21"/>
          <w:szCs w:val="21"/>
          <w:lang w:eastAsia="zh-CN"/>
        </w:rPr>
        <w:t xml:space="preserve">，如需进一步了解详细内容，详见采购项目需求。 </w:t>
      </w:r>
    </w:p>
    <w:p w14:paraId="7A1B0E1F">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val="zh-CN" w:eastAsia="zh-CN"/>
        </w:rPr>
        <w:t>最高限价（如有）：</w:t>
      </w:r>
      <w:r>
        <w:rPr>
          <w:rFonts w:hint="eastAsia" w:ascii="Times New Roman" w:hAnsi="Times New Roman" w:eastAsia="宋体" w:cs="Times New Roman"/>
          <w:color w:val="auto"/>
          <w:sz w:val="21"/>
          <w:szCs w:val="21"/>
          <w:lang w:val="en-US" w:eastAsia="zh-CN"/>
        </w:rPr>
        <w:t>850300.00</w:t>
      </w:r>
    </w:p>
    <w:p w14:paraId="681FB82B">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zh-CN" w:eastAsia="zh-CN"/>
        </w:rPr>
        <w:t>合同</w:t>
      </w:r>
      <w:r>
        <w:rPr>
          <w:rFonts w:hint="default" w:ascii="Times New Roman" w:hAnsi="Times New Roman" w:eastAsia="宋体" w:cs="Times New Roman"/>
          <w:color w:val="auto"/>
          <w:sz w:val="21"/>
          <w:szCs w:val="21"/>
          <w:highlight w:val="none"/>
          <w:lang w:val="zh-CN" w:eastAsia="zh-CN"/>
        </w:rPr>
        <w:t>履约期限：</w:t>
      </w:r>
      <w:r>
        <w:rPr>
          <w:rFonts w:hint="default" w:ascii="宋体" w:hAnsi="宋体" w:eastAsia="宋体" w:cs="宋体"/>
          <w:b w:val="0"/>
          <w:bCs/>
          <w:color w:val="auto"/>
          <w:sz w:val="21"/>
          <w:szCs w:val="21"/>
          <w:lang w:val="en-US" w:eastAsia="zh-CN"/>
        </w:rPr>
        <w:t>壹年</w:t>
      </w:r>
      <w:r>
        <w:rPr>
          <w:rFonts w:hint="eastAsia" w:ascii="Times New Roman" w:hAnsi="Times New Roman" w:eastAsia="宋体" w:cs="Times New Roman"/>
          <w:color w:val="auto"/>
          <w:sz w:val="21"/>
          <w:szCs w:val="21"/>
          <w:highlight w:val="none"/>
          <w:lang w:val="en-US" w:eastAsia="zh-CN"/>
        </w:rPr>
        <w:t>。</w:t>
      </w:r>
    </w:p>
    <w:p w14:paraId="2ED7D793">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zh-CN" w:eastAsia="zh-CN"/>
        </w:rPr>
      </w:pPr>
      <w:r>
        <w:rPr>
          <w:rFonts w:hint="eastAsia" w:eastAsia="宋体" w:cs="宋体"/>
          <w:color w:val="auto"/>
          <w:sz w:val="21"/>
          <w:szCs w:val="21"/>
          <w:lang w:val="zh-CN" w:eastAsia="zh-CN"/>
        </w:rPr>
        <w:t>本标项（否）接受联合体投标</w:t>
      </w:r>
    </w:p>
    <w:p w14:paraId="636845C9">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ascii="Times New Roman" w:hAnsi="Times New Roman" w:eastAsia="宋体" w:cs="Times New Roman"/>
          <w:color w:val="auto"/>
          <w:sz w:val="21"/>
          <w:szCs w:val="21"/>
          <w:lang w:val="zh-CN" w:eastAsia="zh-CN"/>
        </w:rPr>
      </w:pPr>
      <w:r>
        <w:rPr>
          <w:rStyle w:val="25"/>
          <w:rFonts w:hint="eastAsia" w:eastAsia="宋体" w:cs="宋体"/>
          <w:b w:val="0"/>
          <w:bCs w:val="0"/>
          <w:color w:val="auto"/>
          <w:sz w:val="21"/>
          <w:szCs w:val="21"/>
          <w:lang w:eastAsia="zh-CN"/>
        </w:rPr>
        <w:t>备注：</w:t>
      </w:r>
    </w:p>
    <w:p w14:paraId="52FD5AF4">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Fonts w:eastAsia="宋体" w:cs="宋体"/>
          <w:color w:val="auto"/>
          <w:sz w:val="21"/>
          <w:szCs w:val="21"/>
        </w:rPr>
      </w:pPr>
      <w:r>
        <w:rPr>
          <w:rStyle w:val="25"/>
          <w:rFonts w:hint="eastAsia" w:eastAsia="宋体" w:cs="宋体"/>
          <w:color w:val="auto"/>
          <w:sz w:val="21"/>
          <w:szCs w:val="21"/>
        </w:rPr>
        <w:t>二、申请人的资格要求：</w:t>
      </w:r>
    </w:p>
    <w:p w14:paraId="14CABC15">
      <w:pPr>
        <w:pStyle w:val="19"/>
        <w:keepNext w:val="0"/>
        <w:keepLines w:val="0"/>
        <w:pageBreakBefore w:val="0"/>
        <w:wordWrap/>
        <w:topLinePunct w:val="0"/>
        <w:autoSpaceDE w:val="0"/>
        <w:autoSpaceDN/>
        <w:bidi w:val="0"/>
        <w:adjustRightInd/>
        <w:snapToGrid/>
        <w:spacing w:before="0" w:beforeAutospacing="0" w:after="0" w:afterAutospacing="0" w:line="400" w:lineRule="exact"/>
        <w:ind w:left="628" w:leftChars="190" w:hanging="210" w:hangingChars="100"/>
        <w:textAlignment w:val="auto"/>
        <w:rPr>
          <w:rFonts w:hint="eastAsia" w:eastAsia="宋体" w:cs="宋体"/>
          <w:color w:val="auto"/>
          <w:sz w:val="21"/>
          <w:szCs w:val="21"/>
          <w:lang w:val="en-US"/>
        </w:rPr>
      </w:pPr>
      <w:r>
        <w:rPr>
          <w:rFonts w:hint="eastAsia" w:eastAsia="宋体" w:cs="宋体"/>
          <w:color w:val="auto"/>
          <w:sz w:val="21"/>
          <w:szCs w:val="21"/>
          <w:lang w:val="en-US"/>
        </w:rPr>
        <w:t>1．满足《中华人民共和国政府采购法》第二十二条规定；</w:t>
      </w:r>
    </w:p>
    <w:p w14:paraId="3470856B">
      <w:pPr>
        <w:pStyle w:val="19"/>
        <w:keepNext w:val="0"/>
        <w:keepLines w:val="0"/>
        <w:pageBreakBefore w:val="0"/>
        <w:wordWrap/>
        <w:topLinePunct w:val="0"/>
        <w:autoSpaceDE w:val="0"/>
        <w:autoSpaceDN/>
        <w:bidi w:val="0"/>
        <w:adjustRightInd/>
        <w:snapToGrid/>
        <w:spacing w:before="0" w:beforeAutospacing="0" w:after="0" w:afterAutospacing="0" w:line="400" w:lineRule="exact"/>
        <w:ind w:left="628" w:leftChars="190" w:hanging="210" w:hangingChars="100"/>
        <w:textAlignment w:val="auto"/>
        <w:rPr>
          <w:rFonts w:hint="eastAsia" w:eastAsia="宋体" w:cs="宋体"/>
          <w:color w:val="auto"/>
          <w:sz w:val="21"/>
          <w:szCs w:val="21"/>
          <w:lang w:val="en-US"/>
        </w:rPr>
      </w:pPr>
      <w:r>
        <w:rPr>
          <w:rFonts w:hint="eastAsia" w:eastAsia="宋体" w:cs="宋体"/>
          <w:color w:val="auto"/>
          <w:sz w:val="21"/>
          <w:szCs w:val="21"/>
          <w:lang w:val="en-US"/>
        </w:rPr>
        <w:t>2.落实政府采购政策需满足的资格要求：</w:t>
      </w:r>
      <w:r>
        <w:rPr>
          <w:rFonts w:hint="eastAsia" w:eastAsia="宋体" w:cs="宋体"/>
          <w:color w:val="auto"/>
          <w:sz w:val="21"/>
          <w:szCs w:val="21"/>
          <w:lang w:val="en-US" w:eastAsia="zh-CN"/>
        </w:rPr>
        <w:t>本项目专门面向中小企业</w:t>
      </w:r>
      <w:r>
        <w:rPr>
          <w:rFonts w:hint="eastAsia" w:eastAsia="宋体" w:cs="宋体"/>
          <w:color w:val="auto"/>
          <w:sz w:val="21"/>
          <w:szCs w:val="21"/>
          <w:lang w:val="en-US"/>
        </w:rPr>
        <w:t>；</w:t>
      </w:r>
    </w:p>
    <w:p w14:paraId="1511424A">
      <w:pPr>
        <w:pStyle w:val="19"/>
        <w:keepNext w:val="0"/>
        <w:keepLines w:val="0"/>
        <w:pageBreakBefore w:val="0"/>
        <w:wordWrap/>
        <w:topLinePunct w:val="0"/>
        <w:autoSpaceDE w:val="0"/>
        <w:autoSpaceDN/>
        <w:bidi w:val="0"/>
        <w:adjustRightInd/>
        <w:snapToGrid/>
        <w:spacing w:before="0" w:beforeAutospacing="0" w:after="0" w:afterAutospacing="0" w:line="400" w:lineRule="exact"/>
        <w:ind w:left="628" w:leftChars="190" w:hanging="210" w:hangingChars="100"/>
        <w:textAlignment w:val="auto"/>
        <w:rPr>
          <w:rFonts w:hint="default" w:eastAsia="宋体" w:cs="宋体"/>
          <w:color w:val="auto"/>
          <w:sz w:val="21"/>
          <w:szCs w:val="21"/>
          <w:lang w:val="en-US" w:eastAsia="zh-CN"/>
        </w:rPr>
      </w:pPr>
      <w:r>
        <w:rPr>
          <w:rFonts w:hint="eastAsia" w:eastAsia="宋体" w:cs="宋体"/>
          <w:color w:val="auto"/>
          <w:sz w:val="21"/>
          <w:szCs w:val="21"/>
          <w:lang w:val="en-US"/>
        </w:rPr>
        <w:t>3.本项目的特定资格要求：</w:t>
      </w:r>
      <w:r>
        <w:rPr>
          <w:rFonts w:hint="eastAsia" w:eastAsia="宋体" w:cs="宋体"/>
          <w:color w:val="auto"/>
          <w:sz w:val="21"/>
          <w:szCs w:val="21"/>
          <w:lang w:val="en-US"/>
        </w:rPr>
        <w:br w:type="textWrapping"/>
      </w:r>
      <w:r>
        <w:rPr>
          <w:rFonts w:hint="eastAsia" w:eastAsia="宋体" w:cs="宋体"/>
          <w:color w:val="auto"/>
          <w:sz w:val="21"/>
          <w:szCs w:val="21"/>
          <w:highlight w:val="none"/>
          <w:lang w:val="en-US"/>
        </w:rPr>
        <w:t>【分标1】</w:t>
      </w:r>
      <w:r>
        <w:rPr>
          <w:rFonts w:hint="eastAsia" w:eastAsia="宋体" w:cs="宋体"/>
          <w:color w:val="auto"/>
          <w:sz w:val="21"/>
          <w:szCs w:val="21"/>
          <w:lang w:val="en-US"/>
        </w:rPr>
        <w:br w:type="textWrapping"/>
      </w:r>
      <w:r>
        <w:rPr>
          <w:rFonts w:hint="eastAsia" w:eastAsia="宋体" w:cs="宋体"/>
          <w:color w:val="auto"/>
          <w:sz w:val="21"/>
          <w:szCs w:val="21"/>
          <w:highlight w:val="none"/>
          <w:lang w:val="en-US" w:eastAsia="zh-CN"/>
        </w:rPr>
        <w:t>供应商须具备有效的《保安服务许可证》。</w:t>
      </w:r>
    </w:p>
    <w:p w14:paraId="3BBE7A27">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Fonts w:hint="eastAsia" w:eastAsia="宋体" w:cs="宋体"/>
          <w:color w:val="auto"/>
          <w:sz w:val="21"/>
          <w:szCs w:val="21"/>
          <w:lang w:val="en-US" w:eastAsia="zh-CN"/>
        </w:rPr>
      </w:pPr>
      <w:r>
        <w:rPr>
          <w:rStyle w:val="25"/>
          <w:rFonts w:hint="eastAsia" w:eastAsia="宋体" w:cs="宋体"/>
          <w:color w:val="auto"/>
          <w:sz w:val="21"/>
          <w:szCs w:val="21"/>
        </w:rPr>
        <w:t>三、获取磋商文件</w:t>
      </w:r>
    </w:p>
    <w:p w14:paraId="33FB7D77">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时间：</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年</w:t>
      </w:r>
      <w:r>
        <w:rPr>
          <w:rFonts w:hint="eastAsia" w:ascii="Times New Roman" w:hAnsi="Times New Roman" w:eastAsia="宋体" w:cs="Times New Roman"/>
          <w:color w:val="auto"/>
          <w:sz w:val="21"/>
          <w:szCs w:val="21"/>
          <w:highlight w:val="none"/>
          <w:lang w:val="en-US" w:eastAsia="zh-CN"/>
        </w:rPr>
        <w:t xml:space="preserve">7 </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日</w:t>
      </w:r>
      <w:r>
        <w:rPr>
          <w:rFonts w:hint="default" w:ascii="Times New Roman" w:hAnsi="Times New Roman" w:eastAsia="宋体" w:cs="Times New Roman"/>
          <w:color w:val="auto"/>
          <w:sz w:val="21"/>
          <w:szCs w:val="21"/>
          <w:highlight w:val="none"/>
        </w:rPr>
        <w:t>至</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 xml:space="preserve"> 17</w:t>
      </w:r>
      <w:r>
        <w:rPr>
          <w:rFonts w:hint="default" w:ascii="Times New Roman" w:hAnsi="Times New Roman" w:eastAsia="宋体" w:cs="Times New Roman"/>
          <w:color w:val="auto"/>
          <w:sz w:val="21"/>
          <w:szCs w:val="21"/>
          <w:highlight w:val="none"/>
          <w:lang w:eastAsia="zh-CN"/>
        </w:rPr>
        <w:t>日</w:t>
      </w:r>
      <w:r>
        <w:rPr>
          <w:rFonts w:hint="default" w:ascii="Times New Roman" w:hAnsi="Times New Roman" w:eastAsia="宋体" w:cs="Times New Roman"/>
          <w:color w:val="auto"/>
          <w:sz w:val="21"/>
          <w:szCs w:val="21"/>
        </w:rPr>
        <w:t>，每天上午</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0-1</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0；下午</w:t>
      </w:r>
      <w:r>
        <w:rPr>
          <w:rFonts w:hint="eastAsia"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59</w:t>
      </w:r>
      <w:r>
        <w:rPr>
          <w:rFonts w:hint="default" w:ascii="Times New Roman" w:hAnsi="Times New Roman" w:eastAsia="宋体" w:cs="Times New Roman"/>
          <w:color w:val="auto"/>
          <w:sz w:val="21"/>
          <w:szCs w:val="21"/>
        </w:rPr>
        <w:t>（北京时间，法定节假日除外）</w:t>
      </w:r>
    </w:p>
    <w:p w14:paraId="1A8E6897">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eastAsia="宋体" w:cs="宋体"/>
          <w:color w:val="auto"/>
          <w:sz w:val="21"/>
          <w:szCs w:val="21"/>
        </w:rPr>
      </w:pPr>
      <w:r>
        <w:rPr>
          <w:rFonts w:hint="eastAsia" w:eastAsia="宋体" w:cs="宋体"/>
          <w:color w:val="auto"/>
          <w:sz w:val="21"/>
          <w:szCs w:val="21"/>
        </w:rPr>
        <w:t>2.地点</w:t>
      </w:r>
      <w:r>
        <w:rPr>
          <w:rFonts w:hint="eastAsia" w:eastAsia="宋体" w:cs="宋体"/>
          <w:color w:val="auto"/>
          <w:sz w:val="21"/>
          <w:szCs w:val="21"/>
          <w:lang w:eastAsia="zh-CN"/>
        </w:rPr>
        <w:t>（网址）</w:t>
      </w:r>
      <w:r>
        <w:rPr>
          <w:rFonts w:hint="eastAsia" w:eastAsia="宋体" w:cs="宋体"/>
          <w:color w:val="auto"/>
          <w:sz w:val="21"/>
          <w:szCs w:val="21"/>
        </w:rPr>
        <w:t>：通过广西政府采购云平台（https://www.gcy.zfcg.gxzf.gov.cn/）免费下载。</w:t>
      </w:r>
    </w:p>
    <w:p w14:paraId="2D3CBA51">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rPr>
      </w:pPr>
      <w:r>
        <w:rPr>
          <w:rFonts w:hint="eastAsia" w:eastAsia="宋体" w:cs="宋体"/>
          <w:color w:val="auto"/>
          <w:sz w:val="21"/>
          <w:szCs w:val="21"/>
        </w:rPr>
        <w:t>3.方式：供应商登录广西政府采购云平台https://www.gcy.zfcg.gxzf.gov.cn/在线申请获取采购文件（进入“项目采购”应用，在获取采购文件菜单中选择项目，申请获取采购文件）。</w:t>
      </w:r>
    </w:p>
    <w:p w14:paraId="12836282">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rPr>
      </w:pPr>
      <w:r>
        <w:rPr>
          <w:rFonts w:hint="eastAsia" w:eastAsia="宋体" w:cs="宋体"/>
          <w:color w:val="auto"/>
          <w:sz w:val="21"/>
          <w:szCs w:val="21"/>
        </w:rPr>
        <w:t>售价（元）：0 </w:t>
      </w:r>
    </w:p>
    <w:p w14:paraId="10D57F76">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Fonts w:eastAsia="宋体" w:cs="宋体"/>
          <w:color w:val="auto"/>
          <w:sz w:val="21"/>
          <w:szCs w:val="21"/>
          <w:highlight w:val="none"/>
        </w:rPr>
      </w:pPr>
      <w:r>
        <w:rPr>
          <w:rStyle w:val="25"/>
          <w:rFonts w:hint="eastAsia" w:eastAsia="宋体" w:cs="宋体"/>
          <w:color w:val="auto"/>
          <w:sz w:val="21"/>
          <w:szCs w:val="21"/>
          <w:highlight w:val="none"/>
        </w:rPr>
        <w:t>四、响应文件提交</w:t>
      </w:r>
    </w:p>
    <w:p w14:paraId="2F33DADB">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Style w:val="25"/>
          <w:rFonts w:hint="default" w:ascii="Times New Roman" w:hAnsi="Times New Roman" w:eastAsia="宋体" w:cs="Times New Roman"/>
          <w:b w:val="0"/>
          <w:bCs w:val="0"/>
          <w:color w:val="auto"/>
          <w:sz w:val="21"/>
          <w:szCs w:val="21"/>
        </w:rPr>
      </w:pPr>
      <w:r>
        <w:rPr>
          <w:rStyle w:val="25"/>
          <w:rFonts w:hint="default" w:ascii="Times New Roman" w:hAnsi="Times New Roman" w:eastAsia="宋体" w:cs="Times New Roman"/>
          <w:b w:val="0"/>
          <w:bCs w:val="0"/>
          <w:color w:val="auto"/>
          <w:sz w:val="21"/>
          <w:szCs w:val="21"/>
          <w:highlight w:val="none"/>
        </w:rPr>
        <w:t>时间：</w:t>
      </w:r>
      <w:r>
        <w:rPr>
          <w:rStyle w:val="25"/>
          <w:rFonts w:hint="eastAsia" w:ascii="Times New Roman" w:hAnsi="Times New Roman" w:eastAsia="宋体" w:cs="Times New Roman"/>
          <w:b w:val="0"/>
          <w:bCs w:val="0"/>
          <w:color w:val="auto"/>
          <w:sz w:val="21"/>
          <w:szCs w:val="21"/>
          <w:highlight w:val="none"/>
          <w:lang w:val="en-US" w:eastAsia="zh-CN"/>
        </w:rPr>
        <w:t>2025年7月21日15点00分</w:t>
      </w:r>
      <w:r>
        <w:rPr>
          <w:rStyle w:val="25"/>
          <w:rFonts w:hint="default" w:ascii="Times New Roman" w:hAnsi="Times New Roman" w:eastAsia="宋体" w:cs="Times New Roman"/>
          <w:b w:val="0"/>
          <w:bCs w:val="0"/>
          <w:color w:val="auto"/>
          <w:sz w:val="21"/>
          <w:szCs w:val="21"/>
          <w:highlight w:val="none"/>
        </w:rPr>
        <w:t>（</w:t>
      </w:r>
      <w:r>
        <w:rPr>
          <w:rStyle w:val="25"/>
          <w:rFonts w:hint="default" w:ascii="Times New Roman" w:hAnsi="Times New Roman" w:eastAsia="宋体" w:cs="Times New Roman"/>
          <w:b w:val="0"/>
          <w:bCs w:val="0"/>
          <w:color w:val="auto"/>
          <w:sz w:val="21"/>
          <w:szCs w:val="21"/>
        </w:rPr>
        <w:t>北京时间）</w:t>
      </w:r>
    </w:p>
    <w:p w14:paraId="64411853">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eastAsia="宋体" w:cs="宋体"/>
          <w:color w:val="auto"/>
          <w:sz w:val="21"/>
          <w:szCs w:val="21"/>
        </w:rPr>
      </w:pPr>
      <w:r>
        <w:rPr>
          <w:rStyle w:val="25"/>
          <w:rFonts w:hint="eastAsia" w:eastAsia="宋体" w:cs="宋体"/>
          <w:b w:val="0"/>
          <w:bCs w:val="0"/>
          <w:color w:val="auto"/>
          <w:sz w:val="21"/>
          <w:szCs w:val="21"/>
        </w:rPr>
        <w:t>地点：</w:t>
      </w:r>
      <w:bookmarkStart w:id="6" w:name="OLE_LINK3"/>
      <w:r>
        <w:rPr>
          <w:rStyle w:val="25"/>
          <w:rFonts w:hint="eastAsia" w:eastAsia="宋体" w:cs="宋体"/>
          <w:b w:val="0"/>
          <w:bCs w:val="0"/>
          <w:color w:val="auto"/>
          <w:sz w:val="21"/>
          <w:szCs w:val="21"/>
        </w:rPr>
        <w:t>请登录广西政府采购云平台投标客户端投标</w:t>
      </w:r>
      <w:bookmarkEnd w:id="6"/>
    </w:p>
    <w:p w14:paraId="65CE8A64">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Style w:val="25"/>
          <w:rFonts w:hint="eastAsia" w:eastAsia="宋体" w:cs="宋体"/>
          <w:color w:val="auto"/>
          <w:sz w:val="21"/>
          <w:szCs w:val="21"/>
        </w:rPr>
      </w:pPr>
      <w:r>
        <w:rPr>
          <w:rStyle w:val="25"/>
          <w:rFonts w:hint="eastAsia" w:eastAsia="宋体" w:cs="宋体"/>
          <w:color w:val="auto"/>
          <w:sz w:val="21"/>
          <w:szCs w:val="21"/>
          <w:lang w:eastAsia="zh-CN"/>
        </w:rPr>
        <w:t>五、</w:t>
      </w:r>
      <w:r>
        <w:rPr>
          <w:rStyle w:val="25"/>
          <w:rFonts w:hint="eastAsia" w:eastAsia="宋体" w:cs="宋体"/>
          <w:color w:val="auto"/>
          <w:sz w:val="21"/>
          <w:szCs w:val="21"/>
        </w:rPr>
        <w:t>响应文件开启</w:t>
      </w:r>
    </w:p>
    <w:p w14:paraId="7BDBEE37">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Style w:val="25"/>
          <w:rFonts w:hint="default" w:ascii="Times New Roman" w:hAnsi="Times New Roman" w:eastAsia="宋体" w:cs="Times New Roman"/>
          <w:b w:val="0"/>
          <w:bCs w:val="0"/>
          <w:color w:val="auto"/>
          <w:sz w:val="21"/>
          <w:szCs w:val="21"/>
        </w:rPr>
      </w:pPr>
      <w:r>
        <w:rPr>
          <w:rStyle w:val="25"/>
          <w:rFonts w:hint="default" w:ascii="Times New Roman" w:hAnsi="Times New Roman" w:eastAsia="宋体" w:cs="Times New Roman"/>
          <w:b w:val="0"/>
          <w:bCs w:val="0"/>
          <w:color w:val="auto"/>
          <w:sz w:val="21"/>
          <w:szCs w:val="21"/>
        </w:rPr>
        <w:t>时间</w:t>
      </w:r>
      <w:r>
        <w:rPr>
          <w:rStyle w:val="25"/>
          <w:rFonts w:hint="default" w:ascii="Times New Roman" w:hAnsi="Times New Roman" w:eastAsia="宋体" w:cs="Times New Roman"/>
          <w:b w:val="0"/>
          <w:bCs w:val="0"/>
          <w:color w:val="auto"/>
          <w:sz w:val="21"/>
          <w:szCs w:val="21"/>
          <w:highlight w:val="none"/>
        </w:rPr>
        <w:t>：</w:t>
      </w:r>
      <w:r>
        <w:rPr>
          <w:rStyle w:val="25"/>
          <w:rFonts w:hint="eastAsia" w:ascii="Times New Roman" w:hAnsi="Times New Roman" w:eastAsia="宋体" w:cs="Times New Roman"/>
          <w:b w:val="0"/>
          <w:bCs w:val="0"/>
          <w:color w:val="auto"/>
          <w:sz w:val="21"/>
          <w:szCs w:val="21"/>
          <w:highlight w:val="none"/>
          <w:lang w:val="en-US" w:eastAsia="zh-CN"/>
        </w:rPr>
        <w:t>2025年7月 21 日15点00分</w:t>
      </w:r>
      <w:r>
        <w:rPr>
          <w:rStyle w:val="25"/>
          <w:rFonts w:hint="default" w:ascii="Times New Roman" w:hAnsi="Times New Roman" w:eastAsia="宋体" w:cs="Times New Roman"/>
          <w:b w:val="0"/>
          <w:bCs w:val="0"/>
          <w:color w:val="auto"/>
          <w:sz w:val="21"/>
          <w:szCs w:val="21"/>
          <w:highlight w:val="none"/>
        </w:rPr>
        <w:t>（</w:t>
      </w:r>
      <w:r>
        <w:rPr>
          <w:rStyle w:val="25"/>
          <w:rFonts w:hint="default" w:ascii="Times New Roman" w:hAnsi="Times New Roman" w:eastAsia="宋体" w:cs="Times New Roman"/>
          <w:b w:val="0"/>
          <w:bCs w:val="0"/>
          <w:color w:val="auto"/>
          <w:sz w:val="21"/>
          <w:szCs w:val="21"/>
        </w:rPr>
        <w:t>北京时间）</w:t>
      </w:r>
    </w:p>
    <w:p w14:paraId="6B83DA7D">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Style w:val="25"/>
          <w:rFonts w:eastAsia="宋体" w:cs="宋体"/>
          <w:b w:val="0"/>
          <w:bCs w:val="0"/>
          <w:color w:val="auto"/>
          <w:sz w:val="21"/>
          <w:szCs w:val="21"/>
        </w:rPr>
      </w:pPr>
      <w:r>
        <w:rPr>
          <w:rStyle w:val="25"/>
          <w:rFonts w:hint="eastAsia" w:eastAsia="宋体" w:cs="宋体"/>
          <w:b w:val="0"/>
          <w:bCs w:val="0"/>
          <w:color w:val="auto"/>
          <w:sz w:val="21"/>
          <w:szCs w:val="21"/>
        </w:rPr>
        <w:t>地点：通过广西政府采购云平台实行在线解密开启</w:t>
      </w:r>
    </w:p>
    <w:p w14:paraId="35B8F66C">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Fonts w:eastAsia="宋体" w:cs="宋体"/>
          <w:color w:val="auto"/>
          <w:sz w:val="21"/>
          <w:szCs w:val="21"/>
        </w:rPr>
      </w:pPr>
      <w:r>
        <w:rPr>
          <w:rStyle w:val="25"/>
          <w:rFonts w:hint="eastAsia" w:eastAsia="宋体" w:cs="宋体"/>
          <w:color w:val="auto"/>
          <w:sz w:val="21"/>
          <w:szCs w:val="21"/>
        </w:rPr>
        <w:t>六、公告期限：自本公告发布之日起5个工作日。</w:t>
      </w:r>
    </w:p>
    <w:p w14:paraId="0A6EC695">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2" w:firstLineChars="200"/>
        <w:textAlignment w:val="auto"/>
        <w:rPr>
          <w:rStyle w:val="25"/>
          <w:rFonts w:hint="eastAsia" w:eastAsia="宋体" w:cs="宋体"/>
          <w:color w:val="auto"/>
          <w:sz w:val="21"/>
          <w:szCs w:val="21"/>
        </w:rPr>
      </w:pPr>
      <w:r>
        <w:rPr>
          <w:rStyle w:val="25"/>
          <w:rFonts w:hint="eastAsia" w:eastAsia="宋体" w:cs="宋体"/>
          <w:color w:val="auto"/>
          <w:sz w:val="21"/>
          <w:szCs w:val="21"/>
        </w:rPr>
        <w:t>七、其他补充事宜：</w:t>
      </w:r>
    </w:p>
    <w:p w14:paraId="0B1AB789">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1.本项目不收取磋商保证金。</w:t>
      </w:r>
    </w:p>
    <w:p w14:paraId="78C86AC1">
      <w:pPr>
        <w:keepNext w:val="0"/>
        <w:keepLines w:val="0"/>
        <w:pageBreakBefore w:val="0"/>
        <w:widowControl w:val="0"/>
        <w:kinsoku/>
        <w:wordWrap/>
        <w:overflowPunct/>
        <w:topLinePunct w:val="0"/>
        <w:autoSpaceDE/>
        <w:autoSpaceDN/>
        <w:bidi w:val="0"/>
        <w:adjustRightInd/>
        <w:snapToGrid/>
        <w:spacing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2.本项目需要落实的政府采购政策:</w:t>
      </w:r>
    </w:p>
    <w:p w14:paraId="05B72E00">
      <w:pPr>
        <w:keepNext w:val="0"/>
        <w:keepLines w:val="0"/>
        <w:pageBreakBefore w:val="0"/>
        <w:widowControl w:val="0"/>
        <w:kinsoku/>
        <w:wordWrap/>
        <w:overflowPunct/>
        <w:topLinePunct w:val="0"/>
        <w:autoSpaceDE/>
        <w:autoSpaceDN/>
        <w:bidi w:val="0"/>
        <w:adjustRightInd/>
        <w:snapToGrid/>
        <w:spacing w:line="400" w:lineRule="exact"/>
        <w:ind w:left="418" w:leftChars="190" w:firstLine="0" w:firstLineChars="0"/>
        <w:textAlignment w:val="auto"/>
        <w:rPr>
          <w:rFonts w:hint="eastAsia" w:eastAsia="宋体" w:cs="宋体"/>
          <w:color w:val="auto"/>
          <w:sz w:val="21"/>
          <w:szCs w:val="21"/>
          <w:lang w:val="en-US" w:eastAsia="zh-CN"/>
        </w:rPr>
      </w:pPr>
      <w:r>
        <w:rPr>
          <w:rFonts w:hint="eastAsia" w:ascii="宋体" w:hAnsi="宋体" w:eastAsia="宋体" w:cs="宋体"/>
          <w:color w:val="auto"/>
          <w:kern w:val="0"/>
          <w:sz w:val="21"/>
          <w:szCs w:val="21"/>
          <w:highlight w:val="none"/>
        </w:rPr>
        <w:t>（1）政府采购促进中小企业发展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（2）政府采购支持采用本国产品的政策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（3）强制采购节能产品；优先采购节能产品、环境标志产品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（4）政府采购促进残疾人就业政策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（5）政府采购支持监狱企业发展。</w:t>
      </w:r>
    </w:p>
    <w:p w14:paraId="018A990B">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3.网上公告媒体查询</w:t>
      </w:r>
    </w:p>
    <w:p w14:paraId="55645045">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中国政府采购网(www.ccgp.gov.cn)、广西壮族自治区政府采购网（http://zfcg.gxzf.gov.cn/）。</w:t>
      </w:r>
    </w:p>
    <w:p w14:paraId="49DE857D">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4.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申领流程请自行前往“北海市政府采购中心网站-相关下载- CA证书办理操作指南”进行查阅。具体操作流程详见磋商文件。</w:t>
      </w:r>
    </w:p>
    <w:p w14:paraId="239CCA82">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5.各供应商通过广西政府采购云平台参与政府采购项目投标需下载使用新版客户端，新版客户端下载路径：广西政府采购网（http://zfcg.gxzf.gov.cn/）—办事服务—下载专区—广西政府采购云平台新版客户端。原在政采云平台注册的临时供应商需在新平台启用后重新注册登记。</w:t>
      </w:r>
    </w:p>
    <w:p w14:paraId="75B7D182">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6.广西政府采购云平台与政采云平台操作流程一致，首次登录新平台账号密码与政采云账号密码一致，新旧平台数据相互独立，后续修改新平台密码不会影响政采云平台密码。</w:t>
      </w:r>
    </w:p>
    <w:p w14:paraId="2A0B79EF">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7.本项目为远程异地评标项目。</w:t>
      </w:r>
    </w:p>
    <w:p w14:paraId="702C6713">
      <w:pPr>
        <w:pStyle w:val="19"/>
        <w:keepNext w:val="0"/>
        <w:keepLines w:val="0"/>
        <w:pageBreakBefore w:val="0"/>
        <w:numPr>
          <w:ilvl w:val="0"/>
          <w:numId w:val="0"/>
        </w:numPr>
        <w:wordWrap/>
        <w:topLinePunct w:val="0"/>
        <w:autoSpaceDE w:val="0"/>
        <w:autoSpaceDN/>
        <w:bidi w:val="0"/>
        <w:adjustRightInd/>
        <w:snapToGrid/>
        <w:spacing w:before="0" w:beforeAutospacing="0" w:after="0" w:afterAutospacing="0" w:line="400" w:lineRule="exact"/>
        <w:ind w:firstLine="422" w:firstLineChars="200"/>
        <w:textAlignment w:val="auto"/>
        <w:rPr>
          <w:rFonts w:eastAsia="宋体" w:cs="宋体"/>
          <w:color w:val="auto"/>
          <w:sz w:val="21"/>
          <w:szCs w:val="21"/>
        </w:rPr>
      </w:pPr>
      <w:r>
        <w:rPr>
          <w:rStyle w:val="25"/>
          <w:rFonts w:hint="eastAsia" w:eastAsia="宋体" w:cs="宋体"/>
          <w:color w:val="auto"/>
          <w:sz w:val="21"/>
          <w:szCs w:val="21"/>
        </w:rPr>
        <w:t>八、采购人信息：</w:t>
      </w:r>
    </w:p>
    <w:p w14:paraId="7DAED849">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eastAsia="宋体" w:cs="宋体"/>
          <w:color w:val="auto"/>
          <w:sz w:val="21"/>
          <w:szCs w:val="21"/>
          <w:lang w:val="en-US"/>
        </w:rPr>
      </w:pPr>
      <w:r>
        <w:rPr>
          <w:rFonts w:hint="eastAsia" w:eastAsia="宋体" w:cs="宋体"/>
          <w:color w:val="auto"/>
          <w:sz w:val="21"/>
          <w:szCs w:val="21"/>
          <w:lang w:val="en-US"/>
        </w:rPr>
        <w:t>1.采购人信息：</w:t>
      </w:r>
    </w:p>
    <w:p w14:paraId="670AA60A">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eastAsia="宋体" w:cs="宋体"/>
          <w:color w:val="auto"/>
          <w:sz w:val="21"/>
          <w:szCs w:val="21"/>
          <w:lang w:val="en-US"/>
        </w:rPr>
      </w:pPr>
      <w:r>
        <w:rPr>
          <w:rFonts w:hint="eastAsia" w:eastAsia="宋体" w:cs="宋体"/>
          <w:color w:val="auto"/>
          <w:sz w:val="21"/>
          <w:szCs w:val="21"/>
          <w:lang w:val="en-US"/>
        </w:rPr>
        <w:t>名称：</w:t>
      </w:r>
      <w:r>
        <w:rPr>
          <w:rFonts w:hint="eastAsia" w:eastAsia="宋体" w:cs="宋体"/>
          <w:color w:val="auto"/>
          <w:sz w:val="21"/>
          <w:szCs w:val="21"/>
          <w:lang w:val="en-US" w:eastAsia="zh-CN"/>
        </w:rPr>
        <w:t>北海市妇幼保健院</w:t>
      </w:r>
      <w:r>
        <w:rPr>
          <w:rFonts w:hint="eastAsia" w:eastAsia="宋体" w:cs="宋体"/>
          <w:color w:val="auto"/>
          <w:sz w:val="21"/>
          <w:szCs w:val="21"/>
          <w:lang w:val="en-US"/>
        </w:rPr>
        <w:t> </w:t>
      </w:r>
    </w:p>
    <w:p w14:paraId="50B66702">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eastAsia="宋体" w:cs="宋体"/>
          <w:color w:val="auto"/>
          <w:sz w:val="21"/>
          <w:szCs w:val="21"/>
          <w:lang w:val="en-US"/>
        </w:rPr>
      </w:pPr>
      <w:r>
        <w:rPr>
          <w:rFonts w:hint="default" w:ascii="Times New Roman" w:hAnsi="Times New Roman" w:eastAsia="宋体" w:cs="Times New Roman"/>
          <w:color w:val="auto"/>
          <w:sz w:val="21"/>
          <w:szCs w:val="21"/>
          <w:highlight w:val="none"/>
          <w:lang w:val="en-US"/>
        </w:rPr>
        <w:t>地址：广西北海市海城区西南大道239号</w:t>
      </w:r>
      <w:r>
        <w:rPr>
          <w:rFonts w:hint="eastAsia" w:eastAsia="宋体" w:cs="宋体"/>
          <w:color w:val="auto"/>
          <w:sz w:val="21"/>
          <w:szCs w:val="21"/>
          <w:lang w:val="en-US"/>
        </w:rPr>
        <w:t>　</w:t>
      </w:r>
    </w:p>
    <w:p w14:paraId="00929665">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jc w:val="both"/>
        <w:textAlignment w:val="auto"/>
        <w:rPr>
          <w:rFonts w:hint="eastAsia" w:eastAsia="宋体" w:cs="宋体"/>
          <w:color w:val="auto"/>
          <w:sz w:val="21"/>
          <w:szCs w:val="21"/>
          <w:lang w:val="en-US" w:eastAsia="zh-CN"/>
        </w:rPr>
      </w:pPr>
      <w:r>
        <w:rPr>
          <w:rFonts w:hint="eastAsia" w:eastAsia="宋体" w:cs="宋体"/>
          <w:color w:val="auto"/>
          <w:sz w:val="21"/>
          <w:szCs w:val="21"/>
          <w:lang w:val="en-US" w:eastAsia="zh-CN"/>
        </w:rPr>
        <w:t>项目联系人</w:t>
      </w:r>
      <w:r>
        <w:rPr>
          <w:rFonts w:hint="eastAsia" w:eastAsia="宋体" w:cs="宋体"/>
          <w:color w:val="auto"/>
          <w:sz w:val="21"/>
          <w:szCs w:val="21"/>
          <w:lang w:val="en-US"/>
        </w:rPr>
        <w:t>：</w:t>
      </w:r>
      <w:r>
        <w:rPr>
          <w:rFonts w:hint="eastAsia" w:ascii="Times New Roman" w:hAnsi="Times New Roman" w:eastAsia="宋体" w:cs="Times New Roman"/>
          <w:color w:val="auto"/>
          <w:sz w:val="21"/>
          <w:szCs w:val="21"/>
          <w:lang w:val="en-US" w:eastAsia="zh-CN"/>
        </w:rPr>
        <w:t>苏工</w:t>
      </w:r>
      <w:r>
        <w:rPr>
          <w:rFonts w:hint="eastAsia" w:eastAsia="宋体" w:cs="宋体"/>
          <w:color w:val="auto"/>
          <w:sz w:val="21"/>
          <w:szCs w:val="21"/>
          <w:lang w:val="en-US"/>
        </w:rPr>
        <w:t xml:space="preserve">     </w:t>
      </w:r>
    </w:p>
    <w:p w14:paraId="79626B73">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jc w:val="both"/>
        <w:textAlignment w:val="auto"/>
        <w:rPr>
          <w:rFonts w:hint="eastAsia" w:eastAsia="宋体" w:cs="宋体"/>
          <w:color w:val="auto"/>
          <w:sz w:val="21"/>
          <w:szCs w:val="21"/>
          <w:lang w:val="en-US" w:eastAsia="zh-CN"/>
        </w:rPr>
      </w:pPr>
      <w:r>
        <w:rPr>
          <w:rFonts w:hint="eastAsia" w:eastAsia="宋体" w:cs="宋体"/>
          <w:color w:val="auto"/>
          <w:sz w:val="21"/>
          <w:szCs w:val="21"/>
          <w:lang w:val="en-US" w:eastAsia="zh-CN"/>
        </w:rPr>
        <w:t>项目联系方式</w:t>
      </w:r>
      <w:r>
        <w:rPr>
          <w:rFonts w:hint="eastAsia" w:eastAsia="宋体" w:cs="宋体"/>
          <w:color w:val="auto"/>
          <w:sz w:val="21"/>
          <w:szCs w:val="21"/>
          <w:lang w:val="en-US"/>
        </w:rPr>
        <w:t>：</w:t>
      </w:r>
      <w:r>
        <w:rPr>
          <w:rFonts w:hint="eastAsia" w:ascii="Times New Roman" w:hAnsi="Times New Roman" w:eastAsia="宋体" w:cs="Times New Roman"/>
          <w:color w:val="auto"/>
          <w:sz w:val="21"/>
          <w:szCs w:val="21"/>
          <w:lang w:val="en-US" w:eastAsia="zh-CN"/>
        </w:rPr>
        <w:t xml:space="preserve"> 0779-2250872</w:t>
      </w:r>
    </w:p>
    <w:p w14:paraId="391B23A9">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eastAsia="宋体" w:cs="宋体"/>
          <w:color w:val="auto"/>
          <w:sz w:val="21"/>
          <w:szCs w:val="21"/>
          <w:lang w:val="en-US"/>
        </w:rPr>
      </w:pPr>
      <w:r>
        <w:rPr>
          <w:rFonts w:hint="eastAsia" w:eastAsia="宋体" w:cs="宋体"/>
          <w:color w:val="auto"/>
          <w:sz w:val="21"/>
          <w:szCs w:val="21"/>
          <w:lang w:val="en-US"/>
        </w:rPr>
        <w:t>2.采购代理机构名称：</w:t>
      </w:r>
      <w:r>
        <w:rPr>
          <w:rFonts w:hint="eastAsia" w:eastAsia="宋体" w:cs="宋体"/>
          <w:color w:val="auto"/>
          <w:sz w:val="21"/>
          <w:szCs w:val="21"/>
          <w:lang w:val="en-US" w:eastAsia="zh-CN"/>
        </w:rPr>
        <w:t>广西新凯林管理咨询有限公司</w:t>
      </w:r>
      <w:r>
        <w:rPr>
          <w:rFonts w:hint="eastAsia" w:eastAsia="宋体" w:cs="宋体"/>
          <w:color w:val="auto"/>
          <w:sz w:val="21"/>
          <w:szCs w:val="21"/>
          <w:lang w:val="en-US"/>
        </w:rPr>
        <w:t xml:space="preserve">   </w:t>
      </w:r>
    </w:p>
    <w:p w14:paraId="3072D19B">
      <w:pPr>
        <w:pStyle w:val="19"/>
        <w:keepNext w:val="0"/>
        <w:keepLines w:val="0"/>
        <w:pageBreakBefore w:val="0"/>
        <w:wordWrap/>
        <w:topLinePunct w:val="0"/>
        <w:autoSpaceDE w:val="0"/>
        <w:autoSpaceDN/>
        <w:bidi w:val="0"/>
        <w:adjustRightInd/>
        <w:snapToGrid/>
        <w:spacing w:before="0" w:beforeAutospacing="0" w:after="0" w:afterAutospacing="0" w:line="400" w:lineRule="exact"/>
        <w:ind w:firstLine="420" w:firstLineChars="200"/>
        <w:textAlignment w:val="auto"/>
        <w:rPr>
          <w:rFonts w:hint="eastAsia" w:eastAsia="宋体" w:cs="宋体"/>
          <w:color w:val="auto"/>
          <w:sz w:val="21"/>
          <w:szCs w:val="21"/>
          <w:lang w:val="en-US" w:eastAsia="zh-CN"/>
        </w:rPr>
      </w:pPr>
      <w:r>
        <w:rPr>
          <w:rFonts w:hint="eastAsia" w:eastAsia="宋体" w:cs="宋体"/>
          <w:color w:val="auto"/>
          <w:sz w:val="21"/>
          <w:szCs w:val="21"/>
          <w:lang w:val="en-US"/>
        </w:rPr>
        <w:t>地址：</w:t>
      </w:r>
      <w:r>
        <w:rPr>
          <w:rFonts w:hint="default" w:ascii="Times New Roman" w:hAnsi="Times New Roman" w:eastAsia="宋体" w:cs="Times New Roman"/>
          <w:color w:val="auto"/>
          <w:sz w:val="21"/>
          <w:szCs w:val="21"/>
          <w:lang w:val="en-US" w:eastAsia="zh-CN"/>
        </w:rPr>
        <w:t>北海市站南路18-8号</w:t>
      </w:r>
    </w:p>
    <w:p w14:paraId="5C504BF3">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eastAsia" w:eastAsia="宋体" w:cs="宋体"/>
          <w:color w:val="auto"/>
          <w:sz w:val="21"/>
          <w:szCs w:val="21"/>
          <w:lang w:val="en-US" w:eastAsia="zh-CN"/>
        </w:rPr>
      </w:pPr>
      <w:r>
        <w:rPr>
          <w:rFonts w:hint="eastAsia" w:eastAsia="宋体" w:cs="宋体"/>
          <w:color w:val="auto"/>
          <w:sz w:val="21"/>
          <w:szCs w:val="21"/>
          <w:lang w:val="en-US"/>
        </w:rPr>
        <w:t>项目联系人：</w:t>
      </w:r>
      <w:r>
        <w:rPr>
          <w:rFonts w:hint="eastAsia" w:eastAsia="宋体" w:cs="宋体"/>
          <w:color w:val="auto"/>
          <w:sz w:val="21"/>
          <w:szCs w:val="21"/>
          <w:lang w:val="en-US" w:eastAsia="zh-CN"/>
        </w:rPr>
        <w:t>陈</w:t>
      </w:r>
      <w:r>
        <w:rPr>
          <w:rFonts w:hint="eastAsia" w:eastAsia="宋体" w:cs="宋体"/>
          <w:color w:val="auto"/>
          <w:sz w:val="21"/>
          <w:szCs w:val="21"/>
          <w:lang w:val="en-US"/>
        </w:rPr>
        <w:t xml:space="preserve"> 工    </w:t>
      </w:r>
    </w:p>
    <w:p w14:paraId="785E8E24">
      <w:pPr>
        <w:pStyle w:val="19"/>
        <w:keepNext w:val="0"/>
        <w:keepLines w:val="0"/>
        <w:pageBreakBefore w:val="0"/>
        <w:wordWrap/>
        <w:topLinePunct w:val="0"/>
        <w:autoSpaceDE w:val="0"/>
        <w:autoSpaceDN/>
        <w:bidi w:val="0"/>
        <w:adjustRightInd/>
        <w:snapToGrid/>
        <w:spacing w:before="0" w:beforeAutospacing="0" w:after="0" w:afterAutospacing="0" w:line="400" w:lineRule="exact"/>
        <w:ind w:left="418" w:leftChars="190" w:firstLine="0" w:firstLineChars="0"/>
        <w:textAlignment w:val="auto"/>
        <w:rPr>
          <w:rFonts w:hint="default" w:ascii="Times New Roman" w:hAnsi="Times New Roman" w:eastAsia="宋体" w:cs="Times New Roman"/>
          <w:color w:val="auto"/>
          <w:sz w:val="21"/>
          <w:szCs w:val="21"/>
          <w:lang w:val="en-US" w:eastAsia="zh-CN"/>
        </w:rPr>
      </w:pPr>
      <w:r>
        <w:rPr>
          <w:rFonts w:hint="eastAsia" w:eastAsia="宋体" w:cs="宋体"/>
          <w:color w:val="auto"/>
          <w:sz w:val="21"/>
          <w:szCs w:val="21"/>
          <w:lang w:val="en-US" w:eastAsia="zh-CN"/>
        </w:rPr>
        <w:t>项目联系方式</w:t>
      </w:r>
      <w:r>
        <w:rPr>
          <w:rFonts w:hint="eastAsia" w:eastAsia="宋体" w:cs="宋体"/>
          <w:color w:val="auto"/>
          <w:sz w:val="21"/>
          <w:szCs w:val="21"/>
          <w:lang w:val="en-US"/>
        </w:rPr>
        <w:t>：</w:t>
      </w:r>
      <w:r>
        <w:rPr>
          <w:rFonts w:hint="default" w:ascii="Times New Roman" w:hAnsi="Times New Roman" w:eastAsia="宋体" w:cs="Times New Roman"/>
          <w:color w:val="auto"/>
          <w:sz w:val="21"/>
          <w:szCs w:val="21"/>
          <w:lang w:val="en-US" w:eastAsia="zh-CN"/>
        </w:rPr>
        <w:t>0779-3213023</w:t>
      </w:r>
    </w:p>
    <w:p w14:paraId="3B527C46">
      <w:pPr>
        <w:pStyle w:val="19"/>
        <w:autoSpaceDN/>
        <w:spacing w:before="0" w:beforeAutospacing="0" w:after="0" w:afterAutospacing="0" w:line="360" w:lineRule="auto"/>
        <w:ind w:firstLine="420" w:firstLineChars="200"/>
        <w:rPr>
          <w:rFonts w:hint="default" w:ascii="Times New Roman" w:hAnsi="Times New Roman" w:eastAsia="宋体" w:cs="Times New Roman"/>
          <w:color w:val="FF0000"/>
          <w:sz w:val="21"/>
          <w:szCs w:val="21"/>
          <w:lang w:val="en-US" w:eastAsia="zh-CN"/>
        </w:rPr>
      </w:pPr>
    </w:p>
    <w:p w14:paraId="75B12D93">
      <w:pPr>
        <w:pStyle w:val="19"/>
        <w:autoSpaceDN/>
        <w:spacing w:before="0" w:beforeAutospacing="0" w:after="0" w:afterAutospacing="0" w:line="360" w:lineRule="auto"/>
        <w:ind w:firstLine="420" w:firstLineChars="200"/>
        <w:rPr>
          <w:rFonts w:hint="eastAsia" w:ascii="Times New Roman" w:hAnsi="Times New Roman" w:eastAsia="宋体" w:cs="Times New Roman"/>
          <w:color w:val="FF0000"/>
          <w:sz w:val="21"/>
          <w:szCs w:val="21"/>
          <w:lang w:val="en-US" w:eastAsia="zh-CN"/>
        </w:rPr>
      </w:pPr>
    </w:p>
    <w:p w14:paraId="5F2E1ED8">
      <w:pPr>
        <w:pStyle w:val="2"/>
        <w:spacing w:before="33"/>
        <w:ind w:right="358"/>
        <w:jc w:val="center"/>
        <w:rPr>
          <w:rFonts w:hint="eastAsia" w:ascii="宋体" w:hAnsi="宋体" w:eastAsia="宋体" w:cs="宋体"/>
          <w:color w:val="FF0000"/>
          <w:sz w:val="36"/>
          <w:szCs w:val="36"/>
        </w:rPr>
      </w:pPr>
      <w:bookmarkStart w:id="7" w:name="_Toc27488"/>
      <w:bookmarkStart w:id="8" w:name="_Toc16189_WPSOffice_Level1"/>
    </w:p>
    <w:p w14:paraId="13612DF6">
      <w:pPr>
        <w:pStyle w:val="2"/>
        <w:spacing w:before="33"/>
        <w:ind w:right="358"/>
        <w:jc w:val="center"/>
        <w:rPr>
          <w:rFonts w:ascii="宋体" w:hAnsi="宋体" w:eastAsia="宋体" w:cs="宋体"/>
          <w:color w:val="auto"/>
          <w:sz w:val="36"/>
          <w:szCs w:val="36"/>
        </w:rPr>
      </w:pPr>
      <w:r>
        <w:rPr>
          <w:rFonts w:hint="eastAsia" w:ascii="宋体" w:hAnsi="宋体" w:eastAsia="宋体" w:cs="宋体"/>
          <w:color w:val="auto"/>
          <w:sz w:val="36"/>
          <w:szCs w:val="36"/>
        </w:rPr>
        <w:t>第二章</w:t>
      </w:r>
      <w:r>
        <w:rPr>
          <w:rFonts w:hint="eastAsia" w:ascii="宋体" w:hAnsi="宋体" w:eastAsia="宋体" w:cs="宋体"/>
          <w:color w:val="auto"/>
          <w:sz w:val="36"/>
          <w:szCs w:val="36"/>
          <w:lang w:val="en-US"/>
        </w:rPr>
        <w:t xml:space="preserve">  </w:t>
      </w:r>
      <w:r>
        <w:rPr>
          <w:rFonts w:hint="eastAsia" w:ascii="宋体" w:hAnsi="宋体" w:eastAsia="宋体" w:cs="宋体"/>
          <w:color w:val="auto"/>
          <w:sz w:val="36"/>
          <w:szCs w:val="36"/>
        </w:rPr>
        <w:t>磋商须知及前附表</w:t>
      </w:r>
      <w:bookmarkEnd w:id="4"/>
      <w:bookmarkEnd w:id="5"/>
      <w:bookmarkEnd w:id="7"/>
      <w:bookmarkEnd w:id="8"/>
    </w:p>
    <w:tbl>
      <w:tblPr>
        <w:tblStyle w:val="22"/>
        <w:tblW w:w="9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835"/>
        <w:gridCol w:w="8043"/>
      </w:tblGrid>
      <w:tr w14:paraId="14F5C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1" w:type="dxa"/>
            <w:vAlign w:val="center"/>
          </w:tcPr>
          <w:p w14:paraId="3FFB2A0A">
            <w:pPr>
              <w:pStyle w:val="36"/>
              <w:spacing w:before="239"/>
              <w:ind w:left="119" w:right="110"/>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35" w:type="dxa"/>
            <w:vAlign w:val="center"/>
          </w:tcPr>
          <w:p w14:paraId="7EF13F1C">
            <w:pPr>
              <w:pStyle w:val="36"/>
              <w:spacing w:before="40"/>
              <w:ind w:left="148" w:right="139"/>
              <w:jc w:val="center"/>
              <w:rPr>
                <w:rFonts w:ascii="宋体" w:hAnsi="宋体" w:eastAsia="宋体" w:cs="宋体"/>
                <w:color w:val="auto"/>
                <w:sz w:val="21"/>
                <w:szCs w:val="21"/>
              </w:rPr>
            </w:pPr>
            <w:r>
              <w:rPr>
                <w:rFonts w:hint="eastAsia" w:ascii="宋体" w:hAnsi="宋体" w:eastAsia="宋体" w:cs="宋体"/>
                <w:color w:val="auto"/>
                <w:sz w:val="21"/>
                <w:szCs w:val="21"/>
              </w:rPr>
              <w:t>条款</w:t>
            </w:r>
          </w:p>
          <w:p w14:paraId="4A01CF2A">
            <w:pPr>
              <w:pStyle w:val="36"/>
              <w:spacing w:before="42" w:line="339" w:lineRule="exact"/>
              <w:ind w:left="12"/>
              <w:jc w:val="center"/>
              <w:rPr>
                <w:rFonts w:ascii="宋体" w:hAnsi="宋体" w:eastAsia="宋体" w:cs="宋体"/>
                <w:color w:val="auto"/>
                <w:sz w:val="21"/>
                <w:szCs w:val="21"/>
              </w:rPr>
            </w:pPr>
            <w:r>
              <w:rPr>
                <w:rFonts w:hint="eastAsia" w:ascii="宋体" w:hAnsi="宋体" w:eastAsia="宋体" w:cs="宋体"/>
                <w:color w:val="auto"/>
                <w:sz w:val="21"/>
                <w:szCs w:val="21"/>
              </w:rPr>
              <w:t>号</w:t>
            </w:r>
          </w:p>
        </w:tc>
        <w:tc>
          <w:tcPr>
            <w:tcW w:w="8043" w:type="dxa"/>
            <w:vAlign w:val="center"/>
          </w:tcPr>
          <w:p w14:paraId="09B22E8D">
            <w:pPr>
              <w:pStyle w:val="36"/>
              <w:tabs>
                <w:tab w:val="left" w:pos="1129"/>
              </w:tabs>
              <w:spacing w:before="239"/>
              <w:ind w:left="8"/>
              <w:jc w:val="center"/>
              <w:rPr>
                <w:rFonts w:ascii="宋体" w:hAnsi="宋体" w:eastAsia="宋体" w:cs="宋体"/>
                <w:color w:val="auto"/>
                <w:sz w:val="21"/>
                <w:szCs w:val="21"/>
              </w:rPr>
            </w:pPr>
            <w:r>
              <w:rPr>
                <w:rFonts w:hint="eastAsia" w:ascii="宋体" w:hAnsi="宋体" w:eastAsia="宋体" w:cs="宋体"/>
                <w:color w:val="auto"/>
                <w:sz w:val="21"/>
                <w:szCs w:val="21"/>
              </w:rPr>
              <w:t>内</w:t>
            </w:r>
            <w:r>
              <w:rPr>
                <w:rFonts w:hint="eastAsia" w:ascii="宋体" w:hAnsi="宋体" w:eastAsia="宋体" w:cs="宋体"/>
                <w:color w:val="auto"/>
                <w:sz w:val="21"/>
                <w:szCs w:val="21"/>
              </w:rPr>
              <w:tab/>
            </w:r>
            <w:r>
              <w:rPr>
                <w:rFonts w:hint="eastAsia" w:ascii="宋体" w:hAnsi="宋体" w:eastAsia="宋体" w:cs="宋体"/>
                <w:color w:val="auto"/>
                <w:sz w:val="21"/>
                <w:szCs w:val="21"/>
              </w:rPr>
              <w:t>容</w:t>
            </w:r>
          </w:p>
        </w:tc>
      </w:tr>
      <w:tr w14:paraId="151AD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81" w:type="dxa"/>
            <w:vAlign w:val="center"/>
          </w:tcPr>
          <w:p w14:paraId="2080289F">
            <w:pPr>
              <w:pStyle w:val="36"/>
              <w:spacing w:before="4"/>
              <w:jc w:val="center"/>
              <w:rPr>
                <w:rFonts w:ascii="宋体" w:hAnsi="宋体" w:eastAsia="宋体" w:cs="宋体"/>
                <w:color w:val="auto"/>
                <w:sz w:val="21"/>
                <w:szCs w:val="21"/>
              </w:rPr>
            </w:pPr>
          </w:p>
          <w:p w14:paraId="0EF06DF7">
            <w:pPr>
              <w:pStyle w:val="36"/>
              <w:ind w:left="1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835" w:type="dxa"/>
            <w:vAlign w:val="center"/>
          </w:tcPr>
          <w:p w14:paraId="1861B574">
            <w:pPr>
              <w:pStyle w:val="36"/>
              <w:spacing w:before="4"/>
              <w:jc w:val="center"/>
              <w:rPr>
                <w:rFonts w:ascii="宋体" w:hAnsi="宋体" w:eastAsia="宋体" w:cs="宋体"/>
                <w:color w:val="auto"/>
                <w:sz w:val="21"/>
                <w:szCs w:val="21"/>
              </w:rPr>
            </w:pPr>
          </w:p>
          <w:p w14:paraId="40907899">
            <w:pPr>
              <w:pStyle w:val="36"/>
              <w:ind w:left="147" w:right="139"/>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8043" w:type="dxa"/>
            <w:vAlign w:val="center"/>
          </w:tcPr>
          <w:p w14:paraId="0D8BDD5F">
            <w:pPr>
              <w:pStyle w:val="36"/>
              <w:spacing w:before="39" w:line="360" w:lineRule="auto"/>
              <w:ind w:right="95"/>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项目名称：</w:t>
            </w:r>
            <w:r>
              <w:rPr>
                <w:rFonts w:hint="eastAsia" w:ascii="宋体" w:hAnsi="宋体" w:eastAsia="宋体" w:cs="宋体"/>
                <w:color w:val="auto"/>
                <w:lang w:eastAsia="zh-CN"/>
              </w:rPr>
              <w:t>保安服务采购</w:t>
            </w:r>
          </w:p>
          <w:p w14:paraId="5C138EB0">
            <w:pPr>
              <w:pStyle w:val="19"/>
              <w:autoSpaceDN/>
              <w:spacing w:before="0" w:beforeAutospacing="0" w:after="0" w:afterAutospacing="0" w:line="360" w:lineRule="auto"/>
              <w:rPr>
                <w:rFonts w:eastAsia="宋体" w:cs="宋体"/>
                <w:color w:val="auto"/>
                <w:sz w:val="21"/>
                <w:szCs w:val="21"/>
                <w:lang w:val="en-US"/>
              </w:rPr>
            </w:pPr>
            <w:r>
              <w:rPr>
                <w:rFonts w:hint="default" w:ascii="Times New Roman" w:hAnsi="Times New Roman" w:eastAsia="宋体" w:cs="Times New Roman"/>
                <w:color w:val="auto"/>
                <w:sz w:val="21"/>
                <w:szCs w:val="21"/>
              </w:rPr>
              <w:t>项目编号：</w:t>
            </w:r>
            <w:r>
              <w:rPr>
                <w:rFonts w:hint="eastAsia" w:ascii="Times New Roman" w:hAnsi="Times New Roman" w:eastAsia="宋体" w:cs="Times New Roman"/>
                <w:color w:val="auto"/>
                <w:sz w:val="21"/>
                <w:szCs w:val="21"/>
                <w:highlight w:val="none"/>
                <w:lang w:eastAsia="zh-CN"/>
              </w:rPr>
              <w:t>BHZC2025-C3-990093-GXXK</w:t>
            </w:r>
          </w:p>
        </w:tc>
      </w:tr>
      <w:tr w14:paraId="7E75B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81" w:type="dxa"/>
            <w:vAlign w:val="center"/>
          </w:tcPr>
          <w:p w14:paraId="040D48A5">
            <w:pPr>
              <w:pStyle w:val="36"/>
              <w:ind w:left="10"/>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835" w:type="dxa"/>
            <w:vAlign w:val="center"/>
          </w:tcPr>
          <w:p w14:paraId="3CE40B47">
            <w:pPr>
              <w:pStyle w:val="36"/>
              <w:ind w:right="139"/>
              <w:jc w:val="center"/>
              <w:rPr>
                <w:rFonts w:ascii="宋体" w:hAnsi="宋体" w:eastAsia="宋体" w:cs="宋体"/>
                <w:color w:val="auto"/>
                <w:sz w:val="21"/>
                <w:szCs w:val="21"/>
              </w:rPr>
            </w:pP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.1</w:t>
            </w:r>
          </w:p>
        </w:tc>
        <w:tc>
          <w:tcPr>
            <w:tcW w:w="8043" w:type="dxa"/>
            <w:vAlign w:val="center"/>
          </w:tcPr>
          <w:p w14:paraId="53EBF631">
            <w:pPr>
              <w:pStyle w:val="19"/>
              <w:keepNext w:val="0"/>
              <w:keepLines w:val="0"/>
              <w:pageBreakBefore w:val="0"/>
              <w:wordWrap/>
              <w:topLinePunct w:val="0"/>
              <w:autoSpaceDE w:val="0"/>
              <w:autoSpaceDN/>
              <w:bidi w:val="0"/>
              <w:adjustRightInd/>
              <w:snapToGrid/>
              <w:spacing w:before="0" w:beforeAutospacing="0" w:after="0" w:afterAutospacing="0" w:line="400" w:lineRule="exact"/>
              <w:textAlignment w:val="auto"/>
              <w:rPr>
                <w:rFonts w:hint="eastAsia" w:eastAsia="宋体" w:cs="宋体"/>
                <w:color w:val="auto"/>
                <w:sz w:val="21"/>
                <w:szCs w:val="21"/>
                <w:lang w:val="en-US"/>
              </w:rPr>
            </w:pPr>
            <w:r>
              <w:rPr>
                <w:rFonts w:hint="eastAsia" w:eastAsia="宋体" w:cs="宋体"/>
                <w:color w:val="auto"/>
                <w:sz w:val="21"/>
                <w:szCs w:val="21"/>
                <w:lang w:val="en-US"/>
              </w:rPr>
              <w:t>1．满足《中华人民共和国政府采购法》第二十二条规定；</w:t>
            </w:r>
          </w:p>
          <w:p w14:paraId="2FBFC599">
            <w:pPr>
              <w:pStyle w:val="19"/>
              <w:keepNext w:val="0"/>
              <w:keepLines w:val="0"/>
              <w:pageBreakBefore w:val="0"/>
              <w:wordWrap/>
              <w:topLinePunct w:val="0"/>
              <w:autoSpaceDE w:val="0"/>
              <w:autoSpaceDN/>
              <w:bidi w:val="0"/>
              <w:adjustRightInd/>
              <w:snapToGrid/>
              <w:spacing w:before="0" w:beforeAutospacing="0" w:after="0" w:afterAutospacing="0" w:line="400" w:lineRule="exact"/>
              <w:textAlignment w:val="auto"/>
              <w:rPr>
                <w:rFonts w:hint="eastAsia" w:eastAsia="宋体" w:cs="宋体"/>
                <w:color w:val="auto"/>
                <w:sz w:val="21"/>
                <w:szCs w:val="21"/>
                <w:lang w:val="en-US"/>
              </w:rPr>
            </w:pPr>
            <w:r>
              <w:rPr>
                <w:rFonts w:hint="eastAsia" w:eastAsia="宋体" w:cs="宋体"/>
                <w:color w:val="auto"/>
                <w:sz w:val="21"/>
                <w:szCs w:val="21"/>
                <w:lang w:val="en-US"/>
              </w:rPr>
              <w:t>2.落实政府采购政策需满足的资格要求：</w:t>
            </w:r>
            <w:r>
              <w:rPr>
                <w:rFonts w:hint="eastAsia" w:eastAsia="宋体" w:cs="宋体"/>
                <w:color w:val="auto"/>
                <w:sz w:val="21"/>
                <w:szCs w:val="21"/>
                <w:lang w:val="en-US" w:eastAsia="zh-CN"/>
              </w:rPr>
              <w:t>本项目专门面向中小企业</w:t>
            </w:r>
            <w:r>
              <w:rPr>
                <w:rFonts w:hint="eastAsia" w:eastAsia="宋体" w:cs="宋体"/>
                <w:color w:val="auto"/>
                <w:sz w:val="21"/>
                <w:szCs w:val="21"/>
                <w:lang w:val="en-US"/>
              </w:rPr>
              <w:t xml:space="preserve">； </w:t>
            </w:r>
          </w:p>
          <w:p w14:paraId="00AFA1D8">
            <w:pPr>
              <w:pStyle w:val="19"/>
              <w:keepNext w:val="0"/>
              <w:keepLines w:val="0"/>
              <w:pageBreakBefore w:val="0"/>
              <w:wordWrap/>
              <w:topLinePunct w:val="0"/>
              <w:autoSpaceDE w:val="0"/>
              <w:autoSpaceDN/>
              <w:bidi w:val="0"/>
              <w:adjustRightInd/>
              <w:snapToGrid/>
              <w:spacing w:before="0" w:beforeAutospacing="0" w:after="0" w:afterAutospacing="0" w:line="400" w:lineRule="exact"/>
              <w:textAlignment w:val="auto"/>
              <w:rPr>
                <w:rFonts w:hint="eastAsia" w:eastAsia="宋体" w:cs="宋体"/>
                <w:color w:val="auto"/>
                <w:sz w:val="21"/>
                <w:szCs w:val="21"/>
                <w:lang w:val="en-US" w:eastAsia="zh-CN"/>
              </w:rPr>
            </w:pPr>
            <w:r>
              <w:rPr>
                <w:rFonts w:hint="eastAsia" w:eastAsia="宋体" w:cs="宋体"/>
                <w:color w:val="auto"/>
                <w:sz w:val="21"/>
                <w:szCs w:val="21"/>
                <w:lang w:val="en-US"/>
              </w:rPr>
              <w:t>3.本项目的特定资格要求：</w:t>
            </w:r>
            <w:r>
              <w:rPr>
                <w:rFonts w:hint="eastAsia" w:eastAsia="宋体" w:cs="宋体"/>
                <w:color w:val="auto"/>
                <w:sz w:val="21"/>
                <w:szCs w:val="21"/>
                <w:lang w:val="en-US"/>
              </w:rPr>
              <w:br w:type="textWrapping"/>
            </w:r>
            <w:r>
              <w:rPr>
                <w:rFonts w:hint="eastAsia" w:eastAsia="宋体" w:cs="宋体"/>
                <w:color w:val="auto"/>
                <w:sz w:val="21"/>
                <w:szCs w:val="21"/>
                <w:lang w:val="en-US"/>
              </w:rPr>
              <w:t>【分标1】</w:t>
            </w:r>
            <w:r>
              <w:rPr>
                <w:rFonts w:hint="eastAsia" w:eastAsia="宋体" w:cs="宋体"/>
                <w:color w:val="auto"/>
                <w:sz w:val="21"/>
                <w:szCs w:val="21"/>
                <w:lang w:val="en-US"/>
              </w:rPr>
              <w:br w:type="textWrapping"/>
            </w:r>
            <w:r>
              <w:rPr>
                <w:rFonts w:hint="eastAsia" w:eastAsia="宋体" w:cs="宋体"/>
                <w:color w:val="auto"/>
                <w:sz w:val="21"/>
                <w:szCs w:val="21"/>
                <w:lang w:val="en-US" w:eastAsia="zh-CN"/>
              </w:rPr>
              <w:t>供应商须具备有效的</w:t>
            </w:r>
            <w:r>
              <w:rPr>
                <w:rFonts w:hint="eastAsia" w:eastAsia="宋体" w:cs="宋体"/>
                <w:color w:val="auto"/>
                <w:sz w:val="21"/>
                <w:szCs w:val="21"/>
                <w:highlight w:val="none"/>
                <w:lang w:val="en-US" w:eastAsia="zh-CN"/>
              </w:rPr>
              <w:t>《保安服务许可证》。</w:t>
            </w:r>
          </w:p>
        </w:tc>
      </w:tr>
      <w:tr w14:paraId="4B99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81" w:type="dxa"/>
            <w:vAlign w:val="center"/>
          </w:tcPr>
          <w:p w14:paraId="416442D3">
            <w:pPr>
              <w:pStyle w:val="36"/>
              <w:ind w:left="10"/>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835" w:type="dxa"/>
            <w:vAlign w:val="center"/>
          </w:tcPr>
          <w:p w14:paraId="593728EE">
            <w:pPr>
              <w:pStyle w:val="36"/>
              <w:ind w:left="147" w:right="139"/>
              <w:jc w:val="center"/>
              <w:rPr>
                <w:rFonts w:ascii="宋体" w:hAnsi="宋体" w:eastAsia="宋体" w:cs="宋体"/>
                <w:color w:val="auto"/>
                <w:sz w:val="21"/>
                <w:szCs w:val="21"/>
              </w:rPr>
            </w:pPr>
            <w:r>
              <w:rPr>
                <w:rFonts w:hint="eastAsia" w:ascii="宋体" w:hAnsi="宋体" w:eastAsia="宋体" w:cs="宋体"/>
                <w:color w:val="auto"/>
                <w:sz w:val="21"/>
                <w:szCs w:val="21"/>
              </w:rPr>
              <w:t>3.1</w:t>
            </w:r>
          </w:p>
        </w:tc>
        <w:tc>
          <w:tcPr>
            <w:tcW w:w="8043" w:type="dxa"/>
            <w:vAlign w:val="center"/>
          </w:tcPr>
          <w:p w14:paraId="773080DC">
            <w:pPr>
              <w:pStyle w:val="36"/>
              <w:spacing w:line="360" w:lineRule="auto"/>
              <w:ind w:left="110" w:leftChars="5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磋商报价：</w:t>
            </w:r>
            <w:r>
              <w:rPr>
                <w:rFonts w:hint="eastAsia" w:ascii="宋体" w:hAnsi="宋体" w:eastAsia="宋体" w:cs="宋体"/>
                <w:color w:val="auto"/>
                <w:sz w:val="21"/>
                <w:szCs w:val="21"/>
                <w:lang w:eastAsia="zh-CN"/>
              </w:rPr>
              <w:t>本项目</w:t>
            </w:r>
            <w:r>
              <w:rPr>
                <w:rFonts w:hint="eastAsia" w:ascii="宋体" w:hAnsi="宋体" w:eastAsia="宋体" w:cs="宋体"/>
                <w:color w:val="auto"/>
                <w:sz w:val="21"/>
                <w:szCs w:val="21"/>
              </w:rPr>
              <w:t>采用</w:t>
            </w:r>
            <w:r>
              <w:rPr>
                <w:rFonts w:hint="eastAsia" w:ascii="宋体" w:hAnsi="宋体" w:eastAsia="宋体" w:cs="宋体"/>
                <w:color w:val="auto"/>
                <w:sz w:val="21"/>
                <w:szCs w:val="21"/>
                <w:lang w:eastAsia="zh-CN"/>
              </w:rPr>
              <w:t>人民币</w:t>
            </w:r>
            <w:r>
              <w:rPr>
                <w:rFonts w:hint="eastAsia" w:ascii="宋体" w:hAnsi="宋体" w:eastAsia="宋体" w:cs="宋体"/>
                <w:color w:val="auto"/>
                <w:sz w:val="21"/>
                <w:szCs w:val="21"/>
              </w:rPr>
              <w:t>报价，有效报价为不超过采购预算金额的一切报价。本项目采购预算金额为：</w:t>
            </w:r>
            <w:r>
              <w:rPr>
                <w:rFonts w:hint="eastAsia" w:ascii="宋体" w:hAnsi="宋体" w:eastAsia="宋体" w:cs="宋体"/>
                <w:color w:val="auto"/>
                <w:sz w:val="21"/>
                <w:szCs w:val="21"/>
                <w:lang w:val="en-US" w:eastAsia="zh-CN"/>
              </w:rPr>
              <w:t>850300.00</w:t>
            </w:r>
          </w:p>
          <w:p w14:paraId="7391B9BB">
            <w:pPr>
              <w:pStyle w:val="36"/>
              <w:spacing w:line="360" w:lineRule="auto"/>
              <w:ind w:left="110" w:leftChars="50"/>
              <w:rPr>
                <w:rFonts w:ascii="宋体" w:hAnsi="宋体" w:eastAsia="宋体" w:cs="宋体"/>
                <w:color w:val="auto"/>
                <w:sz w:val="21"/>
                <w:szCs w:val="21"/>
              </w:rPr>
            </w:pPr>
            <w:r>
              <w:rPr>
                <w:rFonts w:hint="eastAsia" w:ascii="宋体" w:hAnsi="宋体" w:eastAsia="宋体" w:cs="宋体"/>
                <w:color w:val="auto"/>
                <w:sz w:val="21"/>
                <w:szCs w:val="21"/>
              </w:rPr>
              <w:t>供应商须就《采购项目需求》中的服务和服务内容作完整唯一报价。</w:t>
            </w:r>
          </w:p>
        </w:tc>
      </w:tr>
      <w:tr w14:paraId="2348D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81" w:type="dxa"/>
            <w:vAlign w:val="center"/>
          </w:tcPr>
          <w:p w14:paraId="4EA6064C">
            <w:pPr>
              <w:pStyle w:val="36"/>
              <w:spacing w:before="57" w:line="355" w:lineRule="exact"/>
              <w:ind w:left="10"/>
              <w:jc w:val="center"/>
              <w:rPr>
                <w:rFonts w:ascii="宋体" w:hAnsi="宋体" w:eastAsia="宋体" w:cs="宋体"/>
                <w:color w:val="auto"/>
                <w:sz w:val="21"/>
                <w:szCs w:val="21"/>
              </w:rPr>
            </w:pPr>
            <w:r>
              <w:rPr>
                <w:rFonts w:hint="eastAsia" w:ascii="宋体" w:hAnsi="宋体" w:eastAsia="宋体" w:cs="宋体"/>
                <w:color w:val="auto"/>
                <w:sz w:val="21"/>
                <w:szCs w:val="21"/>
                <w:lang w:val="en-US"/>
              </w:rPr>
              <mc:AlternateContent>
                <mc:Choice Requires="wps">
                  <w:drawing>
                    <wp:anchor distT="0" distB="0" distL="114300" distR="114300" simplePos="0" relativeHeight="251659264" behindDoc="0" locked="0" layoutInCell="1" allowOverlap="1">
                      <wp:simplePos x="0" y="0"/>
                      <wp:positionH relativeFrom="page">
                        <wp:posOffset>577215</wp:posOffset>
                      </wp:positionH>
                      <wp:positionV relativeFrom="page">
                        <wp:posOffset>1336675</wp:posOffset>
                      </wp:positionV>
                      <wp:extent cx="76200" cy="762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a:effectLst/>
                            </wps:spPr>
                            <wps:txbx>
                              <w:txbxContent>
                                <w:p w14:paraId="1CAD39F0">
                                  <w:pPr>
                                    <w:pStyle w:val="9"/>
                                  </w:pPr>
                                </w:p>
                              </w:txbxContent>
                            </wps:txbx>
                            <wps:bodyPr lIns="0" tIns="0" rIns="0" bIns="0" upright="1"/>
                          </wps:wsp>
                        </a:graphicData>
                      </a:graphic>
                    </wp:anchor>
                  </w:drawing>
                </mc:Choice>
                <mc:Fallback>
                  <w:pict>
                    <v:shape id="文本框 14" o:spid="_x0000_s1026" o:spt="202" type="#_x0000_t202" style="position:absolute;left:0pt;margin-left:45.45pt;margin-top:105.25pt;height:6pt;width:6pt;mso-position-horizontal-relative:page;mso-position-vertical-relative:page;z-index:251659264;mso-width-relative:page;mso-height-relative:page;" filled="f" stroked="f" coordsize="21600,21600" o:gfxdata="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H5CHjXAAAACgEAAA8AAAAAAAAAAQAgAAAAIgAAAGRycy9kb3ducmV2LnhtbFBLAQIUABQA&#10;AAAIAIdO4kB8pBvPuAEAAH4DAAAOAAAAAAAAAAEAIAAAACYBAABkcnMvZTJvRG9jLnhtbFBLBQYA&#10;AAAABgAGAFkBAABQBQAAAAA=&#10;">
                      <v:fill on="f" focussize="0,0"/>
                      <v:stroke on="f"/>
                      <v:imagedata o:title=""/>
                      <o:lock v:ext="edit" aspectratio="f"/>
                      <v:textbox inset="0mm,0mm,0mm,0mm">
                        <w:txbxContent>
                          <w:p w14:paraId="1CAD39F0">
                            <w:pPr>
                              <w:pStyle w:val="9"/>
                            </w:pPr>
                          </w:p>
                        </w:txbxContent>
                      </v:textbox>
                    </v:shape>
                  </w:pict>
                </mc:Fallback>
              </mc:AlternateContent>
            </w:r>
            <w:r>
              <w:rPr>
                <w:rFonts w:hint="eastAsia" w:ascii="宋体" w:hAnsi="宋体" w:eastAsia="宋体" w:cs="宋体"/>
                <w:color w:val="auto"/>
                <w:sz w:val="21"/>
                <w:szCs w:val="21"/>
                <w:lang w:val="en-US"/>
              </w:rPr>
              <w:t>4</w:t>
            </w:r>
          </w:p>
        </w:tc>
        <w:tc>
          <w:tcPr>
            <w:tcW w:w="835" w:type="dxa"/>
            <w:vAlign w:val="center"/>
          </w:tcPr>
          <w:p w14:paraId="034D9378">
            <w:pPr>
              <w:pStyle w:val="36"/>
              <w:spacing w:before="57" w:line="355" w:lineRule="exact"/>
              <w:ind w:left="10"/>
              <w:jc w:val="center"/>
              <w:rPr>
                <w:rFonts w:ascii="宋体" w:hAnsi="宋体" w:eastAsia="宋体" w:cs="宋体"/>
                <w:color w:val="auto"/>
                <w:sz w:val="21"/>
                <w:szCs w:val="21"/>
              </w:rPr>
            </w:pP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.1</w:t>
            </w:r>
          </w:p>
        </w:tc>
        <w:tc>
          <w:tcPr>
            <w:tcW w:w="8043" w:type="dxa"/>
            <w:vAlign w:val="center"/>
          </w:tcPr>
          <w:p w14:paraId="72FD204B">
            <w:pPr>
              <w:pStyle w:val="36"/>
              <w:spacing w:line="360" w:lineRule="auto"/>
              <w:ind w:left="110" w:leftChars="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磋商保证金：本项目不收取保证金</w:t>
            </w:r>
            <w:r>
              <w:rPr>
                <w:rFonts w:hint="eastAsia" w:ascii="宋体" w:hAnsi="宋体" w:eastAsia="宋体" w:cs="宋体"/>
                <w:color w:val="auto"/>
                <w:sz w:val="21"/>
                <w:szCs w:val="21"/>
                <w:lang w:eastAsia="zh-CN"/>
              </w:rPr>
              <w:t>。</w:t>
            </w:r>
          </w:p>
        </w:tc>
      </w:tr>
      <w:tr w14:paraId="41145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81" w:type="dxa"/>
            <w:vAlign w:val="center"/>
          </w:tcPr>
          <w:p w14:paraId="73B020D7">
            <w:pPr>
              <w:pStyle w:val="36"/>
              <w:jc w:val="center"/>
              <w:rPr>
                <w:rFonts w:ascii="宋体" w:hAnsi="宋体" w:eastAsia="宋体" w:cs="宋体"/>
                <w:color w:val="auto"/>
                <w:sz w:val="21"/>
                <w:szCs w:val="21"/>
              </w:rPr>
            </w:pPr>
          </w:p>
          <w:p w14:paraId="2C1456A5">
            <w:pPr>
              <w:pStyle w:val="36"/>
              <w:ind w:left="349"/>
              <w:jc w:val="both"/>
              <w:rPr>
                <w:rFonts w:hint="eastAsia" w:ascii="宋体" w:hAnsi="宋体" w:eastAsia="宋体" w:cs="宋体"/>
                <w:color w:val="auto"/>
                <w:sz w:val="21"/>
                <w:szCs w:val="21"/>
                <w:lang w:val="en-US" w:eastAsia="zh-CN"/>
              </w:rPr>
            </w:pPr>
          </w:p>
          <w:p w14:paraId="737459AB">
            <w:pPr>
              <w:pStyle w:val="36"/>
              <w:ind w:left="349"/>
              <w:jc w:val="both"/>
              <w:rPr>
                <w:rFonts w:ascii="宋体" w:hAnsi="宋体" w:eastAsia="宋体" w:cs="宋体"/>
                <w:color w:val="auto"/>
                <w:sz w:val="21"/>
                <w:szCs w:val="21"/>
              </w:rPr>
            </w:pPr>
            <w:r>
              <w:rPr>
                <w:rFonts w:hint="eastAsia" w:ascii="宋体" w:hAnsi="宋体" w:eastAsia="宋体" w:cs="宋体"/>
                <w:color w:val="auto"/>
                <w:sz w:val="21"/>
                <w:szCs w:val="21"/>
                <w:lang w:val="en-US"/>
              </w:rPr>
              <w:t>5</w:t>
            </w:r>
          </w:p>
        </w:tc>
        <w:tc>
          <w:tcPr>
            <w:tcW w:w="835" w:type="dxa"/>
            <w:vAlign w:val="center"/>
          </w:tcPr>
          <w:p w14:paraId="7A4E3F5A">
            <w:pPr>
              <w:pStyle w:val="36"/>
              <w:jc w:val="center"/>
              <w:rPr>
                <w:rFonts w:ascii="宋体" w:hAnsi="宋体" w:eastAsia="宋体" w:cs="宋体"/>
                <w:color w:val="auto"/>
                <w:sz w:val="21"/>
                <w:szCs w:val="21"/>
              </w:rPr>
            </w:pPr>
          </w:p>
          <w:p w14:paraId="6D141791">
            <w:pPr>
              <w:pStyle w:val="36"/>
              <w:jc w:val="center"/>
              <w:rPr>
                <w:rFonts w:ascii="宋体" w:hAnsi="宋体" w:eastAsia="宋体" w:cs="宋体"/>
                <w:color w:val="auto"/>
                <w:sz w:val="21"/>
                <w:szCs w:val="21"/>
              </w:rPr>
            </w:pPr>
          </w:p>
          <w:p w14:paraId="0D50F2E0">
            <w:pPr>
              <w:pStyle w:val="36"/>
              <w:ind w:left="147" w:right="139"/>
              <w:jc w:val="center"/>
              <w:rPr>
                <w:rFonts w:ascii="宋体" w:hAnsi="宋体" w:eastAsia="宋体" w:cs="宋体"/>
                <w:color w:val="auto"/>
                <w:sz w:val="21"/>
                <w:szCs w:val="21"/>
              </w:rPr>
            </w:pP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w:t>
            </w:r>
          </w:p>
        </w:tc>
        <w:tc>
          <w:tcPr>
            <w:tcW w:w="8043" w:type="dxa"/>
            <w:vAlign w:val="center"/>
          </w:tcPr>
          <w:p w14:paraId="7F8FD826">
            <w:pPr>
              <w:pStyle w:val="36"/>
              <w:spacing w:line="360" w:lineRule="auto"/>
              <w:ind w:left="110" w:leftChars="5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申领流程请自行前往“北海市政府采购中心网站-相关下载- CA证书办理操作指南”进行查阅。具体操作流程详见磋商文件。</w:t>
            </w:r>
          </w:p>
          <w:p w14:paraId="58F00C49">
            <w:pPr>
              <w:pStyle w:val="36"/>
              <w:spacing w:line="360" w:lineRule="auto"/>
              <w:ind w:left="110" w:leftChars="5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各供应商通过广西政府采购云平台参与政府采购项目投标需下载使用新版客户端，新版客户端下载路径：广西政府采购网（http://zfcg.gxzf.gov.cn/）—办事服务—下载专区—广西政府采购云平台新版客户端。原在政采云平台注册的临时供应商需在新平台启用后重新注册登记。</w:t>
            </w:r>
          </w:p>
          <w:p w14:paraId="1ECE8639">
            <w:pPr>
              <w:pStyle w:val="36"/>
              <w:spacing w:line="360" w:lineRule="auto"/>
              <w:ind w:left="110" w:leftChars="50"/>
              <w:rPr>
                <w:rFonts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.广西政府采购云平台与政采云平台操作流程一致，首次登录新平台账号密码与政采云账号密码一致，新旧平台数据相互独立，后续修改新平台密码不会影响</w:t>
            </w:r>
            <w:r>
              <w:rPr>
                <w:rFonts w:hint="eastAsia" w:ascii="宋体" w:hAnsi="宋体" w:eastAsia="宋体" w:cs="宋体"/>
                <w:color w:val="auto"/>
                <w:sz w:val="21"/>
                <w:szCs w:val="21"/>
                <w:lang w:val="en-US" w:eastAsia="zh-CN"/>
              </w:rPr>
              <w:t>广西政府采购云平台</w:t>
            </w:r>
            <w:r>
              <w:rPr>
                <w:rFonts w:hint="eastAsia" w:ascii="宋体" w:hAnsi="宋体" w:eastAsia="宋体" w:cs="宋体"/>
                <w:color w:val="auto"/>
                <w:sz w:val="21"/>
                <w:szCs w:val="21"/>
                <w:lang w:val="en-US"/>
              </w:rPr>
              <w:t>密码。</w:t>
            </w:r>
          </w:p>
        </w:tc>
      </w:tr>
      <w:tr w14:paraId="17E7B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81" w:type="dxa"/>
            <w:vAlign w:val="center"/>
          </w:tcPr>
          <w:p w14:paraId="68A3B749">
            <w:pPr>
              <w:pStyle w:val="36"/>
              <w:spacing w:before="4"/>
              <w:jc w:val="center"/>
              <w:rPr>
                <w:rFonts w:ascii="宋体" w:hAnsi="宋体" w:eastAsia="宋体" w:cs="宋体"/>
                <w:color w:val="auto"/>
                <w:sz w:val="21"/>
                <w:szCs w:val="21"/>
              </w:rPr>
            </w:pPr>
          </w:p>
          <w:p w14:paraId="183CD158">
            <w:pPr>
              <w:pStyle w:val="36"/>
              <w:ind w:left="349"/>
              <w:jc w:val="center"/>
              <w:rPr>
                <w:rFonts w:ascii="宋体" w:hAnsi="宋体" w:eastAsia="宋体" w:cs="宋体"/>
                <w:color w:val="auto"/>
                <w:sz w:val="21"/>
                <w:szCs w:val="21"/>
              </w:rPr>
            </w:pPr>
            <w:r>
              <w:rPr>
                <w:rFonts w:hint="eastAsia" w:ascii="宋体" w:hAnsi="宋体" w:eastAsia="宋体" w:cs="宋体"/>
                <w:color w:val="auto"/>
                <w:sz w:val="21"/>
                <w:szCs w:val="21"/>
                <w:lang w:val="en-US"/>
              </w:rPr>
              <w:t>6</w:t>
            </w:r>
          </w:p>
        </w:tc>
        <w:tc>
          <w:tcPr>
            <w:tcW w:w="835" w:type="dxa"/>
            <w:vAlign w:val="center"/>
          </w:tcPr>
          <w:p w14:paraId="4FD39630">
            <w:pPr>
              <w:pStyle w:val="36"/>
              <w:spacing w:before="4"/>
              <w:jc w:val="center"/>
              <w:rPr>
                <w:rFonts w:ascii="宋体" w:hAnsi="宋体" w:eastAsia="宋体" w:cs="宋体"/>
                <w:color w:val="auto"/>
                <w:sz w:val="21"/>
                <w:szCs w:val="21"/>
              </w:rPr>
            </w:pPr>
          </w:p>
          <w:p w14:paraId="0BFBC988">
            <w:pPr>
              <w:pStyle w:val="36"/>
              <w:ind w:left="147" w:right="139"/>
              <w:jc w:val="center"/>
              <w:rPr>
                <w:rFonts w:ascii="宋体" w:hAnsi="宋体" w:eastAsia="宋体" w:cs="宋体"/>
                <w:color w:val="auto"/>
                <w:sz w:val="21"/>
                <w:szCs w:val="21"/>
              </w:rPr>
            </w:pP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.1</w:t>
            </w:r>
          </w:p>
        </w:tc>
        <w:tc>
          <w:tcPr>
            <w:tcW w:w="8043" w:type="dxa"/>
            <w:vAlign w:val="center"/>
          </w:tcPr>
          <w:p w14:paraId="2EF0D01A">
            <w:pPr>
              <w:pStyle w:val="36"/>
              <w:spacing w:line="360" w:lineRule="auto"/>
              <w:ind w:left="110" w:leftChars="50"/>
              <w:rPr>
                <w:rFonts w:hint="default" w:ascii="Times New Roman" w:hAnsi="Times New Roman" w:eastAsia="宋体" w:cs="Times New Roman"/>
                <w:color w:val="FF0000"/>
                <w:sz w:val="21"/>
                <w:szCs w:val="21"/>
              </w:rPr>
            </w:pPr>
            <w:r>
              <w:rPr>
                <w:rFonts w:hint="default" w:ascii="Times New Roman" w:hAnsi="Times New Roman" w:eastAsia="宋体" w:cs="Times New Roman"/>
                <w:b/>
                <w:bCs/>
                <w:color w:val="auto"/>
                <w:sz w:val="21"/>
                <w:szCs w:val="21"/>
              </w:rPr>
              <w:t>响应文件递交截止时</w:t>
            </w:r>
            <w:r>
              <w:rPr>
                <w:rFonts w:hint="default" w:ascii="Times New Roman" w:hAnsi="Times New Roman" w:eastAsia="宋体" w:cs="Times New Roman"/>
                <w:b/>
                <w:bCs/>
                <w:color w:val="auto"/>
                <w:sz w:val="21"/>
                <w:szCs w:val="21"/>
                <w:highlight w:val="none"/>
              </w:rPr>
              <w:t>间：</w:t>
            </w:r>
            <w:r>
              <w:rPr>
                <w:rFonts w:hint="eastAsia" w:ascii="Times New Roman" w:hAnsi="Times New Roman" w:eastAsia="宋体" w:cs="Times New Roman"/>
                <w:color w:val="auto"/>
                <w:sz w:val="21"/>
                <w:szCs w:val="21"/>
                <w:highlight w:val="none"/>
                <w:lang w:eastAsia="zh-CN"/>
              </w:rPr>
              <w:t>2025年</w:t>
            </w:r>
            <w:r>
              <w:rPr>
                <w:rFonts w:hint="eastAsia"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lang w:eastAsia="zh-CN"/>
              </w:rPr>
              <w:t>日</w:t>
            </w:r>
            <w:r>
              <w:rPr>
                <w:rFonts w:hint="eastAsia" w:ascii="Times New Roman" w:hAnsi="Times New Roman" w:eastAsia="宋体" w:cs="Times New Roman"/>
                <w:color w:val="auto"/>
                <w:sz w:val="21"/>
                <w:szCs w:val="21"/>
                <w:highlight w:val="none"/>
                <w:lang w:val="en-US" w:eastAsia="zh-CN"/>
              </w:rPr>
              <w:t>15</w:t>
            </w:r>
            <w:r>
              <w:rPr>
                <w:rFonts w:hint="eastAsia" w:ascii="Times New Roman" w:hAnsi="Times New Roman" w:eastAsia="宋体" w:cs="Times New Roman"/>
                <w:color w:val="auto"/>
                <w:sz w:val="21"/>
                <w:szCs w:val="21"/>
                <w:highlight w:val="none"/>
                <w:lang w:eastAsia="zh-CN"/>
              </w:rPr>
              <w:t>点00分</w:t>
            </w:r>
            <w:r>
              <w:rPr>
                <w:rFonts w:hint="default" w:ascii="Times New Roman" w:hAnsi="Times New Roman" w:eastAsia="宋体" w:cs="Times New Roman"/>
                <w:color w:val="auto"/>
                <w:sz w:val="21"/>
                <w:szCs w:val="21"/>
                <w:highlight w:val="none"/>
              </w:rPr>
              <w:t>之前将电子响应</w:t>
            </w:r>
            <w:r>
              <w:rPr>
                <w:rFonts w:hint="default" w:ascii="Times New Roman" w:hAnsi="Times New Roman" w:eastAsia="宋体" w:cs="Times New Roman"/>
                <w:color w:val="auto"/>
                <w:sz w:val="21"/>
                <w:szCs w:val="21"/>
              </w:rPr>
              <w:t>文件上传到</w:t>
            </w:r>
            <w:r>
              <w:rPr>
                <w:rFonts w:hint="eastAsia" w:ascii="Times New Roman" w:hAnsi="Times New Roman" w:eastAsia="宋体" w:cs="Times New Roman"/>
                <w:color w:val="auto"/>
                <w:sz w:val="21"/>
                <w:szCs w:val="21"/>
                <w:lang w:eastAsia="zh-CN"/>
              </w:rPr>
              <w:t>广西政府采购云平台</w:t>
            </w:r>
            <w:r>
              <w:rPr>
                <w:rFonts w:hint="default" w:ascii="Times New Roman" w:hAnsi="Times New Roman" w:eastAsia="宋体" w:cs="Times New Roman"/>
                <w:color w:val="auto"/>
                <w:sz w:val="21"/>
                <w:szCs w:val="21"/>
              </w:rPr>
              <w:t>。应按照本项目响应文件和</w:t>
            </w:r>
            <w:r>
              <w:rPr>
                <w:rFonts w:hint="eastAsia" w:ascii="Times New Roman" w:hAnsi="Times New Roman" w:eastAsia="宋体" w:cs="Times New Roman"/>
                <w:color w:val="auto"/>
                <w:sz w:val="21"/>
                <w:szCs w:val="21"/>
                <w:lang w:eastAsia="zh-CN"/>
              </w:rPr>
              <w:t>广西政府采购云平台</w:t>
            </w:r>
            <w:r>
              <w:rPr>
                <w:rFonts w:hint="default" w:ascii="Times New Roman" w:hAnsi="Times New Roman" w:eastAsia="宋体" w:cs="Times New Roman"/>
                <w:color w:val="auto"/>
                <w:sz w:val="21"/>
                <w:szCs w:val="21"/>
              </w:rPr>
              <w:t>的要求编制、加密传输响应文件。供应商在使用系统进行投标的过程中遇到涉及平台使用的任何问题，可致电</w:t>
            </w:r>
            <w:r>
              <w:rPr>
                <w:rFonts w:hint="default" w:ascii="Times New Roman" w:hAnsi="Times New Roman" w:eastAsia="宋体" w:cs="Times New Roman"/>
                <w:color w:val="auto"/>
                <w:sz w:val="21"/>
                <w:szCs w:val="21"/>
                <w:lang w:val="en-US"/>
              </w:rPr>
              <w:t>广西政府采购云平台</w:t>
            </w:r>
            <w:r>
              <w:rPr>
                <w:rFonts w:hint="default" w:ascii="Times New Roman" w:hAnsi="Times New Roman" w:eastAsia="宋体" w:cs="Times New Roman"/>
                <w:color w:val="auto"/>
                <w:sz w:val="21"/>
                <w:szCs w:val="21"/>
              </w:rPr>
              <w:t>技术支持热线咨询，联系方式：</w:t>
            </w:r>
            <w:r>
              <w:rPr>
                <w:rFonts w:hint="eastAsia" w:ascii="Times New Roman" w:hAnsi="Times New Roman" w:eastAsia="宋体" w:cs="Times New Roman"/>
                <w:color w:val="auto"/>
                <w:sz w:val="21"/>
                <w:szCs w:val="21"/>
                <w:lang w:eastAsia="zh-CN"/>
              </w:rPr>
              <w:t>95763</w:t>
            </w:r>
            <w:r>
              <w:rPr>
                <w:rFonts w:hint="default" w:ascii="Times New Roman" w:hAnsi="Times New Roman" w:eastAsia="宋体" w:cs="Times New Roman"/>
                <w:color w:val="auto"/>
                <w:sz w:val="21"/>
                <w:szCs w:val="21"/>
              </w:rPr>
              <w:t>。</w:t>
            </w:r>
          </w:p>
        </w:tc>
      </w:tr>
      <w:tr w14:paraId="0EF85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81" w:type="dxa"/>
            <w:vAlign w:val="center"/>
          </w:tcPr>
          <w:p w14:paraId="03122679">
            <w:pPr>
              <w:pStyle w:val="36"/>
              <w:ind w:left="349"/>
              <w:jc w:val="center"/>
              <w:rPr>
                <w:rFonts w:ascii="宋体" w:hAnsi="宋体" w:eastAsia="宋体" w:cs="宋体"/>
                <w:color w:val="auto"/>
                <w:sz w:val="21"/>
                <w:szCs w:val="21"/>
                <w:lang w:val="en-US"/>
              </w:rPr>
            </w:pPr>
            <w:r>
              <w:rPr>
                <w:rFonts w:hint="eastAsia" w:ascii="宋体" w:hAnsi="宋体" w:eastAsia="宋体" w:cs="宋体"/>
                <w:color w:val="auto"/>
                <w:sz w:val="21"/>
                <w:szCs w:val="21"/>
                <w:lang w:val="en-US"/>
              </w:rPr>
              <w:t>7</w:t>
            </w:r>
          </w:p>
        </w:tc>
        <w:tc>
          <w:tcPr>
            <w:tcW w:w="835" w:type="dxa"/>
            <w:vAlign w:val="center"/>
          </w:tcPr>
          <w:p w14:paraId="4DAB6C61">
            <w:pPr>
              <w:pStyle w:val="36"/>
              <w:ind w:left="147" w:right="139"/>
              <w:jc w:val="center"/>
              <w:rPr>
                <w:rFonts w:ascii="宋体" w:hAnsi="宋体" w:eastAsia="宋体" w:cs="宋体"/>
                <w:color w:val="auto"/>
                <w:sz w:val="21"/>
                <w:szCs w:val="21"/>
                <w:lang w:val="en-US"/>
              </w:rPr>
            </w:pPr>
            <w:r>
              <w:rPr>
                <w:rFonts w:hint="eastAsia" w:ascii="宋体" w:hAnsi="宋体" w:eastAsia="宋体" w:cs="宋体"/>
                <w:color w:val="auto"/>
                <w:sz w:val="21"/>
                <w:szCs w:val="21"/>
                <w:lang w:val="en-US"/>
              </w:rPr>
              <w:t>7.1</w:t>
            </w:r>
          </w:p>
        </w:tc>
        <w:tc>
          <w:tcPr>
            <w:tcW w:w="8043" w:type="dxa"/>
            <w:vAlign w:val="center"/>
          </w:tcPr>
          <w:p w14:paraId="4A5F48BC">
            <w:pPr>
              <w:pStyle w:val="36"/>
              <w:spacing w:line="360" w:lineRule="auto"/>
              <w:ind w:left="110" w:leftChars="5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响应文件解密时间</w:t>
            </w:r>
            <w:r>
              <w:rPr>
                <w:rFonts w:hint="default" w:ascii="Times New Roman" w:hAnsi="Times New Roman" w:eastAsia="宋体" w:cs="Times New Roman"/>
                <w:color w:val="auto"/>
                <w:sz w:val="21"/>
                <w:szCs w:val="21"/>
              </w:rPr>
              <w:t>：响应文件递交截止时间后</w:t>
            </w:r>
            <w:r>
              <w:rPr>
                <w:rFonts w:hint="default" w:ascii="Times New Roman" w:hAnsi="Times New Roman" w:eastAsia="宋体" w:cs="Times New Roman"/>
                <w:color w:val="auto"/>
                <w:sz w:val="21"/>
                <w:szCs w:val="21"/>
                <w:lang w:val="en-US"/>
              </w:rPr>
              <w:t>30</w:t>
            </w:r>
            <w:r>
              <w:rPr>
                <w:rFonts w:hint="default" w:ascii="Times New Roman" w:hAnsi="Times New Roman" w:eastAsia="宋体" w:cs="Times New Roman"/>
                <w:color w:val="auto"/>
                <w:sz w:val="21"/>
                <w:szCs w:val="21"/>
                <w:highlight w:val="none"/>
              </w:rPr>
              <w:t>分钟内</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rPr>
              <w:t>供应商可以登录</w:t>
            </w:r>
            <w:r>
              <w:rPr>
                <w:rFonts w:hint="default" w:ascii="Times New Roman" w:hAnsi="Times New Roman" w:eastAsia="宋体" w:cs="Times New Roman"/>
                <w:color w:val="auto"/>
                <w:sz w:val="21"/>
                <w:szCs w:val="21"/>
                <w:lang w:val="en-US"/>
              </w:rPr>
              <w:t>广西政府采购云平台</w:t>
            </w:r>
            <w:r>
              <w:rPr>
                <w:rFonts w:hint="default" w:ascii="Times New Roman" w:hAnsi="Times New Roman" w:eastAsia="宋体" w:cs="Times New Roman"/>
                <w:color w:val="auto"/>
                <w:sz w:val="21"/>
                <w:szCs w:val="21"/>
              </w:rPr>
              <w:t>，用“项目采购-开标评标”功能进行解密响应文件。若供应商在规定时间内未按时解密的，视为响应文件撤回。</w:t>
            </w:r>
          </w:p>
        </w:tc>
      </w:tr>
    </w:tbl>
    <w:p w14:paraId="2FAA9CAF">
      <w:pPr>
        <w:spacing w:line="354" w:lineRule="exact"/>
        <w:rPr>
          <w:rFonts w:ascii="宋体" w:hAnsi="宋体" w:eastAsia="宋体" w:cs="宋体"/>
          <w:color w:val="FF0000"/>
          <w:sz w:val="21"/>
          <w:szCs w:val="21"/>
        </w:rPr>
        <w:sectPr>
          <w:headerReference r:id="rId7" w:type="default"/>
          <w:footerReference r:id="rId8" w:type="default"/>
          <w:pgSz w:w="11910" w:h="16840"/>
          <w:pgMar w:top="1134" w:right="1134" w:bottom="1134" w:left="1134" w:header="610" w:footer="550" w:gutter="0"/>
          <w:cols w:space="720" w:num="1"/>
        </w:sectPr>
      </w:pPr>
    </w:p>
    <w:p w14:paraId="4A0710DE">
      <w:pPr>
        <w:pStyle w:val="2"/>
        <w:spacing w:line="360" w:lineRule="auto"/>
        <w:jc w:val="center"/>
        <w:rPr>
          <w:rFonts w:ascii="宋体" w:hAnsi="宋体" w:eastAsia="宋体" w:cs="宋体"/>
          <w:color w:val="auto"/>
          <w:sz w:val="21"/>
          <w:szCs w:val="21"/>
        </w:rPr>
      </w:pPr>
      <w:bookmarkStart w:id="9" w:name="磋商人须知"/>
      <w:bookmarkEnd w:id="9"/>
      <w:r>
        <w:rPr>
          <w:rFonts w:hint="eastAsia" w:ascii="宋体" w:hAnsi="宋体" w:eastAsia="宋体" w:cs="宋体"/>
          <w:color w:val="auto"/>
          <w:sz w:val="21"/>
          <w:szCs w:val="21"/>
        </w:rPr>
        <w:t>磋商人须知</w:t>
      </w:r>
    </w:p>
    <w:p w14:paraId="59DFDD6D">
      <w:pPr>
        <w:pStyle w:val="4"/>
        <w:tabs>
          <w:tab w:val="left" w:pos="2057"/>
        </w:tabs>
        <w:spacing w:line="360" w:lineRule="auto"/>
        <w:ind w:left="0" w:firstLine="422" w:firstLineChars="200"/>
        <w:rPr>
          <w:rFonts w:ascii="宋体" w:hAnsi="宋体" w:eastAsia="宋体" w:cs="宋体"/>
          <w:color w:val="auto"/>
          <w:sz w:val="21"/>
          <w:szCs w:val="21"/>
        </w:rPr>
      </w:pPr>
      <w:bookmarkStart w:id="10" w:name="一、总_则"/>
      <w:bookmarkEnd w:id="10"/>
      <w:r>
        <w:rPr>
          <w:rFonts w:hint="eastAsia" w:ascii="宋体" w:hAnsi="宋体" w:eastAsia="宋体" w:cs="宋体"/>
          <w:color w:val="auto"/>
          <w:sz w:val="21"/>
          <w:szCs w:val="21"/>
        </w:rPr>
        <w:t>一、总则</w:t>
      </w:r>
    </w:p>
    <w:p w14:paraId="3F49E825">
      <w:pPr>
        <w:pStyle w:val="35"/>
        <w:tabs>
          <w:tab w:val="left" w:pos="1355"/>
        </w:tabs>
        <w:spacing w:line="360" w:lineRule="auto"/>
        <w:ind w:left="0" w:firstLine="412" w:firstLineChars="200"/>
        <w:rPr>
          <w:rFonts w:ascii="宋体" w:hAnsi="宋体" w:eastAsia="宋体" w:cs="宋体"/>
          <w:color w:val="auto"/>
          <w:sz w:val="21"/>
          <w:szCs w:val="21"/>
        </w:rPr>
      </w:pPr>
      <w:bookmarkStart w:id="11" w:name="1._适用范围"/>
      <w:bookmarkEnd w:id="11"/>
      <w:r>
        <w:rPr>
          <w:rFonts w:hint="eastAsia" w:ascii="宋体" w:hAnsi="宋体" w:eastAsia="宋体" w:cs="宋体"/>
          <w:color w:val="auto"/>
          <w:spacing w:val="-2"/>
          <w:sz w:val="21"/>
          <w:szCs w:val="21"/>
          <w:lang w:val="en-US"/>
        </w:rPr>
        <w:t>1.</w:t>
      </w:r>
      <w:r>
        <w:rPr>
          <w:rFonts w:hint="eastAsia" w:ascii="宋体" w:hAnsi="宋体" w:eastAsia="宋体" w:cs="宋体"/>
          <w:color w:val="auto"/>
          <w:spacing w:val="-2"/>
          <w:sz w:val="21"/>
          <w:szCs w:val="21"/>
        </w:rPr>
        <w:t>适用范围</w:t>
      </w:r>
    </w:p>
    <w:p w14:paraId="2859E38A">
      <w:pPr>
        <w:pStyle w:val="35"/>
        <w:tabs>
          <w:tab w:val="left" w:pos="1494"/>
        </w:tabs>
        <w:spacing w:line="360" w:lineRule="auto"/>
        <w:ind w:left="0" w:firstLine="408" w:firstLineChars="200"/>
        <w:rPr>
          <w:rFonts w:ascii="宋体" w:hAnsi="宋体" w:eastAsia="宋体" w:cs="宋体"/>
          <w:color w:val="auto"/>
          <w:sz w:val="21"/>
          <w:szCs w:val="21"/>
        </w:rPr>
      </w:pPr>
      <w:bookmarkStart w:id="12" w:name="1.1_本文件仅适用于本文件中所叙述的服务、服务类政府采购项目。"/>
      <w:bookmarkEnd w:id="12"/>
      <w:r>
        <w:rPr>
          <w:rFonts w:hint="eastAsia" w:ascii="宋体" w:hAnsi="宋体" w:eastAsia="宋体" w:cs="宋体"/>
          <w:color w:val="auto"/>
          <w:spacing w:val="-3"/>
          <w:sz w:val="21"/>
          <w:szCs w:val="21"/>
        </w:rPr>
        <w:t>本文件仅适用于本文件中所叙述的服务类政府采购项目。</w:t>
      </w:r>
    </w:p>
    <w:p w14:paraId="7103DAB8">
      <w:pPr>
        <w:pStyle w:val="35"/>
        <w:tabs>
          <w:tab w:val="left" w:pos="1355"/>
        </w:tabs>
        <w:spacing w:line="360" w:lineRule="auto"/>
        <w:ind w:left="0" w:firstLine="420" w:firstLineChars="200"/>
        <w:rPr>
          <w:rFonts w:ascii="宋体" w:hAnsi="宋体" w:eastAsia="宋体" w:cs="宋体"/>
          <w:color w:val="auto"/>
          <w:sz w:val="21"/>
          <w:szCs w:val="21"/>
        </w:rPr>
      </w:pPr>
      <w:bookmarkStart w:id="13" w:name="2._定义"/>
      <w:bookmarkEnd w:id="13"/>
      <w:r>
        <w:rPr>
          <w:rFonts w:hint="eastAsia" w:ascii="宋体" w:hAnsi="宋体" w:eastAsia="宋体" w:cs="宋体"/>
          <w:color w:val="auto"/>
          <w:sz w:val="21"/>
          <w:szCs w:val="21"/>
          <w:lang w:val="en-US"/>
        </w:rPr>
        <w:t>2.1</w:t>
      </w:r>
      <w:r>
        <w:rPr>
          <w:rFonts w:hint="eastAsia" w:ascii="宋体" w:hAnsi="宋体" w:eastAsia="宋体" w:cs="宋体"/>
          <w:color w:val="auto"/>
          <w:sz w:val="21"/>
          <w:szCs w:val="21"/>
        </w:rPr>
        <w:t>定义</w:t>
      </w:r>
    </w:p>
    <w:p w14:paraId="4DBFD243">
      <w:pPr>
        <w:pStyle w:val="35"/>
        <w:tabs>
          <w:tab w:val="left" w:pos="1357"/>
        </w:tabs>
        <w:spacing w:line="360" w:lineRule="auto"/>
        <w:ind w:left="0" w:firstLine="408" w:firstLineChars="200"/>
        <w:rPr>
          <w:rFonts w:hint="eastAsia" w:ascii="宋体" w:hAnsi="宋体" w:eastAsia="宋体" w:cs="宋体"/>
          <w:color w:val="auto"/>
          <w:sz w:val="21"/>
          <w:szCs w:val="21"/>
          <w:lang w:eastAsia="zh-CN"/>
        </w:rPr>
      </w:pPr>
      <w:bookmarkStart w:id="14" w:name="2.1“采购单位”是指：合山市发展和改革局"/>
      <w:bookmarkEnd w:id="14"/>
      <w:r>
        <w:rPr>
          <w:rFonts w:hint="eastAsia" w:ascii="宋体" w:hAnsi="宋体" w:eastAsia="宋体" w:cs="宋体"/>
          <w:color w:val="auto"/>
          <w:spacing w:val="-3"/>
          <w:sz w:val="21"/>
          <w:szCs w:val="21"/>
          <w:lang w:val="en-US"/>
        </w:rPr>
        <w:t>2.1.1</w:t>
      </w:r>
      <w:r>
        <w:rPr>
          <w:rFonts w:hint="eastAsia" w:ascii="宋体" w:hAnsi="宋体" w:eastAsia="宋体" w:cs="宋体"/>
          <w:color w:val="auto"/>
          <w:spacing w:val="-3"/>
          <w:sz w:val="21"/>
          <w:szCs w:val="21"/>
        </w:rPr>
        <w:t>“采购单位”是指：</w:t>
      </w:r>
      <w:r>
        <w:rPr>
          <w:rFonts w:hint="eastAsia" w:ascii="宋体" w:hAnsi="宋体" w:eastAsia="宋体" w:cs="宋体"/>
          <w:color w:val="auto"/>
          <w:spacing w:val="-3"/>
          <w:sz w:val="21"/>
          <w:szCs w:val="21"/>
          <w:u w:val="single"/>
          <w:lang w:eastAsia="zh-CN"/>
        </w:rPr>
        <w:t>北海市妇幼保健院</w:t>
      </w:r>
    </w:p>
    <w:p w14:paraId="5983E10C">
      <w:pPr>
        <w:pStyle w:val="35"/>
        <w:tabs>
          <w:tab w:val="left" w:pos="1357"/>
        </w:tabs>
        <w:spacing w:line="360" w:lineRule="auto"/>
        <w:ind w:left="0" w:firstLine="408" w:firstLineChars="200"/>
        <w:rPr>
          <w:rFonts w:hint="eastAsia" w:ascii="宋体" w:hAnsi="宋体" w:eastAsia="宋体" w:cs="宋体"/>
          <w:color w:val="auto"/>
          <w:sz w:val="21"/>
          <w:szCs w:val="21"/>
          <w:lang w:eastAsia="zh-CN"/>
        </w:rPr>
      </w:pPr>
      <w:bookmarkStart w:id="15" w:name="2.2“采购代理机构”是指：__广西德元工程项目管理有限责任公司"/>
      <w:bookmarkEnd w:id="15"/>
      <w:r>
        <w:rPr>
          <w:rFonts w:hint="eastAsia" w:ascii="宋体" w:hAnsi="宋体" w:eastAsia="宋体" w:cs="宋体"/>
          <w:color w:val="auto"/>
          <w:spacing w:val="-3"/>
          <w:sz w:val="21"/>
          <w:szCs w:val="21"/>
          <w:lang w:val="en-US"/>
        </w:rPr>
        <w:t>2.1.2</w:t>
      </w:r>
      <w:r>
        <w:rPr>
          <w:rFonts w:hint="eastAsia" w:ascii="宋体" w:hAnsi="宋体" w:eastAsia="宋体" w:cs="宋体"/>
          <w:color w:val="auto"/>
          <w:spacing w:val="-3"/>
          <w:sz w:val="21"/>
          <w:szCs w:val="21"/>
        </w:rPr>
        <w:t>“采购代理机构”是指：</w:t>
      </w:r>
      <w:r>
        <w:rPr>
          <w:rFonts w:hint="eastAsia" w:ascii="宋体" w:hAnsi="宋体" w:eastAsia="宋体" w:cs="宋体"/>
          <w:color w:val="auto"/>
          <w:spacing w:val="-3"/>
          <w:sz w:val="21"/>
          <w:szCs w:val="21"/>
          <w:u w:val="single"/>
          <w:lang w:eastAsia="zh-CN"/>
        </w:rPr>
        <w:t>广西新凯林管理咨询有限公司</w:t>
      </w:r>
    </w:p>
    <w:p w14:paraId="786CBB03">
      <w:pPr>
        <w:pStyle w:val="35"/>
        <w:tabs>
          <w:tab w:val="left" w:pos="1357"/>
        </w:tabs>
        <w:spacing w:line="360" w:lineRule="auto"/>
        <w:ind w:left="0" w:firstLine="396" w:firstLineChars="200"/>
        <w:rPr>
          <w:rFonts w:ascii="宋体" w:hAnsi="宋体" w:eastAsia="宋体" w:cs="宋体"/>
          <w:color w:val="auto"/>
          <w:sz w:val="21"/>
          <w:szCs w:val="21"/>
        </w:rPr>
      </w:pPr>
      <w:bookmarkStart w:id="16" w:name="2.3“供应商”是指响应本文件要求，参加磋商的法人或者其他组织。如果该供应商在本"/>
      <w:bookmarkEnd w:id="16"/>
      <w:r>
        <w:rPr>
          <w:rFonts w:hint="eastAsia" w:ascii="宋体" w:hAnsi="宋体" w:eastAsia="宋体" w:cs="宋体"/>
          <w:color w:val="auto"/>
          <w:spacing w:val="-6"/>
          <w:sz w:val="21"/>
          <w:szCs w:val="21"/>
          <w:lang w:val="en-US"/>
        </w:rPr>
        <w:t>2.1.3</w:t>
      </w:r>
      <w:r>
        <w:rPr>
          <w:rFonts w:hint="eastAsia" w:ascii="宋体" w:hAnsi="宋体" w:eastAsia="宋体" w:cs="宋体"/>
          <w:color w:val="auto"/>
          <w:spacing w:val="-6"/>
          <w:sz w:val="21"/>
          <w:szCs w:val="21"/>
        </w:rPr>
        <w:t>“供应商”是指响应本文件要求，参加磋商的法人或者其他组织。如果</w:t>
      </w:r>
      <w:r>
        <w:rPr>
          <w:rFonts w:hint="eastAsia" w:ascii="宋体" w:hAnsi="宋体" w:eastAsia="宋体" w:cs="宋体"/>
          <w:color w:val="auto"/>
          <w:spacing w:val="-3"/>
          <w:sz w:val="21"/>
          <w:szCs w:val="21"/>
        </w:rPr>
        <w:t>该供应商在本次磋商中成交,即成为“成交供应商”。</w:t>
      </w:r>
    </w:p>
    <w:p w14:paraId="33D4DAC2">
      <w:pPr>
        <w:pStyle w:val="35"/>
        <w:tabs>
          <w:tab w:val="left" w:pos="1357"/>
        </w:tabs>
        <w:spacing w:line="360" w:lineRule="auto"/>
        <w:ind w:left="0" w:firstLine="400" w:firstLineChars="200"/>
        <w:rPr>
          <w:rFonts w:ascii="宋体" w:hAnsi="宋体" w:eastAsia="宋体" w:cs="宋体"/>
          <w:color w:val="auto"/>
          <w:sz w:val="21"/>
          <w:szCs w:val="21"/>
        </w:rPr>
      </w:pPr>
      <w:bookmarkStart w:id="17" w:name="2.4“服务”是指各种形态和种类的物品，包括原材料、燃料、设备、产品等。"/>
      <w:bookmarkEnd w:id="17"/>
      <w:r>
        <w:rPr>
          <w:rFonts w:hint="eastAsia" w:ascii="宋体" w:hAnsi="宋体" w:eastAsia="宋体" w:cs="宋体"/>
          <w:color w:val="auto"/>
          <w:spacing w:val="-5"/>
          <w:sz w:val="21"/>
          <w:szCs w:val="21"/>
          <w:lang w:val="en-US"/>
        </w:rPr>
        <w:t>2.1.4</w:t>
      </w:r>
      <w:r>
        <w:rPr>
          <w:rFonts w:hint="eastAsia" w:ascii="宋体" w:hAnsi="宋体" w:eastAsia="宋体" w:cs="宋体"/>
          <w:color w:val="auto"/>
          <w:spacing w:val="-5"/>
          <w:sz w:val="21"/>
          <w:szCs w:val="21"/>
        </w:rPr>
        <w:t>“货物”是指各种形态和种类的物品，包括原材料、燃料、设备、产品等。</w:t>
      </w:r>
    </w:p>
    <w:p w14:paraId="1C94FF2B">
      <w:pPr>
        <w:pStyle w:val="35"/>
        <w:tabs>
          <w:tab w:val="left" w:pos="1357"/>
        </w:tabs>
        <w:spacing w:line="360" w:lineRule="auto"/>
        <w:ind w:left="0" w:firstLine="408" w:firstLineChars="200"/>
        <w:rPr>
          <w:rFonts w:ascii="宋体" w:hAnsi="宋体" w:eastAsia="宋体" w:cs="宋体"/>
          <w:color w:val="auto"/>
          <w:sz w:val="21"/>
          <w:szCs w:val="21"/>
        </w:rPr>
      </w:pPr>
      <w:bookmarkStart w:id="18" w:name="2.5“服务”是指除服务和工程以外的其他政府采购对象。"/>
      <w:bookmarkEnd w:id="18"/>
      <w:r>
        <w:rPr>
          <w:rFonts w:hint="eastAsia" w:ascii="宋体" w:hAnsi="宋体" w:eastAsia="宋体" w:cs="宋体"/>
          <w:color w:val="auto"/>
          <w:spacing w:val="-3"/>
          <w:sz w:val="21"/>
          <w:szCs w:val="21"/>
          <w:lang w:val="en-US"/>
        </w:rPr>
        <w:t>2.1.5</w:t>
      </w:r>
      <w:r>
        <w:rPr>
          <w:rFonts w:hint="eastAsia" w:ascii="宋体" w:hAnsi="宋体" w:eastAsia="宋体" w:cs="宋体"/>
          <w:color w:val="auto"/>
          <w:spacing w:val="-3"/>
          <w:sz w:val="21"/>
          <w:szCs w:val="21"/>
        </w:rPr>
        <w:t>“服务”是指除货物和工程以外的其他政府采购对象。</w:t>
      </w:r>
    </w:p>
    <w:p w14:paraId="2709BD41">
      <w:pPr>
        <w:pStyle w:val="35"/>
        <w:tabs>
          <w:tab w:val="left" w:pos="1357"/>
        </w:tabs>
        <w:spacing w:line="360" w:lineRule="auto"/>
        <w:ind w:left="0" w:firstLine="372" w:firstLineChars="200"/>
        <w:rPr>
          <w:rFonts w:ascii="宋体" w:hAnsi="宋体" w:eastAsia="宋体" w:cs="宋体"/>
          <w:color w:val="auto"/>
          <w:sz w:val="21"/>
          <w:szCs w:val="21"/>
        </w:rPr>
      </w:pPr>
      <w:bookmarkStart w:id="19" w:name="2.6“竞争性磋商响应文件”是指：供应商根据本文件要求，编制包含报价、技术和服务"/>
      <w:bookmarkEnd w:id="19"/>
      <w:r>
        <w:rPr>
          <w:rFonts w:hint="eastAsia" w:ascii="宋体" w:hAnsi="宋体" w:eastAsia="宋体" w:cs="宋体"/>
          <w:color w:val="auto"/>
          <w:spacing w:val="-12"/>
          <w:sz w:val="21"/>
          <w:szCs w:val="21"/>
          <w:lang w:val="en-US"/>
        </w:rPr>
        <w:t>2.1.6</w:t>
      </w:r>
      <w:r>
        <w:rPr>
          <w:rFonts w:hint="eastAsia" w:ascii="宋体" w:hAnsi="宋体" w:eastAsia="宋体" w:cs="宋体"/>
          <w:color w:val="auto"/>
          <w:spacing w:val="-12"/>
          <w:sz w:val="21"/>
          <w:szCs w:val="21"/>
        </w:rPr>
        <w:t>“竞争性磋商响应文件”是指：供应商根据本文件要求，编制包含报价</w:t>
      </w:r>
      <w:r>
        <w:rPr>
          <w:rFonts w:hint="eastAsia" w:ascii="宋体" w:hAnsi="宋体" w:eastAsia="宋体" w:cs="宋体"/>
          <w:color w:val="auto"/>
          <w:spacing w:val="-6"/>
          <w:sz w:val="21"/>
          <w:szCs w:val="21"/>
        </w:rPr>
        <w:t>、技术和服务等所有内容的文件。</w:t>
      </w:r>
    </w:p>
    <w:p w14:paraId="11B0922A">
      <w:pPr>
        <w:pStyle w:val="35"/>
        <w:tabs>
          <w:tab w:val="left" w:pos="1355"/>
        </w:tabs>
        <w:spacing w:line="360" w:lineRule="auto"/>
        <w:ind w:left="0" w:firstLine="408" w:firstLineChars="200"/>
        <w:rPr>
          <w:rFonts w:ascii="宋体" w:hAnsi="宋体" w:eastAsia="宋体" w:cs="宋体"/>
          <w:color w:val="auto"/>
          <w:sz w:val="21"/>
          <w:szCs w:val="21"/>
        </w:rPr>
      </w:pPr>
      <w:bookmarkStart w:id="20" w:name="3._供应商的基本条件"/>
      <w:bookmarkEnd w:id="20"/>
      <w:r>
        <w:rPr>
          <w:rFonts w:hint="eastAsia" w:ascii="宋体" w:hAnsi="宋体" w:eastAsia="宋体" w:cs="宋体"/>
          <w:color w:val="auto"/>
          <w:spacing w:val="-3"/>
          <w:sz w:val="21"/>
          <w:szCs w:val="21"/>
          <w:lang w:val="en-US"/>
        </w:rPr>
        <w:t>3.</w:t>
      </w:r>
      <w:r>
        <w:rPr>
          <w:rFonts w:hint="eastAsia" w:ascii="宋体" w:hAnsi="宋体" w:eastAsia="宋体" w:cs="宋体"/>
          <w:color w:val="auto"/>
          <w:spacing w:val="-3"/>
          <w:sz w:val="21"/>
          <w:szCs w:val="21"/>
        </w:rPr>
        <w:t>申请人的资格要求：</w:t>
      </w:r>
    </w:p>
    <w:p w14:paraId="379DC559">
      <w:pPr>
        <w:pStyle w:val="19"/>
        <w:autoSpaceDN/>
        <w:spacing w:before="0" w:beforeAutospacing="0" w:after="0" w:afterAutospacing="0" w:line="360" w:lineRule="auto"/>
        <w:ind w:firstLine="420" w:firstLineChars="200"/>
        <w:rPr>
          <w:rFonts w:ascii="宋体" w:hAnsi="宋体" w:eastAsia="宋体" w:cs="宋体"/>
          <w:color w:val="auto"/>
          <w:sz w:val="21"/>
          <w:szCs w:val="21"/>
        </w:rPr>
      </w:pPr>
      <w:bookmarkStart w:id="21" w:name="4．_磋商费用"/>
      <w:bookmarkEnd w:id="21"/>
      <w:r>
        <w:rPr>
          <w:rFonts w:hint="eastAsia" w:eastAsia="宋体" w:cs="宋体"/>
          <w:color w:val="auto"/>
          <w:sz w:val="21"/>
          <w:szCs w:val="21"/>
          <w:lang w:val="en-US" w:eastAsia="zh-CN"/>
        </w:rPr>
        <w:t>详见第二章磋商须知及前附表</w:t>
      </w:r>
      <w:r>
        <w:rPr>
          <w:rFonts w:hint="eastAsia" w:eastAsia="宋体" w:cs="宋体"/>
          <w:color w:val="auto"/>
          <w:sz w:val="21"/>
          <w:szCs w:val="21"/>
          <w:lang w:val="en-US"/>
        </w:rPr>
        <w:t>。</w:t>
      </w:r>
    </w:p>
    <w:p w14:paraId="7006F99D">
      <w:pPr>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注：特别说明：</w:t>
      </w:r>
    </w:p>
    <w:p w14:paraId="57DD40D3">
      <w:pPr>
        <w:pStyle w:val="35"/>
        <w:tabs>
          <w:tab w:val="left" w:pos="1357"/>
        </w:tabs>
        <w:spacing w:line="360" w:lineRule="auto"/>
        <w:ind w:left="0" w:firstLine="396" w:firstLineChars="200"/>
        <w:rPr>
          <w:rFonts w:ascii="宋体" w:hAnsi="宋体" w:eastAsia="宋体" w:cs="宋体"/>
          <w:color w:val="auto"/>
          <w:spacing w:val="-6"/>
          <w:sz w:val="21"/>
          <w:szCs w:val="21"/>
        </w:rPr>
      </w:pPr>
      <w:r>
        <w:rPr>
          <w:rFonts w:hint="eastAsia" w:ascii="宋体" w:hAnsi="宋体" w:eastAsia="宋体" w:cs="宋体"/>
          <w:color w:val="auto"/>
          <w:spacing w:val="-6"/>
          <w:sz w:val="21"/>
          <w:szCs w:val="21"/>
        </w:rPr>
        <w:t>1.磋商供应商所使用的资格、信誉、荣誉、业绩与企业认证必须为本法人所拥有。磋商响应供应商所使用的采购项目实施人员必须为本法人员工（或必须为本法人或控股公司正式员工）。</w:t>
      </w:r>
    </w:p>
    <w:p w14:paraId="35C9D4F8">
      <w:pPr>
        <w:pStyle w:val="35"/>
        <w:tabs>
          <w:tab w:val="left" w:pos="1357"/>
        </w:tabs>
        <w:spacing w:line="360" w:lineRule="auto"/>
        <w:ind w:left="0" w:firstLine="396" w:firstLineChars="200"/>
        <w:rPr>
          <w:rFonts w:ascii="宋体" w:hAnsi="宋体" w:eastAsia="宋体" w:cs="宋体"/>
          <w:color w:val="auto"/>
          <w:spacing w:val="-6"/>
          <w:sz w:val="21"/>
          <w:szCs w:val="21"/>
        </w:rPr>
      </w:pPr>
      <w:r>
        <w:rPr>
          <w:rFonts w:hint="eastAsia" w:ascii="宋体" w:hAnsi="宋体" w:eastAsia="宋体" w:cs="宋体"/>
          <w:color w:val="auto"/>
          <w:spacing w:val="-6"/>
          <w:sz w:val="21"/>
          <w:szCs w:val="21"/>
        </w:rPr>
        <w:t>2.磋商供应商应仔细阅读磋商文件的所有内容，按照磋商文件的要求提交磋商响应文件，并对所提供的全部资料的真实性承担法律责任。</w:t>
      </w:r>
    </w:p>
    <w:p w14:paraId="76F561A7">
      <w:pPr>
        <w:pStyle w:val="35"/>
        <w:tabs>
          <w:tab w:val="left" w:pos="1357"/>
        </w:tabs>
        <w:spacing w:line="360" w:lineRule="auto"/>
        <w:ind w:left="0" w:firstLine="396" w:firstLineChars="200"/>
        <w:rPr>
          <w:rFonts w:ascii="宋体" w:hAnsi="宋体" w:eastAsia="宋体" w:cs="宋体"/>
          <w:color w:val="auto"/>
          <w:spacing w:val="-6"/>
          <w:sz w:val="21"/>
          <w:szCs w:val="21"/>
        </w:rPr>
      </w:pPr>
      <w:r>
        <w:rPr>
          <w:rFonts w:hint="eastAsia" w:ascii="宋体" w:hAnsi="宋体" w:eastAsia="宋体" w:cs="宋体"/>
          <w:color w:val="auto"/>
          <w:spacing w:val="-6"/>
          <w:sz w:val="21"/>
          <w:szCs w:val="21"/>
        </w:rPr>
        <w:t>3.磋商供应商在竞争性磋商采购活动中提供任何虚假材料,其磋商或成交无效，并报监管部门查处。</w:t>
      </w:r>
    </w:p>
    <w:p w14:paraId="709FE5B2">
      <w:pPr>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lang w:val="en-US"/>
        </w:rPr>
        <w:t>4</w:t>
      </w:r>
      <w:r>
        <w:rPr>
          <w:rFonts w:hint="eastAsia" w:ascii="宋体" w:hAnsi="宋体" w:eastAsia="宋体" w:cs="宋体"/>
          <w:b/>
          <w:color w:val="auto"/>
          <w:sz w:val="21"/>
          <w:szCs w:val="21"/>
        </w:rPr>
        <w:t>. 磋商费用、竞争性磋商公告、竞争性磋商文件的澄清和修改</w:t>
      </w:r>
    </w:p>
    <w:p w14:paraId="5F9ED678">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.1磋商费用：磋商供应商应自行承担所有与编写和提交竞争性磋商响应文件有关的费用，不论磋商结果如何，采购人和采购代理机构在任何情况下无义务和责任承担此类费用。</w:t>
      </w:r>
    </w:p>
    <w:p w14:paraId="57E4EF95">
      <w:pPr>
        <w:pStyle w:val="19"/>
        <w:keepNext w:val="0"/>
        <w:keepLines w:val="0"/>
        <w:pageBreakBefore w:val="0"/>
        <w:widowControl/>
        <w:kinsoku w:val="0"/>
        <w:wordWrap/>
        <w:overflowPunct w:val="0"/>
        <w:topLinePunct w:val="0"/>
        <w:autoSpaceDE w:val="0"/>
        <w:autoSpaceDN/>
        <w:bidi w:val="0"/>
        <w:adjustRightInd/>
        <w:snapToGrid/>
        <w:spacing w:before="0" w:beforeAutospacing="0" w:after="0" w:afterAutospacing="0" w:line="360" w:lineRule="auto"/>
        <w:ind w:firstLine="420" w:firstLineChars="200"/>
        <w:textAlignment w:val="auto"/>
        <w:rPr>
          <w:rFonts w:eastAsia="宋体" w:cs="宋体"/>
          <w:b/>
          <w:color w:val="auto"/>
          <w:sz w:val="21"/>
          <w:szCs w:val="21"/>
        </w:rPr>
      </w:pPr>
      <w:r>
        <w:rPr>
          <w:rFonts w:hint="eastAsia" w:eastAsia="宋体" w:cs="宋体"/>
          <w:color w:val="auto"/>
          <w:sz w:val="21"/>
          <w:szCs w:val="21"/>
          <w:lang w:val="en-US"/>
        </w:rPr>
        <w:t>4</w:t>
      </w:r>
      <w:r>
        <w:rPr>
          <w:rFonts w:hint="eastAsia" w:eastAsia="宋体" w:cs="宋体"/>
          <w:color w:val="auto"/>
          <w:sz w:val="21"/>
          <w:szCs w:val="21"/>
        </w:rPr>
        <w:t>.2</w:t>
      </w:r>
      <w:r>
        <w:rPr>
          <w:rFonts w:hint="eastAsia" w:eastAsia="宋体" w:cs="宋体"/>
          <w:bCs/>
          <w:color w:val="auto"/>
          <w:sz w:val="21"/>
          <w:szCs w:val="21"/>
        </w:rPr>
        <w:t>竞争性磋商公告见</w:t>
      </w:r>
      <w:r>
        <w:rPr>
          <w:rFonts w:hint="eastAsia" w:eastAsia="宋体" w:cs="宋体"/>
          <w:bCs/>
          <w:color w:val="auto"/>
          <w:sz w:val="21"/>
          <w:szCs w:val="21"/>
          <w:u w:val="single"/>
        </w:rPr>
        <w:t>中国政府采购网（www.ccgp.gov.cn）、广西壮族自治区政府采购网（http://zfcg.gxzf.gov.cn/)（包括但不限于以上网站）。</w:t>
      </w:r>
    </w:p>
    <w:p w14:paraId="67DE372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bCs/>
          <w:color w:val="auto"/>
          <w:sz w:val="21"/>
          <w:szCs w:val="21"/>
          <w:lang w:val="en-US"/>
        </w:rPr>
        <w:t>4</w:t>
      </w:r>
      <w:r>
        <w:rPr>
          <w:rFonts w:hint="eastAsia" w:ascii="宋体" w:hAnsi="宋体" w:eastAsia="宋体" w:cs="宋体"/>
          <w:bCs/>
          <w:color w:val="auto"/>
          <w:sz w:val="21"/>
          <w:szCs w:val="21"/>
        </w:rPr>
        <w:t>.3竞争性磋商</w:t>
      </w:r>
      <w:r>
        <w:rPr>
          <w:rFonts w:hint="eastAsia" w:ascii="宋体" w:hAnsi="宋体" w:eastAsia="宋体" w:cs="宋体"/>
          <w:color w:val="auto"/>
          <w:sz w:val="21"/>
          <w:szCs w:val="21"/>
        </w:rPr>
        <w:t>文件的澄清和修改：</w:t>
      </w:r>
    </w:p>
    <w:p w14:paraId="2CFA1A06">
      <w:pPr>
        <w:pStyle w:val="13"/>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lang w:val="en-US"/>
        </w:rPr>
        <w:t>4</w:t>
      </w:r>
      <w:r>
        <w:rPr>
          <w:rFonts w:hint="eastAsia" w:hAnsi="宋体" w:eastAsia="宋体" w:cs="宋体"/>
          <w:color w:val="auto"/>
          <w:sz w:val="21"/>
          <w:szCs w:val="21"/>
        </w:rPr>
        <w:t>.3.1</w:t>
      </w:r>
      <w:r>
        <w:rPr>
          <w:rFonts w:hint="eastAsia" w:hAnsi="宋体" w:eastAsia="宋体" w:cs="宋体"/>
          <w:bCs/>
          <w:color w:val="auto"/>
          <w:sz w:val="21"/>
          <w:szCs w:val="21"/>
        </w:rPr>
        <w:t>磋商供应商应认真审核《采购需求》中的服务要求，如发现表中服务要求有误或要求不合理的，磋商供应商必须在规定的时间前要求澄清，否则，由此产生的后果由磋商供应商负责。</w:t>
      </w:r>
    </w:p>
    <w:p w14:paraId="194C45BC">
      <w:pPr>
        <w:pStyle w:val="13"/>
        <w:spacing w:line="360" w:lineRule="auto"/>
        <w:ind w:firstLine="420" w:firstLineChars="200"/>
        <w:rPr>
          <w:rFonts w:hAnsi="宋体" w:eastAsia="宋体" w:cs="宋体"/>
          <w:b/>
          <w:color w:val="auto"/>
          <w:sz w:val="21"/>
          <w:szCs w:val="21"/>
        </w:rPr>
      </w:pPr>
      <w:r>
        <w:rPr>
          <w:rFonts w:hint="eastAsia" w:hAnsi="宋体" w:eastAsia="宋体" w:cs="宋体"/>
          <w:color w:val="auto"/>
          <w:sz w:val="21"/>
          <w:szCs w:val="21"/>
          <w:lang w:val="en-US"/>
        </w:rPr>
        <w:t>4</w:t>
      </w:r>
      <w:r>
        <w:rPr>
          <w:rFonts w:hint="eastAsia" w:hAnsi="宋体" w:eastAsia="宋体" w:cs="宋体"/>
          <w:color w:val="auto"/>
          <w:sz w:val="21"/>
          <w:szCs w:val="21"/>
        </w:rPr>
        <w:t>.3.2任何要求</w:t>
      </w:r>
      <w:r>
        <w:rPr>
          <w:rFonts w:hint="eastAsia" w:hAnsi="宋体" w:eastAsia="宋体" w:cs="宋体"/>
          <w:bCs/>
          <w:color w:val="auto"/>
          <w:sz w:val="21"/>
          <w:szCs w:val="21"/>
        </w:rPr>
        <w:t>澄清竞争性磋商文</w:t>
      </w:r>
      <w:r>
        <w:rPr>
          <w:rFonts w:hint="eastAsia" w:hAnsi="宋体" w:eastAsia="宋体" w:cs="宋体"/>
          <w:color w:val="auto"/>
          <w:sz w:val="21"/>
          <w:szCs w:val="21"/>
        </w:rPr>
        <w:t>件的磋商供应商，均应在响应文件递交截止日期三日前的正常工作时间以传真等书面形式通知采购代理机构，同时认定其他澄清方式为无效。采购代理机构将以书面形式予以答复。</w:t>
      </w:r>
    </w:p>
    <w:p w14:paraId="103C8897">
      <w:pPr>
        <w:widowControl/>
        <w:spacing w:line="360" w:lineRule="auto"/>
        <w:ind w:firstLine="420" w:firstLineChars="200"/>
        <w:rPr>
          <w:rFonts w:ascii="宋体" w:hAnsi="宋体" w:eastAsia="宋体" w:cs="宋体"/>
          <w:bCs/>
          <w:color w:val="auto"/>
          <w:sz w:val="21"/>
          <w:szCs w:val="21"/>
        </w:rPr>
      </w:pP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.3.3</w:t>
      </w:r>
      <w:r>
        <w:rPr>
          <w:rFonts w:hint="eastAsia" w:ascii="宋体" w:hAnsi="宋体" w:eastAsia="宋体" w:cs="宋体"/>
          <w:bCs/>
          <w:color w:val="auto"/>
          <w:sz w:val="21"/>
          <w:szCs w:val="21"/>
        </w:rPr>
        <w:t>采购代理机构对已发出的磋商文件进行必要澄清或者修改的，在竞争性磋商文件要求提交竞争性磋商响应文件截止时间五日前（不足五日顺延），在同磋商公告发布网站上发布更正公告，并以书面形式通知所有竞争性磋商文件收受人。该澄清或者修改的内容为竞争性磋商文件的组成部分。</w:t>
      </w:r>
    </w:p>
    <w:p w14:paraId="7D333C57">
      <w:pPr>
        <w:pStyle w:val="35"/>
        <w:tabs>
          <w:tab w:val="left" w:pos="1508"/>
        </w:tabs>
        <w:spacing w:line="360" w:lineRule="auto"/>
        <w:ind w:left="0" w:firstLine="420" w:firstLineChars="20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rPr>
        <w:t>4</w:t>
      </w:r>
      <w:r>
        <w:rPr>
          <w:rFonts w:hint="eastAsia" w:ascii="宋体" w:hAnsi="宋体" w:eastAsia="宋体" w:cs="宋体"/>
          <w:bCs/>
          <w:color w:val="auto"/>
          <w:sz w:val="21"/>
          <w:szCs w:val="21"/>
        </w:rPr>
        <w:t>.3.4采购代理机构可视具体情况，延长响应文件递交截止时间和开标时间。采购代理机构至少在竞争性磋商文件要求提交竞争性磋商响应文件的截止时间一日前，将变更时间书面通知所有竞争性磋商文件收受人，并在同磋商公告发布网站上发布变更公告。</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lang w:val="en-US" w:eastAsia="zh-CN"/>
        </w:rPr>
        <w:t xml:space="preserve">    4.4磋商费用</w:t>
      </w:r>
    </w:p>
    <w:p w14:paraId="00B24ADA">
      <w:pPr>
        <w:pStyle w:val="35"/>
        <w:tabs>
          <w:tab w:val="left" w:pos="1508"/>
        </w:tabs>
        <w:spacing w:line="360" w:lineRule="auto"/>
        <w:ind w:left="0"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供应商应自行承担所有与编写和提交竞争性磋商响应文件有关的费用，不论磋商结果如何，采购单位和广西新凯林管理咨询有限公司在任何情况下无义务和责任承担此类费用</w:t>
      </w:r>
    </w:p>
    <w:p w14:paraId="086BE3F1">
      <w:pPr>
        <w:pStyle w:val="4"/>
        <w:spacing w:line="360" w:lineRule="auto"/>
        <w:ind w:left="0" w:firstLine="422" w:firstLineChars="200"/>
        <w:rPr>
          <w:rFonts w:ascii="宋体" w:hAnsi="宋体" w:eastAsia="宋体" w:cs="宋体"/>
          <w:color w:val="auto"/>
          <w:sz w:val="21"/>
          <w:szCs w:val="21"/>
        </w:rPr>
      </w:pPr>
      <w:bookmarkStart w:id="22" w:name="二、竞争性磋商响应文件的编制"/>
      <w:bookmarkEnd w:id="22"/>
      <w:r>
        <w:rPr>
          <w:rFonts w:hint="eastAsia" w:ascii="宋体" w:hAnsi="宋体" w:eastAsia="宋体" w:cs="宋体"/>
          <w:color w:val="auto"/>
          <w:sz w:val="21"/>
          <w:szCs w:val="21"/>
        </w:rPr>
        <w:t>二、竞争性磋商响应文件的编制</w:t>
      </w:r>
    </w:p>
    <w:p w14:paraId="2C1EDC51">
      <w:pPr>
        <w:pStyle w:val="35"/>
        <w:tabs>
          <w:tab w:val="left" w:pos="1355"/>
        </w:tabs>
        <w:spacing w:line="360" w:lineRule="auto"/>
        <w:ind w:left="0" w:firstLine="408" w:firstLineChars="200"/>
        <w:jc w:val="both"/>
        <w:rPr>
          <w:rFonts w:hint="default" w:ascii="Times New Roman" w:hAnsi="Times New Roman" w:eastAsia="宋体" w:cs="Times New Roman"/>
          <w:color w:val="auto"/>
          <w:sz w:val="21"/>
          <w:szCs w:val="21"/>
        </w:rPr>
      </w:pPr>
      <w:bookmarkStart w:id="23" w:name="5._竞争性磋商响应文件编制基本要求"/>
      <w:bookmarkEnd w:id="23"/>
      <w:r>
        <w:rPr>
          <w:rFonts w:hint="eastAsia" w:ascii="Times New Roman" w:hAnsi="Times New Roman" w:eastAsia="宋体" w:cs="Times New Roman"/>
          <w:color w:val="auto"/>
          <w:spacing w:val="-3"/>
          <w:sz w:val="21"/>
          <w:szCs w:val="21"/>
          <w:lang w:val="en-US" w:eastAsia="zh-CN"/>
        </w:rPr>
        <w:t>1</w:t>
      </w:r>
      <w:r>
        <w:rPr>
          <w:rFonts w:hint="default" w:ascii="Times New Roman" w:hAnsi="Times New Roman" w:eastAsia="宋体" w:cs="Times New Roman"/>
          <w:color w:val="auto"/>
          <w:spacing w:val="-3"/>
          <w:sz w:val="21"/>
          <w:szCs w:val="21"/>
          <w:lang w:val="en-US"/>
        </w:rPr>
        <w:t>.</w:t>
      </w:r>
      <w:r>
        <w:rPr>
          <w:rFonts w:hint="default" w:ascii="Times New Roman" w:hAnsi="Times New Roman" w:eastAsia="宋体" w:cs="Times New Roman"/>
          <w:color w:val="auto"/>
          <w:spacing w:val="-3"/>
          <w:sz w:val="21"/>
          <w:szCs w:val="21"/>
        </w:rPr>
        <w:t>竞争性磋商响应文件编制基本要求</w:t>
      </w:r>
    </w:p>
    <w:p w14:paraId="18A5CCFD">
      <w:pPr>
        <w:pStyle w:val="35"/>
        <w:tabs>
          <w:tab w:val="left" w:pos="1424"/>
        </w:tabs>
        <w:spacing w:line="360" w:lineRule="auto"/>
        <w:ind w:left="0" w:firstLine="392" w:firstLineChars="200"/>
        <w:jc w:val="both"/>
        <w:rPr>
          <w:rFonts w:hint="default" w:ascii="Times New Roman" w:hAnsi="Times New Roman" w:eastAsia="宋体" w:cs="Times New Roman"/>
          <w:color w:val="auto"/>
          <w:spacing w:val="-7"/>
          <w:sz w:val="21"/>
          <w:szCs w:val="21"/>
          <w:lang w:val="en-US"/>
        </w:rPr>
      </w:pPr>
      <w:bookmarkStart w:id="24" w:name="5.1供应商对竞争性磋商响应文件的编制应按要求装订和封装，不符合要求的不予接收。"/>
      <w:bookmarkEnd w:id="24"/>
      <w:r>
        <w:rPr>
          <w:rFonts w:hint="eastAsia" w:ascii="Times New Roman" w:hAnsi="Times New Roman" w:eastAsia="宋体" w:cs="Times New Roman"/>
          <w:color w:val="auto"/>
          <w:spacing w:val="-7"/>
          <w:sz w:val="21"/>
          <w:szCs w:val="21"/>
          <w:lang w:val="en-US" w:eastAsia="zh-CN"/>
        </w:rPr>
        <w:t>1.1.1</w:t>
      </w:r>
      <w:r>
        <w:rPr>
          <w:rFonts w:hint="default" w:ascii="Times New Roman" w:hAnsi="Times New Roman" w:eastAsia="宋体" w:cs="Times New Roman"/>
          <w:color w:val="auto"/>
          <w:spacing w:val="-7"/>
          <w:sz w:val="21"/>
          <w:szCs w:val="21"/>
          <w:lang w:val="en-US"/>
        </w:rPr>
        <w:t>磋商响应文件启用顺序和效力：磋商响应文件的启用，按先后顺位分别为电子响应文件、备份响应文件。全部供应商的电子响应文件均已按时解密的，备份响应文件自动失效，全部供应商的电子响应文件均无法按时解密的，启用备份响应文件进行线下磋商。如果某位供应商的电子响应文件无法按时解密的，其电子响应文件为无效，启用备份响应文件。未传输递交电子响应文件及未按规定提供相应备份响应文件的，磋商无效。</w:t>
      </w:r>
    </w:p>
    <w:p w14:paraId="3CDBDE23">
      <w:pPr>
        <w:pStyle w:val="35"/>
        <w:tabs>
          <w:tab w:val="left" w:pos="1424"/>
        </w:tabs>
        <w:spacing w:line="360" w:lineRule="auto"/>
        <w:ind w:left="0" w:firstLine="392" w:firstLineChars="200"/>
        <w:jc w:val="both"/>
        <w:rPr>
          <w:rFonts w:hint="default" w:ascii="Times New Roman" w:hAnsi="Times New Roman" w:eastAsia="宋体" w:cs="Times New Roman"/>
          <w:color w:val="auto"/>
          <w:spacing w:val="-7"/>
          <w:sz w:val="21"/>
          <w:szCs w:val="21"/>
          <w:lang w:val="en-US"/>
        </w:rPr>
      </w:pPr>
      <w:r>
        <w:rPr>
          <w:rFonts w:hint="eastAsia" w:ascii="Times New Roman" w:hAnsi="Times New Roman" w:eastAsia="宋体" w:cs="Times New Roman"/>
          <w:color w:val="auto"/>
          <w:spacing w:val="-7"/>
          <w:sz w:val="21"/>
          <w:szCs w:val="21"/>
          <w:lang w:val="en-US" w:eastAsia="zh-CN"/>
        </w:rPr>
        <w:t>1</w:t>
      </w:r>
      <w:r>
        <w:rPr>
          <w:rFonts w:hint="default" w:ascii="Times New Roman" w:hAnsi="Times New Roman" w:eastAsia="宋体" w:cs="Times New Roman"/>
          <w:color w:val="auto"/>
          <w:spacing w:val="-7"/>
          <w:sz w:val="21"/>
          <w:szCs w:val="21"/>
          <w:lang w:val="en-US"/>
        </w:rPr>
        <w:t>.1.2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14:paraId="58D50EFA">
      <w:pPr>
        <w:pStyle w:val="35"/>
        <w:tabs>
          <w:tab w:val="left" w:pos="1424"/>
        </w:tabs>
        <w:spacing w:line="360" w:lineRule="auto"/>
        <w:ind w:left="0" w:firstLine="392" w:firstLineChars="200"/>
        <w:jc w:val="both"/>
        <w:rPr>
          <w:rFonts w:hint="default" w:ascii="Times New Roman" w:hAnsi="Times New Roman" w:eastAsia="宋体" w:cs="Times New Roman"/>
          <w:color w:val="auto"/>
          <w:spacing w:val="-7"/>
          <w:sz w:val="21"/>
          <w:szCs w:val="21"/>
          <w:lang w:val="en-US"/>
        </w:rPr>
      </w:pPr>
      <w:r>
        <w:rPr>
          <w:rFonts w:hint="eastAsia" w:ascii="Times New Roman" w:hAnsi="Times New Roman" w:eastAsia="宋体" w:cs="Times New Roman"/>
          <w:color w:val="auto"/>
          <w:spacing w:val="-7"/>
          <w:sz w:val="21"/>
          <w:szCs w:val="21"/>
          <w:lang w:val="en-US" w:eastAsia="zh-CN"/>
        </w:rPr>
        <w:t>1</w:t>
      </w:r>
      <w:r>
        <w:rPr>
          <w:rFonts w:hint="default" w:ascii="Times New Roman" w:hAnsi="Times New Roman" w:eastAsia="宋体" w:cs="Times New Roman"/>
          <w:color w:val="auto"/>
          <w:spacing w:val="-7"/>
          <w:sz w:val="21"/>
          <w:szCs w:val="21"/>
          <w:lang w:val="en-US"/>
        </w:rPr>
        <w:t>.1.3供应商应认真阅读、并充分理解本文件的全部内容（包括所有的澄清、更改、补充、答疑等内容），承诺并履行本文件中各项条款规定及要求。</w:t>
      </w:r>
    </w:p>
    <w:p w14:paraId="07296182">
      <w:pPr>
        <w:pStyle w:val="35"/>
        <w:tabs>
          <w:tab w:val="left" w:pos="1424"/>
        </w:tabs>
        <w:spacing w:line="360" w:lineRule="auto"/>
        <w:ind w:left="0" w:firstLine="392" w:firstLineChars="200"/>
        <w:jc w:val="both"/>
        <w:rPr>
          <w:rFonts w:hint="default" w:ascii="Times New Roman" w:hAnsi="Times New Roman" w:eastAsia="宋体" w:cs="Times New Roman"/>
          <w:color w:val="auto"/>
          <w:spacing w:val="-7"/>
          <w:sz w:val="21"/>
          <w:szCs w:val="21"/>
          <w:lang w:val="en-US"/>
        </w:rPr>
      </w:pPr>
      <w:r>
        <w:rPr>
          <w:rFonts w:hint="eastAsia" w:ascii="Times New Roman" w:hAnsi="Times New Roman" w:eastAsia="宋体" w:cs="Times New Roman"/>
          <w:color w:val="auto"/>
          <w:spacing w:val="-7"/>
          <w:sz w:val="21"/>
          <w:szCs w:val="21"/>
          <w:lang w:val="en-US" w:eastAsia="zh-CN"/>
        </w:rPr>
        <w:t>1</w:t>
      </w:r>
      <w:r>
        <w:rPr>
          <w:rFonts w:hint="default" w:ascii="Times New Roman" w:hAnsi="Times New Roman" w:eastAsia="宋体" w:cs="Times New Roman"/>
          <w:color w:val="auto"/>
          <w:spacing w:val="-7"/>
          <w:sz w:val="21"/>
          <w:szCs w:val="21"/>
          <w:lang w:val="en-US"/>
        </w:rPr>
        <w:t>.1.4竞争性磋商响应文件必须按本文件的全部内容，包括所有的澄清、更改、补充、答疑等内容及附件进行编制。</w:t>
      </w:r>
    </w:p>
    <w:p w14:paraId="1B9C94BB">
      <w:pPr>
        <w:pStyle w:val="35"/>
        <w:tabs>
          <w:tab w:val="left" w:pos="1424"/>
        </w:tabs>
        <w:spacing w:line="360" w:lineRule="auto"/>
        <w:ind w:left="0" w:firstLine="392" w:firstLineChars="200"/>
        <w:jc w:val="both"/>
        <w:rPr>
          <w:rFonts w:hint="default" w:ascii="Times New Roman" w:hAnsi="Times New Roman" w:eastAsia="宋体" w:cs="Times New Roman"/>
          <w:color w:val="auto"/>
          <w:spacing w:val="-7"/>
          <w:sz w:val="21"/>
          <w:szCs w:val="21"/>
          <w:lang w:val="en-US"/>
        </w:rPr>
      </w:pPr>
      <w:r>
        <w:rPr>
          <w:rFonts w:hint="eastAsia" w:ascii="Times New Roman" w:hAnsi="Times New Roman" w:eastAsia="宋体" w:cs="Times New Roman"/>
          <w:color w:val="auto"/>
          <w:spacing w:val="-7"/>
          <w:sz w:val="21"/>
          <w:szCs w:val="21"/>
          <w:lang w:val="en-US" w:eastAsia="zh-CN"/>
        </w:rPr>
        <w:t>1</w:t>
      </w:r>
      <w:r>
        <w:rPr>
          <w:rFonts w:hint="default" w:ascii="Times New Roman" w:hAnsi="Times New Roman" w:eastAsia="宋体" w:cs="Times New Roman"/>
          <w:color w:val="auto"/>
          <w:spacing w:val="-7"/>
          <w:sz w:val="21"/>
          <w:szCs w:val="21"/>
          <w:lang w:val="en-US"/>
        </w:rPr>
        <w:t>.1.5如因供应商只填写和提供了本文件要求的部分内容和附件，而给磋商小组评审造成困难，其可能导致的结果和责任由供应商自行承担。</w:t>
      </w:r>
    </w:p>
    <w:p w14:paraId="475B65D5">
      <w:pPr>
        <w:pStyle w:val="35"/>
        <w:tabs>
          <w:tab w:val="left" w:pos="1424"/>
        </w:tabs>
        <w:spacing w:line="360" w:lineRule="auto"/>
        <w:ind w:left="0" w:firstLine="392" w:firstLineChars="200"/>
        <w:jc w:val="both"/>
        <w:rPr>
          <w:rFonts w:ascii="宋体" w:hAnsi="宋体" w:eastAsia="宋体" w:cs="宋体"/>
          <w:color w:val="FF0000"/>
          <w:sz w:val="21"/>
          <w:szCs w:val="21"/>
        </w:rPr>
      </w:pPr>
      <w:r>
        <w:rPr>
          <w:rFonts w:hint="eastAsia" w:ascii="Times New Roman" w:hAnsi="Times New Roman" w:eastAsia="宋体" w:cs="Times New Roman"/>
          <w:color w:val="auto"/>
          <w:spacing w:val="-7"/>
          <w:sz w:val="21"/>
          <w:szCs w:val="21"/>
          <w:lang w:val="en-US" w:eastAsia="zh-CN"/>
        </w:rPr>
        <w:t>1</w:t>
      </w:r>
      <w:r>
        <w:rPr>
          <w:rFonts w:hint="default" w:ascii="Times New Roman" w:hAnsi="Times New Roman" w:eastAsia="宋体" w:cs="Times New Roman"/>
          <w:color w:val="auto"/>
          <w:spacing w:val="-7"/>
          <w:sz w:val="21"/>
          <w:szCs w:val="21"/>
          <w:lang w:val="en-US"/>
        </w:rPr>
        <w:t>.1.6竞争性磋商响应文件的组成：竞争性磋商响应文件应分为价格文件和商务技术文件两个部分组成。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38B0B2BB">
      <w:pPr>
        <w:pStyle w:val="35"/>
        <w:tabs>
          <w:tab w:val="left" w:pos="1705"/>
        </w:tabs>
        <w:spacing w:line="360" w:lineRule="auto"/>
        <w:ind w:left="0" w:firstLine="412" w:firstLineChars="200"/>
        <w:jc w:val="both"/>
        <w:rPr>
          <w:rFonts w:ascii="宋体" w:hAnsi="宋体" w:eastAsia="宋体" w:cs="宋体"/>
          <w:color w:val="auto"/>
          <w:sz w:val="21"/>
          <w:szCs w:val="21"/>
        </w:rPr>
      </w:pPr>
      <w:bookmarkStart w:id="25" w:name="5.6.1价格文件"/>
      <w:bookmarkEnd w:id="25"/>
      <w:r>
        <w:rPr>
          <w:rFonts w:hint="eastAsia" w:ascii="宋体" w:hAnsi="宋体" w:eastAsia="宋体" w:cs="宋体"/>
          <w:color w:val="auto"/>
          <w:spacing w:val="-2"/>
          <w:sz w:val="21"/>
          <w:szCs w:val="21"/>
          <w:lang w:val="en-US"/>
        </w:rPr>
        <w:t>1.2</w:t>
      </w:r>
      <w:r>
        <w:rPr>
          <w:rFonts w:hint="eastAsia" w:ascii="宋体" w:hAnsi="宋体" w:eastAsia="宋体" w:cs="宋体"/>
          <w:color w:val="auto"/>
          <w:spacing w:val="-2"/>
          <w:sz w:val="21"/>
          <w:szCs w:val="21"/>
        </w:rPr>
        <w:t>价格文件</w:t>
      </w:r>
    </w:p>
    <w:p w14:paraId="433D927E">
      <w:pPr>
        <w:pStyle w:val="9"/>
        <w:spacing w:line="360" w:lineRule="auto"/>
        <w:ind w:firstLine="440" w:firstLineChars="200"/>
        <w:rPr>
          <w:rFonts w:ascii="宋体" w:hAnsi="宋体" w:eastAsia="宋体" w:cs="宋体"/>
          <w:color w:val="auto"/>
          <w:sz w:val="21"/>
          <w:szCs w:val="21"/>
        </w:rPr>
      </w:pPr>
      <w:bookmarkStart w:id="26" w:name="（1）磋商报价表；（附件二）"/>
      <w:bookmarkEnd w:id="26"/>
      <w:r>
        <w:rPr>
          <w:rFonts w:hint="eastAsia" w:ascii="宋体"/>
          <w:color w:val="auto"/>
          <w:sz w:val="22"/>
          <w:szCs w:val="22"/>
        </w:rPr>
        <w:t>▲</w:t>
      </w:r>
      <w:r>
        <w:rPr>
          <w:rFonts w:hint="eastAsia" w:ascii="宋体" w:hAnsi="宋体" w:eastAsia="宋体" w:cs="宋体"/>
          <w:color w:val="auto"/>
          <w:spacing w:val="-2"/>
          <w:sz w:val="21"/>
          <w:szCs w:val="21"/>
          <w:lang w:val="en-US" w:eastAsia="zh-CN" w:bidi="zh-CN"/>
        </w:rPr>
        <w:t>（1）磋</w:t>
      </w:r>
      <w:r>
        <w:rPr>
          <w:rFonts w:hint="eastAsia" w:ascii="宋体" w:hAnsi="宋体" w:eastAsia="宋体" w:cs="宋体"/>
          <w:color w:val="auto"/>
          <w:spacing w:val="-2"/>
          <w:sz w:val="21"/>
          <w:szCs w:val="21"/>
        </w:rPr>
        <w:t>商报价表；</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69C21B8A">
      <w:pPr>
        <w:pStyle w:val="35"/>
        <w:tabs>
          <w:tab w:val="left" w:pos="1775"/>
        </w:tabs>
        <w:spacing w:line="360" w:lineRule="auto"/>
        <w:ind w:left="0" w:firstLine="408" w:firstLineChars="200"/>
        <w:jc w:val="both"/>
        <w:rPr>
          <w:rFonts w:ascii="宋体" w:hAnsi="宋体" w:eastAsia="宋体" w:cs="宋体"/>
          <w:color w:val="auto"/>
          <w:sz w:val="21"/>
          <w:szCs w:val="21"/>
        </w:rPr>
      </w:pPr>
      <w:bookmarkStart w:id="27" w:name="5.6.2_商务技术文件_"/>
      <w:bookmarkEnd w:id="27"/>
      <w:r>
        <w:rPr>
          <w:rFonts w:hint="eastAsia" w:ascii="宋体" w:hAnsi="宋体" w:eastAsia="宋体" w:cs="宋体"/>
          <w:color w:val="auto"/>
          <w:spacing w:val="-3"/>
          <w:sz w:val="21"/>
          <w:szCs w:val="21"/>
          <w:lang w:val="en-US"/>
        </w:rPr>
        <w:t>1.3</w:t>
      </w:r>
      <w:r>
        <w:rPr>
          <w:rFonts w:hint="eastAsia" w:ascii="宋体" w:hAnsi="宋体" w:eastAsia="宋体" w:cs="宋体"/>
          <w:color w:val="auto"/>
          <w:spacing w:val="-3"/>
          <w:sz w:val="21"/>
          <w:szCs w:val="21"/>
        </w:rPr>
        <w:t>商务技术文件</w:t>
      </w:r>
    </w:p>
    <w:p w14:paraId="2CC19D5B">
      <w:pPr>
        <w:pStyle w:val="35"/>
        <w:tabs>
          <w:tab w:val="left" w:pos="1495"/>
        </w:tabs>
        <w:spacing w:line="360" w:lineRule="auto"/>
        <w:ind w:left="0" w:firstLine="440" w:firstLineChars="200"/>
        <w:rPr>
          <w:rFonts w:ascii="宋体" w:hAnsi="宋体" w:eastAsia="宋体" w:cs="宋体"/>
          <w:color w:val="auto"/>
          <w:sz w:val="21"/>
          <w:szCs w:val="21"/>
        </w:rPr>
      </w:pPr>
      <w:bookmarkStart w:id="28" w:name="（1）磋商书；（附件一）"/>
      <w:bookmarkEnd w:id="28"/>
      <w:bookmarkStart w:id="29" w:name="6.计量单位"/>
      <w:bookmarkEnd w:id="29"/>
      <w:bookmarkStart w:id="30" w:name="（7）中小企业声明函（如有，须按第六章格式填写并按工信部联企业〔2011〕300"/>
      <w:bookmarkEnd w:id="30"/>
      <w:r>
        <w:rPr>
          <w:rFonts w:hint="eastAsia" w:ascii="宋体"/>
          <w:color w:val="auto"/>
        </w:rPr>
        <w:t>▲</w:t>
      </w:r>
      <w:r>
        <w:rPr>
          <w:rFonts w:hint="eastAsia" w:ascii="宋体" w:hAnsi="宋体" w:eastAsia="宋体" w:cs="宋体"/>
          <w:color w:val="auto"/>
          <w:spacing w:val="-2"/>
          <w:sz w:val="21"/>
          <w:szCs w:val="21"/>
          <w:lang w:val="en-US"/>
        </w:rPr>
        <w:t>（1）</w:t>
      </w:r>
      <w:r>
        <w:rPr>
          <w:rFonts w:hint="eastAsia" w:ascii="宋体" w:hAnsi="宋体" w:eastAsia="宋体" w:cs="宋体"/>
          <w:color w:val="auto"/>
          <w:spacing w:val="-2"/>
          <w:sz w:val="21"/>
          <w:szCs w:val="21"/>
        </w:rPr>
        <w:t>磋商书；</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728CC1BD">
      <w:pPr>
        <w:pStyle w:val="35"/>
        <w:tabs>
          <w:tab w:val="left" w:pos="1495"/>
        </w:tabs>
        <w:spacing w:line="360" w:lineRule="auto"/>
        <w:ind w:left="0" w:firstLine="440" w:firstLineChars="200"/>
        <w:rPr>
          <w:rFonts w:ascii="宋体" w:hAnsi="宋体" w:eastAsia="宋体" w:cs="宋体"/>
          <w:color w:val="auto"/>
          <w:sz w:val="21"/>
          <w:szCs w:val="21"/>
        </w:rPr>
      </w:pPr>
      <w:r>
        <w:rPr>
          <w:rFonts w:hint="eastAsia" w:ascii="宋体"/>
          <w:color w:val="auto"/>
        </w:rPr>
        <w:t>▲</w:t>
      </w:r>
      <w:r>
        <w:rPr>
          <w:rFonts w:hint="eastAsia" w:ascii="宋体" w:hAnsi="宋体" w:eastAsia="宋体" w:cs="宋体"/>
          <w:color w:val="auto"/>
          <w:spacing w:val="-3"/>
          <w:sz w:val="21"/>
          <w:szCs w:val="21"/>
          <w:lang w:val="en-US"/>
        </w:rPr>
        <w:t>（2）</w:t>
      </w:r>
      <w:r>
        <w:rPr>
          <w:rFonts w:hint="eastAsia" w:ascii="宋体" w:hAnsi="宋体" w:eastAsia="宋体" w:cs="宋体"/>
          <w:color w:val="auto"/>
          <w:spacing w:val="-3"/>
          <w:sz w:val="21"/>
          <w:szCs w:val="21"/>
        </w:rPr>
        <w:t>商务、服务（技术）响应、偏离情况说明表；</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76AA21FA">
      <w:pPr>
        <w:pStyle w:val="36"/>
        <w:tabs>
          <w:tab w:val="left" w:pos="638"/>
        </w:tabs>
        <w:spacing w:line="360" w:lineRule="auto"/>
        <w:ind w:left="440" w:leftChars="200" w:right="8" w:firstLine="0" w:firstLineChars="0"/>
        <w:rPr>
          <w:rFonts w:hint="eastAsia" w:ascii="宋体" w:hAnsi="宋体" w:eastAsia="宋体" w:cs="宋体"/>
          <w:color w:val="auto"/>
          <w:spacing w:val="-3"/>
          <w:sz w:val="21"/>
          <w:szCs w:val="21"/>
          <w:lang w:val="en-US" w:eastAsia="zh-CN"/>
        </w:rPr>
      </w:pPr>
      <w:bookmarkStart w:id="31" w:name="（5）资格证明文件"/>
      <w:bookmarkEnd w:id="31"/>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3</w:t>
      </w:r>
      <w:r>
        <w:rPr>
          <w:rFonts w:hint="eastAsia" w:ascii="宋体" w:hAnsi="宋体" w:eastAsia="宋体" w:cs="宋体"/>
          <w:color w:val="auto"/>
          <w:spacing w:val="-3"/>
          <w:sz w:val="21"/>
          <w:szCs w:val="21"/>
          <w:lang w:val="en-US"/>
        </w:rPr>
        <w:t>）</w:t>
      </w:r>
      <w:r>
        <w:rPr>
          <w:rFonts w:hint="default" w:ascii="Times New Roman" w:hAnsi="Times New Roman" w:eastAsia="宋体" w:cs="Times New Roman"/>
          <w:color w:val="auto"/>
          <w:spacing w:val="-3"/>
          <w:sz w:val="21"/>
          <w:szCs w:val="21"/>
          <w:highlight w:val="none"/>
          <w:lang w:val="en-US" w:eastAsia="zh-CN" w:bidi="zh-CN"/>
        </w:rPr>
        <w:t>北海市政府采购供应商信用承诺函</w:t>
      </w:r>
      <w:r>
        <w:rPr>
          <w:rFonts w:hint="eastAsia" w:ascii="宋体" w:hAnsi="宋体" w:eastAsia="宋体" w:cs="宋体"/>
          <w:b w:val="0"/>
          <w:bCs w:val="0"/>
          <w:color w:val="auto"/>
          <w:spacing w:val="-3"/>
          <w:sz w:val="21"/>
          <w:szCs w:val="21"/>
          <w:lang w:val="en-US"/>
        </w:rPr>
        <w:t>；</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r>
        <w:rPr>
          <w:rFonts w:hint="eastAsia" w:ascii="宋体" w:hAnsi="宋体" w:eastAsia="宋体" w:cs="宋体"/>
          <w:b/>
          <w:bCs/>
          <w:color w:val="auto"/>
          <w:sz w:val="21"/>
          <w:szCs w:val="21"/>
        </w:rPr>
        <w:br w:type="textWrapping"/>
      </w:r>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4</w:t>
      </w:r>
      <w:r>
        <w:rPr>
          <w:rFonts w:hint="eastAsia" w:ascii="宋体" w:hAnsi="宋体" w:eastAsia="宋体" w:cs="宋体"/>
          <w:color w:val="auto"/>
          <w:spacing w:val="-3"/>
          <w:sz w:val="21"/>
          <w:szCs w:val="21"/>
          <w:lang w:val="en-US"/>
        </w:rPr>
        <w:t>）</w:t>
      </w:r>
      <w:r>
        <w:rPr>
          <w:rFonts w:hint="eastAsia" w:eastAsia="宋体" w:cs="宋体"/>
          <w:color w:val="auto"/>
          <w:sz w:val="21"/>
          <w:szCs w:val="21"/>
          <w:lang w:val="en-US" w:eastAsia="zh-CN"/>
        </w:rPr>
        <w:t>供应商须具备有效的《保安服务许可证》</w:t>
      </w:r>
      <w:r>
        <w:rPr>
          <w:rFonts w:hint="eastAsia" w:ascii="宋体" w:hAnsi="宋体" w:eastAsia="宋体" w:cs="宋体"/>
          <w:b w:val="0"/>
          <w:bCs w:val="0"/>
          <w:color w:val="auto"/>
          <w:spacing w:val="-3"/>
          <w:sz w:val="21"/>
          <w:szCs w:val="21"/>
          <w:lang w:val="en-US"/>
        </w:rPr>
        <w:t>；</w:t>
      </w:r>
      <w:r>
        <w:rPr>
          <w:rFonts w:hint="eastAsia" w:ascii="宋体" w:hAnsi="宋体" w:eastAsia="宋体" w:cs="宋体"/>
          <w:b/>
          <w:bCs/>
          <w:color w:val="auto"/>
          <w:sz w:val="21"/>
          <w:szCs w:val="21"/>
        </w:rPr>
        <w:t>（必须提供）</w:t>
      </w:r>
      <w:r>
        <w:rPr>
          <w:rFonts w:hint="eastAsia" w:ascii="宋体" w:hAnsi="宋体" w:eastAsia="宋体" w:cs="宋体"/>
          <w:b/>
          <w:bCs/>
          <w:color w:val="auto"/>
          <w:sz w:val="21"/>
          <w:szCs w:val="21"/>
        </w:rPr>
        <w:br w:type="textWrapping"/>
      </w:r>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5</w:t>
      </w:r>
      <w:r>
        <w:rPr>
          <w:rFonts w:hint="eastAsia" w:ascii="宋体" w:hAnsi="宋体" w:eastAsia="宋体" w:cs="宋体"/>
          <w:color w:val="auto"/>
          <w:spacing w:val="-3"/>
          <w:sz w:val="21"/>
          <w:szCs w:val="21"/>
          <w:lang w:val="en-US"/>
        </w:rPr>
        <w:t>）</w:t>
      </w:r>
      <w:r>
        <w:rPr>
          <w:rFonts w:hint="eastAsia" w:ascii="Times New Roman" w:hAnsi="Times New Roman" w:eastAsia="宋体" w:cs="Times New Roman"/>
          <w:color w:val="auto"/>
          <w:spacing w:val="-3"/>
          <w:sz w:val="21"/>
          <w:szCs w:val="21"/>
          <w:highlight w:val="none"/>
          <w:lang w:val="en-US" w:eastAsia="zh-CN"/>
        </w:rPr>
        <w:t>中小企业声明函</w:t>
      </w:r>
      <w:r>
        <w:rPr>
          <w:rFonts w:hint="eastAsia" w:ascii="宋体" w:hAnsi="宋体" w:eastAsia="宋体" w:cs="宋体"/>
          <w:b w:val="0"/>
          <w:bCs w:val="0"/>
          <w:color w:val="auto"/>
          <w:spacing w:val="-3"/>
          <w:sz w:val="21"/>
          <w:szCs w:val="21"/>
          <w:lang w:val="en-US"/>
        </w:rPr>
        <w:t>；</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742A07D0">
      <w:pPr>
        <w:pStyle w:val="36"/>
        <w:tabs>
          <w:tab w:val="left" w:pos="672"/>
        </w:tabs>
        <w:spacing w:line="360" w:lineRule="auto"/>
        <w:ind w:right="92" w:firstLine="440" w:firstLineChars="200"/>
        <w:rPr>
          <w:rFonts w:ascii="宋体" w:hAnsi="宋体" w:eastAsia="宋体" w:cs="宋体"/>
          <w:color w:val="auto"/>
          <w:spacing w:val="-3"/>
          <w:sz w:val="21"/>
          <w:szCs w:val="21"/>
          <w:lang w:val="en-US"/>
        </w:rPr>
      </w:pPr>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6</w:t>
      </w:r>
      <w:r>
        <w:rPr>
          <w:rFonts w:hint="eastAsia" w:ascii="宋体" w:hAnsi="宋体" w:eastAsia="宋体" w:cs="宋体"/>
          <w:color w:val="auto"/>
          <w:spacing w:val="-3"/>
          <w:sz w:val="21"/>
          <w:szCs w:val="21"/>
          <w:lang w:val="en-US"/>
        </w:rPr>
        <w:t>）法定代表人身份证明及法定代表人有效身份证正反面复印件；</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2008660F">
      <w:pPr>
        <w:pStyle w:val="36"/>
        <w:tabs>
          <w:tab w:val="left" w:pos="672"/>
        </w:tabs>
        <w:spacing w:line="360" w:lineRule="auto"/>
        <w:ind w:right="92" w:firstLine="440" w:firstLineChars="200"/>
        <w:rPr>
          <w:rFonts w:ascii="宋体" w:hAnsi="宋体" w:eastAsia="宋体" w:cs="宋体"/>
          <w:color w:val="auto"/>
          <w:spacing w:val="-3"/>
          <w:sz w:val="21"/>
          <w:szCs w:val="21"/>
          <w:lang w:val="en-US"/>
        </w:rPr>
      </w:pPr>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7</w:t>
      </w:r>
      <w:r>
        <w:rPr>
          <w:rFonts w:hint="eastAsia" w:ascii="宋体" w:hAnsi="宋体" w:eastAsia="宋体" w:cs="宋体"/>
          <w:color w:val="auto"/>
          <w:spacing w:val="-3"/>
          <w:sz w:val="21"/>
          <w:szCs w:val="21"/>
          <w:lang w:val="en-US"/>
        </w:rPr>
        <w:t>）法定代表人授权委托书及被授权人有效身份证正反面复印件；</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pacing w:val="-3"/>
          <w:sz w:val="21"/>
          <w:szCs w:val="21"/>
          <w:lang w:val="en-US"/>
        </w:rPr>
        <w:t>（委托代理时，必须提供）</w:t>
      </w:r>
    </w:p>
    <w:p w14:paraId="4F2A7DBB">
      <w:pPr>
        <w:pStyle w:val="36"/>
        <w:tabs>
          <w:tab w:val="left" w:pos="777"/>
        </w:tabs>
        <w:spacing w:line="360" w:lineRule="auto"/>
        <w:ind w:firstLine="440" w:firstLineChars="200"/>
        <w:rPr>
          <w:rFonts w:ascii="宋体" w:hAnsi="宋体" w:eastAsia="宋体" w:cs="宋体"/>
          <w:b/>
          <w:bCs/>
          <w:color w:val="auto"/>
          <w:spacing w:val="-3"/>
          <w:sz w:val="21"/>
          <w:szCs w:val="21"/>
          <w:lang w:val="en-US"/>
        </w:rPr>
      </w:pPr>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8</w:t>
      </w:r>
      <w:r>
        <w:rPr>
          <w:rFonts w:hint="eastAsia" w:ascii="宋体" w:hAnsi="宋体" w:eastAsia="宋体" w:cs="宋体"/>
          <w:color w:val="auto"/>
          <w:spacing w:val="-3"/>
          <w:sz w:val="21"/>
          <w:szCs w:val="21"/>
          <w:lang w:val="en-US"/>
        </w:rPr>
        <w:t>）服务方案（</w:t>
      </w:r>
      <w:r>
        <w:rPr>
          <w:rFonts w:hint="eastAsia" w:ascii="宋体" w:hAnsi="宋体" w:eastAsia="宋体" w:cs="宋体"/>
          <w:color w:val="auto"/>
          <w:spacing w:val="-3"/>
          <w:sz w:val="21"/>
          <w:szCs w:val="21"/>
          <w:lang w:val="en-US" w:eastAsia="zh-CN"/>
        </w:rPr>
        <w:t>包含但不限于服务方案</w:t>
      </w:r>
      <w:r>
        <w:rPr>
          <w:rFonts w:hint="eastAsia" w:ascii="宋体" w:hAnsi="宋体" w:eastAsia="宋体" w:cs="宋体"/>
          <w:color w:val="auto"/>
          <w:spacing w:val="-3"/>
          <w:sz w:val="21"/>
          <w:szCs w:val="21"/>
          <w:lang w:val="en-US"/>
        </w:rPr>
        <w:t>）；</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4556A398">
      <w:pPr>
        <w:pStyle w:val="36"/>
        <w:tabs>
          <w:tab w:val="left" w:pos="777"/>
        </w:tabs>
        <w:spacing w:line="360" w:lineRule="auto"/>
        <w:ind w:firstLine="440" w:firstLineChars="200"/>
        <w:rPr>
          <w:rFonts w:ascii="宋体" w:hAnsi="宋体" w:eastAsia="宋体" w:cs="宋体"/>
          <w:b/>
          <w:bCs/>
          <w:color w:val="auto"/>
          <w:spacing w:val="-3"/>
          <w:sz w:val="21"/>
          <w:szCs w:val="21"/>
          <w:highlight w:val="none"/>
          <w:lang w:val="en-US"/>
        </w:rPr>
      </w:pPr>
      <w:r>
        <w:rPr>
          <w:rFonts w:hint="eastAsia" w:ascii="宋体"/>
          <w:color w:val="auto"/>
          <w:highlight w:val="none"/>
        </w:rPr>
        <w:t>▲</w:t>
      </w:r>
      <w:r>
        <w:rPr>
          <w:rFonts w:hint="eastAsia" w:ascii="宋体" w:hAnsi="宋体" w:eastAsia="宋体" w:cs="宋体"/>
          <w:color w:val="auto"/>
          <w:spacing w:val="-3"/>
          <w:sz w:val="21"/>
          <w:szCs w:val="21"/>
          <w:highlight w:val="none"/>
          <w:lang w:val="en-US"/>
        </w:rPr>
        <w:t>（</w:t>
      </w:r>
      <w:r>
        <w:rPr>
          <w:rFonts w:hint="eastAsia" w:ascii="宋体" w:hAnsi="宋体" w:eastAsia="宋体"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val="en-US"/>
        </w:rPr>
        <w:t>）拟投入本项目的人员配置情况表；</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6CD37BFA">
      <w:pPr>
        <w:pStyle w:val="36"/>
        <w:tabs>
          <w:tab w:val="left" w:pos="777"/>
        </w:tabs>
        <w:spacing w:line="360" w:lineRule="auto"/>
        <w:ind w:left="440" w:leftChars="200" w:firstLine="0" w:firstLineChars="0"/>
        <w:rPr>
          <w:rFonts w:ascii="宋体" w:hAnsi="宋体" w:eastAsia="宋体" w:cs="宋体"/>
          <w:b/>
          <w:bCs/>
          <w:color w:val="auto"/>
          <w:spacing w:val="-3"/>
          <w:sz w:val="21"/>
          <w:szCs w:val="21"/>
          <w:lang w:val="en-US"/>
        </w:rPr>
      </w:pPr>
      <w:r>
        <w:rPr>
          <w:rFonts w:hint="eastAsia" w:ascii="宋体"/>
          <w:color w:val="auto"/>
        </w:rPr>
        <w:t>▲</w:t>
      </w:r>
      <w:r>
        <w:rPr>
          <w:rFonts w:hint="eastAsia" w:ascii="宋体" w:hAnsi="宋体" w:eastAsia="宋体" w:cs="宋体"/>
          <w:color w:val="auto"/>
          <w:spacing w:val="-3"/>
          <w:sz w:val="21"/>
          <w:szCs w:val="21"/>
          <w:lang w:val="en-US"/>
        </w:rPr>
        <w:t>（</w:t>
      </w:r>
      <w:r>
        <w:rPr>
          <w:rFonts w:hint="eastAsia" w:ascii="宋体" w:hAnsi="宋体" w:eastAsia="宋体" w:cs="宋体"/>
          <w:color w:val="auto"/>
          <w:spacing w:val="-3"/>
          <w:sz w:val="21"/>
          <w:szCs w:val="21"/>
          <w:lang w:val="en-US" w:eastAsia="zh-CN"/>
        </w:rPr>
        <w:t>10</w:t>
      </w:r>
      <w:r>
        <w:rPr>
          <w:rFonts w:hint="eastAsia" w:ascii="宋体" w:hAnsi="宋体" w:eastAsia="宋体" w:cs="宋体"/>
          <w:color w:val="auto"/>
          <w:spacing w:val="-3"/>
          <w:sz w:val="21"/>
          <w:szCs w:val="21"/>
          <w:lang w:val="en-US"/>
        </w:rPr>
        <w:t>）股东信息承诺函；</w:t>
      </w:r>
      <w:r>
        <w:rPr>
          <w:rFonts w:hint="eastAsia" w:ascii="宋体" w:hAnsi="宋体" w:eastAsia="宋体" w:cs="宋体"/>
          <w:color w:val="auto"/>
          <w:sz w:val="21"/>
          <w:szCs w:val="21"/>
        </w:rPr>
        <w:t>（</w:t>
      </w:r>
      <w:r>
        <w:rPr>
          <w:rFonts w:hint="eastAsia" w:ascii="宋体" w:hAnsi="宋体" w:eastAsia="宋体" w:cs="宋体"/>
          <w:color w:val="auto"/>
          <w:spacing w:val="-1"/>
          <w:sz w:val="21"/>
          <w:szCs w:val="21"/>
          <w:lang w:val="en-US" w:eastAsia="zh-CN"/>
        </w:rPr>
        <w:t>格式见第四章</w:t>
      </w:r>
      <w:r>
        <w:rPr>
          <w:rFonts w:hint="eastAsia" w:ascii="宋体" w:hAnsi="宋体" w:eastAsia="宋体" w:cs="宋体"/>
          <w:color w:val="auto"/>
          <w:sz w:val="21"/>
          <w:szCs w:val="21"/>
        </w:rPr>
        <w:t>）</w:t>
      </w:r>
      <w:r>
        <w:rPr>
          <w:rFonts w:hint="eastAsia" w:ascii="宋体" w:hAnsi="宋体" w:eastAsia="宋体" w:cs="宋体"/>
          <w:b/>
          <w:bCs/>
          <w:color w:val="auto"/>
          <w:sz w:val="21"/>
          <w:szCs w:val="21"/>
        </w:rPr>
        <w:t>（必须提供）</w:t>
      </w:r>
    </w:p>
    <w:p w14:paraId="2473BFCF">
      <w:pPr>
        <w:pStyle w:val="36"/>
        <w:keepNext w:val="0"/>
        <w:keepLines w:val="0"/>
        <w:pageBreakBefore w:val="0"/>
        <w:widowControl w:val="0"/>
        <w:tabs>
          <w:tab w:val="left" w:pos="786"/>
        </w:tabs>
        <w:kinsoku/>
        <w:wordWrap/>
        <w:overflowPunct/>
        <w:topLinePunct w:val="0"/>
        <w:autoSpaceDE w:val="0"/>
        <w:autoSpaceDN w:val="0"/>
        <w:bidi w:val="0"/>
        <w:adjustRightInd/>
        <w:snapToGrid/>
        <w:spacing w:line="360" w:lineRule="auto"/>
        <w:ind w:right="85" w:firstLine="612" w:firstLineChars="300"/>
        <w:jc w:val="both"/>
        <w:textAlignment w:val="auto"/>
        <w:rPr>
          <w:rFonts w:ascii="宋体" w:hAnsi="宋体" w:eastAsia="宋体" w:cs="宋体"/>
          <w:color w:val="auto"/>
          <w:spacing w:val="-3"/>
          <w:sz w:val="21"/>
          <w:szCs w:val="21"/>
          <w:lang w:val="en-US"/>
        </w:rPr>
      </w:pPr>
      <w:r>
        <w:rPr>
          <w:rFonts w:hint="eastAsia" w:ascii="宋体" w:hAnsi="宋体" w:eastAsia="宋体" w:cs="宋体"/>
          <w:color w:val="auto"/>
          <w:spacing w:val="-3"/>
          <w:sz w:val="21"/>
          <w:szCs w:val="21"/>
          <w:lang w:val="en-US"/>
        </w:rPr>
        <w:t>（1</w:t>
      </w:r>
      <w:r>
        <w:rPr>
          <w:rFonts w:hint="eastAsia" w:ascii="宋体" w:hAnsi="宋体" w:eastAsia="宋体" w:cs="宋体"/>
          <w:color w:val="auto"/>
          <w:spacing w:val="-3"/>
          <w:sz w:val="21"/>
          <w:szCs w:val="21"/>
          <w:lang w:val="en-US" w:eastAsia="zh-CN"/>
        </w:rPr>
        <w:t>1</w:t>
      </w:r>
      <w:r>
        <w:rPr>
          <w:rFonts w:hint="eastAsia" w:ascii="宋体" w:hAnsi="宋体" w:eastAsia="宋体" w:cs="宋体"/>
          <w:color w:val="auto"/>
          <w:spacing w:val="-3"/>
          <w:sz w:val="21"/>
          <w:szCs w:val="21"/>
          <w:lang w:val="en-US"/>
        </w:rPr>
        <w:t>）供应商认为需要提供的相关资料。</w:t>
      </w:r>
    </w:p>
    <w:p w14:paraId="56F7B690">
      <w:pPr>
        <w:pStyle w:val="35"/>
        <w:tabs>
          <w:tab w:val="left" w:pos="1356"/>
        </w:tabs>
        <w:spacing w:line="360" w:lineRule="auto"/>
        <w:ind w:left="0" w:firstLine="410" w:firstLineChars="200"/>
        <w:jc w:val="both"/>
        <w:rPr>
          <w:rFonts w:ascii="宋体" w:hAnsi="宋体" w:eastAsia="宋体" w:cs="宋体"/>
          <w:b/>
          <w:bCs/>
          <w:color w:val="auto"/>
          <w:spacing w:val="-3"/>
          <w:sz w:val="21"/>
          <w:szCs w:val="21"/>
          <w:lang w:val="en-US"/>
        </w:rPr>
      </w:pPr>
      <w:r>
        <w:rPr>
          <w:rFonts w:hint="eastAsia" w:ascii="宋体" w:hAnsi="宋体" w:eastAsia="宋体" w:cs="宋体"/>
          <w:b/>
          <w:bCs/>
          <w:color w:val="auto"/>
          <w:spacing w:val="-3"/>
          <w:sz w:val="21"/>
          <w:szCs w:val="21"/>
          <w:lang w:val="en-US"/>
        </w:rPr>
        <w:t>▲特别说明：（1）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D19AAD6">
      <w:pPr>
        <w:pStyle w:val="35"/>
        <w:tabs>
          <w:tab w:val="left" w:pos="1356"/>
        </w:tabs>
        <w:spacing w:line="360" w:lineRule="auto"/>
        <w:ind w:left="0" w:firstLine="410" w:firstLineChars="200"/>
        <w:jc w:val="both"/>
        <w:rPr>
          <w:rFonts w:ascii="宋体" w:hAnsi="宋体" w:eastAsia="宋体" w:cs="宋体"/>
          <w:b/>
          <w:bCs/>
          <w:color w:val="auto"/>
          <w:spacing w:val="-3"/>
          <w:sz w:val="21"/>
          <w:szCs w:val="21"/>
          <w:lang w:val="en-US"/>
        </w:rPr>
      </w:pPr>
      <w:r>
        <w:rPr>
          <w:rFonts w:hint="eastAsia" w:ascii="宋体" w:hAnsi="宋体" w:eastAsia="宋体" w:cs="宋体"/>
          <w:b/>
          <w:bCs/>
          <w:color w:val="auto"/>
          <w:spacing w:val="-3"/>
          <w:sz w:val="21"/>
          <w:szCs w:val="21"/>
          <w:lang w:val="en-US"/>
        </w:rPr>
        <w:t>（2）磋商文件要求提供的的各种复印件，须加盖磋商供应商CA签章，否则其磋商无效。</w:t>
      </w:r>
    </w:p>
    <w:p w14:paraId="61BED542">
      <w:pPr>
        <w:pStyle w:val="35"/>
        <w:tabs>
          <w:tab w:val="left" w:pos="1356"/>
        </w:tabs>
        <w:spacing w:line="360" w:lineRule="auto"/>
        <w:ind w:left="0" w:firstLine="410" w:firstLineChars="200"/>
        <w:jc w:val="both"/>
        <w:rPr>
          <w:rFonts w:ascii="宋体" w:hAnsi="宋体" w:eastAsia="宋体" w:cs="宋体"/>
          <w:b/>
          <w:bCs/>
          <w:color w:val="auto"/>
          <w:spacing w:val="-3"/>
          <w:sz w:val="21"/>
          <w:szCs w:val="21"/>
          <w:lang w:val="en-US"/>
        </w:rPr>
      </w:pPr>
      <w:r>
        <w:rPr>
          <w:rFonts w:hint="eastAsia" w:ascii="宋体" w:hAnsi="宋体" w:eastAsia="宋体" w:cs="宋体"/>
          <w:b/>
          <w:bCs/>
          <w:color w:val="auto"/>
          <w:spacing w:val="-3"/>
          <w:sz w:val="21"/>
          <w:szCs w:val="21"/>
          <w:lang w:val="en-US"/>
        </w:rPr>
        <w:t>（3）磋商文件要求“必须提供”的证明等材料，磋商供应商必须全部提供，缺一不可，否则磋商无效。</w:t>
      </w:r>
    </w:p>
    <w:p w14:paraId="5608382A">
      <w:pPr>
        <w:pStyle w:val="35"/>
        <w:tabs>
          <w:tab w:val="left" w:pos="1356"/>
        </w:tabs>
        <w:spacing w:line="360" w:lineRule="auto"/>
        <w:ind w:left="0" w:firstLine="410" w:firstLineChars="200"/>
        <w:jc w:val="both"/>
        <w:rPr>
          <w:rFonts w:ascii="宋体" w:hAnsi="宋体" w:eastAsia="宋体" w:cs="宋体"/>
          <w:b/>
          <w:bCs/>
          <w:color w:val="auto"/>
          <w:spacing w:val="-3"/>
          <w:sz w:val="21"/>
          <w:szCs w:val="21"/>
          <w:lang w:val="en-US"/>
        </w:rPr>
      </w:pPr>
      <w:r>
        <w:rPr>
          <w:rFonts w:hint="eastAsia" w:ascii="宋体" w:hAnsi="宋体" w:eastAsia="宋体" w:cs="宋体"/>
          <w:b/>
          <w:bCs/>
          <w:color w:val="auto"/>
          <w:spacing w:val="-3"/>
          <w:sz w:val="21"/>
          <w:szCs w:val="21"/>
          <w:lang w:val="en-US"/>
        </w:rPr>
        <w:t>（4）磋商文件要求法定代表人（负责人）或委托代理人签字的部分必须签字然后扫描或者拍照做成pdf格式上传，无签字的视为磋商无效。</w:t>
      </w:r>
    </w:p>
    <w:p w14:paraId="7D4B3C14">
      <w:pPr>
        <w:pStyle w:val="35"/>
        <w:tabs>
          <w:tab w:val="left" w:pos="1218"/>
        </w:tabs>
        <w:spacing w:line="360" w:lineRule="auto"/>
        <w:ind w:left="0" w:firstLine="412" w:firstLineChars="200"/>
        <w:rPr>
          <w:rFonts w:ascii="宋体" w:hAnsi="宋体" w:eastAsia="宋体" w:cs="宋体"/>
          <w:color w:val="auto"/>
          <w:sz w:val="21"/>
          <w:szCs w:val="21"/>
        </w:rPr>
      </w:pPr>
      <w:bookmarkStart w:id="32" w:name="（6）供应商可结合本项目的评标办法视自身情况自行提交相关证明材料。"/>
      <w:bookmarkEnd w:id="32"/>
      <w:r>
        <w:rPr>
          <w:rFonts w:hint="eastAsia" w:ascii="宋体" w:hAnsi="宋体" w:eastAsia="宋体" w:cs="宋体"/>
          <w:color w:val="auto"/>
          <w:spacing w:val="-2"/>
          <w:sz w:val="21"/>
          <w:szCs w:val="21"/>
          <w:lang w:val="en-US"/>
        </w:rPr>
        <w:t>2.</w:t>
      </w:r>
      <w:r>
        <w:rPr>
          <w:rFonts w:hint="eastAsia" w:ascii="宋体" w:hAnsi="宋体" w:eastAsia="宋体" w:cs="宋体"/>
          <w:color w:val="auto"/>
          <w:spacing w:val="-2"/>
          <w:sz w:val="21"/>
          <w:szCs w:val="21"/>
        </w:rPr>
        <w:t>计量单位</w:t>
      </w:r>
    </w:p>
    <w:p w14:paraId="73C1F0D2">
      <w:pPr>
        <w:pStyle w:val="9"/>
        <w:spacing w:line="360" w:lineRule="auto"/>
        <w:ind w:firstLine="420" w:firstLineChars="200"/>
        <w:rPr>
          <w:rFonts w:ascii="宋体" w:hAnsi="宋体" w:eastAsia="宋体" w:cs="宋体"/>
          <w:color w:val="auto"/>
          <w:sz w:val="21"/>
          <w:szCs w:val="21"/>
        </w:rPr>
      </w:pPr>
      <w:bookmarkStart w:id="33" w:name="_除技术要求中另有规定外，本文件所要求使用的计量单位均应采用国家法定计量单位。"/>
      <w:bookmarkEnd w:id="33"/>
      <w:r>
        <w:rPr>
          <w:rFonts w:hint="eastAsia" w:ascii="宋体" w:hAnsi="宋体" w:eastAsia="宋体" w:cs="宋体"/>
          <w:color w:val="auto"/>
          <w:sz w:val="21"/>
          <w:szCs w:val="21"/>
        </w:rPr>
        <w:t>除技术要求中另有规定外，本文件所要求使用的计量单位均应采用国家法定计量单位。</w:t>
      </w:r>
    </w:p>
    <w:p w14:paraId="5406724E">
      <w:pPr>
        <w:pStyle w:val="4"/>
        <w:spacing w:line="360" w:lineRule="auto"/>
        <w:ind w:left="0" w:firstLine="422" w:firstLineChars="200"/>
        <w:rPr>
          <w:rFonts w:ascii="宋体" w:hAnsi="宋体" w:eastAsia="宋体" w:cs="宋体"/>
          <w:color w:val="auto"/>
          <w:sz w:val="21"/>
          <w:szCs w:val="21"/>
        </w:rPr>
      </w:pPr>
      <w:bookmarkStart w:id="34" w:name="三、磋商报价要求"/>
      <w:bookmarkEnd w:id="34"/>
      <w:r>
        <w:rPr>
          <w:rFonts w:hint="eastAsia" w:ascii="宋体" w:hAnsi="宋体" w:eastAsia="宋体" w:cs="宋体"/>
          <w:color w:val="auto"/>
          <w:sz w:val="21"/>
          <w:szCs w:val="21"/>
        </w:rPr>
        <w:t>三、磋商报价要求</w:t>
      </w:r>
    </w:p>
    <w:p w14:paraId="05F21F11">
      <w:pPr>
        <w:pStyle w:val="35"/>
        <w:tabs>
          <w:tab w:val="left" w:pos="1424"/>
        </w:tabs>
        <w:spacing w:line="360" w:lineRule="auto"/>
        <w:ind w:left="0" w:firstLine="376" w:firstLineChars="200"/>
        <w:jc w:val="both"/>
        <w:rPr>
          <w:rFonts w:ascii="宋体" w:hAnsi="宋体" w:eastAsia="宋体" w:cs="宋体"/>
          <w:color w:val="auto"/>
          <w:sz w:val="21"/>
          <w:szCs w:val="21"/>
        </w:rPr>
      </w:pPr>
      <w:bookmarkStart w:id="35" w:name="7.1供应商须就《采购项目需求一览表》中的的服务和服务内容作完整唯一报价。"/>
      <w:bookmarkEnd w:id="35"/>
      <w:r>
        <w:rPr>
          <w:rFonts w:hint="eastAsia" w:ascii="宋体" w:hAnsi="宋体" w:eastAsia="宋体" w:cs="宋体"/>
          <w:color w:val="auto"/>
          <w:spacing w:val="-11"/>
          <w:sz w:val="21"/>
          <w:szCs w:val="21"/>
          <w:lang w:val="en-US"/>
        </w:rPr>
        <w:t>3.1</w:t>
      </w:r>
      <w:r>
        <w:rPr>
          <w:rFonts w:hint="eastAsia" w:ascii="宋体" w:hAnsi="宋体" w:eastAsia="宋体" w:cs="宋体"/>
          <w:color w:val="auto"/>
          <w:spacing w:val="-11"/>
          <w:sz w:val="21"/>
          <w:szCs w:val="21"/>
        </w:rPr>
        <w:t>供应商须就《采购项目需求》中的的服务和服务内容作完整唯一</w:t>
      </w:r>
      <w:r>
        <w:rPr>
          <w:rFonts w:hint="eastAsia" w:ascii="宋体" w:hAnsi="宋体" w:eastAsia="宋体" w:cs="宋体"/>
          <w:color w:val="auto"/>
          <w:spacing w:val="-6"/>
          <w:sz w:val="21"/>
          <w:szCs w:val="21"/>
        </w:rPr>
        <w:t>报价。</w:t>
      </w:r>
    </w:p>
    <w:p w14:paraId="261816A6">
      <w:pPr>
        <w:pStyle w:val="35"/>
        <w:tabs>
          <w:tab w:val="left" w:pos="1424"/>
        </w:tabs>
        <w:spacing w:line="360" w:lineRule="auto"/>
        <w:ind w:left="0" w:firstLine="380" w:firstLineChars="200"/>
        <w:jc w:val="both"/>
        <w:rPr>
          <w:rFonts w:ascii="宋体" w:hAnsi="宋体" w:eastAsia="宋体" w:cs="宋体"/>
          <w:color w:val="auto"/>
          <w:sz w:val="21"/>
          <w:szCs w:val="21"/>
        </w:rPr>
      </w:pPr>
      <w:bookmarkStart w:id="36" w:name="7.2对于本文件中未列明，而供应商认为必需的费用也需列入总报价。在合同实施时，采"/>
      <w:bookmarkEnd w:id="36"/>
      <w:r>
        <w:rPr>
          <w:rFonts w:hint="eastAsia" w:ascii="宋体" w:hAnsi="宋体" w:eastAsia="宋体" w:cs="宋体"/>
          <w:color w:val="auto"/>
          <w:spacing w:val="-10"/>
          <w:sz w:val="21"/>
          <w:szCs w:val="21"/>
          <w:lang w:val="en-US"/>
        </w:rPr>
        <w:t>3.2</w:t>
      </w:r>
      <w:r>
        <w:rPr>
          <w:rFonts w:hint="eastAsia" w:ascii="宋体" w:hAnsi="宋体" w:eastAsia="宋体" w:cs="宋体"/>
          <w:color w:val="auto"/>
          <w:spacing w:val="-10"/>
          <w:sz w:val="21"/>
          <w:szCs w:val="21"/>
        </w:rPr>
        <w:t>对于本文件中未列明，而供应商认为必需的费用也需列入总报价。在合</w:t>
      </w:r>
      <w:r>
        <w:rPr>
          <w:rFonts w:hint="eastAsia" w:ascii="宋体" w:hAnsi="宋体" w:eastAsia="宋体" w:cs="宋体"/>
          <w:color w:val="auto"/>
          <w:spacing w:val="-4"/>
          <w:sz w:val="21"/>
          <w:szCs w:val="21"/>
        </w:rPr>
        <w:t>同实施时，采购单位将不予支付成交供应商没有列入的项目费用，并认为此项</w:t>
      </w:r>
      <w:r>
        <w:rPr>
          <w:rFonts w:hint="eastAsia" w:ascii="宋体" w:hAnsi="宋体" w:eastAsia="宋体" w:cs="宋体"/>
          <w:color w:val="auto"/>
          <w:spacing w:val="-3"/>
          <w:sz w:val="21"/>
          <w:szCs w:val="21"/>
        </w:rPr>
        <w:t>目的费用已包括在总报价中。</w:t>
      </w:r>
    </w:p>
    <w:p w14:paraId="045D5A73">
      <w:pPr>
        <w:pStyle w:val="35"/>
        <w:tabs>
          <w:tab w:val="left" w:pos="1424"/>
        </w:tabs>
        <w:spacing w:line="360" w:lineRule="auto"/>
        <w:ind w:left="0" w:firstLine="384" w:firstLineChars="200"/>
        <w:jc w:val="both"/>
        <w:rPr>
          <w:rFonts w:ascii="宋体" w:hAnsi="宋体" w:eastAsia="宋体" w:cs="宋体"/>
          <w:color w:val="auto"/>
          <w:sz w:val="21"/>
          <w:szCs w:val="21"/>
        </w:rPr>
      </w:pPr>
      <w:bookmarkStart w:id="37" w:name="7.3成交供应商负责本项目所需服务的施工、制造、运输、售后服务等全部工作。"/>
      <w:bookmarkEnd w:id="37"/>
      <w:r>
        <w:rPr>
          <w:rFonts w:hint="eastAsia" w:ascii="宋体" w:hAnsi="宋体" w:eastAsia="宋体" w:cs="宋体"/>
          <w:color w:val="auto"/>
          <w:spacing w:val="-9"/>
          <w:sz w:val="21"/>
          <w:szCs w:val="21"/>
          <w:lang w:val="en-US"/>
        </w:rPr>
        <w:t>3.3</w:t>
      </w:r>
      <w:r>
        <w:rPr>
          <w:rFonts w:hint="eastAsia" w:ascii="宋体" w:hAnsi="宋体" w:eastAsia="宋体" w:cs="宋体"/>
          <w:color w:val="auto"/>
          <w:spacing w:val="-9"/>
          <w:sz w:val="21"/>
          <w:szCs w:val="21"/>
        </w:rPr>
        <w:t>成交供应商负责本项目所需服务的施工、制造、运输、售后服务等全部</w:t>
      </w:r>
      <w:r>
        <w:rPr>
          <w:rFonts w:hint="eastAsia" w:ascii="宋体" w:hAnsi="宋体" w:eastAsia="宋体" w:cs="宋体"/>
          <w:color w:val="auto"/>
          <w:spacing w:val="-4"/>
          <w:sz w:val="21"/>
          <w:szCs w:val="21"/>
        </w:rPr>
        <w:t>工作。</w:t>
      </w:r>
    </w:p>
    <w:p w14:paraId="579E9555">
      <w:pPr>
        <w:spacing w:line="360" w:lineRule="auto"/>
        <w:ind w:firstLine="422" w:firstLineChars="200"/>
        <w:rPr>
          <w:rFonts w:ascii="宋体" w:hAnsi="宋体" w:eastAsia="宋体" w:cs="宋体"/>
          <w:b/>
          <w:bCs/>
          <w:color w:val="auto"/>
          <w:sz w:val="21"/>
          <w:szCs w:val="21"/>
        </w:rPr>
      </w:pPr>
      <w:bookmarkStart w:id="38" w:name="四、竞争性磋商响应文件的份数、装订、封装和递交"/>
      <w:bookmarkEnd w:id="38"/>
      <w:r>
        <w:rPr>
          <w:rFonts w:hint="eastAsia" w:ascii="宋体" w:hAnsi="宋体" w:eastAsia="宋体" w:cs="宋体"/>
          <w:b/>
          <w:bCs/>
          <w:color w:val="auto"/>
          <w:sz w:val="21"/>
          <w:szCs w:val="21"/>
        </w:rPr>
        <w:t>四、竞争性磋商响应文件的份数、装订、封装和递交</w:t>
      </w:r>
      <w:bookmarkStart w:id="39" w:name="8.磋商响应文件的份数、装订和封装"/>
      <w:bookmarkEnd w:id="39"/>
      <w:r>
        <w:rPr>
          <w:rFonts w:hint="eastAsia" w:ascii="宋体" w:hAnsi="宋体" w:eastAsia="宋体" w:cs="宋体"/>
          <w:b/>
          <w:bCs/>
          <w:color w:val="auto"/>
          <w:sz w:val="21"/>
          <w:szCs w:val="21"/>
        </w:rPr>
        <w:t xml:space="preserve"> </w:t>
      </w:r>
    </w:p>
    <w:p w14:paraId="1A8D31D1">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4</w:t>
      </w:r>
      <w:r>
        <w:rPr>
          <w:rFonts w:hint="eastAsia" w:ascii="宋体" w:hAnsi="宋体" w:eastAsia="宋体" w:cs="宋体"/>
          <w:color w:val="auto"/>
          <w:spacing w:val="-3"/>
          <w:sz w:val="21"/>
          <w:szCs w:val="21"/>
        </w:rPr>
        <w:t>.</w:t>
      </w:r>
      <w:r>
        <w:rPr>
          <w:rFonts w:hint="eastAsia" w:ascii="宋体" w:hAnsi="宋体" w:eastAsia="宋体" w:cs="宋体"/>
          <w:color w:val="auto"/>
          <w:spacing w:val="-3"/>
          <w:sz w:val="21"/>
          <w:szCs w:val="21"/>
          <w:lang w:val="en-US"/>
        </w:rPr>
        <w:t>1</w:t>
      </w:r>
      <w:r>
        <w:rPr>
          <w:rFonts w:hint="eastAsia" w:ascii="宋体" w:hAnsi="宋体" w:eastAsia="宋体" w:cs="宋体"/>
          <w:color w:val="auto"/>
          <w:spacing w:val="-3"/>
          <w:sz w:val="21"/>
          <w:szCs w:val="21"/>
        </w:rPr>
        <w:t>磋商响应文件的份数、装订和封装</w:t>
      </w:r>
    </w:p>
    <w:p w14:paraId="01DCBC4D">
      <w:pPr>
        <w:pStyle w:val="35"/>
        <w:tabs>
          <w:tab w:val="left" w:pos="1424"/>
        </w:tabs>
        <w:spacing w:line="360" w:lineRule="auto"/>
        <w:ind w:left="0" w:firstLine="384" w:firstLineChars="200"/>
        <w:jc w:val="both"/>
        <w:rPr>
          <w:rFonts w:ascii="宋体" w:hAnsi="宋体" w:eastAsia="宋体" w:cs="宋体"/>
          <w:color w:val="auto"/>
          <w:spacing w:val="-9"/>
          <w:sz w:val="21"/>
          <w:szCs w:val="21"/>
          <w:lang w:val="en-US"/>
        </w:rPr>
      </w:pPr>
      <w:r>
        <w:rPr>
          <w:rFonts w:hint="eastAsia" w:ascii="宋体" w:hAnsi="宋体" w:eastAsia="宋体" w:cs="宋体"/>
          <w:color w:val="auto"/>
          <w:spacing w:val="-9"/>
          <w:sz w:val="21"/>
          <w:szCs w:val="21"/>
          <w:lang w:val="en-US"/>
        </w:rPr>
        <w:t>（1）电子磋商响应文件中须加盖供应商公章部分均采用 CA 签章，并根据“政府采购项目电子交易管理操作指南-供应商” 及本磋商文件规定的格式和顺序编制电子磋商响应文件并进行关联定位，以便磋商小组在评时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49178F2">
      <w:pPr>
        <w:pStyle w:val="35"/>
        <w:tabs>
          <w:tab w:val="left" w:pos="1424"/>
        </w:tabs>
        <w:spacing w:line="360" w:lineRule="auto"/>
        <w:ind w:left="0" w:firstLine="384" w:firstLineChars="200"/>
        <w:jc w:val="both"/>
        <w:rPr>
          <w:rFonts w:ascii="宋体" w:hAnsi="宋体" w:eastAsia="宋体" w:cs="宋体"/>
          <w:color w:val="auto"/>
          <w:spacing w:val="-9"/>
          <w:sz w:val="21"/>
          <w:szCs w:val="21"/>
          <w:lang w:val="en-US"/>
        </w:rPr>
      </w:pPr>
      <w:r>
        <w:rPr>
          <w:rFonts w:hint="eastAsia" w:ascii="宋体" w:hAnsi="宋体" w:eastAsia="宋体" w:cs="宋体"/>
          <w:color w:val="auto"/>
          <w:spacing w:val="-9"/>
          <w:sz w:val="21"/>
          <w:szCs w:val="21"/>
          <w:lang w:val="en-US"/>
        </w:rPr>
        <w:t>（2）CA 签章上目前没有法人（负责人）或授权代表签字信息，供应商在磋商响应文件中涉及到签字的位置线下签好字然后扫描或者拍照做成PDF的格式即可。</w:t>
      </w:r>
    </w:p>
    <w:p w14:paraId="080DD15A">
      <w:pPr>
        <w:pStyle w:val="35"/>
        <w:tabs>
          <w:tab w:val="left" w:pos="1424"/>
        </w:tabs>
        <w:spacing w:line="360" w:lineRule="auto"/>
        <w:ind w:left="0" w:firstLine="384" w:firstLineChars="200"/>
        <w:jc w:val="both"/>
        <w:rPr>
          <w:rFonts w:ascii="宋体" w:hAnsi="宋体" w:eastAsia="宋体" w:cs="宋体"/>
          <w:color w:val="auto"/>
          <w:spacing w:val="-9"/>
          <w:sz w:val="21"/>
          <w:szCs w:val="21"/>
          <w:lang w:val="en-US"/>
        </w:rPr>
      </w:pPr>
      <w:r>
        <w:rPr>
          <w:rFonts w:hint="eastAsia" w:ascii="宋体" w:hAnsi="宋体" w:eastAsia="宋体" w:cs="宋体"/>
          <w:color w:val="auto"/>
          <w:spacing w:val="-9"/>
          <w:sz w:val="21"/>
          <w:szCs w:val="21"/>
          <w:lang w:val="en-US"/>
        </w:rPr>
        <w:t>（3）磋商响应文件不得涂改，若有修改错漏处，须法定代表人（负责人）或授权委托人签字。磋商响应文件因字迹潦草或表达不清所引起的后果由供应商负责。</w:t>
      </w:r>
    </w:p>
    <w:p w14:paraId="07390C57">
      <w:pPr>
        <w:pStyle w:val="35"/>
        <w:tabs>
          <w:tab w:val="left" w:pos="1424"/>
        </w:tabs>
        <w:spacing w:line="360" w:lineRule="auto"/>
        <w:ind w:left="0" w:firstLine="384" w:firstLineChars="200"/>
        <w:jc w:val="both"/>
        <w:rPr>
          <w:rFonts w:ascii="宋体" w:hAnsi="宋体" w:eastAsia="宋体" w:cs="宋体"/>
          <w:color w:val="auto"/>
          <w:spacing w:val="-9"/>
          <w:sz w:val="21"/>
          <w:szCs w:val="21"/>
          <w:lang w:val="en-US"/>
        </w:rPr>
      </w:pPr>
      <w:r>
        <w:rPr>
          <w:rFonts w:hint="eastAsia" w:ascii="宋体" w:hAnsi="宋体" w:eastAsia="宋体" w:cs="宋体"/>
          <w:color w:val="auto"/>
          <w:spacing w:val="-9"/>
          <w:sz w:val="21"/>
          <w:szCs w:val="21"/>
          <w:lang w:val="en-US"/>
        </w:rPr>
        <w:t>4.2. 竞争性磋商响应文件的递交</w:t>
      </w:r>
    </w:p>
    <w:p w14:paraId="5E42549A">
      <w:pPr>
        <w:pStyle w:val="35"/>
        <w:tabs>
          <w:tab w:val="left" w:pos="1424"/>
        </w:tabs>
        <w:spacing w:line="360" w:lineRule="auto"/>
        <w:ind w:left="0" w:firstLine="384" w:firstLineChars="200"/>
        <w:jc w:val="both"/>
        <w:rPr>
          <w:rFonts w:ascii="宋体" w:hAnsi="宋体" w:eastAsia="宋体" w:cs="宋体"/>
          <w:color w:val="auto"/>
          <w:spacing w:val="-9"/>
          <w:sz w:val="21"/>
          <w:szCs w:val="21"/>
          <w:lang w:val="en-US"/>
        </w:rPr>
      </w:pPr>
      <w:r>
        <w:rPr>
          <w:rFonts w:hint="eastAsia" w:ascii="宋体" w:hAnsi="宋体" w:eastAsia="宋体" w:cs="宋体"/>
          <w:color w:val="auto"/>
          <w:spacing w:val="-9"/>
          <w:sz w:val="21"/>
          <w:szCs w:val="21"/>
          <w:lang w:val="en-US"/>
        </w:rPr>
        <w:t>4.3所有竞争性磋商响应文件应于竞争性磋商文件中规定的时间前上传递交至广西政府采购云平台。</w:t>
      </w:r>
    </w:p>
    <w:p w14:paraId="4B8CF6D9">
      <w:pPr>
        <w:pStyle w:val="9"/>
        <w:spacing w:line="360" w:lineRule="auto"/>
        <w:ind w:firstLine="422" w:firstLineChars="200"/>
        <w:rPr>
          <w:rFonts w:ascii="宋体" w:hAnsi="宋体" w:eastAsia="宋体" w:cs="宋体"/>
          <w:b/>
          <w:color w:val="auto"/>
          <w:sz w:val="21"/>
          <w:szCs w:val="21"/>
        </w:rPr>
      </w:pPr>
      <w:bookmarkStart w:id="40" w:name="注：竞争性磋商响应文件的份数、装订、封装未按上述要求的将不予接收。"/>
      <w:bookmarkEnd w:id="40"/>
      <w:bookmarkStart w:id="41" w:name="1）竞争性磋商采购编号及标段号；"/>
      <w:bookmarkEnd w:id="41"/>
      <w:r>
        <w:rPr>
          <w:rFonts w:hint="eastAsia" w:ascii="宋体" w:hAnsi="宋体" w:eastAsia="宋体" w:cs="宋体"/>
          <w:b/>
          <w:color w:val="auto"/>
          <w:sz w:val="21"/>
          <w:szCs w:val="21"/>
        </w:rPr>
        <w:t>电子投标文件的相关说明</w:t>
      </w:r>
    </w:p>
    <w:p w14:paraId="58D416C0">
      <w:pPr>
        <w:pStyle w:val="9"/>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28E504D8">
      <w:pPr>
        <w:pStyle w:val="9"/>
        <w:spacing w:line="360" w:lineRule="auto"/>
        <w:ind w:firstLine="422" w:firstLineChars="200"/>
        <w:rPr>
          <w:rFonts w:ascii="宋体" w:hAnsi="宋体" w:eastAsia="宋体" w:cs="宋体"/>
          <w:bCs/>
          <w:color w:val="auto"/>
          <w:sz w:val="21"/>
          <w:szCs w:val="21"/>
        </w:rPr>
      </w:pPr>
      <w:r>
        <w:rPr>
          <w:rFonts w:hint="eastAsia" w:ascii="宋体" w:hAnsi="宋体" w:eastAsia="宋体" w:cs="宋体"/>
          <w:b/>
          <w:color w:val="auto"/>
          <w:sz w:val="21"/>
          <w:szCs w:val="21"/>
        </w:rPr>
        <w:t>（2）如有特殊情况，采购代理机构延长截止时间和开标时间，采购代理机构和供应商的权利和义务将受到新的截止时间和开标时间的约束。</w:t>
      </w:r>
    </w:p>
    <w:p w14:paraId="25326252">
      <w:pPr>
        <w:pStyle w:val="9"/>
        <w:spacing w:line="360" w:lineRule="auto"/>
        <w:ind w:firstLine="420" w:firstLineChars="200"/>
        <w:rPr>
          <w:rFonts w:ascii="宋体" w:hAnsi="宋体" w:eastAsia="宋体" w:cs="宋体"/>
          <w:color w:val="auto"/>
          <w:sz w:val="21"/>
          <w:szCs w:val="21"/>
        </w:rPr>
      </w:pPr>
      <w:bookmarkStart w:id="42" w:name="六、确定成交供应商"/>
      <w:bookmarkEnd w:id="42"/>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竞争性磋商响应文件从响应文件递交截止日期后六十日内有效。</w:t>
      </w:r>
    </w:p>
    <w:p w14:paraId="79C7CA07">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.迟交的竞争性磋商响应文件</w:t>
      </w:r>
    </w:p>
    <w:p w14:paraId="00276C27">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.1在本文件要求竞争性磋商响应文件递交截止时间后送达的竞争性磋商响应文件为无效文件，本公司将拒收。</w:t>
      </w:r>
    </w:p>
    <w:p w14:paraId="005F1700">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.本项目不收取磋商保证金。</w:t>
      </w:r>
    </w:p>
    <w:p w14:paraId="4F42B901">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注：在采购过程中符合竞争要求的供应商或者报价未超过采购预算的供应商不足3家的，本公司将按政府采购管理的有关规定处理。</w:t>
      </w:r>
    </w:p>
    <w:p w14:paraId="0CCDB1D3">
      <w:pPr>
        <w:pStyle w:val="9"/>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五.磋商程序及评定标准</w:t>
      </w:r>
    </w:p>
    <w:p w14:paraId="64BE80B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．磋商程序</w:t>
      </w:r>
    </w:p>
    <w:p w14:paraId="4035A6F5">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.1磋商响应文件递交截止时间后，主持人宣布磋商开始。</w:t>
      </w:r>
    </w:p>
    <w:p w14:paraId="1B6ABC5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.2供应商登录</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，用“项目采购-开标评标”功能对电子磋商响应文件进行在线解密。在线解密电子磋商响应文件时间为开标时间起半小时内。</w:t>
      </w:r>
    </w:p>
    <w:p w14:paraId="470D110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磋商小组对磋商响应文件进行评估和比较。</w:t>
      </w:r>
    </w:p>
    <w:p w14:paraId="4660E99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以</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中“项目采购”应用模块获取磋商文件顺序确定各供应商磋商、顺序。</w:t>
      </w:r>
    </w:p>
    <w:p w14:paraId="26B5B69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磋商小组与单一供应商分别进行磋商。（磋商时供应商的技术资料、价格和其他信息在评审、磋商过程中保密）</w:t>
      </w:r>
    </w:p>
    <w:p w14:paraId="4F72D5C5">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磋商小组要求所有实质性响应的供应商在规定时间内提交最后报价（只公开最后报价，最后报价不得高于初次报价）。</w:t>
      </w:r>
    </w:p>
    <w:p w14:paraId="12FE1FDD">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7本采购项目的评审依据为竞争性磋商文件和竞争性磋商响应文件，采用的评审方法为综合评分法</w:t>
      </w:r>
      <w:r>
        <w:rPr>
          <w:rFonts w:hint="eastAsia" w:ascii="宋体" w:hAnsi="宋体" w:eastAsia="宋体" w:cs="宋体"/>
          <w:color w:val="auto"/>
          <w:sz w:val="21"/>
          <w:szCs w:val="21"/>
        </w:rPr>
        <w:t>。</w:t>
      </w:r>
    </w:p>
    <w:p w14:paraId="08D46E69">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特别说明：</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如对电子化磋商及评审程序有调整的，按调整后的程序操作。</w:t>
      </w:r>
    </w:p>
    <w:p w14:paraId="3CF54A7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8</w:t>
      </w:r>
      <w:r>
        <w:rPr>
          <w:rFonts w:hint="eastAsia" w:ascii="宋体" w:hAnsi="宋体" w:eastAsia="宋体" w:cs="宋体"/>
          <w:color w:val="auto"/>
          <w:sz w:val="21"/>
          <w:szCs w:val="21"/>
        </w:rPr>
        <w:t>.采购过程中出现以下情形，导致电子交易平台无法正常运行，或者无法保证电子交易的公平、公正和安全时，采购组织机构可中止电子交易活动：</w:t>
      </w:r>
    </w:p>
    <w:p w14:paraId="13DBABD6">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8</w:t>
      </w:r>
      <w:r>
        <w:rPr>
          <w:rFonts w:hint="eastAsia" w:ascii="宋体" w:hAnsi="宋体" w:eastAsia="宋体" w:cs="宋体"/>
          <w:color w:val="auto"/>
          <w:sz w:val="21"/>
          <w:szCs w:val="21"/>
        </w:rPr>
        <w:t xml:space="preserve">.1电子交易平台发生故障而无法登录访问的； </w:t>
      </w:r>
    </w:p>
    <w:p w14:paraId="5BEAD937">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8</w:t>
      </w:r>
      <w:r>
        <w:rPr>
          <w:rFonts w:hint="eastAsia" w:ascii="宋体" w:hAnsi="宋体" w:eastAsia="宋体" w:cs="宋体"/>
          <w:color w:val="auto"/>
          <w:sz w:val="21"/>
          <w:szCs w:val="21"/>
        </w:rPr>
        <w:t>.2电子交易平台应用或数据库出现错误，不能进行正常操作的；</w:t>
      </w:r>
    </w:p>
    <w:p w14:paraId="72231781">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8</w:t>
      </w:r>
      <w:r>
        <w:rPr>
          <w:rFonts w:hint="eastAsia" w:ascii="宋体" w:hAnsi="宋体" w:eastAsia="宋体" w:cs="宋体"/>
          <w:color w:val="auto"/>
          <w:sz w:val="21"/>
          <w:szCs w:val="21"/>
        </w:rPr>
        <w:t>.3电子交易平台发现严重安全漏洞，有潜在泄密危险的；</w:t>
      </w:r>
    </w:p>
    <w:p w14:paraId="7D97976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8</w:t>
      </w:r>
      <w:r>
        <w:rPr>
          <w:rFonts w:hint="eastAsia" w:ascii="宋体" w:hAnsi="宋体" w:eastAsia="宋体" w:cs="宋体"/>
          <w:color w:val="auto"/>
          <w:sz w:val="21"/>
          <w:szCs w:val="21"/>
        </w:rPr>
        <w:t xml:space="preserve">.4病毒发作导致不能进行正常操作的； </w:t>
      </w:r>
    </w:p>
    <w:p w14:paraId="2B4F7EA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8</w:t>
      </w:r>
      <w:r>
        <w:rPr>
          <w:rFonts w:hint="eastAsia" w:ascii="宋体" w:hAnsi="宋体" w:eastAsia="宋体" w:cs="宋体"/>
          <w:color w:val="auto"/>
          <w:sz w:val="21"/>
          <w:szCs w:val="21"/>
        </w:rPr>
        <w:t>.5其他无法保证电子交易的公平、公正和安全的情况。</w:t>
      </w:r>
    </w:p>
    <w:p w14:paraId="2C234C38">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290DCA35">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9</w:t>
      </w:r>
      <w:r>
        <w:rPr>
          <w:rFonts w:hint="eastAsia" w:ascii="宋体" w:hAnsi="宋体" w:eastAsia="宋体" w:cs="宋体"/>
          <w:color w:val="auto"/>
          <w:sz w:val="21"/>
          <w:szCs w:val="21"/>
        </w:rPr>
        <w:t>．磋商内容</w:t>
      </w:r>
    </w:p>
    <w:p w14:paraId="56D133C2">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9</w:t>
      </w:r>
      <w:r>
        <w:rPr>
          <w:rFonts w:hint="eastAsia" w:ascii="宋体" w:hAnsi="宋体" w:eastAsia="宋体" w:cs="宋体"/>
          <w:color w:val="auto"/>
          <w:sz w:val="21"/>
          <w:szCs w:val="21"/>
        </w:rPr>
        <w:t>.1本次磋商内容为在磋商文件范围内就供应商的磋商响应文件，磋商小组与供应商在技术、价格、服务、合同等问题进行磋商，最终确定成交与否。</w:t>
      </w:r>
    </w:p>
    <w:p w14:paraId="09FEE581">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9</w:t>
      </w:r>
      <w:r>
        <w:rPr>
          <w:rFonts w:hint="eastAsia" w:ascii="宋体" w:hAnsi="宋体" w:eastAsia="宋体" w:cs="宋体"/>
          <w:color w:val="auto"/>
          <w:sz w:val="21"/>
          <w:szCs w:val="21"/>
        </w:rPr>
        <w:t>.2磋商应作书面记录，供应商并就磋商内容作出书面承诺，并由供应商法定代表人或其授权委托人签字后生效，作为磋商响应文件的一部分。</w:t>
      </w:r>
    </w:p>
    <w:p w14:paraId="685CEC72">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9</w:t>
      </w:r>
      <w:r>
        <w:rPr>
          <w:rFonts w:hint="eastAsia" w:ascii="宋体" w:hAnsi="宋体" w:eastAsia="宋体" w:cs="宋体"/>
          <w:color w:val="auto"/>
          <w:sz w:val="21"/>
          <w:szCs w:val="21"/>
        </w:rPr>
        <w:t>.3磋商文件有实质性变动的，磋商小组以书面形式通知所有参加磋商的供应商。</w:t>
      </w:r>
    </w:p>
    <w:p w14:paraId="439801B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10</w:t>
      </w:r>
      <w:r>
        <w:rPr>
          <w:rFonts w:hint="eastAsia" w:ascii="宋体" w:hAnsi="宋体" w:eastAsia="宋体" w:cs="宋体"/>
          <w:color w:val="auto"/>
          <w:sz w:val="21"/>
          <w:szCs w:val="21"/>
        </w:rPr>
        <w:t>．磋商</w:t>
      </w:r>
    </w:p>
    <w:p w14:paraId="05538332">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.1磋商小组由采购人、代理采购机构依法组建，负责评审活动。磋商小组遵循公开、公平、公正、科学合理、竞争择优的原则。</w:t>
      </w:r>
    </w:p>
    <w:p w14:paraId="7A463C86">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.2磋商小组由采购人代表和有关方面专家组成，成员人数为3人以上单数。</w:t>
      </w:r>
    </w:p>
    <w:p w14:paraId="372B616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.3磋商小组负责对供应商资格的最终审定。</w:t>
      </w:r>
    </w:p>
    <w:p w14:paraId="79542C40">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.4磋商小组可以要求供应商对其磋商响应文件中含义不明确的内容作必要的澄清或者说明，但澄清或者说明不得超过磋商响应文件的范围或者改变磋商响应文件的实质性内容。</w:t>
      </w:r>
    </w:p>
    <w:p w14:paraId="1BCE600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.5磋商小组对磋商响应文件的判定，只依据磋商响应文件和磋商文件内容本身，不依据任何外来证明。</w:t>
      </w:r>
    </w:p>
    <w:p w14:paraId="635EE65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.6磋商小组不向落标方解释落标的原因，不退还磋商响应文件。</w:t>
      </w:r>
    </w:p>
    <w:p w14:paraId="08234000">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．磋商响应文件的初审鉴定</w:t>
      </w:r>
    </w:p>
    <w:p w14:paraId="45568A40">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.1资格性审查</w:t>
      </w:r>
    </w:p>
    <w:p w14:paraId="6511F537">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.1.1依据法律、法规和磋商文件规定，对磋商响应文件中对资格证明等进行审查，以确定供应商是否具备磋商资格。</w:t>
      </w:r>
    </w:p>
    <w:p w14:paraId="255098D1">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.2符合性审查</w:t>
      </w:r>
    </w:p>
    <w:p w14:paraId="7B32DE5B">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2AD4264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.3如果磋商响应文件实质不响应磋商文件的各项要求，磋商小组将予以拒绝，并且不允许供应商通过修改或撤销其不符合要求的差异或保留，使之成为具有响应性的磋商。</w:t>
      </w:r>
    </w:p>
    <w:p w14:paraId="412FB48A">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 对明显的文字和计算错误的修正原则</w:t>
      </w:r>
    </w:p>
    <w:p w14:paraId="32B99ADB">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.1磋商响应文件中报价一览表（报价表）内容与磋商响应文件中相应内容不一致的，以报价一览表（报价表）为准；</w:t>
      </w:r>
    </w:p>
    <w:p w14:paraId="4D3A048D">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.2大写金额和小写金额不一致的，以大写金额为准；</w:t>
      </w:r>
    </w:p>
    <w:p w14:paraId="627E7E86">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.3单价金额小数点或者百分比有明显错位的，以开标一览表的总价为准，并修改单价；</w:t>
      </w:r>
    </w:p>
    <w:p w14:paraId="2A1B9F1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.4总价金额与按单价汇总金额不一致的，以单价金额计算结果为准。</w:t>
      </w:r>
    </w:p>
    <w:p w14:paraId="0E0B27C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同时出现两种以上不一致的，按照前款规定的顺序修正。修正后的报价经磋商响应人确认后产生约束力，磋商响应人不确认的，其磋商无效。</w:t>
      </w:r>
    </w:p>
    <w:p w14:paraId="248CD6A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.磋商响应文件的评审、比较和否决</w:t>
      </w:r>
    </w:p>
    <w:p w14:paraId="40B9392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.1磋商小组将对在实质上响应磋商文件要求的磋商响应文件进行评审。</w:t>
      </w:r>
    </w:p>
    <w:p w14:paraId="24CA3D6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.2在评审过程中，磋商小组可以书面形式要求供应商就磋商响应文件含义不明确的内容进行书面说明并提供相关材料。</w:t>
      </w:r>
    </w:p>
    <w:p w14:paraId="28F23F16">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.3在磋商过程中，如发现与磋商文件要求相偏离的，磋商小组应对其偏离情形进行必要的书面核实。</w:t>
      </w:r>
    </w:p>
    <w:p w14:paraId="42B9D6A6">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.4在评审过程中，如属于实质性偏离或符合无效响应条件的，应当询问相关供应商，并允许其进行陈述申辩，但不允许对偏离条款撤回。</w:t>
      </w:r>
    </w:p>
    <w:p w14:paraId="017917AB">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.5 报价审核。对符合采购需求且通过商务技术（资信）评审的投标人的报价的合理性、准确性等进行审查核实。</w:t>
      </w:r>
    </w:p>
    <w:p w14:paraId="3EA83252">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.5.1磋商小组认为供应商的报价明显低于其他通过符合性审查供应商的报价，有可能影响产品质量或者不能诚信履约的，应当要求其在磋商现场合理的时间内通过</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提供线上说明，必要时提交相关证明材料。</w:t>
      </w:r>
    </w:p>
    <w:p w14:paraId="0F8F5C7D">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.5.2根据财政部发布的《政府采购促进中小企业发展管理办法》</w:t>
      </w:r>
      <w:r>
        <w:rPr>
          <w:rFonts w:hint="eastAsia" w:ascii="宋体" w:hAnsi="宋体" w:eastAsia="宋体" w:cs="宋体"/>
          <w:color w:val="auto"/>
          <w:sz w:val="21"/>
          <w:szCs w:val="21"/>
          <w:lang w:val="en-US" w:eastAsia="zh-CN"/>
        </w:rPr>
        <w:t>（财库[2020]46号）的</w:t>
      </w:r>
      <w:r>
        <w:rPr>
          <w:rFonts w:hint="eastAsia" w:ascii="宋体" w:hAnsi="宋体" w:eastAsia="宋体" w:cs="宋体"/>
          <w:color w:val="auto"/>
          <w:sz w:val="21"/>
          <w:szCs w:val="21"/>
        </w:rPr>
        <w:t>规定，对于非专门面向中小企业的项目，对小型和微型企业产品的价格给予一定的扣除，用扣除后的价格参与评审。</w:t>
      </w:r>
    </w:p>
    <w:p w14:paraId="2CCFE74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磋商小组</w:t>
      </w:r>
      <w:r>
        <w:rPr>
          <w:rFonts w:hint="eastAsia" w:ascii="宋体" w:hAnsi="宋体" w:eastAsia="宋体" w:cs="宋体"/>
          <w:color w:val="auto"/>
          <w:sz w:val="21"/>
          <w:szCs w:val="21"/>
        </w:rPr>
        <w:t>依据磋商文件规定的评定标准和方法，对磋商响应文件进行评审后，向本公司提供书面磋商报告，并按得分高低排序推荐成交候选供应商。</w:t>
      </w:r>
    </w:p>
    <w:p w14:paraId="79209AF1">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.磋商响应文件的澄清</w:t>
      </w:r>
    </w:p>
    <w:p w14:paraId="06E46AE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为有利于对磋商响应文件的比较和评议，磋商小组可要求供应商对磋商响应文件进行澄清，必要时磋商小组可要求供应商对澄清的问题作出书面答复。</w:t>
      </w:r>
    </w:p>
    <w:p w14:paraId="1124A8E5">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评审中需要供应商对磋商响应文件作出澄清、说明或者补正的，磋商小组和供应商应当通过</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交换数据电文。给予供应商提交澄清说明或补正的时间不少于半小时，供应商已经明确表示澄清说明或补正完毕的除外。</w:t>
      </w:r>
    </w:p>
    <w:p w14:paraId="547D20CD">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供应商通过</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交换的数据电文必须进行电子签章。</w:t>
      </w:r>
    </w:p>
    <w:p w14:paraId="385ABE25">
      <w:pPr>
        <w:pStyle w:val="9"/>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rPr>
        <w:t>5</w:t>
      </w:r>
      <w:r>
        <w:rPr>
          <w:rFonts w:hint="eastAsia" w:ascii="宋体" w:hAnsi="宋体" w:eastAsia="宋体" w:cs="宋体"/>
          <w:b/>
          <w:bCs/>
          <w:color w:val="auto"/>
          <w:sz w:val="21"/>
          <w:szCs w:val="21"/>
        </w:rPr>
        <w:t>．无效磋商的情形</w:t>
      </w:r>
    </w:p>
    <w:p w14:paraId="4E60528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磋商响应文件有下列情形之一的作无效磋商响应处理：</w:t>
      </w:r>
    </w:p>
    <w:p w14:paraId="7F56B389">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.1未按照磋商文件规定要求签署、盖章的；</w:t>
      </w:r>
    </w:p>
    <w:p w14:paraId="3537980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.2单位负责人为同一人或者存在直接控股、管理关系的不同供应商参加同一合同项下的政府采购活动的（均无效）；</w:t>
      </w:r>
    </w:p>
    <w:p w14:paraId="7636998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 xml:space="preserve">.3为采购项目提供整体设计、规范编制或者项目管理、监理、检测等服务的供应商参加该采购项目的其他采购活动的； </w:t>
      </w:r>
    </w:p>
    <w:p w14:paraId="5A79A0F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.4供应商不具备磋商文件中规定的资格要求的（供应商未提供有效的资格证明文件的，视为其不具备磋商文件中规定的资格要求）；</w:t>
      </w:r>
    </w:p>
    <w:p w14:paraId="7DB09B3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.5 《法定代表人身份证明书》与提供的身份证复印件信息不符的；《法定代表人授权委托书》与提供的身份证复印件信息不符的；</w:t>
      </w:r>
    </w:p>
    <w:p w14:paraId="56478579">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.6《法定代表人授权委托书》或《法定代表人身份证明书》填写不全、错误、未加盖公章(《法定代表人授权委托书》要求“盖章”和“签字”缺一不可）的；</w:t>
      </w:r>
    </w:p>
    <w:p w14:paraId="46C397E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.7磋商响应文件中的磋商响应函未加盖供应商的企业公章或填写不全的；</w:t>
      </w:r>
    </w:p>
    <w:p w14:paraId="7E4AE997">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.8报价一经涂改，未在涂改处加盖磋商响应单位公章或者未经法定代表人或授权代表签字或盖章的；</w:t>
      </w:r>
    </w:p>
    <w:p w14:paraId="4064B7C7">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.9磋商响应文件中未按磋商文件规定的格式填写，或未详细应答磋商服务（或技术或产品等要求），经磋商后仍无法详细应答或应答不完整有缺失，致使磋商小组无法评审的；</w:t>
      </w:r>
    </w:p>
    <w:p w14:paraId="444E80F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.10出现同一标的物或本次磋商产品(服务)内的主要产品(重要组成部分)出现商务技术（资信）文件资料、报价文件资料描述不一致或前后描述不一致，经磋商小组认定后为无法评审的；</w:t>
      </w:r>
    </w:p>
    <w:p w14:paraId="5058B2F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.11《技术偏离说明表》不真实填写或弄虚作假的；</w:t>
      </w:r>
    </w:p>
    <w:p w14:paraId="078875A5">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.12磋商响应文件有采购人不能接受的条件；</w:t>
      </w:r>
    </w:p>
    <w:p w14:paraId="0A2FDF13">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.13磋商小组认为供应商的报价明显低于其他通过符合性审查磋商响应人的报价，有可能影响产品质量或者不能诚信履约的，应当要求其在磋商现场合理的时间内通过</w:t>
      </w:r>
      <w:r>
        <w:rPr>
          <w:rFonts w:hint="eastAsia" w:ascii="宋体" w:hAnsi="宋体" w:eastAsia="宋体" w:cs="宋体"/>
          <w:color w:val="auto"/>
          <w:sz w:val="21"/>
          <w:szCs w:val="21"/>
          <w:lang w:val="en-US"/>
        </w:rPr>
        <w:t>广西政府采购云平台</w:t>
      </w:r>
      <w:r>
        <w:rPr>
          <w:rFonts w:hint="eastAsia" w:ascii="宋体" w:hAnsi="宋体" w:eastAsia="宋体" w:cs="宋体"/>
          <w:color w:val="auto"/>
          <w:sz w:val="21"/>
          <w:szCs w:val="21"/>
        </w:rPr>
        <w:t>提供线上说明，必要时提交相关证明材料，磋商响应人不能证明其报价合理性的；</w:t>
      </w:r>
    </w:p>
    <w:p w14:paraId="5EF8DAD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.14最后报价超过预算金额或上限价的；</w:t>
      </w:r>
    </w:p>
    <w:p w14:paraId="079293E3">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.15磋商小组认定有重大偏差或实质性不响应磋商文件要求的；</w:t>
      </w:r>
    </w:p>
    <w:p w14:paraId="79380AE8">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.16采购人拟采购的产品属于政府强制采购的节能产品品目清单范围的，供应商未按磋商文件要求提供国家确定的认证机构出具的、处于有效期之内的节能产品认证证书的；</w:t>
      </w:r>
    </w:p>
    <w:p w14:paraId="193DAC70">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.17《报价一览表》填写不完整或字迹不能辨认或有漏项的；</w:t>
      </w:r>
    </w:p>
    <w:p w14:paraId="2541D02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.18供应商对根据修正原则修正后的报价不确认的；</w:t>
      </w:r>
    </w:p>
    <w:p w14:paraId="781CFE49">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.19供应商提供虚假材料磋商的（包括但不限于以下情节）；</w:t>
      </w:r>
    </w:p>
    <w:p w14:paraId="2A3FC815">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.20.1使用伪造、变造的许可证件；</w:t>
      </w:r>
    </w:p>
    <w:p w14:paraId="36A8DA9C">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.20.2提供虚假的财务状况或者业绩；</w:t>
      </w:r>
    </w:p>
    <w:p w14:paraId="7F316353">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.20.3提供虚假的项目负责人或者主要技术人员简历、劳动关系证明；</w:t>
      </w:r>
    </w:p>
    <w:p w14:paraId="1442B392">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.20.4提供虚假的信用状况；</w:t>
      </w:r>
    </w:p>
    <w:p w14:paraId="07E3CD18">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.20.5其他弄虚作假的行为。</w:t>
      </w:r>
    </w:p>
    <w:p w14:paraId="7EA903B8">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.20有下列情形之一的，视为供应商串通磋商，其磋商无效：</w:t>
      </w:r>
    </w:p>
    <w:p w14:paraId="3F7210D0">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.20.1不同供应商的磋商响应文件由同一单位或者个人编制；</w:t>
      </w:r>
    </w:p>
    <w:p w14:paraId="52754FF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.20.2不同供应商委托同一单位或者个人办理磋商事宜；</w:t>
      </w:r>
    </w:p>
    <w:p w14:paraId="70E3572D">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.20.3不同供应商的磋商响应文件载明的项目管理成员或者联系人员为同一人；</w:t>
      </w:r>
    </w:p>
    <w:p w14:paraId="028EE05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.20.4不同供应商的磋商响应文件异常一致或者磋商报价呈规律性差异；</w:t>
      </w:r>
    </w:p>
    <w:p w14:paraId="1B3DC409">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.20.5不同供应商的磋商响应文件相互混装；</w:t>
      </w:r>
    </w:p>
    <w:p w14:paraId="46A044CE">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.21有下列情形之一的，属于恶意串通，其磋商无效：</w:t>
      </w:r>
    </w:p>
    <w:p w14:paraId="49E4B8D4">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.21.1供应商直接或者间接从采购人或者采购机构处获得其他供应商的相关情况并修改其投标文件或者响应文件；</w:t>
      </w:r>
    </w:p>
    <w:p w14:paraId="784C72B8">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.21.2供应商之间协商报价、技术方案等投标文件或者响应文件的实质性内容；</w:t>
      </w:r>
    </w:p>
    <w:p w14:paraId="4CB80C2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.21.3属于同一集团、协会、商会等组织成员的供应商按照该组织要求协同参加政府采购活动；</w:t>
      </w:r>
    </w:p>
    <w:p w14:paraId="312B12AB">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.21.4供应商之间事先约定由某一特定供应商中标、成交；</w:t>
      </w:r>
    </w:p>
    <w:p w14:paraId="0F30F59B">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.21.5供应商之间商定部分供应商放弃参加政府采购活动或者放弃中标、成交；</w:t>
      </w:r>
    </w:p>
    <w:p w14:paraId="713D8988">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.21.6供应商与采购人或者采购机构之间、供应商相互之间，为谋求特定供应商中标、成交或者排斥其他供应商的其他串通行为。</w:t>
      </w:r>
    </w:p>
    <w:p w14:paraId="467BD30D">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.21.7其他违反法律、法规的情形。</w:t>
      </w:r>
    </w:p>
    <w:p w14:paraId="5EEDEA2F">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 磋商过程保密</w:t>
      </w:r>
    </w:p>
    <w:p w14:paraId="7350C7C1">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3285FE3A">
      <w:pPr>
        <w:pStyle w:val="9"/>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rPr>
        <w:t>16</w:t>
      </w:r>
      <w:r>
        <w:rPr>
          <w:rFonts w:hint="eastAsia" w:ascii="宋体" w:hAnsi="宋体" w:eastAsia="宋体" w:cs="宋体"/>
          <w:color w:val="auto"/>
          <w:sz w:val="21"/>
          <w:szCs w:val="21"/>
        </w:rPr>
        <w:t>.2 在磋商期间，供应商企图影响采购人、集中采购机构或磋商小组的任何活动，都将导致磋商被拒绝，并由其承担相应的法律责任。</w:t>
      </w:r>
    </w:p>
    <w:p w14:paraId="32645EC8">
      <w:pPr>
        <w:pStyle w:val="9"/>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六、确定成交供应商</w:t>
      </w:r>
    </w:p>
    <w:p w14:paraId="6177F3F0">
      <w:pPr>
        <w:pStyle w:val="35"/>
        <w:tabs>
          <w:tab w:val="left" w:pos="1494"/>
        </w:tabs>
        <w:spacing w:line="360" w:lineRule="auto"/>
        <w:ind w:left="0" w:firstLine="408" w:firstLineChars="200"/>
        <w:rPr>
          <w:rFonts w:ascii="宋体" w:hAnsi="宋体" w:eastAsia="宋体" w:cs="宋体"/>
          <w:color w:val="auto"/>
          <w:sz w:val="21"/>
          <w:szCs w:val="21"/>
        </w:rPr>
      </w:pPr>
      <w:bookmarkStart w:id="43" w:name="12._确定成交供应商办法"/>
      <w:bookmarkEnd w:id="43"/>
      <w:r>
        <w:rPr>
          <w:rFonts w:hint="eastAsia" w:ascii="宋体" w:hAnsi="宋体" w:eastAsia="宋体" w:cs="宋体"/>
          <w:color w:val="auto"/>
          <w:spacing w:val="-3"/>
          <w:sz w:val="21"/>
          <w:szCs w:val="21"/>
          <w:lang w:val="en-US"/>
        </w:rPr>
        <w:t>6.</w:t>
      </w:r>
      <w:r>
        <w:rPr>
          <w:rFonts w:hint="eastAsia" w:ascii="宋体" w:hAnsi="宋体" w:eastAsia="宋体" w:cs="宋体"/>
          <w:color w:val="auto"/>
          <w:spacing w:val="-3"/>
          <w:sz w:val="21"/>
          <w:szCs w:val="21"/>
        </w:rPr>
        <w:t>确定成交供应商办法</w:t>
      </w:r>
    </w:p>
    <w:p w14:paraId="088A5AC1">
      <w:pPr>
        <w:pStyle w:val="35"/>
        <w:tabs>
          <w:tab w:val="left" w:pos="1564"/>
        </w:tabs>
        <w:spacing w:line="360" w:lineRule="auto"/>
        <w:ind w:left="0" w:firstLine="408" w:firstLineChars="200"/>
        <w:rPr>
          <w:rFonts w:ascii="宋体" w:hAnsi="宋体" w:eastAsia="宋体" w:cs="宋体"/>
          <w:color w:val="auto"/>
          <w:sz w:val="21"/>
          <w:szCs w:val="21"/>
        </w:rPr>
      </w:pPr>
      <w:bookmarkStart w:id="44" w:name="12.1经磋商确定最终采购需求和提交最后报价的供应商后，由磋商小组采用综合评分法"/>
      <w:bookmarkEnd w:id="44"/>
      <w:r>
        <w:rPr>
          <w:rFonts w:hint="eastAsia" w:ascii="宋体" w:hAnsi="宋体" w:eastAsia="宋体" w:cs="宋体"/>
          <w:color w:val="auto"/>
          <w:spacing w:val="-3"/>
          <w:sz w:val="21"/>
          <w:szCs w:val="21"/>
          <w:lang w:val="en-US"/>
        </w:rPr>
        <w:t>6.1</w:t>
      </w:r>
      <w:r>
        <w:rPr>
          <w:rFonts w:hint="eastAsia" w:ascii="宋体" w:hAnsi="宋体" w:eastAsia="宋体" w:cs="宋体"/>
          <w:color w:val="auto"/>
          <w:spacing w:val="-3"/>
          <w:sz w:val="21"/>
          <w:szCs w:val="21"/>
        </w:rPr>
        <w:t>经磋商确定最终采购需求和提交最后报价的供应商后，由磋商小组采用综合评分法对提交最后报价的供应商的响应文件和最后报价进行综合评分。</w:t>
      </w:r>
    </w:p>
    <w:p w14:paraId="3E7BA408">
      <w:pPr>
        <w:pStyle w:val="35"/>
        <w:tabs>
          <w:tab w:val="left" w:pos="1564"/>
        </w:tabs>
        <w:spacing w:line="360" w:lineRule="auto"/>
        <w:ind w:left="0" w:firstLine="408" w:firstLineChars="200"/>
        <w:rPr>
          <w:rFonts w:ascii="宋体" w:hAnsi="宋体" w:eastAsia="宋体" w:cs="宋体"/>
          <w:color w:val="auto"/>
          <w:spacing w:val="-3"/>
          <w:sz w:val="21"/>
          <w:szCs w:val="21"/>
        </w:rPr>
      </w:pPr>
      <w:bookmarkStart w:id="45" w:name="12.2本项目的评审原则、评审内容、评分标准、成交候选供应商推荐及成交供应商确定"/>
      <w:bookmarkEnd w:id="45"/>
      <w:r>
        <w:rPr>
          <w:rFonts w:hint="eastAsia" w:ascii="宋体" w:hAnsi="宋体" w:eastAsia="宋体" w:cs="宋体"/>
          <w:color w:val="auto"/>
          <w:spacing w:val="-3"/>
          <w:sz w:val="21"/>
          <w:szCs w:val="21"/>
          <w:lang w:val="en-US"/>
        </w:rPr>
        <w:t>6.2</w:t>
      </w:r>
      <w:r>
        <w:rPr>
          <w:rFonts w:hint="eastAsia" w:ascii="宋体" w:hAnsi="宋体" w:eastAsia="宋体" w:cs="宋体"/>
          <w:color w:val="auto"/>
          <w:spacing w:val="-3"/>
          <w:sz w:val="21"/>
          <w:szCs w:val="21"/>
        </w:rPr>
        <w:t>本项目的评审原则、评审内容、评分标准、成交候选供应商推荐及成交供应商确定原则详见“第六章 评审方法”。</w:t>
      </w:r>
      <w:bookmarkStart w:id="46" w:name="12.3采购人将在收到评审报告后5个工作日内，按照成交供应商确定原则从评审报告提"/>
      <w:bookmarkEnd w:id="46"/>
    </w:p>
    <w:p w14:paraId="71CA14CF">
      <w:pPr>
        <w:pStyle w:val="35"/>
        <w:tabs>
          <w:tab w:val="left" w:pos="1564"/>
        </w:tabs>
        <w:spacing w:line="360" w:lineRule="auto"/>
        <w:ind w:left="0" w:firstLine="410" w:firstLineChars="200"/>
        <w:rPr>
          <w:rFonts w:ascii="宋体" w:hAnsi="宋体" w:eastAsia="宋体" w:cs="宋体"/>
          <w:b/>
          <w:bCs/>
          <w:color w:val="auto"/>
          <w:spacing w:val="-3"/>
          <w:sz w:val="21"/>
          <w:szCs w:val="21"/>
        </w:rPr>
      </w:pPr>
      <w:r>
        <w:rPr>
          <w:rFonts w:hint="eastAsia" w:ascii="宋体" w:hAnsi="宋体" w:eastAsia="宋体" w:cs="宋体"/>
          <w:b/>
          <w:bCs/>
          <w:color w:val="auto"/>
          <w:spacing w:val="-3"/>
          <w:sz w:val="21"/>
          <w:szCs w:val="21"/>
          <w:lang w:eastAsia="zh-CN"/>
        </w:rPr>
        <w:t>七</w:t>
      </w:r>
      <w:r>
        <w:rPr>
          <w:rFonts w:hint="eastAsia" w:ascii="宋体" w:hAnsi="宋体" w:eastAsia="宋体" w:cs="宋体"/>
          <w:b/>
          <w:bCs/>
          <w:color w:val="auto"/>
          <w:spacing w:val="-3"/>
          <w:sz w:val="21"/>
          <w:szCs w:val="21"/>
        </w:rPr>
        <w:t>、成交结果公告</w:t>
      </w:r>
    </w:p>
    <w:p w14:paraId="17C27D64">
      <w:pPr>
        <w:pStyle w:val="35"/>
        <w:tabs>
          <w:tab w:val="left" w:pos="1564"/>
        </w:tabs>
        <w:spacing w:line="360" w:lineRule="auto"/>
        <w:ind w:left="0" w:firstLine="408" w:firstLineChars="200"/>
        <w:rPr>
          <w:rFonts w:ascii="宋体" w:hAnsi="宋体" w:eastAsia="宋体" w:cs="宋体"/>
          <w:color w:val="auto"/>
          <w:spacing w:val="-3"/>
          <w:sz w:val="21"/>
          <w:szCs w:val="21"/>
        </w:rPr>
      </w:pPr>
      <w:r>
        <w:rPr>
          <w:rFonts w:hint="eastAsia" w:ascii="宋体" w:hAnsi="宋体" w:eastAsia="宋体" w:cs="宋体"/>
          <w:color w:val="auto"/>
          <w:spacing w:val="-3"/>
          <w:sz w:val="21"/>
          <w:szCs w:val="21"/>
          <w:lang w:val="en-US"/>
        </w:rPr>
        <w:t>9</w:t>
      </w:r>
      <w:r>
        <w:rPr>
          <w:rFonts w:hint="eastAsia" w:ascii="宋体" w:hAnsi="宋体" w:eastAsia="宋体" w:cs="宋体"/>
          <w:color w:val="auto"/>
          <w:spacing w:val="-3"/>
          <w:sz w:val="21"/>
          <w:szCs w:val="21"/>
        </w:rPr>
        <w:t>.1采购代理机构在评审结束后二个工作日内将磋商评审报告送采购人确认，采购人确认后，成交结果公告将在同磋商公告发布网站上发布，同时向成交供应商发出成交通知书。</w:t>
      </w:r>
    </w:p>
    <w:p w14:paraId="5F5DF022">
      <w:pPr>
        <w:pStyle w:val="35"/>
        <w:tabs>
          <w:tab w:val="left" w:pos="1564"/>
        </w:tabs>
        <w:spacing w:line="360" w:lineRule="auto"/>
        <w:ind w:left="0" w:firstLine="408" w:firstLineChars="200"/>
        <w:rPr>
          <w:rFonts w:ascii="宋体" w:hAnsi="宋体" w:eastAsia="宋体" w:cs="宋体"/>
          <w:color w:val="auto"/>
          <w:spacing w:val="-3"/>
          <w:sz w:val="21"/>
          <w:szCs w:val="21"/>
        </w:rPr>
      </w:pPr>
      <w:r>
        <w:rPr>
          <w:rFonts w:hint="eastAsia" w:ascii="宋体" w:hAnsi="宋体" w:eastAsia="宋体" w:cs="宋体"/>
          <w:color w:val="auto"/>
          <w:spacing w:val="-3"/>
          <w:sz w:val="21"/>
          <w:szCs w:val="21"/>
          <w:lang w:val="en-US"/>
        </w:rPr>
        <w:t>9</w:t>
      </w:r>
      <w:r>
        <w:rPr>
          <w:rFonts w:hint="eastAsia" w:ascii="宋体" w:hAnsi="宋体" w:eastAsia="宋体" w:cs="宋体"/>
          <w:color w:val="auto"/>
          <w:spacing w:val="-3"/>
          <w:sz w:val="21"/>
          <w:szCs w:val="21"/>
        </w:rPr>
        <w:t>.2磋商供应商认为成交结果使自己的权益受到损害的，可以在成交结果公告期限届满之日起七个工作日内以书面形式向采购代理机构提出质疑。采购代理机构将在收到磋商供应商的书面质疑后七个工作日内做出答复，但答复的内容不得涉及商业秘密。</w:t>
      </w:r>
    </w:p>
    <w:p w14:paraId="2677D8AD">
      <w:pPr>
        <w:pStyle w:val="35"/>
        <w:tabs>
          <w:tab w:val="left" w:pos="1564"/>
        </w:tabs>
        <w:spacing w:line="360" w:lineRule="auto"/>
        <w:ind w:left="0" w:firstLine="408" w:firstLineChars="200"/>
        <w:rPr>
          <w:rFonts w:ascii="宋体" w:hAnsi="宋体" w:eastAsia="宋体" w:cs="宋体"/>
          <w:color w:val="auto"/>
          <w:spacing w:val="-3"/>
          <w:sz w:val="21"/>
          <w:szCs w:val="21"/>
        </w:rPr>
      </w:pPr>
      <w:r>
        <w:rPr>
          <w:rFonts w:hint="eastAsia" w:ascii="宋体" w:hAnsi="宋体" w:eastAsia="宋体" w:cs="宋体"/>
          <w:color w:val="auto"/>
          <w:spacing w:val="-3"/>
          <w:sz w:val="21"/>
          <w:szCs w:val="21"/>
          <w:lang w:val="en-US"/>
        </w:rPr>
        <w:t>9</w:t>
      </w:r>
      <w:r>
        <w:rPr>
          <w:rFonts w:hint="eastAsia" w:ascii="宋体" w:hAnsi="宋体" w:eastAsia="宋体" w:cs="宋体"/>
          <w:color w:val="auto"/>
          <w:spacing w:val="-3"/>
          <w:sz w:val="21"/>
          <w:szCs w:val="21"/>
        </w:rPr>
        <w:t>.3质疑磋商供应商必须首先经过质疑程序，在对采购代理机构的答复不满意或者采购代理机构未在规定的时间内做出答复的，可以在答复期满后十五个工作日内书面向本级政府采购监督管理部门投诉。</w:t>
      </w:r>
    </w:p>
    <w:p w14:paraId="0C5FED8A">
      <w:pPr>
        <w:pStyle w:val="35"/>
        <w:tabs>
          <w:tab w:val="left" w:pos="1564"/>
        </w:tabs>
        <w:spacing w:line="360" w:lineRule="auto"/>
        <w:ind w:left="0" w:firstLine="408" w:firstLineChars="200"/>
        <w:rPr>
          <w:rFonts w:hint="default" w:ascii="Times New Roman" w:hAnsi="Times New Roman" w:eastAsia="宋体" w:cs="Times New Roman"/>
          <w:color w:val="auto"/>
          <w:spacing w:val="-3"/>
          <w:sz w:val="21"/>
          <w:szCs w:val="21"/>
          <w:lang w:eastAsia="zh-CN"/>
        </w:rPr>
      </w:pPr>
      <w:r>
        <w:rPr>
          <w:rFonts w:hint="default" w:ascii="Times New Roman" w:hAnsi="Times New Roman" w:eastAsia="宋体" w:cs="Times New Roman"/>
          <w:color w:val="auto"/>
          <w:spacing w:val="-3"/>
          <w:sz w:val="21"/>
          <w:szCs w:val="21"/>
        </w:rPr>
        <w:t>质疑联系部门及电话为：</w:t>
      </w:r>
      <w:r>
        <w:rPr>
          <w:rFonts w:hint="default" w:ascii="Times New Roman" w:hAnsi="Times New Roman" w:eastAsia="宋体" w:cs="Times New Roman"/>
          <w:color w:val="auto"/>
          <w:spacing w:val="-3"/>
          <w:sz w:val="21"/>
          <w:szCs w:val="21"/>
          <w:lang w:eastAsia="zh-CN"/>
        </w:rPr>
        <w:t>广西新凯林管理咨询有限公司</w:t>
      </w:r>
      <w:r>
        <w:rPr>
          <w:rFonts w:hint="default" w:ascii="Times New Roman" w:hAnsi="Times New Roman" w:eastAsia="宋体" w:cs="Times New Roman"/>
          <w:color w:val="auto"/>
          <w:spacing w:val="-3"/>
          <w:sz w:val="21"/>
          <w:szCs w:val="21"/>
        </w:rPr>
        <w:t xml:space="preserve">  </w:t>
      </w:r>
      <w:r>
        <w:rPr>
          <w:rFonts w:hint="eastAsia"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lang w:eastAsia="zh-CN"/>
        </w:rPr>
        <w:t>0779-3213023</w:t>
      </w:r>
    </w:p>
    <w:p w14:paraId="3113DE44">
      <w:pPr>
        <w:pStyle w:val="35"/>
        <w:tabs>
          <w:tab w:val="left" w:pos="1564"/>
        </w:tabs>
        <w:spacing w:line="360" w:lineRule="auto"/>
        <w:ind w:left="0" w:firstLine="408" w:firstLineChars="200"/>
        <w:rPr>
          <w:rFonts w:hint="eastAsia" w:ascii="Times New Roman" w:hAnsi="Times New Roman" w:eastAsia="宋体" w:cs="Times New Roman"/>
          <w:color w:val="auto"/>
          <w:spacing w:val="-3"/>
          <w:sz w:val="21"/>
          <w:szCs w:val="21"/>
          <w:lang w:val="en-US" w:eastAsia="zh-CN"/>
        </w:rPr>
      </w:pPr>
      <w:r>
        <w:rPr>
          <w:rFonts w:hint="default" w:ascii="Times New Roman" w:hAnsi="Times New Roman" w:eastAsia="宋体" w:cs="Times New Roman"/>
          <w:color w:val="auto"/>
          <w:spacing w:val="-3"/>
          <w:sz w:val="21"/>
          <w:szCs w:val="21"/>
        </w:rPr>
        <w:t xml:space="preserve">投诉联系部门及电话为：北海市财政局   </w:t>
      </w:r>
      <w:r>
        <w:rPr>
          <w:rFonts w:hint="default" w:ascii="Times New Roman" w:hAnsi="Times New Roman" w:eastAsia="宋体" w:cs="Times New Roman"/>
          <w:color w:val="auto"/>
          <w:spacing w:val="-3"/>
          <w:sz w:val="21"/>
          <w:szCs w:val="21"/>
          <w:lang w:val="en-US" w:eastAsia="zh-CN"/>
        </w:rPr>
        <w:t xml:space="preserve">            </w:t>
      </w:r>
      <w:r>
        <w:rPr>
          <w:rFonts w:hint="eastAsia" w:ascii="Times New Roman" w:hAnsi="Times New Roman" w:eastAsia="宋体" w:cs="Times New Roman"/>
          <w:color w:val="auto"/>
          <w:spacing w:val="-3"/>
          <w:sz w:val="21"/>
          <w:szCs w:val="21"/>
          <w:lang w:val="en-US" w:eastAsia="zh-CN"/>
        </w:rPr>
        <w:t xml:space="preserve">                              0779-3063975</w:t>
      </w:r>
    </w:p>
    <w:p w14:paraId="134EE84B">
      <w:pPr>
        <w:pStyle w:val="9"/>
        <w:spacing w:line="360" w:lineRule="auto"/>
        <w:ind w:firstLine="422" w:firstLineChars="200"/>
        <w:rPr>
          <w:rFonts w:ascii="宋体" w:hAnsi="宋体" w:eastAsia="宋体" w:cs="宋体"/>
          <w:b/>
          <w:bCs/>
          <w:color w:val="auto"/>
          <w:sz w:val="21"/>
          <w:szCs w:val="21"/>
        </w:rPr>
      </w:pPr>
      <w:bookmarkStart w:id="47" w:name="七、签订合同"/>
      <w:bookmarkEnd w:id="47"/>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、履约保证金：</w:t>
      </w:r>
      <w:r>
        <w:rPr>
          <w:rFonts w:hint="eastAsia" w:ascii="宋体" w:hAnsi="宋体" w:eastAsia="宋体" w:cs="宋体"/>
          <w:color w:val="auto"/>
          <w:sz w:val="21"/>
          <w:szCs w:val="21"/>
        </w:rPr>
        <w:t>本项目不收取，成交供应商未按合同约定履行合同义务，给采购人造成损失的，按实际损失进行赔偿</w:t>
      </w:r>
      <w:r>
        <w:rPr>
          <w:rFonts w:hint="eastAsia" w:ascii="宋体" w:hAnsi="宋体" w:eastAsia="宋体" w:cs="宋体"/>
          <w:b/>
          <w:bCs/>
          <w:color w:val="auto"/>
          <w:sz w:val="21"/>
          <w:szCs w:val="21"/>
        </w:rPr>
        <w:t>。</w:t>
      </w:r>
    </w:p>
    <w:p w14:paraId="1852BDBC">
      <w:pPr>
        <w:pStyle w:val="9"/>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lang w:eastAsia="zh-CN"/>
        </w:rPr>
        <w:t>九</w:t>
      </w:r>
      <w:r>
        <w:rPr>
          <w:rFonts w:hint="eastAsia" w:ascii="宋体" w:hAnsi="宋体" w:eastAsia="宋体" w:cs="宋体"/>
          <w:b/>
          <w:bCs/>
          <w:color w:val="auto"/>
          <w:sz w:val="21"/>
          <w:szCs w:val="21"/>
        </w:rPr>
        <w:t>、签订合同</w:t>
      </w:r>
    </w:p>
    <w:p w14:paraId="2B9F09E4">
      <w:pPr>
        <w:pStyle w:val="35"/>
        <w:tabs>
          <w:tab w:val="left" w:pos="1357"/>
        </w:tabs>
        <w:spacing w:line="360" w:lineRule="auto"/>
        <w:ind w:left="0" w:firstLine="420" w:firstLineChars="200"/>
        <w:rPr>
          <w:rFonts w:ascii="宋体" w:hAnsi="宋体" w:eastAsia="宋体" w:cs="宋体"/>
          <w:color w:val="auto"/>
          <w:sz w:val="21"/>
          <w:szCs w:val="21"/>
        </w:rPr>
      </w:pPr>
      <w:bookmarkStart w:id="48" w:name="13.成交供应商在收到成交通知书后，按规定与采购人签订政府采购合同。"/>
      <w:bookmarkEnd w:id="48"/>
      <w:r>
        <w:rPr>
          <w:rFonts w:hint="eastAsia" w:ascii="宋体" w:hAnsi="宋体" w:eastAsia="宋体" w:cs="宋体"/>
          <w:color w:val="auto"/>
          <w:sz w:val="21"/>
          <w:szCs w:val="21"/>
          <w:lang w:val="en-US"/>
        </w:rPr>
        <w:t>11.1.</w:t>
      </w:r>
      <w:r>
        <w:rPr>
          <w:rFonts w:hint="eastAsia" w:ascii="宋体" w:hAnsi="宋体" w:eastAsia="宋体" w:cs="宋体"/>
          <w:color w:val="auto"/>
          <w:sz w:val="21"/>
          <w:szCs w:val="21"/>
        </w:rPr>
        <w:t>成交供应商自成交通知书发出之日起</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val="en-US"/>
        </w:rPr>
        <w:t>日</w:t>
      </w:r>
      <w:r>
        <w:rPr>
          <w:rFonts w:hint="eastAsia" w:ascii="宋体" w:hAnsi="宋体" w:eastAsia="宋体" w:cs="宋体"/>
          <w:color w:val="auto"/>
          <w:sz w:val="21"/>
          <w:szCs w:val="21"/>
        </w:rPr>
        <w:t>内与采购人签订政府采购合同，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0A2DA0AB">
      <w:pPr>
        <w:pStyle w:val="35"/>
        <w:tabs>
          <w:tab w:val="left" w:pos="1357"/>
        </w:tabs>
        <w:spacing w:line="360"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1.2.</w:t>
      </w:r>
      <w:r>
        <w:rPr>
          <w:rFonts w:hint="eastAsia" w:ascii="宋体" w:hAnsi="宋体" w:eastAsia="宋体" w:cs="宋体"/>
          <w:color w:val="auto"/>
          <w:sz w:val="21"/>
          <w:szCs w:val="21"/>
        </w:rPr>
        <w:t>成交供应商拒绝签订政府采购合同的，采购人可以根据磋商评审报告确定成交供应商之后排名第一的成交候选人作为成交供应商并签订政府采购合同，也可以重新开展采购活动。拒绝签订政府采购合同的成交供应商不得参加该项目重新开展的采购活动。给采购人造成其损失的，还应当赔偿损失，并作为不良行为记录在案。</w:t>
      </w:r>
    </w:p>
    <w:p w14:paraId="746B0ACC">
      <w:pPr>
        <w:pStyle w:val="35"/>
        <w:tabs>
          <w:tab w:val="left" w:pos="1357"/>
        </w:tabs>
        <w:spacing w:line="360" w:lineRule="auto"/>
        <w:ind w:left="0" w:firstLine="420" w:firstLineChars="200"/>
        <w:rPr>
          <w:rFonts w:ascii="宋体" w:hAnsi="宋体" w:eastAsia="宋体" w:cs="宋体"/>
          <w:color w:val="auto"/>
          <w:sz w:val="21"/>
          <w:szCs w:val="21"/>
          <w:lang w:val="en-US"/>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1.3.政府采购合同应当包括采购人与成交供应商的名称和住所、标的、数量、质量、价款或者报酬、履行期限及地点和方式、验收要求、违约责任、解决争议的方法等内容。政府采购合同签订完成当日，将政府采购合同送本代理机构备案。</w:t>
      </w:r>
    </w:p>
    <w:p w14:paraId="6A3EE51C">
      <w:pPr>
        <w:pStyle w:val="35"/>
        <w:tabs>
          <w:tab w:val="left" w:pos="1357"/>
        </w:tabs>
        <w:spacing w:line="360" w:lineRule="auto"/>
        <w:ind w:left="0" w:firstLine="420" w:firstLineChars="200"/>
        <w:rPr>
          <w:rFonts w:ascii="宋体" w:hAnsi="宋体" w:eastAsia="宋体" w:cs="宋体"/>
          <w:color w:val="auto"/>
          <w:sz w:val="21"/>
          <w:szCs w:val="21"/>
          <w:lang w:val="en-US"/>
        </w:rPr>
      </w:pPr>
      <w:r>
        <w:rPr>
          <w:rFonts w:hint="eastAsia" w:ascii="宋体" w:hAnsi="宋体" w:eastAsia="宋体" w:cs="宋体"/>
          <w:color w:val="auto"/>
          <w:sz w:val="21"/>
          <w:szCs w:val="21"/>
          <w:lang w:val="en-US"/>
        </w:rPr>
        <w:t>11.4采购人与成交供应商应当根据合同的约定依法履行合同义务。政府采购合同的履行、违约责任和解决争议的方法等适用《中华人民共和国民法典》。</w:t>
      </w:r>
    </w:p>
    <w:p w14:paraId="698DFE9B">
      <w:pPr>
        <w:pStyle w:val="35"/>
        <w:tabs>
          <w:tab w:val="left" w:pos="1357"/>
        </w:tabs>
        <w:spacing w:line="360" w:lineRule="auto"/>
        <w:ind w:left="0" w:firstLine="420" w:firstLineChars="200"/>
        <w:rPr>
          <w:rFonts w:ascii="宋体" w:hAnsi="宋体" w:eastAsia="宋体" w:cs="宋体"/>
          <w:color w:val="auto"/>
          <w:sz w:val="21"/>
          <w:szCs w:val="21"/>
          <w:lang w:val="en-US"/>
        </w:rPr>
      </w:pPr>
      <w:r>
        <w:rPr>
          <w:rFonts w:hint="eastAsia" w:ascii="宋体" w:hAnsi="宋体" w:eastAsia="宋体" w:cs="宋体"/>
          <w:color w:val="auto"/>
          <w:sz w:val="21"/>
          <w:szCs w:val="21"/>
          <w:lang w:val="en-US"/>
        </w:rPr>
        <w:t>11.5采购人应当及时对采购项目进行验收。采购人可以邀请参加本项目的其他供应商或者第三方机构参与验收。参与验收的供应商或者第三方机构的意见作为验收书的参考资料一并存档。</w:t>
      </w:r>
    </w:p>
    <w:p w14:paraId="4E476B03">
      <w:pPr>
        <w:pStyle w:val="35"/>
        <w:tabs>
          <w:tab w:val="left" w:pos="1357"/>
        </w:tabs>
        <w:spacing w:line="360" w:lineRule="auto"/>
        <w:ind w:left="0" w:firstLine="420" w:firstLineChars="200"/>
        <w:rPr>
          <w:rFonts w:ascii="宋体" w:hAnsi="宋体" w:eastAsia="宋体" w:cs="宋体"/>
          <w:color w:val="auto"/>
          <w:sz w:val="21"/>
          <w:szCs w:val="21"/>
          <w:lang w:val="en-US"/>
        </w:rPr>
      </w:pPr>
      <w:r>
        <w:rPr>
          <w:rFonts w:hint="eastAsia" w:ascii="宋体" w:hAnsi="宋体" w:eastAsia="宋体" w:cs="宋体"/>
          <w:color w:val="auto"/>
          <w:sz w:val="21"/>
          <w:szCs w:val="21"/>
          <w:lang w:val="en-US"/>
        </w:rPr>
        <w:t>11.6采购人应当加强对成交供应商的履约管理，并按照采购合同约定，及时向成交供应商支付采购资金。对于成交供应商违反采购合同约定的行为，采购人应当及时处理，依法追究其违约责任。</w:t>
      </w:r>
    </w:p>
    <w:p w14:paraId="33685EFC">
      <w:pPr>
        <w:pStyle w:val="9"/>
        <w:spacing w:line="360" w:lineRule="auto"/>
        <w:ind w:firstLine="422" w:firstLineChars="200"/>
        <w:rPr>
          <w:rFonts w:ascii="宋体" w:hAnsi="宋体" w:eastAsia="宋体" w:cs="宋体"/>
          <w:b/>
          <w:bCs/>
          <w:color w:val="auto"/>
          <w:sz w:val="21"/>
          <w:szCs w:val="21"/>
        </w:rPr>
      </w:pPr>
      <w:bookmarkStart w:id="49" w:name="八、适用法律"/>
      <w:bookmarkEnd w:id="49"/>
      <w:r>
        <w:rPr>
          <w:rFonts w:hint="eastAsia" w:ascii="宋体" w:hAnsi="宋体" w:eastAsia="宋体" w:cs="宋体"/>
          <w:b/>
          <w:bCs/>
          <w:color w:val="auto"/>
          <w:sz w:val="21"/>
          <w:szCs w:val="21"/>
        </w:rPr>
        <w:t>十、适用法律</w:t>
      </w:r>
    </w:p>
    <w:p w14:paraId="7FEFB148">
      <w:pPr>
        <w:pStyle w:val="35"/>
        <w:tabs>
          <w:tab w:val="left" w:pos="1357"/>
        </w:tabs>
        <w:spacing w:line="360" w:lineRule="auto"/>
        <w:ind w:left="0" w:firstLine="400" w:firstLineChars="200"/>
        <w:rPr>
          <w:rFonts w:ascii="宋体" w:hAnsi="宋体" w:eastAsia="宋体" w:cs="宋体"/>
          <w:color w:val="auto"/>
          <w:sz w:val="21"/>
          <w:szCs w:val="21"/>
        </w:rPr>
      </w:pPr>
      <w:bookmarkStart w:id="50" w:name="_bookmark2"/>
      <w:bookmarkEnd w:id="50"/>
      <w:bookmarkStart w:id="51" w:name="14.采购当事人的一切活动均适用于《中华人民共和国政府采购法》及相关规定。第三章"/>
      <w:bookmarkEnd w:id="51"/>
      <w:r>
        <w:rPr>
          <w:rFonts w:hint="eastAsia" w:ascii="宋体" w:hAnsi="宋体" w:eastAsia="宋体" w:cs="宋体"/>
          <w:color w:val="auto"/>
          <w:spacing w:val="-5"/>
          <w:sz w:val="21"/>
          <w:szCs w:val="21"/>
        </w:rPr>
        <w:t>采购当事人的一切活动均适用于《中华人民共和国政府采购法》及相关</w:t>
      </w:r>
      <w:r>
        <w:rPr>
          <w:rFonts w:hint="eastAsia" w:ascii="宋体" w:hAnsi="宋体" w:eastAsia="宋体" w:cs="宋体"/>
          <w:color w:val="auto"/>
          <w:sz w:val="21"/>
          <w:szCs w:val="21"/>
        </w:rPr>
        <w:t>规定。</w:t>
      </w:r>
    </w:p>
    <w:p w14:paraId="39BC74AA">
      <w:pPr>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lang w:eastAsia="zh-CN"/>
        </w:rPr>
        <w:t>十一</w:t>
      </w:r>
      <w:r>
        <w:rPr>
          <w:rFonts w:hint="eastAsia" w:ascii="宋体" w:hAnsi="宋体" w:eastAsia="宋体" w:cs="宋体"/>
          <w:b/>
          <w:bCs/>
          <w:color w:val="auto"/>
          <w:sz w:val="21"/>
          <w:szCs w:val="21"/>
        </w:rPr>
        <w:t>、其他事项</w:t>
      </w:r>
    </w:p>
    <w:p w14:paraId="21D08C55">
      <w:pPr>
        <w:spacing w:line="360" w:lineRule="auto"/>
        <w:ind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lang w:val="en-US"/>
        </w:rPr>
        <w:t>13.1采购代理服务费的收取。领取中标（成交）通知书前，中标（成交）供应商应向采购代理机构一次性付清代理服务费，服务费按国家发改价格〔2015〕299号文件</w:t>
      </w:r>
      <w:r>
        <w:rPr>
          <w:rFonts w:hint="eastAsia" w:ascii="宋体" w:hAnsi="宋体" w:eastAsia="宋体" w:cs="宋体"/>
          <w:color w:val="auto"/>
          <w:sz w:val="21"/>
          <w:szCs w:val="21"/>
          <w:highlight w:val="none"/>
          <w:lang w:val="en-US"/>
        </w:rPr>
        <w:t>规定，实行市场调节价</w:t>
      </w:r>
      <w:r>
        <w:rPr>
          <w:rFonts w:hint="eastAsia" w:ascii="宋体" w:hAnsi="宋体" w:eastAsia="宋体" w:cs="宋体"/>
          <w:color w:val="auto"/>
          <w:sz w:val="21"/>
          <w:szCs w:val="21"/>
          <w:highlight w:val="none"/>
          <w:lang w:val="en-US" w:eastAsia="zh-CN"/>
        </w:rPr>
        <w:t>，本项目代理服务费以中标价为基础，按服务招标进行收取。</w:t>
      </w:r>
      <w:r>
        <w:br w:type="textWrapping"/>
      </w:r>
      <w:r>
        <w:rPr>
          <w:rFonts w:hint="eastAsia"/>
          <w:lang w:val="en-US" w:eastAsia="zh-CN"/>
        </w:rPr>
        <w:t xml:space="preserve">                    </w:t>
      </w:r>
      <w:r>
        <w:rPr>
          <w:rFonts w:hint="eastAsia" w:ascii="宋体" w:hAnsi="宋体" w:cs="宋体"/>
          <w:sz w:val="21"/>
          <w:szCs w:val="21"/>
        </w:rPr>
        <w:drawing>
          <wp:inline distT="0" distB="0" distL="114300" distR="114300">
            <wp:extent cx="3823970" cy="3123565"/>
            <wp:effectExtent l="0" t="0" r="508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rcRect t="10209" b="4493"/>
                    <a:stretch>
                      <a:fillRect/>
                    </a:stretch>
                  </pic:blipFill>
                  <pic:spPr>
                    <a:xfrm>
                      <a:off x="0" y="0"/>
                      <a:ext cx="3823970" cy="3123565"/>
                    </a:xfrm>
                    <a:prstGeom prst="rect">
                      <a:avLst/>
                    </a:prstGeom>
                    <a:noFill/>
                    <a:ln>
                      <a:noFill/>
                    </a:ln>
                  </pic:spPr>
                </pic:pic>
              </a:graphicData>
            </a:graphic>
          </wp:inline>
        </w:drawing>
      </w:r>
      <w:bookmarkStart w:id="187" w:name="_GoBack"/>
      <w:bookmarkEnd w:id="187"/>
    </w:p>
    <w:p w14:paraId="2B04927F">
      <w:pPr>
        <w:keepNext w:val="0"/>
        <w:keepLines w:val="0"/>
        <w:pageBreakBefore w:val="0"/>
        <w:widowControl w:val="0"/>
        <w:kinsoku/>
        <w:wordWrap/>
        <w:overflowPunct/>
        <w:topLinePunct w:val="0"/>
        <w:autoSpaceDE w:val="0"/>
        <w:autoSpaceDN w:val="0"/>
        <w:bidi w:val="0"/>
        <w:adjustRightInd/>
        <w:snapToGrid/>
        <w:spacing w:line="340" w:lineRule="exact"/>
        <w:ind w:firstLine="422" w:firstLineChars="200"/>
        <w:textAlignment w:val="auto"/>
        <w:rPr>
          <w:rFonts w:hint="eastAsia" w:ascii="宋体" w:hAnsi="宋体" w:eastAsia="宋体" w:cs="宋体"/>
          <w:b/>
          <w:bCs/>
          <w:color w:val="auto"/>
          <w:sz w:val="21"/>
          <w:szCs w:val="21"/>
        </w:rPr>
      </w:pPr>
      <w:bookmarkStart w:id="52" w:name="_Toc20048"/>
      <w:r>
        <w:rPr>
          <w:rFonts w:hint="eastAsia" w:ascii="宋体" w:hAnsi="宋体" w:eastAsia="宋体" w:cs="宋体"/>
          <w:b/>
          <w:bCs/>
          <w:color w:val="auto"/>
          <w:sz w:val="21"/>
          <w:szCs w:val="21"/>
        </w:rPr>
        <w:t>费用缴纳信息：</w:t>
      </w:r>
      <w:bookmarkEnd w:id="52"/>
    </w:p>
    <w:p w14:paraId="069C16C3">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称：广西新凯林管理咨询有限公司</w:t>
      </w:r>
    </w:p>
    <w:p w14:paraId="27CF30FC">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开户行：广西北部湾银行股份有限公司北海高新区银河支行</w:t>
      </w:r>
    </w:p>
    <w:p w14:paraId="37131503">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   号：8001 3311 2100 012</w:t>
      </w:r>
    </w:p>
    <w:p w14:paraId="1C7DC95A">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3.2</w:t>
      </w:r>
      <w:r>
        <w:rPr>
          <w:rFonts w:hint="eastAsia" w:ascii="宋体" w:hAnsi="宋体" w:eastAsia="宋体" w:cs="宋体"/>
          <w:color w:val="auto"/>
          <w:sz w:val="21"/>
          <w:szCs w:val="21"/>
        </w:rPr>
        <w:t>解释权</w:t>
      </w:r>
    </w:p>
    <w:p w14:paraId="648FCDAB">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 xml:space="preserve">本竞争性磋商文件解释权属采购人和代理机构。 </w:t>
      </w:r>
    </w:p>
    <w:p w14:paraId="074BBE6F">
      <w:pPr>
        <w:jc w:val="center"/>
        <w:rPr>
          <w:rFonts w:hint="eastAsia" w:ascii="宋体" w:hAnsi="宋体" w:eastAsia="宋体" w:cs="宋体"/>
          <w:b/>
          <w:bCs/>
          <w:color w:val="FF0000"/>
          <w:sz w:val="36"/>
          <w:szCs w:val="36"/>
        </w:rPr>
      </w:pPr>
      <w:bookmarkStart w:id="53" w:name="_Toc649_WPSOffice_Level1"/>
      <w:bookmarkStart w:id="54" w:name="_Toc10551_WPSOffice_Level1"/>
      <w:bookmarkStart w:id="55" w:name="_Toc11258_WPSOffice_Level1"/>
      <w:bookmarkStart w:id="56" w:name="_Toc24208"/>
    </w:p>
    <w:p w14:paraId="4343A54A">
      <w:pPr>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rPr>
        <w:t>第三章</w:t>
      </w:r>
      <w:r>
        <w:rPr>
          <w:rFonts w:hint="eastAsia" w:ascii="宋体" w:hAnsi="宋体" w:eastAsia="宋体" w:cs="宋体"/>
          <w:b/>
          <w:bCs/>
          <w:color w:val="auto"/>
          <w:sz w:val="36"/>
          <w:szCs w:val="36"/>
          <w:lang w:val="en-US"/>
        </w:rPr>
        <w:t xml:space="preserve"> </w:t>
      </w:r>
      <w:r>
        <w:rPr>
          <w:rFonts w:hint="eastAsia" w:ascii="宋体" w:hAnsi="宋体" w:eastAsia="宋体" w:cs="宋体"/>
          <w:b/>
          <w:bCs/>
          <w:color w:val="auto"/>
          <w:sz w:val="36"/>
          <w:szCs w:val="36"/>
        </w:rPr>
        <w:t>采购项目需求</w:t>
      </w:r>
      <w:bookmarkEnd w:id="53"/>
      <w:bookmarkEnd w:id="54"/>
      <w:bookmarkEnd w:id="55"/>
      <w:bookmarkEnd w:id="56"/>
    </w:p>
    <w:p w14:paraId="072928DE">
      <w:pPr>
        <w:keepNext w:val="0"/>
        <w:keepLines w:val="0"/>
        <w:pageBreakBefore w:val="0"/>
        <w:widowControl w:val="0"/>
        <w:tabs>
          <w:tab w:val="left" w:pos="180"/>
          <w:tab w:val="left" w:pos="1620"/>
        </w:tabs>
        <w:kinsoku/>
        <w:wordWrap/>
        <w:overflowPunct/>
        <w:topLinePunct w:val="0"/>
        <w:bidi w:val="0"/>
        <w:adjustRightInd w:val="0"/>
        <w:snapToGrid w:val="0"/>
        <w:spacing w:line="360" w:lineRule="auto"/>
        <w:textAlignment w:val="auto"/>
        <w:rPr>
          <w:rFonts w:hint="eastAsia" w:ascii="宋体" w:hAnsi="宋体" w:eastAsia="宋体" w:cs="宋体"/>
          <w:b/>
          <w:bCs/>
          <w:color w:val="auto"/>
          <w:szCs w:val="21"/>
          <w:u w:val="single"/>
          <w:lang w:eastAsia="zh-CN"/>
        </w:rPr>
      </w:pPr>
      <w:r>
        <w:rPr>
          <w:rFonts w:hint="eastAsia" w:ascii="宋体" w:hAnsi="宋体" w:eastAsia="宋体" w:cs="宋体"/>
          <w:b/>
          <w:bCs/>
          <w:color w:val="auto"/>
          <w:szCs w:val="21"/>
        </w:rPr>
        <w:t>一、项目编号：</w:t>
      </w:r>
      <w:r>
        <w:rPr>
          <w:rFonts w:hint="eastAsia" w:ascii="Times New Roman" w:hAnsi="Times New Roman" w:eastAsia="宋体" w:cs="Times New Roman"/>
          <w:b/>
          <w:bCs/>
          <w:color w:val="auto"/>
          <w:szCs w:val="21"/>
          <w:u w:val="single"/>
          <w:lang w:eastAsia="zh-CN"/>
        </w:rPr>
        <w:t>BHZC2025-C3-990093-GXXK</w:t>
      </w:r>
    </w:p>
    <w:p w14:paraId="0329A9A5">
      <w:pPr>
        <w:keepNext w:val="0"/>
        <w:keepLines w:val="0"/>
        <w:pageBreakBefore w:val="0"/>
        <w:widowControl w:val="0"/>
        <w:tabs>
          <w:tab w:val="left" w:pos="180"/>
          <w:tab w:val="left" w:pos="1620"/>
        </w:tabs>
        <w:kinsoku/>
        <w:wordWrap/>
        <w:overflowPunct/>
        <w:topLinePunct w:val="0"/>
        <w:bidi w:val="0"/>
        <w:adjustRightInd w:val="0"/>
        <w:snapToGrid w:val="0"/>
        <w:spacing w:line="360" w:lineRule="auto"/>
        <w:textAlignment w:val="auto"/>
        <w:rPr>
          <w:rFonts w:ascii="宋体" w:hAnsi="宋体" w:cs="宋体"/>
          <w:b/>
          <w:bCs/>
          <w:color w:val="auto"/>
          <w:szCs w:val="21"/>
          <w:u w:val="single"/>
        </w:rPr>
      </w:pPr>
      <w:r>
        <w:rPr>
          <w:rFonts w:hint="eastAsia" w:ascii="宋体" w:hAnsi="宋体" w:eastAsia="宋体" w:cs="宋体"/>
          <w:b/>
          <w:bCs/>
          <w:color w:val="auto"/>
          <w:szCs w:val="21"/>
        </w:rPr>
        <w:t>二、项目类别：</w:t>
      </w:r>
      <w:r>
        <w:rPr>
          <w:rFonts w:hint="eastAsia" w:ascii="宋体" w:hAnsi="宋体" w:eastAsia="宋体" w:cs="宋体"/>
          <w:b/>
          <w:bCs/>
          <w:color w:val="auto"/>
          <w:szCs w:val="21"/>
          <w:u w:val="single"/>
        </w:rPr>
        <w:t>服务类</w:t>
      </w:r>
      <w:r>
        <w:rPr>
          <w:rFonts w:hint="eastAsia" w:ascii="宋体" w:hAnsi="宋体" w:cs="宋体"/>
          <w:b/>
          <w:bCs/>
          <w:color w:val="auto"/>
          <w:szCs w:val="21"/>
          <w:u w:val="single"/>
        </w:rPr>
        <w:t xml:space="preserve"> </w:t>
      </w:r>
    </w:p>
    <w:p w14:paraId="0DFA796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lang w:val="en-US" w:bidi="ar-SA"/>
        </w:rPr>
        <w:t>三</w:t>
      </w:r>
      <w:r>
        <w:rPr>
          <w:rFonts w:hint="eastAsia" w:ascii="宋体" w:hAnsi="宋体" w:eastAsia="宋体" w:cs="宋体"/>
          <w:b/>
          <w:bCs/>
          <w:color w:val="auto"/>
          <w:sz w:val="21"/>
          <w:szCs w:val="21"/>
          <w:lang w:val="en-US" w:bidi="ar-SA"/>
        </w:rPr>
        <w:t>、采购预算</w:t>
      </w:r>
      <w:r>
        <w:rPr>
          <w:rFonts w:hint="eastAsia" w:ascii="宋体" w:hAnsi="宋体" w:eastAsia="宋体" w:cs="宋体"/>
          <w:b/>
          <w:bCs/>
          <w:color w:val="auto"/>
          <w:sz w:val="21"/>
          <w:szCs w:val="21"/>
          <w:lang w:val="en-US" w:eastAsia="zh-CN" w:bidi="ar-SA"/>
        </w:rPr>
        <w:t>（人民币）：</w:t>
      </w:r>
      <w:r>
        <w:rPr>
          <w:rFonts w:hint="eastAsia" w:ascii="宋体" w:hAnsi="宋体" w:eastAsia="宋体" w:cs="宋体"/>
          <w:b/>
          <w:bCs/>
          <w:color w:val="auto"/>
          <w:sz w:val="21"/>
          <w:szCs w:val="21"/>
          <w:u w:val="single"/>
          <w:lang w:val="en-US" w:eastAsia="zh-CN" w:bidi="ar-SA"/>
        </w:rPr>
        <w:t>￥850300.00，</w:t>
      </w:r>
      <w:r>
        <w:rPr>
          <w:rFonts w:hint="eastAsia" w:ascii="宋体" w:hAnsi="宋体" w:eastAsia="宋体" w:cs="宋体"/>
          <w:b/>
          <w:bCs/>
          <w:color w:val="auto"/>
          <w:sz w:val="21"/>
          <w:szCs w:val="21"/>
          <w:lang w:val="en-US" w:bidi="ar-SA"/>
        </w:rPr>
        <w:t>磋商供应商的最终报价不在有效范围的，将导致其磋商被拒绝。</w:t>
      </w:r>
    </w:p>
    <w:p w14:paraId="411A1E6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四、供应商应承诺竞标响应文件中提供的证明材料和资质文件真实，如出现虚假应标情况，供应商除了应接受有关部门的处罚外，还应依据《中华人民共和国民法典》的相关条款来确定赔偿金额。</w:t>
      </w:r>
    </w:p>
    <w:p w14:paraId="30825C0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1"/>
          <w:szCs w:val="21"/>
          <w:u w:val="single"/>
          <w:lang w:val="en-US" w:eastAsia="zh-CN" w:bidi="ar-SA"/>
        </w:rPr>
      </w:pPr>
      <w:r>
        <w:rPr>
          <w:rFonts w:hint="eastAsia" w:ascii="宋体" w:hAnsi="宋体" w:eastAsia="宋体" w:cs="宋体"/>
          <w:b/>
          <w:bCs/>
          <w:color w:val="auto"/>
          <w:sz w:val="21"/>
          <w:szCs w:val="21"/>
          <w:lang w:val="en-US" w:eastAsia="zh-CN" w:bidi="ar-SA"/>
        </w:rPr>
        <w:t>五、本服务需求一览表中的内容如与“合同条款及格式”相关条款不一致的，以本表为准。</w:t>
      </w:r>
      <w:r>
        <w:rPr>
          <w:rFonts w:hint="eastAsia" w:ascii="宋体" w:hAnsi="宋体" w:eastAsia="宋体" w:cs="宋体"/>
          <w:b/>
          <w:bCs/>
          <w:color w:val="auto"/>
          <w:sz w:val="21"/>
          <w:szCs w:val="21"/>
          <w:lang w:val="en-US" w:eastAsia="zh-CN" w:bidi="ar-SA"/>
        </w:rPr>
        <w:br w:type="textWrapping"/>
      </w:r>
      <w:r>
        <w:rPr>
          <w:rFonts w:hint="eastAsia" w:ascii="宋体" w:hAnsi="宋体" w:eastAsia="宋体" w:cs="宋体"/>
          <w:b/>
          <w:bCs/>
          <w:color w:val="auto"/>
          <w:sz w:val="21"/>
          <w:szCs w:val="21"/>
          <w:lang w:val="en-US" w:eastAsia="zh-CN" w:bidi="ar-SA"/>
        </w:rPr>
        <w:t>六、根据《关于印发中小企业划型标准规定的通知》（工信部联企业〔2011〕300号）规定的划分标准，本项目采购标的对应的中小企业划分标准所属行业为：</w:t>
      </w:r>
      <w:r>
        <w:rPr>
          <w:rFonts w:hint="eastAsia" w:ascii="宋体" w:hAnsi="宋体" w:eastAsia="宋体" w:cs="宋体"/>
          <w:b/>
          <w:bCs/>
          <w:color w:val="auto"/>
          <w:sz w:val="21"/>
          <w:szCs w:val="21"/>
          <w:u w:val="single"/>
          <w:lang w:val="en-US" w:eastAsia="zh-CN" w:bidi="ar-SA"/>
        </w:rPr>
        <w:t>租赁和商务服务*</w:t>
      </w:r>
    </w:p>
    <w:tbl>
      <w:tblPr>
        <w:tblStyle w:val="22"/>
        <w:tblpPr w:leftFromText="180" w:rightFromText="180" w:vertAnchor="text" w:horzAnchor="page" w:tblpX="1279" w:tblpY="1240"/>
        <w:tblOverlap w:val="never"/>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1"/>
        <w:gridCol w:w="7434"/>
      </w:tblGrid>
      <w:tr w14:paraId="2D85C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9055" w:type="dxa"/>
            <w:gridSpan w:val="2"/>
            <w:tcBorders>
              <w:top w:val="single" w:color="auto" w:sz="4" w:space="0"/>
              <w:left w:val="single" w:color="auto" w:sz="4" w:space="0"/>
              <w:bottom w:val="single" w:color="auto" w:sz="4" w:space="0"/>
              <w:right w:val="single" w:color="auto" w:sz="4" w:space="0"/>
            </w:tcBorders>
            <w:noWrap w:val="0"/>
            <w:vAlign w:val="center"/>
          </w:tcPr>
          <w:p w14:paraId="78A03FDB">
            <w:pPr>
              <w:spacing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服务（技术）部分</w:t>
            </w:r>
          </w:p>
        </w:tc>
      </w:tr>
      <w:tr w14:paraId="15E27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2" w:hRule="atLeast"/>
          <w:jc w:val="center"/>
        </w:trPr>
        <w:tc>
          <w:tcPr>
            <w:tcW w:w="9055" w:type="dxa"/>
            <w:gridSpan w:val="2"/>
            <w:tcBorders>
              <w:top w:val="single" w:color="auto" w:sz="4" w:space="0"/>
              <w:left w:val="single" w:color="auto" w:sz="4" w:space="0"/>
              <w:right w:val="single" w:color="auto" w:sz="4" w:space="0"/>
            </w:tcBorders>
            <w:noWrap w:val="0"/>
            <w:vAlign w:val="center"/>
          </w:tcPr>
          <w:p w14:paraId="040BCC37">
            <w:pPr>
              <w:spacing w:line="360" w:lineRule="auto"/>
              <w:jc w:val="both"/>
              <w:rPr>
                <w:rFonts w:hint="eastAsia" w:ascii="宋体" w:hAnsi="宋体" w:eastAsia="宋体" w:cs="宋体"/>
                <w:b w:val="0"/>
                <w:bCs/>
                <w:color w:val="auto"/>
                <w:sz w:val="21"/>
                <w:szCs w:val="21"/>
                <w:lang w:eastAsia="zh-CN"/>
              </w:rPr>
            </w:pPr>
            <w:r>
              <w:rPr>
                <w:rFonts w:hint="eastAsia" w:ascii="宋体" w:hAnsi="宋体" w:eastAsia="宋体" w:cs="宋体"/>
                <w:b/>
                <w:bCs w:val="0"/>
                <w:color w:val="auto"/>
                <w:sz w:val="21"/>
                <w:szCs w:val="21"/>
                <w:lang w:val="en-US" w:eastAsia="zh-CN"/>
              </w:rPr>
              <w:t>一、</w:t>
            </w:r>
            <w:r>
              <w:rPr>
                <w:rFonts w:hint="eastAsia" w:ascii="宋体" w:hAnsi="宋体" w:eastAsia="宋体" w:cs="宋体"/>
                <w:b/>
                <w:bCs w:val="0"/>
                <w:color w:val="auto"/>
                <w:sz w:val="21"/>
                <w:szCs w:val="21"/>
                <w:lang w:eastAsia="zh-CN"/>
              </w:rPr>
              <w:t>服务地点</w:t>
            </w:r>
          </w:p>
          <w:p w14:paraId="7E97DD75">
            <w:pPr>
              <w:spacing w:line="360" w:lineRule="auto"/>
              <w:ind w:firstLine="420" w:firstLineChars="200"/>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北海市妇幼保健院（西南大道239号）</w:t>
            </w:r>
          </w:p>
          <w:p w14:paraId="4DB27DFD">
            <w:pPr>
              <w:spacing w:line="360" w:lineRule="auto"/>
              <w:jc w:val="both"/>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val="en-US" w:eastAsia="zh-CN"/>
              </w:rPr>
              <w:t>二、服务内容</w:t>
            </w:r>
          </w:p>
          <w:p w14:paraId="5EA8D437">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1.开展法制、治安形势、保密教育和防盗、防火、防破坏、防治安灾害事故等教育，协助医院落实各项安全措施。动员和依靠医院职工群众积极同违法犯罪行为作斗争。</w:t>
            </w:r>
          </w:p>
          <w:p w14:paraId="42245238">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2.在医院范围内，配合院方做好对扫黑除恶专项斗争的各项工作。</w:t>
            </w:r>
          </w:p>
          <w:p w14:paraId="3AE37874">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3.协助医院及公检法部门，依法组织查破刑事案件和治安案件。</w:t>
            </w:r>
          </w:p>
          <w:p w14:paraId="05B32F7F">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4.维护医院公共场所的治安秩序。</w:t>
            </w:r>
          </w:p>
          <w:p w14:paraId="06D55C11">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5.负责医院内的各种临时性的治安管理工作。</w:t>
            </w:r>
          </w:p>
          <w:p w14:paraId="46E76221">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6.对医托及有可疑行为的人员进行询问和劝离。</w:t>
            </w:r>
          </w:p>
          <w:p w14:paraId="214F7500">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7.协助办理医院及公安机关交办的其他治安保卫事项。</w:t>
            </w:r>
          </w:p>
          <w:p w14:paraId="5E63585E">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8.负责做好门前“三包”管理工作，确保车辆停放有序和交通畅通。</w:t>
            </w:r>
          </w:p>
          <w:p w14:paraId="40FF323C">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9.负责挂号、收费、发药、门诊、住院等区域就诊、探视人员的管理工作。</w:t>
            </w:r>
          </w:p>
          <w:p w14:paraId="1548773E">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10.负责医院安全巡查，对突发事件做应急处理。</w:t>
            </w:r>
          </w:p>
          <w:p w14:paraId="6A329AA1">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11.负责中控室的消防控制、安防监控日常管理工作，具备行业要求的证件和技能条件。</w:t>
            </w:r>
          </w:p>
          <w:p w14:paraId="196701D1">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12.下雨天各门岗负责为前来就诊且有需要的人员做好打伞遮雨等服务工作。</w:t>
            </w:r>
          </w:p>
          <w:p w14:paraId="3CC723DD">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13.做好医院重大活动及政治敏感期安全保卫和消防管理工作。</w:t>
            </w:r>
          </w:p>
          <w:p w14:paraId="64D6710D">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14.配合做好上级部门规定的医疗卫生各项有关工作。</w:t>
            </w:r>
          </w:p>
          <w:p w14:paraId="35DC5C5F">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15.时刻准备着，为医院职工提供紧急救助服务工作。</w:t>
            </w:r>
            <w:r>
              <w:rPr>
                <w:rFonts w:hint="eastAsia" w:ascii="宋体" w:hAnsi="宋体" w:eastAsia="宋体" w:cs="宋体"/>
                <w:b w:val="0"/>
                <w:bCs/>
                <w:color w:val="auto"/>
                <w:sz w:val="21"/>
                <w:szCs w:val="21"/>
                <w:lang w:eastAsia="zh-CN"/>
              </w:rPr>
              <w:br w:type="textWrapping"/>
            </w:r>
            <w:r>
              <w:rPr>
                <w:rFonts w:hint="eastAsia" w:ascii="宋体" w:hAnsi="宋体" w:eastAsia="宋体" w:cs="宋体"/>
                <w:b w:val="0"/>
                <w:bCs/>
                <w:color w:val="auto"/>
                <w:sz w:val="21"/>
                <w:szCs w:val="21"/>
                <w:lang w:val="en-US" w:eastAsia="zh-CN"/>
              </w:rPr>
              <w:t>16.负责组织安全保护、</w:t>
            </w:r>
            <w:r>
              <w:rPr>
                <w:rFonts w:hint="eastAsia" w:ascii="宋体" w:hAnsi="宋体" w:eastAsia="宋体" w:cs="宋体"/>
                <w:b w:val="0"/>
                <w:bCs/>
                <w:color w:val="auto"/>
                <w:sz w:val="21"/>
                <w:szCs w:val="21"/>
                <w:lang w:val="en-US" w:eastAsia="zh-CN"/>
              </w:rPr>
              <w:t>突发事件处理、公共秩序、消防、医院秩序管理条例的相关培训；</w:t>
            </w:r>
          </w:p>
          <w:p w14:paraId="4D7E31E5">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17.保安人员必须遵守我院有关管理制度及时完成医院下达的临时性和指令性工作（符合法规的工作）。</w:t>
            </w:r>
          </w:p>
          <w:p w14:paraId="11101CE6">
            <w:pPr>
              <w:spacing w:line="360" w:lineRule="auto"/>
              <w:jc w:val="both"/>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lang w:val="en-US" w:eastAsia="zh-CN"/>
              </w:rPr>
              <w:t>18.负责2025年8月11日至停车场</w:t>
            </w:r>
            <w:r>
              <w:rPr>
                <w:rFonts w:hint="eastAsia" w:ascii="宋体" w:hAnsi="宋体" w:eastAsia="宋体" w:cs="宋体"/>
                <w:b w:val="0"/>
                <w:bCs/>
                <w:color w:val="auto"/>
                <w:sz w:val="21"/>
                <w:szCs w:val="21"/>
                <w:highlight w:val="none"/>
                <w:lang w:val="en-US" w:eastAsia="zh-CN"/>
              </w:rPr>
              <w:t>新周期招租项目正式运营之日前</w:t>
            </w:r>
            <w:r>
              <w:rPr>
                <w:rFonts w:hint="eastAsia" w:ascii="宋体" w:hAnsi="宋体" w:eastAsia="宋体" w:cs="宋体"/>
                <w:b w:val="0"/>
                <w:bCs/>
                <w:color w:val="auto"/>
                <w:sz w:val="21"/>
                <w:szCs w:val="21"/>
                <w:lang w:val="en-US" w:eastAsia="zh-CN"/>
              </w:rPr>
              <w:t>的职工车辆停放管理工作（最迟不超过本次采购项目服务期结束）</w:t>
            </w:r>
          </w:p>
          <w:p w14:paraId="45943FB0">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19.在突发公共卫生事件、医疗纠纷、自然灾害、治安事件等特殊情况下，供应商须无条件配合医院开展应急处置工作。</w:t>
            </w:r>
          </w:p>
          <w:p w14:paraId="59583B7B">
            <w:pPr>
              <w:tabs>
                <w:tab w:val="center" w:pos="4419"/>
              </w:tabs>
              <w:spacing w:line="360" w:lineRule="auto"/>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三、人员配置与岗位职责及相关要求</w:t>
            </w:r>
            <w:r>
              <w:rPr>
                <w:rFonts w:hint="eastAsia" w:ascii="宋体" w:hAnsi="宋体" w:eastAsia="宋体" w:cs="宋体"/>
                <w:b/>
                <w:bCs w:val="0"/>
                <w:color w:val="auto"/>
                <w:sz w:val="21"/>
                <w:szCs w:val="21"/>
                <w:lang w:val="en-US" w:eastAsia="zh-CN"/>
              </w:rPr>
              <w:tab/>
            </w:r>
          </w:p>
          <w:p w14:paraId="44B2BE00">
            <w:pPr>
              <w:tabs>
                <w:tab w:val="center" w:pos="4419"/>
              </w:tabs>
              <w:spacing w:line="360" w:lineRule="auto"/>
              <w:jc w:val="both"/>
              <w:rPr>
                <w:rFonts w:hint="eastAsia" w:ascii="宋体" w:hAnsi="宋体" w:eastAsia="宋体" w:cs="宋体"/>
                <w:b/>
                <w:bCs w:val="0"/>
                <w:color w:val="auto"/>
                <w:sz w:val="21"/>
                <w:szCs w:val="21"/>
                <w:lang w:val="en-US" w:eastAsia="zh-CN"/>
              </w:rPr>
            </w:pPr>
          </w:p>
          <w:p w14:paraId="004A5EB9">
            <w:pPr>
              <w:tabs>
                <w:tab w:val="center" w:pos="4419"/>
              </w:tabs>
              <w:spacing w:line="360" w:lineRule="auto"/>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1.人员配置与岗位要求</w:t>
            </w:r>
          </w:p>
          <w:tbl>
            <w:tblPr>
              <w:tblStyle w:val="22"/>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1146"/>
              <w:gridCol w:w="1407"/>
              <w:gridCol w:w="5296"/>
            </w:tblGrid>
            <w:tr w14:paraId="7B479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718" w:type="dxa"/>
                  <w:gridSpan w:val="4"/>
                  <w:tcBorders>
                    <w:top w:val="single" w:color="auto" w:sz="4" w:space="0"/>
                    <w:bottom w:val="single" w:color="auto" w:sz="4" w:space="0"/>
                  </w:tcBorders>
                  <w:tcMar>
                    <w:left w:w="0" w:type="dxa"/>
                    <w:right w:w="0" w:type="dxa"/>
                  </w:tcMar>
                  <w:vAlign w:val="center"/>
                </w:tcPr>
                <w:p w14:paraId="60EEF7E4">
                  <w:pPr>
                    <w:spacing w:line="4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人数配置要求</w:t>
                  </w:r>
                </w:p>
              </w:tc>
            </w:tr>
            <w:tr w14:paraId="5A53D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69" w:type="dxa"/>
                  <w:tcBorders>
                    <w:top w:val="single" w:color="auto" w:sz="4" w:space="0"/>
                    <w:bottom w:val="single" w:color="auto" w:sz="4" w:space="0"/>
                    <w:right w:val="single" w:color="auto" w:sz="4" w:space="0"/>
                  </w:tcBorders>
                  <w:tcMar>
                    <w:left w:w="0" w:type="dxa"/>
                    <w:right w:w="0" w:type="dxa"/>
                  </w:tcMar>
                  <w:vAlign w:val="center"/>
                </w:tcPr>
                <w:p w14:paraId="5CBE0A35">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46" w:type="dxa"/>
                  <w:tcBorders>
                    <w:top w:val="single" w:color="auto" w:sz="4" w:space="0"/>
                    <w:left w:val="single" w:color="auto" w:sz="4" w:space="0"/>
                    <w:bottom w:val="single" w:color="auto" w:sz="4" w:space="0"/>
                    <w:right w:val="single" w:color="auto" w:sz="4" w:space="0"/>
                  </w:tcBorders>
                  <w:vAlign w:val="center"/>
                </w:tcPr>
                <w:p w14:paraId="244643C8">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岗位</w:t>
                  </w:r>
                </w:p>
              </w:tc>
              <w:tc>
                <w:tcPr>
                  <w:tcW w:w="1407" w:type="dxa"/>
                  <w:tcBorders>
                    <w:top w:val="single" w:color="auto" w:sz="4" w:space="0"/>
                    <w:left w:val="single" w:color="auto" w:sz="4" w:space="0"/>
                    <w:bottom w:val="single" w:color="auto" w:sz="4" w:space="0"/>
                    <w:right w:val="single" w:color="auto" w:sz="4" w:space="0"/>
                  </w:tcBorders>
                  <w:vAlign w:val="center"/>
                </w:tcPr>
                <w:p w14:paraId="18EE47BA">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岗位人数</w:t>
                  </w:r>
                </w:p>
              </w:tc>
              <w:tc>
                <w:tcPr>
                  <w:tcW w:w="5296" w:type="dxa"/>
                  <w:tcBorders>
                    <w:top w:val="single" w:color="auto" w:sz="4" w:space="0"/>
                    <w:left w:val="single" w:color="auto" w:sz="4" w:space="0"/>
                    <w:bottom w:val="single" w:color="auto" w:sz="4" w:space="0"/>
                  </w:tcBorders>
                  <w:vAlign w:val="center"/>
                </w:tcPr>
                <w:p w14:paraId="641E4549">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311D7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69" w:type="dxa"/>
                  <w:tcBorders>
                    <w:top w:val="single" w:color="auto" w:sz="4" w:space="0"/>
                    <w:bottom w:val="single" w:color="auto" w:sz="4" w:space="0"/>
                    <w:right w:val="single" w:color="auto" w:sz="4" w:space="0"/>
                  </w:tcBorders>
                  <w:vAlign w:val="center"/>
                </w:tcPr>
                <w:p w14:paraId="11C380AC">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6" w:type="dxa"/>
                  <w:tcBorders>
                    <w:top w:val="single" w:color="auto" w:sz="4" w:space="0"/>
                    <w:left w:val="single" w:color="auto" w:sz="4" w:space="0"/>
                    <w:bottom w:val="single" w:color="auto" w:sz="4" w:space="0"/>
                    <w:right w:val="single" w:color="auto" w:sz="4" w:space="0"/>
                  </w:tcBorders>
                  <w:vAlign w:val="center"/>
                </w:tcPr>
                <w:p w14:paraId="7A4CA3CD">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保安主管</w:t>
                  </w:r>
                  <w:r>
                    <w:rPr>
                      <w:rFonts w:hint="eastAsia" w:ascii="宋体" w:hAnsi="宋体" w:eastAsia="宋体" w:cs="宋体"/>
                      <w:color w:val="auto"/>
                      <w:sz w:val="21"/>
                      <w:szCs w:val="21"/>
                      <w:lang w:eastAsia="zh-CN"/>
                    </w:rPr>
                    <w:t>岗</w:t>
                  </w:r>
                </w:p>
              </w:tc>
              <w:tc>
                <w:tcPr>
                  <w:tcW w:w="1407" w:type="dxa"/>
                  <w:tcBorders>
                    <w:top w:val="single" w:color="auto" w:sz="4" w:space="0"/>
                    <w:left w:val="single" w:color="auto" w:sz="4" w:space="0"/>
                    <w:bottom w:val="single" w:color="auto" w:sz="4" w:space="0"/>
                    <w:right w:val="single" w:color="auto" w:sz="4" w:space="0"/>
                  </w:tcBorders>
                  <w:vAlign w:val="center"/>
                </w:tcPr>
                <w:p w14:paraId="45AA9A03">
                  <w:pPr>
                    <w:snapToGrid w:val="0"/>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p>
              </w:tc>
              <w:tc>
                <w:tcPr>
                  <w:tcW w:w="5296" w:type="dxa"/>
                  <w:tcBorders>
                    <w:top w:val="single" w:color="auto" w:sz="4" w:space="0"/>
                    <w:left w:val="single" w:color="auto" w:sz="4" w:space="0"/>
                    <w:bottom w:val="single" w:color="auto" w:sz="4" w:space="0"/>
                  </w:tcBorders>
                  <w:vAlign w:val="center"/>
                </w:tcPr>
                <w:p w14:paraId="25143F59">
                  <w:pPr>
                    <w:snapToGrid w:val="0"/>
                    <w:spacing w:line="400" w:lineRule="exact"/>
                    <w:jc w:val="center"/>
                    <w:rPr>
                      <w:rFonts w:hint="eastAsia" w:ascii="宋体" w:hAnsi="宋体" w:eastAsia="宋体" w:cs="宋体"/>
                      <w:color w:val="auto"/>
                      <w:sz w:val="21"/>
                      <w:szCs w:val="21"/>
                    </w:rPr>
                  </w:pPr>
                </w:p>
              </w:tc>
            </w:tr>
            <w:tr w14:paraId="7693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869" w:type="dxa"/>
                  <w:tcBorders>
                    <w:top w:val="single" w:color="auto" w:sz="4" w:space="0"/>
                    <w:bottom w:val="single" w:color="auto" w:sz="4" w:space="0"/>
                    <w:right w:val="single" w:color="auto" w:sz="4" w:space="0"/>
                  </w:tcBorders>
                  <w:vAlign w:val="center"/>
                </w:tcPr>
                <w:p w14:paraId="0DCAE1D3">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46" w:type="dxa"/>
                  <w:tcBorders>
                    <w:top w:val="single" w:color="auto" w:sz="4" w:space="0"/>
                    <w:left w:val="single" w:color="auto" w:sz="4" w:space="0"/>
                    <w:bottom w:val="single" w:color="auto" w:sz="4" w:space="0"/>
                    <w:right w:val="single" w:color="auto" w:sz="4" w:space="0"/>
                  </w:tcBorders>
                  <w:vAlign w:val="center"/>
                </w:tcPr>
                <w:p w14:paraId="2AD7F766">
                  <w:pPr>
                    <w:snapToGrid w:val="0"/>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消防、监控</w:t>
                  </w:r>
                  <w:r>
                    <w:rPr>
                      <w:rFonts w:hint="eastAsia" w:ascii="宋体" w:hAnsi="宋体" w:eastAsia="宋体" w:cs="宋体"/>
                      <w:color w:val="auto"/>
                      <w:sz w:val="21"/>
                      <w:szCs w:val="21"/>
                      <w:lang w:eastAsia="zh-CN"/>
                    </w:rPr>
                    <w:t>员岗</w:t>
                  </w:r>
                </w:p>
              </w:tc>
              <w:tc>
                <w:tcPr>
                  <w:tcW w:w="1407" w:type="dxa"/>
                  <w:tcBorders>
                    <w:top w:val="single" w:color="auto" w:sz="4" w:space="0"/>
                    <w:left w:val="single" w:color="auto" w:sz="4" w:space="0"/>
                    <w:bottom w:val="single" w:color="auto" w:sz="4" w:space="0"/>
                    <w:right w:val="single" w:color="auto" w:sz="4" w:space="0"/>
                  </w:tcBorders>
                  <w:vAlign w:val="center"/>
                </w:tcPr>
                <w:p w14:paraId="06B13876">
                  <w:pPr>
                    <w:snapToGrid w:val="0"/>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296" w:type="dxa"/>
                  <w:tcBorders>
                    <w:top w:val="single" w:color="auto" w:sz="4" w:space="0"/>
                    <w:left w:val="single" w:color="auto" w:sz="4" w:space="0"/>
                    <w:bottom w:val="single" w:color="auto" w:sz="4" w:space="0"/>
                  </w:tcBorders>
                  <w:vAlign w:val="center"/>
                </w:tcPr>
                <w:p w14:paraId="6E4B2151">
                  <w:pPr>
                    <w:snapToGrid w:val="0"/>
                    <w:spacing w:line="400" w:lineRule="exact"/>
                    <w:jc w:val="center"/>
                    <w:rPr>
                      <w:rFonts w:hint="eastAsia" w:ascii="宋体" w:hAnsi="宋体" w:eastAsia="宋体" w:cs="宋体"/>
                      <w:color w:val="auto"/>
                      <w:sz w:val="21"/>
                      <w:szCs w:val="21"/>
                    </w:rPr>
                  </w:pPr>
                </w:p>
              </w:tc>
            </w:tr>
            <w:tr w14:paraId="0889B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69" w:type="dxa"/>
                  <w:tcBorders>
                    <w:top w:val="single" w:color="auto" w:sz="4" w:space="0"/>
                    <w:bottom w:val="single" w:color="auto" w:sz="4" w:space="0"/>
                    <w:right w:val="single" w:color="auto" w:sz="4" w:space="0"/>
                  </w:tcBorders>
                  <w:vAlign w:val="center"/>
                </w:tcPr>
                <w:p w14:paraId="28BB8FC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46" w:type="dxa"/>
                  <w:tcBorders>
                    <w:top w:val="single" w:color="auto" w:sz="4" w:space="0"/>
                    <w:left w:val="single" w:color="auto" w:sz="4" w:space="0"/>
                    <w:bottom w:val="single" w:color="auto" w:sz="4" w:space="0"/>
                    <w:right w:val="single" w:color="auto" w:sz="4" w:space="0"/>
                  </w:tcBorders>
                  <w:vAlign w:val="center"/>
                </w:tcPr>
                <w:p w14:paraId="5D1F54D6">
                  <w:pPr>
                    <w:snapToGrid w:val="0"/>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保安</w:t>
                  </w:r>
                  <w:r>
                    <w:rPr>
                      <w:rFonts w:hint="eastAsia" w:ascii="宋体" w:hAnsi="宋体" w:eastAsia="宋体" w:cs="宋体"/>
                      <w:color w:val="auto"/>
                      <w:sz w:val="21"/>
                      <w:szCs w:val="21"/>
                      <w:lang w:eastAsia="zh-CN"/>
                    </w:rPr>
                    <w:t>员岗</w:t>
                  </w:r>
                </w:p>
              </w:tc>
              <w:tc>
                <w:tcPr>
                  <w:tcW w:w="1407" w:type="dxa"/>
                  <w:tcBorders>
                    <w:top w:val="single" w:color="auto" w:sz="4" w:space="0"/>
                    <w:left w:val="single" w:color="auto" w:sz="4" w:space="0"/>
                    <w:bottom w:val="single" w:color="auto" w:sz="4" w:space="0"/>
                    <w:right w:val="single" w:color="auto" w:sz="4" w:space="0"/>
                  </w:tcBorders>
                  <w:vAlign w:val="center"/>
                </w:tcPr>
                <w:p w14:paraId="5A66A2BB">
                  <w:pPr>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5296" w:type="dxa"/>
                  <w:tcBorders>
                    <w:top w:val="single" w:color="auto" w:sz="4" w:space="0"/>
                    <w:left w:val="single" w:color="auto" w:sz="4" w:space="0"/>
                    <w:bottom w:val="single" w:color="auto" w:sz="4" w:space="0"/>
                  </w:tcBorders>
                  <w:vAlign w:val="center"/>
                </w:tcPr>
                <w:p w14:paraId="1284B3B5">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涉及岗位：大门岗、门诊正门安检岗、门诊后门安检岗、住院岗、巡逻岗、科研楼</w:t>
                  </w:r>
                  <w:r>
                    <w:rPr>
                      <w:rFonts w:hint="eastAsia" w:ascii="宋体" w:hAnsi="宋体" w:eastAsia="宋体" w:cs="宋体"/>
                      <w:color w:val="auto"/>
                      <w:sz w:val="21"/>
                      <w:szCs w:val="21"/>
                      <w:lang w:val="en-US" w:eastAsia="zh-CN"/>
                    </w:rPr>
                    <w:t>(红楼)岗等。具体各岗位配备人数，根据实际需要进行配置</w:t>
                  </w:r>
                </w:p>
              </w:tc>
            </w:tr>
            <w:tr w14:paraId="6275B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69" w:type="dxa"/>
                  <w:tcBorders>
                    <w:top w:val="single" w:color="auto" w:sz="4" w:space="0"/>
                    <w:bottom w:val="single" w:color="auto" w:sz="4" w:space="0"/>
                    <w:right w:val="single" w:color="auto" w:sz="4" w:space="0"/>
                  </w:tcBorders>
                  <w:vAlign w:val="center"/>
                </w:tcPr>
                <w:p w14:paraId="2604B756">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849" w:type="dxa"/>
                  <w:gridSpan w:val="3"/>
                  <w:tcBorders>
                    <w:top w:val="single" w:color="auto" w:sz="4" w:space="0"/>
                    <w:left w:val="single" w:color="auto" w:sz="4" w:space="0"/>
                    <w:bottom w:val="single" w:color="auto" w:sz="4" w:space="0"/>
                  </w:tcBorders>
                  <w:vAlign w:val="center"/>
                </w:tcPr>
                <w:p w14:paraId="70F7E0F4">
                  <w:pPr>
                    <w:snapToGrid w:val="0"/>
                    <w:spacing w:line="400" w:lineRule="exact"/>
                    <w:ind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合计：</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人</w:t>
                  </w:r>
                </w:p>
              </w:tc>
            </w:tr>
            <w:tr w14:paraId="32117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718" w:type="dxa"/>
                  <w:gridSpan w:val="4"/>
                  <w:tcBorders>
                    <w:top w:val="single" w:color="auto" w:sz="4" w:space="0"/>
                    <w:bottom w:val="single" w:color="auto" w:sz="4" w:space="0"/>
                  </w:tcBorders>
                  <w:vAlign w:val="center"/>
                </w:tcPr>
                <w:p w14:paraId="54DE6A99">
                  <w:pPr>
                    <w:snapToGrid w:val="0"/>
                    <w:spacing w:line="400" w:lineRule="exact"/>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岗位要求</w:t>
                  </w:r>
                </w:p>
              </w:tc>
            </w:tr>
            <w:tr w14:paraId="301D6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FB5C33F">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146" w:type="dxa"/>
                  <w:tcBorders>
                    <w:top w:val="single" w:color="auto" w:sz="4" w:space="0"/>
                    <w:left w:val="single" w:color="auto" w:sz="4" w:space="0"/>
                    <w:bottom w:val="single" w:color="auto" w:sz="4" w:space="0"/>
                    <w:right w:val="single" w:color="auto" w:sz="4" w:space="0"/>
                  </w:tcBorders>
                  <w:vAlign w:val="center"/>
                </w:tcPr>
                <w:p w14:paraId="0D4A42E5">
                  <w:pPr>
                    <w:snapToGrid w:val="0"/>
                    <w:spacing w:line="400" w:lineRule="exact"/>
                    <w:ind w:firstLine="105" w:firstLineChars="5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岗位</w:t>
                  </w:r>
                </w:p>
              </w:tc>
              <w:tc>
                <w:tcPr>
                  <w:tcW w:w="6703" w:type="dxa"/>
                  <w:gridSpan w:val="2"/>
                  <w:tcBorders>
                    <w:top w:val="single" w:color="auto" w:sz="4" w:space="0"/>
                    <w:left w:val="single" w:color="auto" w:sz="4" w:space="0"/>
                    <w:bottom w:val="single" w:color="auto" w:sz="4" w:space="0"/>
                    <w:right w:val="single" w:color="auto" w:sz="4" w:space="0"/>
                  </w:tcBorders>
                  <w:vAlign w:val="center"/>
                </w:tcPr>
                <w:p w14:paraId="07B23BF2">
                  <w:pPr>
                    <w:snapToGrid w:val="0"/>
                    <w:spacing w:line="400" w:lineRule="exact"/>
                    <w:ind w:firstLine="105" w:firstLineChars="5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要求（各岗位人员都必须密切配合共同做好消防、治安管理等工作）</w:t>
                  </w:r>
                </w:p>
              </w:tc>
            </w:tr>
            <w:tr w14:paraId="6E41B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D4C2F9">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146" w:type="dxa"/>
                  <w:tcBorders>
                    <w:top w:val="single" w:color="auto" w:sz="4" w:space="0"/>
                    <w:left w:val="single" w:color="auto" w:sz="4" w:space="0"/>
                    <w:bottom w:val="single" w:color="auto" w:sz="4" w:space="0"/>
                    <w:right w:val="single" w:color="auto" w:sz="4" w:space="0"/>
                  </w:tcBorders>
                  <w:vAlign w:val="center"/>
                </w:tcPr>
                <w:p w14:paraId="5E407C31">
                  <w:pPr>
                    <w:snapToGri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保安主管</w:t>
                  </w:r>
                  <w:r>
                    <w:rPr>
                      <w:rFonts w:hint="eastAsia" w:ascii="宋体" w:hAnsi="宋体" w:eastAsia="宋体" w:cs="宋体"/>
                      <w:color w:val="auto"/>
                      <w:sz w:val="21"/>
                      <w:szCs w:val="21"/>
                      <w:lang w:eastAsia="zh-CN"/>
                    </w:rPr>
                    <w:t>岗</w:t>
                  </w:r>
                </w:p>
              </w:tc>
              <w:tc>
                <w:tcPr>
                  <w:tcW w:w="6703" w:type="dxa"/>
                  <w:gridSpan w:val="2"/>
                  <w:tcBorders>
                    <w:top w:val="single" w:color="auto" w:sz="4" w:space="0"/>
                    <w:left w:val="single" w:color="auto" w:sz="4" w:space="0"/>
                    <w:bottom w:val="single" w:color="auto" w:sz="4" w:space="0"/>
                    <w:right w:val="single" w:color="auto" w:sz="4" w:space="0"/>
                  </w:tcBorders>
                  <w:vAlign w:val="center"/>
                </w:tcPr>
                <w:p w14:paraId="773BBABB">
                  <w:pPr>
                    <w:snapToGri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整个保安队伍管理，业务培训、思想教育、各岗位履职检查、协调供应商与医院保卫科沟通联系、处理保安与内部及外来人员发生的纠纷、带队打击“医闹、医托”、反恐防暴，协助各岗位做好治安、消防，完成医院交办的其它临时性任务</w:t>
                  </w:r>
                </w:p>
              </w:tc>
            </w:tr>
            <w:tr w14:paraId="15FB1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08E24C">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46" w:type="dxa"/>
                  <w:tcBorders>
                    <w:top w:val="single" w:color="auto" w:sz="4" w:space="0"/>
                    <w:left w:val="single" w:color="auto" w:sz="4" w:space="0"/>
                    <w:bottom w:val="single" w:color="auto" w:sz="4" w:space="0"/>
                    <w:right w:val="single" w:color="auto" w:sz="4" w:space="0"/>
                  </w:tcBorders>
                  <w:vAlign w:val="center"/>
                </w:tcPr>
                <w:p w14:paraId="600A4150">
                  <w:pPr>
                    <w:snapToGri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消防、监控</w:t>
                  </w:r>
                  <w:r>
                    <w:rPr>
                      <w:rFonts w:hint="eastAsia" w:ascii="宋体" w:hAnsi="宋体" w:eastAsia="宋体" w:cs="宋体"/>
                      <w:color w:val="auto"/>
                      <w:sz w:val="21"/>
                      <w:szCs w:val="21"/>
                      <w:lang w:eastAsia="zh-CN"/>
                    </w:rPr>
                    <w:t>员岗</w:t>
                  </w:r>
                </w:p>
              </w:tc>
              <w:tc>
                <w:tcPr>
                  <w:tcW w:w="6703" w:type="dxa"/>
                  <w:gridSpan w:val="2"/>
                  <w:tcBorders>
                    <w:top w:val="single" w:color="auto" w:sz="4" w:space="0"/>
                    <w:left w:val="single" w:color="auto" w:sz="4" w:space="0"/>
                    <w:bottom w:val="single" w:color="auto" w:sz="4" w:space="0"/>
                    <w:right w:val="single" w:color="auto" w:sz="4" w:space="0"/>
                  </w:tcBorders>
                  <w:vAlign w:val="center"/>
                </w:tcPr>
                <w:p w14:paraId="2A52C0DE">
                  <w:pPr>
                    <w:snapToGrid w:val="0"/>
                    <w:spacing w:line="400" w:lineRule="exact"/>
                    <w:ind w:firstLine="105" w:firstLineChars="5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负责消防控制室、安防监控日常</w:t>
                  </w:r>
                  <w:r>
                    <w:rPr>
                      <w:rFonts w:hint="eastAsia" w:ascii="宋体" w:hAnsi="宋体" w:eastAsia="宋体" w:cs="宋体"/>
                      <w:color w:val="auto"/>
                      <w:sz w:val="21"/>
                      <w:szCs w:val="21"/>
                      <w:lang w:val="en-US" w:eastAsia="zh-CN"/>
                    </w:rPr>
                    <w:t>工作，熟练掌握消防、监控系统的安全操作规程，及时掌握各种监控信息，对监控过程中发现的可疑情况及时进行处理和上报；负责对消防设施的每日检查，按照程序开展灭火救援工作；完成医院交办的其它临时性任务</w:t>
                  </w:r>
                </w:p>
              </w:tc>
            </w:tr>
            <w:tr w14:paraId="40592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C96BA8">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46" w:type="dxa"/>
                  <w:tcBorders>
                    <w:top w:val="single" w:color="auto" w:sz="4" w:space="0"/>
                    <w:left w:val="single" w:color="auto" w:sz="4" w:space="0"/>
                    <w:bottom w:val="single" w:color="auto" w:sz="4" w:space="0"/>
                    <w:right w:val="single" w:color="auto" w:sz="4" w:space="0"/>
                  </w:tcBorders>
                  <w:vAlign w:val="center"/>
                </w:tcPr>
                <w:p w14:paraId="774EBB88">
                  <w:pPr>
                    <w:snapToGri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保安</w:t>
                  </w:r>
                  <w:r>
                    <w:rPr>
                      <w:rFonts w:hint="eastAsia" w:ascii="宋体" w:hAnsi="宋体" w:eastAsia="宋体" w:cs="宋体"/>
                      <w:color w:val="auto"/>
                      <w:sz w:val="21"/>
                      <w:szCs w:val="21"/>
                      <w:lang w:eastAsia="zh-CN"/>
                    </w:rPr>
                    <w:t>员岗</w:t>
                  </w:r>
                </w:p>
              </w:tc>
              <w:tc>
                <w:tcPr>
                  <w:tcW w:w="6703" w:type="dxa"/>
                  <w:gridSpan w:val="2"/>
                  <w:tcBorders>
                    <w:top w:val="single" w:color="auto" w:sz="4" w:space="0"/>
                    <w:left w:val="single" w:color="auto" w:sz="4" w:space="0"/>
                    <w:bottom w:val="single" w:color="auto" w:sz="4" w:space="0"/>
                    <w:right w:val="single" w:color="auto" w:sz="4" w:space="0"/>
                  </w:tcBorders>
                  <w:vAlign w:val="center"/>
                </w:tcPr>
                <w:p w14:paraId="20132EBF">
                  <w:pPr>
                    <w:snapToGrid w:val="0"/>
                    <w:spacing w:line="400" w:lineRule="exact"/>
                    <w:ind w:firstLine="105" w:firstLineChars="5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做好医院治安（含对诊疗区域治安巡查、夜间设施设备巡查、下班后清理楼内无关人员并关窗锁门）、消防（服从中控室的指派，以就近原则迅速到达指定位置对报警系统进行确认）、对门前三包区域的交通进行疏导等工作，防止医护人员人身受伤害和公物损坏，完成医院交办的其它临时性任务</w:t>
                  </w:r>
                </w:p>
              </w:tc>
            </w:tr>
          </w:tbl>
          <w:p w14:paraId="0B53452D">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2.岗位职责</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（1）在医院保卫科的领导下开展</w:t>
            </w:r>
            <w:r>
              <w:rPr>
                <w:rFonts w:hint="eastAsia" w:ascii="宋体" w:hAnsi="宋体" w:eastAsia="宋体" w:cs="宋体"/>
                <w:b w:val="0"/>
                <w:bCs/>
                <w:color w:val="auto"/>
                <w:sz w:val="21"/>
                <w:szCs w:val="21"/>
                <w:lang w:val="en-US" w:eastAsia="zh-CN"/>
              </w:rPr>
              <w:t>工作，严格执行每班6小时工作制度，坚守岗位，遵纪守法，认真执行医院各项规章制度，努力完成领导交给的各顶任务。</w:t>
            </w:r>
          </w:p>
          <w:p w14:paraId="64E29743">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（2）负责全院的安全保卫工作，维持全院的治安秩序。出现失窃，纠纷、打架或其它问题要积极处理并进行记录，本班无法处理的要做好防控工作的同时做好交接班并逐级报告</w:t>
            </w:r>
            <w:r>
              <w:rPr>
                <w:rFonts w:hint="eastAsia" w:ascii="宋体" w:hAnsi="宋体" w:eastAsia="宋体" w:cs="宋体"/>
                <w:b w:val="0"/>
                <w:bCs/>
                <w:color w:val="auto"/>
                <w:sz w:val="21"/>
                <w:szCs w:val="21"/>
                <w:lang w:val="en-US" w:eastAsia="zh-CN"/>
              </w:rPr>
              <w:t>，发生治安和刑事案（事）件及时向公安机关报告。加强医疗秩序的管理和维护，对扰乱正常医院秩序的行为坚决制止，保护好医院财产和院内工作人员的人身安全，打击“医闹”“医托”和散发非法医疗广告等不法分子，加强反恐防暴工作。加强对各区域、重要设施、重要场所的治安、消防巡查，发现问题及时处理，及时完成领导交待的临时性工作（合法、合理的工作）。</w:t>
            </w:r>
          </w:p>
          <w:p w14:paraId="13C32D91">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（3）对来就诊患者态度和蔼、热情服务、耐心做好解释工作，不准打人、骂人、对无端取闹者要及时制止。</w:t>
            </w:r>
          </w:p>
          <w:p w14:paraId="0F884B7F">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（4）定期做好全院范围内的消防安全设施和消防器材的检查工作，并做好相关检查记录及责任人员，发现火灾或其它事故要及时扑救和处理，确保医院的安全。</w:t>
            </w:r>
          </w:p>
          <w:p w14:paraId="0F051572">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（5）密切观察病人和陪人、工作人员离院时所携带的物品，防止私自带走医院物品。</w:t>
            </w:r>
          </w:p>
          <w:p w14:paraId="4886A282">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（6）负责做好“门前三包”工作。对于进入医院的可疑人员要严加排查，对可疑物品和包、袋进行检查，防止违禁品进入院内。</w:t>
            </w:r>
          </w:p>
          <w:p w14:paraId="265D6D07">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（7）有保卫和看护医院物资不被盗或损坏的责任，尤其是建材、大数量药品、各种器械，以及医院特别要求重点看护的物资，无批条不准放行。</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8）在停车场新周期招租正式运营前，负责引导停车场区域以外的车辆有序停放，严禁车辆乱停乱放，严禁车辆占用消防通道和急救通道停放，确保医院各门岗内、外及周边整洁、畅通；对医院救护车、消防车等应急通道进行管理，严禁任何无关车辆占用救护车、消防车停车位。</w:t>
            </w:r>
          </w:p>
          <w:p w14:paraId="6C32584E">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（9）不准“三鸟”和宠物进入院内，防止发生病菌感染。</w:t>
            </w:r>
          </w:p>
          <w:p w14:paraId="4798815F">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（10）禁止任何人员携带非法宣传品（大、小字报、非法医疗广告等）进入院内。</w:t>
            </w:r>
          </w:p>
          <w:p w14:paraId="015AF38C">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（11）爱护装备，对于故意损坏装备的，要按价赔偿。搞好值班室卫生，做好交接班的登记工作</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3.人员要求</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保安人员除应符合国家和地方法律法规要求以外，还应符合以下标准：</w:t>
            </w:r>
          </w:p>
          <w:p w14:paraId="441ABC2F">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（1）18周岁以上，55周岁以下的中国公民（经双方认可的特殊岗位和特别优秀的保安年龄可适当放宽），且50岁以下的保安员不低于总数的20%。</w:t>
            </w:r>
          </w:p>
          <w:p w14:paraId="6B210D62">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（2）遵纪守法，品行良好，无犯罪记录。</w:t>
            </w:r>
          </w:p>
          <w:p w14:paraId="5B0D95B0">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（3）保安员需具备初中以上文化程度，具有良好的语言表达及沟通协调能力，体能和应变能力也能满足岗位需求，处理突发事件更沉稳、高效。</w:t>
            </w:r>
          </w:p>
          <w:p w14:paraId="316C1373">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（4）保安主管需具备高中/中专及以上学历，2年以上保安管理经验；责任心强；具备良好沟通</w:t>
            </w:r>
            <w:r>
              <w:rPr>
                <w:rFonts w:hint="eastAsia" w:ascii="宋体" w:hAnsi="宋体" w:eastAsia="宋体" w:cs="宋体"/>
                <w:color w:val="auto"/>
                <w:sz w:val="21"/>
                <w:szCs w:val="21"/>
              </w:rPr>
              <w:t>和文字表达</w:t>
            </w:r>
            <w:r>
              <w:rPr>
                <w:rFonts w:hint="eastAsia" w:ascii="宋体" w:hAnsi="宋体" w:eastAsia="宋体" w:cs="宋体"/>
                <w:b w:val="0"/>
                <w:bCs/>
                <w:color w:val="auto"/>
                <w:sz w:val="21"/>
                <w:szCs w:val="21"/>
                <w:lang w:val="en-US" w:eastAsia="zh-CN"/>
              </w:rPr>
              <w:t>能力，协作高效；可迅速分析复杂安保问题并合理决策；熟练掌握安全防范、消防知识与技能，具备火灾、医闹等突发事件应急处置能力；任用流程：需经保卫科协商同意，任用考核资料报保卫科备案。</w:t>
            </w:r>
          </w:p>
          <w:p w14:paraId="6498E9AD">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（5）消防监控员需持有消防设施操作员中级资格证书，能熟练操作监控设备和消防设施设备，具备应急处置能力。了解医院的建筑结构、疏散通道等布局特点。</w:t>
            </w:r>
          </w:p>
          <w:p w14:paraId="4439AAE6">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（6）保安员需持《保安员证》经岗前培训考核合格后方可上岗。 </w:t>
            </w:r>
          </w:p>
          <w:p w14:paraId="1BBFA59F">
            <w:p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（7）供应商成交后需提供保安员入职身体健康报告与心理测试报告。 </w:t>
            </w:r>
          </w:p>
          <w:p w14:paraId="54AE67D8">
            <w:pPr>
              <w:spacing w:line="360" w:lineRule="auto"/>
              <w:jc w:val="both"/>
              <w:rPr>
                <w:rFonts w:hint="eastAsia" w:ascii="宋体" w:hAnsi="宋体" w:eastAsia="宋体" w:cs="宋体"/>
                <w:b/>
                <w:bCs w:val="0"/>
                <w:color w:val="auto"/>
                <w:sz w:val="21"/>
                <w:szCs w:val="21"/>
                <w:lang w:val="en-US" w:eastAsia="zh-CN"/>
              </w:rPr>
            </w:pPr>
            <w:r>
              <w:rPr>
                <w:rFonts w:hint="eastAsia" w:ascii="宋体" w:hAnsi="宋体" w:eastAsia="宋体" w:cs="宋体"/>
                <w:b w:val="0"/>
                <w:bCs/>
                <w:color w:val="auto"/>
                <w:sz w:val="21"/>
                <w:szCs w:val="21"/>
                <w:lang w:val="en-US" w:eastAsia="zh-CN"/>
              </w:rPr>
              <w:t xml:space="preserve">（8）入职时提供人员名单（含身份证、保安证复印件及原件、无犯罪证明）。 </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highlight w:val="none"/>
                <w:lang w:val="en-US" w:eastAsia="zh-CN"/>
              </w:rPr>
              <w:t>拟投入保安员中不少于3人持有消防设施操作员</w:t>
            </w:r>
            <w:r>
              <w:rPr>
                <w:rFonts w:hint="eastAsia" w:ascii="宋体" w:hAnsi="宋体" w:eastAsia="宋体" w:cs="宋体"/>
                <w:b w:val="0"/>
                <w:bCs/>
                <w:color w:val="auto"/>
                <w:sz w:val="21"/>
                <w:szCs w:val="21"/>
                <w:highlight w:val="none"/>
                <w:shd w:val="clear"/>
                <w:lang w:val="en-US" w:eastAsia="zh-CN"/>
              </w:rPr>
              <w:t>中级</w:t>
            </w:r>
            <w:r>
              <w:rPr>
                <w:rFonts w:hint="eastAsia" w:ascii="宋体" w:hAnsi="宋体" w:eastAsia="宋体" w:cs="宋体"/>
                <w:color w:val="auto"/>
                <w:highlight w:val="none"/>
                <w:shd w:val="clear"/>
                <w:lang w:eastAsia="zh-CN"/>
              </w:rPr>
              <w:t>及</w:t>
            </w:r>
            <w:r>
              <w:rPr>
                <w:rFonts w:hint="eastAsia" w:ascii="宋体" w:hAnsi="宋体" w:eastAsia="宋体" w:cs="宋体"/>
                <w:b w:val="0"/>
                <w:bCs/>
                <w:color w:val="auto"/>
                <w:sz w:val="21"/>
                <w:szCs w:val="21"/>
                <w:highlight w:val="none"/>
                <w:shd w:val="clear"/>
                <w:lang w:val="en-US" w:eastAsia="zh-CN"/>
              </w:rPr>
              <w:t>以上证件</w:t>
            </w:r>
            <w:r>
              <w:rPr>
                <w:rFonts w:hint="eastAsia" w:ascii="宋体" w:hAnsi="宋体" w:eastAsia="宋体" w:cs="宋体"/>
                <w:b w:val="0"/>
                <w:bCs/>
                <w:color w:val="auto"/>
                <w:sz w:val="21"/>
                <w:szCs w:val="21"/>
                <w:highlight w:val="none"/>
                <w:lang w:val="en-US" w:eastAsia="zh-CN"/>
              </w:rPr>
              <w:t>，配合医院消防控制室工作。</w:t>
            </w:r>
            <w:r>
              <w:rPr>
                <w:rFonts w:hint="eastAsia" w:ascii="宋体" w:hAnsi="宋体" w:eastAsia="宋体" w:cs="宋体"/>
                <w:b/>
                <w:bCs w:val="0"/>
                <w:color w:val="auto"/>
                <w:sz w:val="21"/>
                <w:szCs w:val="21"/>
                <w:lang w:val="en-US" w:eastAsia="zh-CN" w:bidi="zh-CN"/>
              </w:rPr>
              <w:br w:type="textWrapping"/>
            </w:r>
            <w:r>
              <w:rPr>
                <w:rFonts w:hint="eastAsia" w:ascii="宋体" w:hAnsi="宋体" w:eastAsia="宋体" w:cs="宋体"/>
                <w:b/>
                <w:bCs w:val="0"/>
                <w:color w:val="auto"/>
                <w:sz w:val="21"/>
                <w:szCs w:val="21"/>
                <w:lang w:val="en-US" w:eastAsia="zh-CN" w:bidi="zh-CN"/>
              </w:rPr>
              <w:t>四、</w:t>
            </w:r>
            <w:r>
              <w:rPr>
                <w:rFonts w:hint="eastAsia" w:ascii="宋体" w:hAnsi="宋体" w:eastAsia="宋体" w:cs="宋体"/>
                <w:b/>
                <w:bCs w:val="0"/>
                <w:color w:val="auto"/>
                <w:sz w:val="21"/>
                <w:szCs w:val="21"/>
                <w:lang w:val="en-US" w:eastAsia="zh-CN"/>
              </w:rPr>
              <w:t>服务目标</w:t>
            </w:r>
          </w:p>
          <w:p w14:paraId="1354483B">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实施安全服务管理方案，根据保安管理标准，按照医院要求，承担医院安全保卫专项管理，明确安全责任，确定安全管理目标，覆盖安全服务面，使医院治安秩序良好，无各类治安、灾害事故发生，治安、医闹案件减少，杜绝重大、特大案件的发生，保卫医院内的设备财产安全以及医护人员人身与财产安全，维持医院正常秩序，以及安全稳定。</w:t>
            </w:r>
          </w:p>
          <w:p w14:paraId="4D208B96">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2.全面负责医院安全管理、人员和物资的进出医院管理，重要场所守护，开展定时定点巡逻，及时发现和消除安全隐患。保证医院门前三包区域交通道路畅通，车辆停放有序，确保车辆安全。</w:t>
            </w:r>
          </w:p>
          <w:p w14:paraId="4095BFF3">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3.加强服务范围的消防管理，定期巡查消防设备设施，排查消防隐患，建立严格的消防安全机制与操作程序。</w:t>
            </w:r>
          </w:p>
          <w:p w14:paraId="37052ECE">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4.切实做好医院防盗、防火、防爆、防伤害、防投毒、防其他非法行为，随时出员，为采购人提供紧急救助服务，抽调临时安保力量，做好医院重大活动及安全保卫工作。</w:t>
            </w:r>
          </w:p>
          <w:p w14:paraId="06AAA81F">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5.及时协助</w:t>
            </w:r>
            <w:r>
              <w:rPr>
                <w:rFonts w:hint="eastAsia" w:ascii="宋体" w:hAnsi="宋体" w:eastAsia="宋体" w:cs="宋体"/>
                <w:b w:val="0"/>
                <w:bCs/>
                <w:color w:val="auto"/>
                <w:sz w:val="21"/>
                <w:szCs w:val="21"/>
                <w:lang w:val="en-US" w:eastAsia="zh-CN"/>
              </w:rPr>
              <w:t>处理医院内各类纠纷和治安案件，及时、正确处理各类突发事件，配合相关科室做好安全管理、检查工作。</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bCs w:val="0"/>
                <w:color w:val="auto"/>
                <w:sz w:val="21"/>
                <w:szCs w:val="21"/>
                <w:lang w:val="en-US" w:eastAsia="zh-CN"/>
              </w:rPr>
              <w:t>五、应急管理要求</w:t>
            </w:r>
            <w:r>
              <w:rPr>
                <w:rFonts w:hint="eastAsia" w:ascii="宋体" w:hAnsi="宋体" w:eastAsia="宋体" w:cs="宋体"/>
                <w:b/>
                <w:bCs w:val="0"/>
                <w:color w:val="auto"/>
                <w:sz w:val="21"/>
                <w:szCs w:val="21"/>
                <w:lang w:val="en-US" w:eastAsia="zh-CN"/>
              </w:rPr>
              <w:br w:type="textWrapping"/>
            </w:r>
            <w:r>
              <w:rPr>
                <w:rFonts w:hint="eastAsia" w:ascii="宋体" w:hAnsi="宋体" w:eastAsia="宋体" w:cs="宋体"/>
                <w:b w:val="0"/>
                <w:bCs/>
                <w:color w:val="auto"/>
                <w:sz w:val="21"/>
                <w:szCs w:val="21"/>
                <w:lang w:val="en-US" w:eastAsia="zh-CN"/>
              </w:rPr>
              <w:t>1.各岗位消防应急分工</w:t>
            </w:r>
          </w:p>
          <w:p w14:paraId="585792C8">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（1）通讯联络组</w:t>
            </w:r>
          </w:p>
          <w:p w14:paraId="7B702909">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保安岗第一时间接到（或发现）火警人员前来处置火灾时，应负责在大门引导消防车到达现场，清理消防应急通道，并向火警人员简要介绍火灾现场基本情况。</w:t>
            </w:r>
          </w:p>
          <w:p w14:paraId="5E6EED38">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（2）灭火行动组</w:t>
            </w:r>
          </w:p>
          <w:p w14:paraId="2DD7E2C9">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非初起火灾时：当班人员组成灭火组：着消防服，携带腰斧、室外消火栓的板手及防毒面具铺设水带并持水枪灭火，联接消火栓并开关阀门，理顺水带。</w:t>
            </w:r>
          </w:p>
          <w:p w14:paraId="067FC3D7">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初起火灾时：当班人员利用灭火器灭火。</w:t>
            </w:r>
          </w:p>
          <w:p w14:paraId="3C456B42">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火灾扑灭后：负责保护现场及配合调查。</w:t>
            </w:r>
          </w:p>
          <w:p w14:paraId="2B57F0AB">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2.处置恐怖、暴力事件程序及各岗位人员主要工作要求</w:t>
            </w:r>
          </w:p>
          <w:p w14:paraId="0B6E426C">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（1）当值班人员收到各科室报警时或各岗位接到报警信号后：</w:t>
            </w:r>
          </w:p>
          <w:p w14:paraId="17D7616E">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①立即用对讲机通知其他执勤人员注意（口令是：各岗位注意、各岗位注意），讲清何地发生紧急报警。所有在岗人员保持高度警觉，及时检查并带好随行装备。</w:t>
            </w:r>
          </w:p>
          <w:p w14:paraId="594C9BD2">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②</w:t>
            </w:r>
            <w:r>
              <w:rPr>
                <w:rFonts w:hint="eastAsia" w:ascii="宋体" w:hAnsi="宋体" w:eastAsia="宋体" w:cs="宋体"/>
                <w:color w:val="auto"/>
                <w:lang w:eastAsia="zh-CN"/>
              </w:rPr>
              <w:t>中控室</w:t>
            </w:r>
            <w:r>
              <w:rPr>
                <w:rFonts w:hint="eastAsia" w:ascii="宋体" w:hAnsi="宋体" w:eastAsia="宋体" w:cs="宋体"/>
                <w:b w:val="0"/>
                <w:bCs/>
                <w:color w:val="auto"/>
                <w:sz w:val="21"/>
                <w:szCs w:val="21"/>
                <w:lang w:val="en-US" w:eastAsia="zh-CN"/>
              </w:rPr>
              <w:t>值班人员迅速调看现场录像情况，并立即向“110”报告。</w:t>
            </w:r>
          </w:p>
          <w:p w14:paraId="22FD2B99">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（2）当班保安人员务必带好装备以最快速度到场处置。</w:t>
            </w:r>
          </w:p>
          <w:p w14:paraId="51EBC602">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①及时控制现场暴、恐人员。当发生暴、恐事件时，采取一切措施将肇事人员制伏并控制，扭送到公安机关或等待“110”到场移交。当公安机关人员到场后要积极协助公安机关开展处置工作。</w:t>
            </w:r>
          </w:p>
          <w:p w14:paraId="3271B591">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②保护好现场及相关证据。</w:t>
            </w:r>
          </w:p>
          <w:p w14:paraId="1C36BD0E">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③保卫人员现场处置组织指挥：一是由现场行政职务最高为指挥者；若没有行政职务者，由科室人员（监控室人员）、保安顺序任指挥者。</w:t>
            </w:r>
          </w:p>
          <w:p w14:paraId="458598B3">
            <w:pPr>
              <w:numPr>
                <w:ilvl w:val="0"/>
                <w:numId w:val="0"/>
              </w:numPr>
              <w:spacing w:line="360" w:lineRule="auto"/>
              <w:jc w:val="both"/>
              <w:rPr>
                <w:rFonts w:hint="eastAsia" w:ascii="宋体" w:hAnsi="宋体" w:eastAsia="宋体" w:cs="宋体"/>
                <w:b/>
                <w:bCs w:val="0"/>
                <w:color w:val="auto"/>
                <w:sz w:val="21"/>
                <w:szCs w:val="21"/>
                <w:lang w:val="en-US" w:eastAsia="zh-CN"/>
              </w:rPr>
            </w:pPr>
            <w:r>
              <w:rPr>
                <w:rFonts w:hint="eastAsia" w:ascii="宋体" w:hAnsi="宋体" w:eastAsia="宋体" w:cs="宋体"/>
                <w:b w:val="0"/>
                <w:bCs/>
                <w:color w:val="auto"/>
                <w:sz w:val="21"/>
                <w:szCs w:val="21"/>
                <w:lang w:val="en-US" w:eastAsia="zh-CN"/>
              </w:rPr>
              <w:t>④当值班保安在处理时，保持高度警觉，一是注意观察周边行人，二是做好增援准备和拦堵可疑人员。当接到增援听令时，及时到场增援，当接到具体拦堵可疑人员时采取一切措施将其控制</w:t>
            </w:r>
            <w:r>
              <w:rPr>
                <w:rFonts w:hint="eastAsia" w:ascii="宋体" w:hAnsi="宋体" w:eastAsia="宋体" w:cs="宋体"/>
                <w:b w:val="0"/>
                <w:bCs/>
                <w:color w:val="auto"/>
                <w:sz w:val="21"/>
                <w:szCs w:val="21"/>
                <w:lang w:val="en-US" w:eastAsia="zh-CN"/>
              </w:rPr>
              <w:br w:type="textWrapping"/>
            </w:r>
          </w:p>
          <w:tbl>
            <w:tblPr>
              <w:tblStyle w:val="22"/>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02"/>
              <w:gridCol w:w="1102"/>
              <w:gridCol w:w="2046"/>
              <w:gridCol w:w="944"/>
              <w:gridCol w:w="1102"/>
              <w:gridCol w:w="1738"/>
            </w:tblGrid>
            <w:tr w14:paraId="3CDF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777" w:type="dxa"/>
                  <w:gridSpan w:val="7"/>
                  <w:vAlign w:val="center"/>
                </w:tcPr>
                <w:p w14:paraId="1C13F88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各岗位保安应对突发暴、恐案（事）件演练日常检查表</w:t>
                  </w:r>
                </w:p>
              </w:tc>
            </w:tr>
            <w:tr w14:paraId="41D3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3" w:type="dxa"/>
                  <w:vAlign w:val="center"/>
                </w:tcPr>
                <w:p w14:paraId="305C6A26">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102" w:type="dxa"/>
                  <w:vAlign w:val="center"/>
                </w:tcPr>
                <w:p w14:paraId="6ADA261D">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岗位</w:t>
                  </w:r>
                </w:p>
              </w:tc>
              <w:tc>
                <w:tcPr>
                  <w:tcW w:w="1102" w:type="dxa"/>
                  <w:vAlign w:val="center"/>
                </w:tcPr>
                <w:p w14:paraId="0C733EA4">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科室指定或报警点</w:t>
                  </w:r>
                </w:p>
              </w:tc>
              <w:tc>
                <w:tcPr>
                  <w:tcW w:w="2046" w:type="dxa"/>
                  <w:vAlign w:val="center"/>
                </w:tcPr>
                <w:p w14:paraId="3F8C09BD">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是否按规</w:t>
                  </w:r>
                </w:p>
                <w:p w14:paraId="3AF5B33A">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定携带装备</w:t>
                  </w:r>
                </w:p>
              </w:tc>
              <w:tc>
                <w:tcPr>
                  <w:tcW w:w="944" w:type="dxa"/>
                  <w:vAlign w:val="center"/>
                </w:tcPr>
                <w:p w14:paraId="7009AFAC">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到达时间</w:t>
                  </w:r>
                </w:p>
              </w:tc>
              <w:tc>
                <w:tcPr>
                  <w:tcW w:w="1102" w:type="dxa"/>
                  <w:vAlign w:val="center"/>
                </w:tcPr>
                <w:p w14:paraId="14A89043">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存在问题</w:t>
                  </w:r>
                </w:p>
              </w:tc>
              <w:tc>
                <w:tcPr>
                  <w:tcW w:w="1738" w:type="dxa"/>
                  <w:vAlign w:val="center"/>
                </w:tcPr>
                <w:p w14:paraId="2324DBCF">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整改情况</w:t>
                  </w:r>
                </w:p>
              </w:tc>
            </w:tr>
            <w:tr w14:paraId="1895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3" w:type="dxa"/>
                  <w:vMerge w:val="restart"/>
                  <w:vAlign w:val="center"/>
                </w:tcPr>
                <w:p w14:paraId="300EBDAE">
                  <w:pPr>
                    <w:spacing w:line="400" w:lineRule="exact"/>
                    <w:rPr>
                      <w:rFonts w:hint="eastAsia" w:ascii="宋体" w:hAnsi="宋体" w:eastAsia="宋体" w:cs="宋体"/>
                      <w:color w:val="auto"/>
                      <w:sz w:val="21"/>
                      <w:szCs w:val="21"/>
                    </w:rPr>
                  </w:pPr>
                </w:p>
              </w:tc>
              <w:tc>
                <w:tcPr>
                  <w:tcW w:w="1102" w:type="dxa"/>
                  <w:vAlign w:val="center"/>
                </w:tcPr>
                <w:p w14:paraId="6363D10B">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大厅</w:t>
                  </w:r>
                </w:p>
              </w:tc>
              <w:tc>
                <w:tcPr>
                  <w:tcW w:w="1102" w:type="dxa"/>
                  <w:vAlign w:val="center"/>
                </w:tcPr>
                <w:p w14:paraId="20026D77">
                  <w:pPr>
                    <w:spacing w:line="400" w:lineRule="exact"/>
                    <w:rPr>
                      <w:rFonts w:hint="eastAsia" w:ascii="宋体" w:hAnsi="宋体" w:eastAsia="宋体" w:cs="宋体"/>
                      <w:color w:val="auto"/>
                      <w:sz w:val="21"/>
                      <w:szCs w:val="21"/>
                    </w:rPr>
                  </w:pPr>
                </w:p>
              </w:tc>
              <w:tc>
                <w:tcPr>
                  <w:tcW w:w="2046" w:type="dxa"/>
                  <w:vAlign w:val="center"/>
                </w:tcPr>
                <w:p w14:paraId="7EEF1471">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正巡逻时：警务装备七件套；在大厅时：钢套、长棍</w:t>
                  </w:r>
                </w:p>
              </w:tc>
              <w:tc>
                <w:tcPr>
                  <w:tcW w:w="944" w:type="dxa"/>
                  <w:vAlign w:val="center"/>
                </w:tcPr>
                <w:p w14:paraId="6FF98D34">
                  <w:pPr>
                    <w:spacing w:line="400" w:lineRule="exact"/>
                    <w:rPr>
                      <w:rFonts w:hint="eastAsia" w:ascii="宋体" w:hAnsi="宋体" w:eastAsia="宋体" w:cs="宋体"/>
                      <w:color w:val="auto"/>
                      <w:sz w:val="21"/>
                      <w:szCs w:val="21"/>
                    </w:rPr>
                  </w:pPr>
                </w:p>
              </w:tc>
              <w:tc>
                <w:tcPr>
                  <w:tcW w:w="1102" w:type="dxa"/>
                  <w:vAlign w:val="center"/>
                </w:tcPr>
                <w:p w14:paraId="494CE8B4">
                  <w:pPr>
                    <w:spacing w:line="400" w:lineRule="exact"/>
                    <w:rPr>
                      <w:rFonts w:hint="eastAsia" w:ascii="宋体" w:hAnsi="宋体" w:eastAsia="宋体" w:cs="宋体"/>
                      <w:color w:val="auto"/>
                      <w:sz w:val="21"/>
                      <w:szCs w:val="21"/>
                    </w:rPr>
                  </w:pPr>
                </w:p>
              </w:tc>
              <w:tc>
                <w:tcPr>
                  <w:tcW w:w="1738" w:type="dxa"/>
                  <w:vAlign w:val="center"/>
                </w:tcPr>
                <w:p w14:paraId="4FAE4365">
                  <w:pPr>
                    <w:spacing w:line="400" w:lineRule="exact"/>
                    <w:rPr>
                      <w:rFonts w:hint="eastAsia" w:ascii="宋体" w:hAnsi="宋体" w:eastAsia="宋体" w:cs="宋体"/>
                      <w:color w:val="auto"/>
                      <w:sz w:val="21"/>
                      <w:szCs w:val="21"/>
                    </w:rPr>
                  </w:pPr>
                </w:p>
              </w:tc>
            </w:tr>
            <w:tr w14:paraId="4A57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3" w:type="dxa"/>
                  <w:vMerge w:val="continue"/>
                  <w:vAlign w:val="center"/>
                </w:tcPr>
                <w:p w14:paraId="6AFE659E">
                  <w:pPr>
                    <w:rPr>
                      <w:rFonts w:hint="eastAsia" w:ascii="宋体" w:hAnsi="宋体" w:eastAsia="宋体" w:cs="宋体"/>
                      <w:color w:val="auto"/>
                      <w:sz w:val="21"/>
                      <w:szCs w:val="21"/>
                    </w:rPr>
                  </w:pPr>
                </w:p>
              </w:tc>
              <w:tc>
                <w:tcPr>
                  <w:tcW w:w="1102" w:type="dxa"/>
                  <w:vAlign w:val="center"/>
                </w:tcPr>
                <w:p w14:paraId="3C653DD0">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急诊</w:t>
                  </w:r>
                </w:p>
              </w:tc>
              <w:tc>
                <w:tcPr>
                  <w:tcW w:w="1102" w:type="dxa"/>
                  <w:vAlign w:val="center"/>
                </w:tcPr>
                <w:p w14:paraId="75E3707F">
                  <w:pPr>
                    <w:spacing w:line="400" w:lineRule="exact"/>
                    <w:rPr>
                      <w:rFonts w:hint="eastAsia" w:ascii="宋体" w:hAnsi="宋体" w:eastAsia="宋体" w:cs="宋体"/>
                      <w:color w:val="auto"/>
                      <w:sz w:val="21"/>
                      <w:szCs w:val="21"/>
                    </w:rPr>
                  </w:pPr>
                </w:p>
              </w:tc>
              <w:tc>
                <w:tcPr>
                  <w:tcW w:w="2046" w:type="dxa"/>
                  <w:vAlign w:val="center"/>
                </w:tcPr>
                <w:p w14:paraId="1492485F">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钢叉、短棍、防割手套</w:t>
                  </w:r>
                </w:p>
              </w:tc>
              <w:tc>
                <w:tcPr>
                  <w:tcW w:w="944" w:type="dxa"/>
                  <w:vAlign w:val="center"/>
                </w:tcPr>
                <w:p w14:paraId="02533F59">
                  <w:pPr>
                    <w:spacing w:line="400" w:lineRule="exact"/>
                    <w:rPr>
                      <w:rFonts w:hint="eastAsia" w:ascii="宋体" w:hAnsi="宋体" w:eastAsia="宋体" w:cs="宋体"/>
                      <w:color w:val="auto"/>
                      <w:sz w:val="21"/>
                      <w:szCs w:val="21"/>
                    </w:rPr>
                  </w:pPr>
                </w:p>
              </w:tc>
              <w:tc>
                <w:tcPr>
                  <w:tcW w:w="1102" w:type="dxa"/>
                  <w:vAlign w:val="center"/>
                </w:tcPr>
                <w:p w14:paraId="5138628F">
                  <w:pPr>
                    <w:spacing w:line="400" w:lineRule="exact"/>
                    <w:rPr>
                      <w:rFonts w:hint="eastAsia" w:ascii="宋体" w:hAnsi="宋体" w:eastAsia="宋体" w:cs="宋体"/>
                      <w:color w:val="auto"/>
                      <w:sz w:val="21"/>
                      <w:szCs w:val="21"/>
                    </w:rPr>
                  </w:pPr>
                </w:p>
              </w:tc>
              <w:tc>
                <w:tcPr>
                  <w:tcW w:w="1738" w:type="dxa"/>
                  <w:vAlign w:val="center"/>
                </w:tcPr>
                <w:p w14:paraId="5385A8C6">
                  <w:pPr>
                    <w:spacing w:line="400" w:lineRule="exact"/>
                    <w:rPr>
                      <w:rFonts w:hint="eastAsia" w:ascii="宋体" w:hAnsi="宋体" w:eastAsia="宋体" w:cs="宋体"/>
                      <w:color w:val="auto"/>
                      <w:sz w:val="21"/>
                      <w:szCs w:val="21"/>
                    </w:rPr>
                  </w:pPr>
                </w:p>
              </w:tc>
            </w:tr>
            <w:tr w14:paraId="6C2C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43" w:type="dxa"/>
                  <w:vMerge w:val="continue"/>
                  <w:vAlign w:val="center"/>
                </w:tcPr>
                <w:p w14:paraId="66F6056E">
                  <w:pPr>
                    <w:rPr>
                      <w:rFonts w:hint="eastAsia" w:ascii="宋体" w:hAnsi="宋体" w:eastAsia="宋体" w:cs="宋体"/>
                      <w:color w:val="auto"/>
                      <w:sz w:val="21"/>
                      <w:szCs w:val="21"/>
                    </w:rPr>
                  </w:pPr>
                </w:p>
              </w:tc>
              <w:tc>
                <w:tcPr>
                  <w:tcW w:w="1102" w:type="dxa"/>
                  <w:vAlign w:val="center"/>
                </w:tcPr>
                <w:p w14:paraId="0E58E32C">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大门</w:t>
                  </w:r>
                </w:p>
              </w:tc>
              <w:tc>
                <w:tcPr>
                  <w:tcW w:w="1102" w:type="dxa"/>
                  <w:vAlign w:val="center"/>
                </w:tcPr>
                <w:p w14:paraId="45FFADA6">
                  <w:pPr>
                    <w:spacing w:line="400" w:lineRule="exact"/>
                    <w:rPr>
                      <w:rFonts w:hint="eastAsia" w:ascii="宋体" w:hAnsi="宋体" w:eastAsia="宋体" w:cs="宋体"/>
                      <w:color w:val="auto"/>
                      <w:sz w:val="21"/>
                      <w:szCs w:val="21"/>
                    </w:rPr>
                  </w:pPr>
                </w:p>
              </w:tc>
              <w:tc>
                <w:tcPr>
                  <w:tcW w:w="2046" w:type="dxa"/>
                  <w:vAlign w:val="center"/>
                </w:tcPr>
                <w:p w14:paraId="2115AD1E">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长棍</w:t>
                  </w:r>
                </w:p>
              </w:tc>
              <w:tc>
                <w:tcPr>
                  <w:tcW w:w="944" w:type="dxa"/>
                  <w:vAlign w:val="center"/>
                </w:tcPr>
                <w:p w14:paraId="4F1355C7">
                  <w:pPr>
                    <w:spacing w:line="400" w:lineRule="exact"/>
                    <w:rPr>
                      <w:rFonts w:hint="eastAsia" w:ascii="宋体" w:hAnsi="宋体" w:eastAsia="宋体" w:cs="宋体"/>
                      <w:color w:val="auto"/>
                      <w:sz w:val="21"/>
                      <w:szCs w:val="21"/>
                    </w:rPr>
                  </w:pPr>
                </w:p>
              </w:tc>
              <w:tc>
                <w:tcPr>
                  <w:tcW w:w="1102" w:type="dxa"/>
                  <w:vAlign w:val="center"/>
                </w:tcPr>
                <w:p w14:paraId="027A6E68">
                  <w:pPr>
                    <w:spacing w:line="400" w:lineRule="exact"/>
                    <w:rPr>
                      <w:rFonts w:hint="eastAsia" w:ascii="宋体" w:hAnsi="宋体" w:eastAsia="宋体" w:cs="宋体"/>
                      <w:color w:val="auto"/>
                      <w:sz w:val="21"/>
                      <w:szCs w:val="21"/>
                    </w:rPr>
                  </w:pPr>
                </w:p>
              </w:tc>
              <w:tc>
                <w:tcPr>
                  <w:tcW w:w="1738" w:type="dxa"/>
                  <w:vAlign w:val="center"/>
                </w:tcPr>
                <w:p w14:paraId="75C03C34">
                  <w:pPr>
                    <w:spacing w:line="400" w:lineRule="exact"/>
                    <w:rPr>
                      <w:rFonts w:hint="eastAsia" w:ascii="宋体" w:hAnsi="宋体" w:eastAsia="宋体" w:cs="宋体"/>
                      <w:color w:val="auto"/>
                      <w:sz w:val="21"/>
                      <w:szCs w:val="21"/>
                    </w:rPr>
                  </w:pPr>
                </w:p>
              </w:tc>
            </w:tr>
            <w:tr w14:paraId="5266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3" w:type="dxa"/>
                  <w:vMerge w:val="continue"/>
                  <w:vAlign w:val="center"/>
                </w:tcPr>
                <w:p w14:paraId="22205C9F">
                  <w:pPr>
                    <w:rPr>
                      <w:rFonts w:hint="eastAsia" w:ascii="宋体" w:hAnsi="宋体" w:eastAsia="宋体" w:cs="宋体"/>
                      <w:color w:val="auto"/>
                      <w:sz w:val="21"/>
                      <w:szCs w:val="21"/>
                    </w:rPr>
                  </w:pPr>
                </w:p>
              </w:tc>
              <w:tc>
                <w:tcPr>
                  <w:tcW w:w="1102" w:type="dxa"/>
                  <w:vMerge w:val="restart"/>
                  <w:vAlign w:val="center"/>
                </w:tcPr>
                <w:p w14:paraId="41596879">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监控室</w:t>
                  </w:r>
                </w:p>
              </w:tc>
              <w:tc>
                <w:tcPr>
                  <w:tcW w:w="1102" w:type="dxa"/>
                  <w:vMerge w:val="restart"/>
                  <w:vAlign w:val="center"/>
                </w:tcPr>
                <w:p w14:paraId="0BA9371B">
                  <w:pPr>
                    <w:spacing w:line="400" w:lineRule="exact"/>
                    <w:rPr>
                      <w:rFonts w:hint="eastAsia" w:ascii="宋体" w:hAnsi="宋体" w:eastAsia="宋体" w:cs="宋体"/>
                      <w:color w:val="auto"/>
                      <w:sz w:val="21"/>
                      <w:szCs w:val="21"/>
                    </w:rPr>
                  </w:pPr>
                </w:p>
              </w:tc>
              <w:tc>
                <w:tcPr>
                  <w:tcW w:w="2046" w:type="dxa"/>
                  <w:vMerge w:val="restart"/>
                  <w:vAlign w:val="center"/>
                </w:tcPr>
                <w:p w14:paraId="28F80FD7">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钢叉、短棍</w:t>
                  </w:r>
                </w:p>
              </w:tc>
              <w:tc>
                <w:tcPr>
                  <w:tcW w:w="944" w:type="dxa"/>
                  <w:tcBorders>
                    <w:bottom w:val="nil"/>
                  </w:tcBorders>
                  <w:vAlign w:val="center"/>
                </w:tcPr>
                <w:p w14:paraId="7241BBC7">
                  <w:pPr>
                    <w:spacing w:line="400" w:lineRule="exact"/>
                    <w:rPr>
                      <w:rFonts w:hint="eastAsia" w:ascii="宋体" w:hAnsi="宋体" w:eastAsia="宋体" w:cs="宋体"/>
                      <w:color w:val="auto"/>
                      <w:sz w:val="21"/>
                      <w:szCs w:val="21"/>
                    </w:rPr>
                  </w:pPr>
                </w:p>
              </w:tc>
              <w:tc>
                <w:tcPr>
                  <w:tcW w:w="1102" w:type="dxa"/>
                  <w:tcBorders>
                    <w:bottom w:val="nil"/>
                  </w:tcBorders>
                  <w:vAlign w:val="center"/>
                </w:tcPr>
                <w:p w14:paraId="2F2762FC">
                  <w:pPr>
                    <w:spacing w:line="400" w:lineRule="exact"/>
                    <w:rPr>
                      <w:rFonts w:hint="eastAsia" w:ascii="宋体" w:hAnsi="宋体" w:eastAsia="宋体" w:cs="宋体"/>
                      <w:color w:val="auto"/>
                      <w:sz w:val="21"/>
                      <w:szCs w:val="21"/>
                    </w:rPr>
                  </w:pPr>
                </w:p>
              </w:tc>
              <w:tc>
                <w:tcPr>
                  <w:tcW w:w="1738" w:type="dxa"/>
                  <w:vMerge w:val="restart"/>
                  <w:vAlign w:val="center"/>
                </w:tcPr>
                <w:p w14:paraId="4B13A82D">
                  <w:pPr>
                    <w:spacing w:line="400" w:lineRule="exact"/>
                    <w:rPr>
                      <w:rFonts w:hint="eastAsia" w:ascii="宋体" w:hAnsi="宋体" w:eastAsia="宋体" w:cs="宋体"/>
                      <w:color w:val="auto"/>
                      <w:sz w:val="21"/>
                      <w:szCs w:val="21"/>
                    </w:rPr>
                  </w:pPr>
                </w:p>
              </w:tc>
            </w:tr>
            <w:tr w14:paraId="14BB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3" w:type="dxa"/>
                  <w:vMerge w:val="continue"/>
                  <w:vAlign w:val="center"/>
                </w:tcPr>
                <w:p w14:paraId="73A3C9C7">
                  <w:pPr>
                    <w:rPr>
                      <w:rFonts w:hint="eastAsia" w:ascii="宋体" w:hAnsi="宋体" w:eastAsia="宋体" w:cs="宋体"/>
                      <w:color w:val="auto"/>
                      <w:sz w:val="21"/>
                      <w:szCs w:val="21"/>
                    </w:rPr>
                  </w:pPr>
                </w:p>
              </w:tc>
              <w:tc>
                <w:tcPr>
                  <w:tcW w:w="1102" w:type="dxa"/>
                  <w:vMerge w:val="continue"/>
                  <w:vAlign w:val="center"/>
                </w:tcPr>
                <w:p w14:paraId="16A8E7B3">
                  <w:pPr>
                    <w:rPr>
                      <w:rFonts w:hint="eastAsia" w:ascii="宋体" w:hAnsi="宋体" w:eastAsia="宋体" w:cs="宋体"/>
                      <w:color w:val="auto"/>
                      <w:sz w:val="21"/>
                      <w:szCs w:val="21"/>
                    </w:rPr>
                  </w:pPr>
                </w:p>
              </w:tc>
              <w:tc>
                <w:tcPr>
                  <w:tcW w:w="1102" w:type="dxa"/>
                  <w:vMerge w:val="continue"/>
                  <w:vAlign w:val="center"/>
                </w:tcPr>
                <w:p w14:paraId="3779B0DD">
                  <w:pPr>
                    <w:rPr>
                      <w:rFonts w:hint="eastAsia" w:ascii="宋体" w:hAnsi="宋体" w:eastAsia="宋体" w:cs="宋体"/>
                      <w:color w:val="auto"/>
                      <w:sz w:val="21"/>
                      <w:szCs w:val="21"/>
                    </w:rPr>
                  </w:pPr>
                </w:p>
              </w:tc>
              <w:tc>
                <w:tcPr>
                  <w:tcW w:w="2046" w:type="dxa"/>
                  <w:vMerge w:val="continue"/>
                  <w:vAlign w:val="center"/>
                </w:tcPr>
                <w:p w14:paraId="59AA54A3">
                  <w:pPr>
                    <w:rPr>
                      <w:rFonts w:hint="eastAsia" w:ascii="宋体" w:hAnsi="宋体" w:eastAsia="宋体" w:cs="宋体"/>
                      <w:color w:val="auto"/>
                      <w:sz w:val="21"/>
                      <w:szCs w:val="21"/>
                    </w:rPr>
                  </w:pPr>
                </w:p>
              </w:tc>
              <w:tc>
                <w:tcPr>
                  <w:tcW w:w="944" w:type="dxa"/>
                  <w:tcBorders>
                    <w:top w:val="nil"/>
                  </w:tcBorders>
                  <w:vAlign w:val="center"/>
                </w:tcPr>
                <w:p w14:paraId="6D98C54D">
                  <w:pPr>
                    <w:spacing w:line="400" w:lineRule="exact"/>
                    <w:rPr>
                      <w:rFonts w:hint="eastAsia" w:ascii="宋体" w:hAnsi="宋体" w:eastAsia="宋体" w:cs="宋体"/>
                      <w:color w:val="auto"/>
                      <w:sz w:val="21"/>
                      <w:szCs w:val="21"/>
                    </w:rPr>
                  </w:pPr>
                </w:p>
              </w:tc>
              <w:tc>
                <w:tcPr>
                  <w:tcW w:w="1102" w:type="dxa"/>
                  <w:tcBorders>
                    <w:top w:val="nil"/>
                  </w:tcBorders>
                  <w:vAlign w:val="center"/>
                </w:tcPr>
                <w:p w14:paraId="67A2D6E4">
                  <w:pPr>
                    <w:spacing w:line="400" w:lineRule="exact"/>
                    <w:rPr>
                      <w:rFonts w:hint="eastAsia" w:ascii="宋体" w:hAnsi="宋体" w:eastAsia="宋体" w:cs="宋体"/>
                      <w:color w:val="auto"/>
                      <w:sz w:val="21"/>
                      <w:szCs w:val="21"/>
                    </w:rPr>
                  </w:pPr>
                </w:p>
              </w:tc>
              <w:tc>
                <w:tcPr>
                  <w:tcW w:w="1738" w:type="dxa"/>
                  <w:vMerge w:val="continue"/>
                  <w:vAlign w:val="center"/>
                </w:tcPr>
                <w:p w14:paraId="4A0BFA55">
                  <w:pPr>
                    <w:rPr>
                      <w:rFonts w:hint="eastAsia" w:ascii="宋体" w:hAnsi="宋体" w:eastAsia="宋体" w:cs="宋体"/>
                      <w:color w:val="auto"/>
                      <w:sz w:val="21"/>
                      <w:szCs w:val="21"/>
                    </w:rPr>
                  </w:pPr>
                </w:p>
              </w:tc>
            </w:tr>
          </w:tbl>
          <w:p w14:paraId="75425E4B">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（到达指定地点时间要求：各岗位1—2楼1分钟内，3—5楼为2分钟内，6—8楼为3分钟内，9—12楼为4分钟内）</w:t>
            </w:r>
            <w:r>
              <w:rPr>
                <w:rFonts w:hint="eastAsia" w:ascii="宋体" w:hAnsi="宋体" w:eastAsia="宋体" w:cs="宋体"/>
                <w:b/>
                <w:bCs w:val="0"/>
                <w:color w:val="auto"/>
                <w:sz w:val="21"/>
                <w:szCs w:val="21"/>
                <w:lang w:val="en-US" w:eastAsia="zh-CN"/>
              </w:rPr>
              <w:br w:type="textWrapping"/>
            </w:r>
            <w:r>
              <w:rPr>
                <w:rFonts w:hint="eastAsia" w:ascii="宋体" w:hAnsi="宋体" w:eastAsia="宋体" w:cs="宋体"/>
                <w:b/>
                <w:bCs w:val="0"/>
                <w:color w:val="auto"/>
                <w:sz w:val="21"/>
                <w:szCs w:val="21"/>
                <w:lang w:val="en-US" w:eastAsia="zh-CN"/>
              </w:rPr>
              <w:t>五、服务基本要求</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1.供应商须具备良好的从业信誉和治安保卫经验，有健全的组织机构和保安服务管理制度、岗位责任制度、保安员管理制度。</w:t>
            </w:r>
          </w:p>
          <w:p w14:paraId="4954BF86">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2.保安人员应根据招标人要求足额提供，每日应到人数与招标人要求人数相符，确保保安工作质量。</w:t>
            </w:r>
          </w:p>
          <w:p w14:paraId="2EE0F37D">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供应商应配备相应的防护器材及工作服。应当以每班次最多的值勤人数配备以下防卫器械:防爆头盔(1顶/人)、防护盾牌(1副/人)、防刺背心(1套/人)、防割手套(1副/人)、橡胶警棍(1支/人)、强光电筒(1支/人)、自卫喷雾剂(1支/人)、对讲机(1台/人)、安全钢叉4个及必要的安检仪。</w:t>
            </w:r>
          </w:p>
          <w:p w14:paraId="72DD60C9">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4.采购人有权要求供应商改变不满意的服务状况，确保为现场提供优质、高效的专业服务</w:t>
            </w:r>
            <w:r>
              <w:rPr>
                <w:rFonts w:hint="eastAsia" w:ascii="宋体" w:hAnsi="宋体" w:eastAsia="宋体" w:cs="宋体"/>
                <w:b w:val="0"/>
                <w:bCs/>
                <w:strike/>
                <w:dstrike w:val="0"/>
                <w:color w:val="auto"/>
                <w:sz w:val="21"/>
                <w:szCs w:val="21"/>
                <w:lang w:val="en-US" w:eastAsia="zh-CN"/>
              </w:rPr>
              <w:br w:type="textWrapping"/>
            </w:r>
            <w:r>
              <w:rPr>
                <w:rFonts w:hint="eastAsia" w:ascii="宋体" w:hAnsi="宋体" w:eastAsia="宋体" w:cs="宋体"/>
                <w:b w:val="0"/>
                <w:bCs/>
                <w:strike w:val="0"/>
                <w:dstrike w:val="0"/>
                <w:color w:val="auto"/>
                <w:sz w:val="21"/>
                <w:szCs w:val="21"/>
                <w:lang w:val="en-US" w:eastAsia="zh-CN"/>
              </w:rPr>
              <w:t>六</w:t>
            </w:r>
            <w:r>
              <w:rPr>
                <w:rFonts w:hint="eastAsia" w:ascii="宋体" w:hAnsi="宋体" w:eastAsia="宋体" w:cs="宋体"/>
                <w:b/>
                <w:bCs w:val="0"/>
                <w:color w:val="auto"/>
                <w:sz w:val="21"/>
                <w:szCs w:val="21"/>
                <w:lang w:val="en-US" w:eastAsia="zh-CN"/>
              </w:rPr>
              <w:t>、服务达标及</w:t>
            </w:r>
            <w:r>
              <w:rPr>
                <w:rFonts w:hint="eastAsia" w:ascii="宋体" w:hAnsi="宋体" w:eastAsia="宋体" w:cs="宋体"/>
                <w:b/>
                <w:bCs w:val="0"/>
                <w:color w:val="auto"/>
                <w:sz w:val="21"/>
                <w:szCs w:val="21"/>
                <w:highlight w:val="none"/>
                <w:lang w:val="en-US" w:eastAsia="zh-CN"/>
              </w:rPr>
              <w:t>考核标准</w:t>
            </w:r>
            <w:r>
              <w:rPr>
                <w:rFonts w:hint="eastAsia" w:ascii="宋体" w:hAnsi="宋体" w:eastAsia="宋体" w:cs="宋体"/>
                <w:b/>
                <w:bCs w:val="0"/>
                <w:color w:val="auto"/>
                <w:sz w:val="21"/>
                <w:szCs w:val="21"/>
                <w:lang w:val="en-US" w:eastAsia="zh-CN"/>
              </w:rPr>
              <w:br w:type="textWrapping"/>
            </w:r>
            <w:r>
              <w:rPr>
                <w:rFonts w:hint="eastAsia" w:ascii="宋体" w:hAnsi="宋体" w:eastAsia="宋体" w:cs="宋体"/>
                <w:b w:val="0"/>
                <w:bCs/>
                <w:color w:val="auto"/>
                <w:sz w:val="21"/>
                <w:szCs w:val="21"/>
                <w:lang w:val="en-US" w:eastAsia="zh-CN"/>
              </w:rPr>
              <w:t>1.病人及医护人员对保安服务满意率达到95%以上。</w:t>
            </w:r>
          </w:p>
          <w:p w14:paraId="53A0CA2C">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2.责任事故发生率0。</w:t>
            </w:r>
          </w:p>
          <w:p w14:paraId="1D53F6BB">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3.保安人员的技能及安防知识培训合格率100%。</w:t>
            </w:r>
          </w:p>
          <w:p w14:paraId="21D4D572">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4.医院平面布局及流程熟悉程度100％。</w:t>
            </w:r>
          </w:p>
          <w:p w14:paraId="0CE22A44">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5.安防器材完好率98％以上。</w:t>
            </w:r>
          </w:p>
          <w:p w14:paraId="0987EF4E">
            <w:pPr>
              <w:numPr>
                <w:ilvl w:val="0"/>
                <w:numId w:val="0"/>
              </w:numPr>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shd w:val="clear"/>
                <w:lang w:val="en-US" w:eastAsia="zh-CN"/>
              </w:rPr>
              <w:t>6.处罚按保卫科的采购需求及考核</w:t>
            </w:r>
            <w:r>
              <w:rPr>
                <w:rFonts w:hint="eastAsia" w:ascii="宋体" w:hAnsi="宋体" w:eastAsia="宋体" w:cs="宋体"/>
                <w:b w:val="0"/>
                <w:bCs/>
                <w:strike w:val="0"/>
                <w:dstrike w:val="0"/>
                <w:color w:val="auto"/>
                <w:sz w:val="21"/>
                <w:szCs w:val="21"/>
                <w:highlight w:val="none"/>
                <w:shd w:val="clear"/>
                <w:lang w:val="en-US" w:eastAsia="zh-CN"/>
              </w:rPr>
              <w:t>表</w:t>
            </w:r>
            <w:r>
              <w:rPr>
                <w:rFonts w:hint="eastAsia" w:ascii="宋体" w:hAnsi="宋体" w:eastAsia="宋体" w:cs="宋体"/>
                <w:b w:val="0"/>
                <w:bCs/>
                <w:color w:val="auto"/>
                <w:sz w:val="21"/>
                <w:szCs w:val="21"/>
                <w:highlight w:val="none"/>
                <w:shd w:val="clear"/>
                <w:lang w:val="en-US" w:eastAsia="zh-CN"/>
              </w:rPr>
              <w:t>。</w:t>
            </w:r>
          </w:p>
        </w:tc>
      </w:tr>
      <w:tr w14:paraId="59944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9055" w:type="dxa"/>
            <w:gridSpan w:val="2"/>
            <w:tcBorders>
              <w:top w:val="single" w:color="auto" w:sz="4" w:space="0"/>
              <w:left w:val="single" w:color="auto" w:sz="4" w:space="0"/>
              <w:bottom w:val="single" w:color="auto" w:sz="4" w:space="0"/>
              <w:right w:val="single" w:color="auto" w:sz="4" w:space="0"/>
            </w:tcBorders>
            <w:noWrap w:val="0"/>
            <w:vAlign w:val="center"/>
          </w:tcPr>
          <w:p w14:paraId="385CB57C">
            <w:pPr>
              <w:autoSpaceDE/>
              <w:autoSpaceDN/>
              <w:adjustRightInd w:val="0"/>
              <w:snapToGrid w:val="0"/>
              <w:spacing w:after="120" w:afterLines="50" w:line="32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商务部分</w:t>
            </w:r>
          </w:p>
        </w:tc>
      </w:tr>
      <w:tr w14:paraId="2804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2DF4D41">
            <w:pPr>
              <w:autoSpaceDE/>
              <w:autoSpaceDN/>
              <w:adjustRightInd w:val="0"/>
              <w:snapToGrid w:val="0"/>
              <w:spacing w:after="120" w:afterLines="50"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合同履行期限</w:t>
            </w:r>
          </w:p>
        </w:tc>
        <w:tc>
          <w:tcPr>
            <w:tcW w:w="7434" w:type="dxa"/>
            <w:tcBorders>
              <w:top w:val="single" w:color="auto" w:sz="4" w:space="0"/>
              <w:left w:val="single" w:color="auto" w:sz="4" w:space="0"/>
              <w:bottom w:val="single" w:color="auto" w:sz="4" w:space="0"/>
              <w:right w:val="single" w:color="auto" w:sz="4" w:space="0"/>
            </w:tcBorders>
            <w:noWrap w:val="0"/>
            <w:vAlign w:val="center"/>
          </w:tcPr>
          <w:p w14:paraId="6B104A6F">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壹年。</w:t>
            </w:r>
          </w:p>
        </w:tc>
      </w:tr>
      <w:tr w14:paraId="41111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1CE1C2B9">
            <w:pPr>
              <w:autoSpaceDE/>
              <w:autoSpaceDN/>
              <w:adjustRightInd w:val="0"/>
              <w:snapToGrid w:val="0"/>
              <w:spacing w:after="120" w:afterLines="50" w:line="360" w:lineRule="auto"/>
              <w:jc w:val="center"/>
              <w:rPr>
                <w:rFonts w:hint="eastAsia" w:ascii="宋体" w:hAnsi="宋体" w:eastAsia="宋体" w:cs="宋体"/>
                <w:b w:val="0"/>
                <w:bCs/>
                <w:color w:val="auto"/>
                <w:sz w:val="21"/>
                <w:szCs w:val="21"/>
                <w:lang w:val="en-US" w:eastAsia="zh-CN"/>
              </w:rPr>
            </w:pPr>
            <w:bookmarkStart w:id="57" w:name="OLE_LINK20"/>
            <w:r>
              <w:rPr>
                <w:rFonts w:hint="eastAsia" w:ascii="宋体" w:hAnsi="宋体" w:eastAsia="宋体" w:cs="宋体"/>
                <w:b w:val="0"/>
                <w:bCs/>
                <w:color w:val="auto"/>
                <w:sz w:val="21"/>
                <w:szCs w:val="21"/>
                <w:lang w:val="en-US" w:eastAsia="zh-CN"/>
              </w:rPr>
              <w:t>付款方式</w:t>
            </w:r>
            <w:bookmarkEnd w:id="57"/>
          </w:p>
        </w:tc>
        <w:tc>
          <w:tcPr>
            <w:tcW w:w="7434" w:type="dxa"/>
            <w:tcBorders>
              <w:top w:val="single" w:color="auto" w:sz="4" w:space="0"/>
              <w:left w:val="single" w:color="auto" w:sz="4" w:space="0"/>
              <w:bottom w:val="single" w:color="auto" w:sz="4" w:space="0"/>
              <w:right w:val="single" w:color="auto" w:sz="4" w:space="0"/>
            </w:tcBorders>
            <w:noWrap w:val="0"/>
            <w:vAlign w:val="center"/>
          </w:tcPr>
          <w:p w14:paraId="3AC5EFD4">
            <w:pPr>
              <w:autoSpaceDE/>
              <w:autoSpaceDN/>
              <w:adjustRightInd w:val="0"/>
              <w:snapToGrid w:val="0"/>
              <w:spacing w:after="120" w:afterLines="5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1.服务费按月支付，采购人每月开展服务质量考核，考核结果与服务费用支付挂钩，采购人收到发票60日内，审核确认后将上月的服务费转至供应商合同账户。</w:t>
            </w:r>
          </w:p>
          <w:p w14:paraId="6FE2A22E">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2.每个月考核所扣罚的费用，应从当月的服务费用中扣除。即当月实际服务费＝合同每月应付服务费－扣罚费用</w:t>
            </w:r>
          </w:p>
        </w:tc>
      </w:tr>
      <w:tr w14:paraId="1136F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1"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6CBE88AA">
            <w:pPr>
              <w:autoSpaceDE/>
              <w:autoSpaceDN/>
              <w:adjustRightInd w:val="0"/>
              <w:snapToGrid w:val="0"/>
              <w:spacing w:after="120" w:afterLines="50"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报价要求</w:t>
            </w:r>
          </w:p>
        </w:tc>
        <w:tc>
          <w:tcPr>
            <w:tcW w:w="7434" w:type="dxa"/>
            <w:tcBorders>
              <w:top w:val="single" w:color="auto" w:sz="4" w:space="0"/>
              <w:left w:val="single" w:color="auto" w:sz="4" w:space="0"/>
              <w:bottom w:val="single" w:color="auto" w:sz="4" w:space="0"/>
              <w:right w:val="single" w:color="auto" w:sz="4" w:space="0"/>
            </w:tcBorders>
            <w:noWrap w:val="0"/>
            <w:vAlign w:val="center"/>
          </w:tcPr>
          <w:p w14:paraId="1C35E33E">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本项目报价费用包含</w:t>
            </w:r>
            <w:r>
              <w:rPr>
                <w:rFonts w:hint="eastAsia" w:ascii="宋体" w:hAnsi="宋体" w:eastAsia="宋体" w:cs="宋体"/>
                <w:b w:val="0"/>
                <w:bCs w:val="0"/>
                <w:color w:val="auto"/>
                <w:kern w:val="0"/>
                <w:sz w:val="21"/>
                <w:szCs w:val="21"/>
                <w:highlight w:val="none"/>
                <w:lang w:val="en-US" w:eastAsia="zh-CN"/>
              </w:rPr>
              <w:t>人员的工资、社会保险费用（含养老保险、医疗保险、工伤保险、失业保险、生育保险及人身意外伤害保险）福利费、奖金、安保人员加班费等、服务材料消耗品的补充、更换、维修维护、服装等费用、装备费、高温费、节假日补贴、年终奖等）</w:t>
            </w:r>
            <w:r>
              <w:rPr>
                <w:rFonts w:hint="eastAsia" w:ascii="宋体" w:hAnsi="宋体" w:eastAsia="宋体" w:cs="宋体"/>
                <w:b w:val="0"/>
                <w:bCs/>
                <w:color w:val="auto"/>
                <w:sz w:val="21"/>
                <w:szCs w:val="21"/>
                <w:lang w:val="en-US" w:eastAsia="zh-CN"/>
              </w:rPr>
              <w:t>、办公费用（含通讯费、办公用品、培训费、维修费等）、管理费、利润、税费等完成合同所需的一切本身和不可或缺的所有开支、政策性文件规定的合同包含的所有风险、责任等各项全部用来完成本次项目费用的总和，磋商报价被视为已经包含了但并不限于本项目各项购买服务及相关服务等的费用和所需缴纳的所有价格、税、费。在其它情况下，由于磋商报价未填报或填报不完整、不清楚或存在其它任何失误，所导致的任何不利后果均应当由供应商自行承担</w:t>
            </w:r>
          </w:p>
        </w:tc>
      </w:tr>
      <w:tr w14:paraId="6F8A2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243A2F3">
            <w:pPr>
              <w:autoSpaceDE/>
              <w:autoSpaceDN/>
              <w:adjustRightInd w:val="0"/>
              <w:snapToGrid w:val="0"/>
              <w:spacing w:after="120" w:afterLines="50"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保安人数调整要求</w:t>
            </w:r>
          </w:p>
        </w:tc>
        <w:tc>
          <w:tcPr>
            <w:tcW w:w="7434" w:type="dxa"/>
            <w:tcBorders>
              <w:top w:val="single" w:color="auto" w:sz="4" w:space="0"/>
              <w:left w:val="single" w:color="auto" w:sz="4" w:space="0"/>
              <w:bottom w:val="single" w:color="auto" w:sz="4" w:space="0"/>
              <w:right w:val="single" w:color="auto" w:sz="4" w:space="0"/>
            </w:tcBorders>
            <w:noWrap w:val="0"/>
            <w:vAlign w:val="center"/>
          </w:tcPr>
          <w:p w14:paraId="2A6BD968">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1.合同期内采购人有权根据工作需要增减岗位人员。因岗位人员变动发生的费用增减，按成交单价和增减的时间核定费用并相应增减合同费用。但不得超过合同总额的10%。</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2.服务期内，采购人因特殊情况（如重大节日、重大集会、重要会议、重要接待和外事活动等）需要临时增派安保人员的，供应商应积极配合。保安服务费用按成交单价、到岗人数及在岗时间实际情况进行结算</w:t>
            </w:r>
          </w:p>
        </w:tc>
      </w:tr>
      <w:tr w14:paraId="155F5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7"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2E3BDBBE">
            <w:pPr>
              <w:autoSpaceDE/>
              <w:autoSpaceDN/>
              <w:adjustRightInd w:val="0"/>
              <w:snapToGrid w:val="0"/>
              <w:spacing w:after="120" w:afterLines="50"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服务监</w:t>
            </w:r>
            <w:r>
              <w:rPr>
                <w:rFonts w:hint="eastAsia" w:ascii="宋体" w:hAnsi="宋体" w:eastAsia="宋体" w:cs="宋体"/>
                <w:b w:val="0"/>
                <w:bCs/>
                <w:color w:val="auto"/>
                <w:sz w:val="21"/>
                <w:szCs w:val="21"/>
                <w:highlight w:val="none"/>
                <w:shd w:val="clear"/>
                <w:lang w:val="en-US" w:eastAsia="zh-CN"/>
              </w:rPr>
              <w:t>管及考核</w:t>
            </w:r>
          </w:p>
        </w:tc>
        <w:tc>
          <w:tcPr>
            <w:tcW w:w="7434" w:type="dxa"/>
            <w:tcBorders>
              <w:top w:val="single" w:color="auto" w:sz="4" w:space="0"/>
              <w:left w:val="single" w:color="auto" w:sz="4" w:space="0"/>
              <w:bottom w:val="single" w:color="auto" w:sz="4" w:space="0"/>
              <w:right w:val="single" w:color="auto" w:sz="4" w:space="0"/>
            </w:tcBorders>
            <w:noWrap w:val="0"/>
            <w:vAlign w:val="center"/>
          </w:tcPr>
          <w:p w14:paraId="3D506D24">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1.医院保卫科是保安服务工作监管第一责任部门，供应商管理方案及人员情况需报保卫科备案。</w:t>
            </w:r>
          </w:p>
          <w:p w14:paraId="10A2725C">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2.医院建立考核机制，每月从人员出勤、工作纪律、服务态度、工作成效等方面考核保安服务质量，结果与服务费用支付挂钩。</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3.设立投诉渠道（市12345平台），供应商及时处理患者、家属及职工投诉，并按工单管理规定进行回复，直至投诉方满意为止。对有效投诉按合同处罚供应商并限期整改。</w:t>
            </w:r>
          </w:p>
          <w:p w14:paraId="7726065E">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医院有权对供应商的工作进行考核，对不按照合同约定开展工作，对保安队伍管理不规范、不严格，培训及安全措施不能达到医院要求，除进行其月度考核扣分外，视情况予以警告，对连续三次不达标也不整改者（以文字通知为准）医院有权单方解除合同。</w:t>
            </w:r>
          </w:p>
        </w:tc>
      </w:tr>
      <w:tr w14:paraId="32AFF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25663D26">
            <w:pPr>
              <w:autoSpaceDE/>
              <w:autoSpaceDN/>
              <w:adjustRightInd w:val="0"/>
              <w:snapToGrid w:val="0"/>
              <w:spacing w:after="120" w:afterLines="50" w:line="36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其他</w:t>
            </w:r>
          </w:p>
        </w:tc>
        <w:tc>
          <w:tcPr>
            <w:tcW w:w="7434" w:type="dxa"/>
            <w:tcBorders>
              <w:top w:val="single" w:color="auto" w:sz="4" w:space="0"/>
              <w:left w:val="single" w:color="auto" w:sz="4" w:space="0"/>
              <w:bottom w:val="single" w:color="auto" w:sz="4" w:space="0"/>
              <w:right w:val="single" w:color="auto" w:sz="4" w:space="0"/>
            </w:tcBorders>
            <w:noWrap w:val="0"/>
            <w:vAlign w:val="center"/>
          </w:tcPr>
          <w:p w14:paraId="72959278">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供应商必须按照《中华人民共和国劳动合同法》的规定与员工签订劳动合同并依据国家、广西和北海规定要求以及缴纳各种社会保险规定向员工支付工资和缴纳社保及其他保险。供应商报价中必须应充分考虑岗位配置中人员的工资、福利、加班费、社保及其他应缴保险。供应商请按本项目岗位人员数量要求提供各类人员的工资、社保及其他应缴纳保险等费用的报价明细表。服务实施阶段，供应商应承担政府部门对有关最低工资标准政策及社保缴费标准的调整带来的成本上涨的风险。</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2.供应商必须按照中华人民共和国相关法律法规有关规定的标准为保安人员支付社会保险费用。若供应商不为保安人员支付社会保险费用，所造成的后果全部由供应商承担。</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3.服务期以双方签订的合同为准，成交供应商须服务期日期前10日先行安排相关安保人员进场了解服务流程及要求，并协助院方做好相应安保交接工作，这期间不计服务费。</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4.供应商必须按本项目需求投入足额的人员数量，并对员工进行专业的技能培训，落实安全生产与消防安全工作。</w:t>
            </w:r>
          </w:p>
          <w:p w14:paraId="217B3F6A">
            <w:pPr>
              <w:autoSpaceDE/>
              <w:autoSpaceDN/>
              <w:adjustRightInd w:val="0"/>
              <w:snapToGrid w:val="0"/>
              <w:spacing w:after="120" w:afterLines="50"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5.供应商应对其公司员工的生老病死、工伤意外、劳务纠纷等特殊情况承担全部责任，对上述情况的发生，供应商应给予妥善处理，严禁由于上述原因影响医院正常工作和影响医院形象的情况发生。</w:t>
            </w:r>
          </w:p>
          <w:p w14:paraId="59DF9085">
            <w:pPr>
              <w:autoSpaceDE/>
              <w:autoSpaceDN/>
              <w:adjustRightInd w:val="0"/>
              <w:snapToGrid w:val="0"/>
              <w:spacing w:after="120" w:afterLines="50" w:line="360" w:lineRule="auto"/>
              <w:jc w:val="both"/>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lang w:val="en-US" w:eastAsia="zh-CN"/>
              </w:rPr>
              <w:t>6.承担服务期内门卫室（含照明、空调、风扇等用电）产生的电费。每季度根据总务科提供的电表读数及结算单价，按季度收费，于次季10个工作日内完成费用缴纳</w:t>
            </w:r>
          </w:p>
        </w:tc>
      </w:tr>
    </w:tbl>
    <w:p w14:paraId="03E2CCD1">
      <w:pPr>
        <w:spacing w:before="33"/>
        <w:rPr>
          <w:rFonts w:hint="eastAsia" w:ascii="宋体" w:hAnsi="宋体" w:eastAsia="宋体" w:cs="宋体"/>
          <w:b w:val="0"/>
          <w:bCs/>
          <w:color w:val="auto"/>
          <w:sz w:val="21"/>
          <w:szCs w:val="21"/>
          <w:lang w:val="en-US" w:eastAsia="zh-CN"/>
        </w:rPr>
      </w:pPr>
    </w:p>
    <w:p w14:paraId="5F440C71">
      <w:pPr>
        <w:spacing w:before="33"/>
        <w:rPr>
          <w:rFonts w:hint="eastAsia" w:ascii="宋体" w:hAnsi="宋体" w:eastAsia="宋体" w:cs="宋体"/>
          <w:b w:val="0"/>
          <w:bCs/>
          <w:color w:val="auto"/>
          <w:sz w:val="21"/>
          <w:szCs w:val="21"/>
          <w:lang w:val="en-US" w:eastAsia="zh-CN"/>
        </w:rPr>
      </w:pPr>
    </w:p>
    <w:p w14:paraId="02335573">
      <w:pPr>
        <w:spacing w:before="33"/>
        <w:rPr>
          <w:rFonts w:hint="eastAsia" w:ascii="宋体" w:hAnsi="宋体" w:eastAsia="宋体" w:cs="宋体"/>
          <w:b w:val="0"/>
          <w:bCs/>
          <w:color w:val="auto"/>
          <w:sz w:val="21"/>
          <w:szCs w:val="21"/>
          <w:lang w:val="en-US" w:eastAsia="zh-CN"/>
        </w:rPr>
      </w:pPr>
    </w:p>
    <w:p w14:paraId="51ECB7B7">
      <w:pPr>
        <w:spacing w:before="33"/>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 xml:space="preserve">附 </w:t>
      </w:r>
      <w:r>
        <w:rPr>
          <w:rFonts w:hint="eastAsia" w:ascii="宋体" w:hAnsi="宋体" w:eastAsia="宋体" w:cs="宋体"/>
          <w:b w:val="0"/>
          <w:bCs/>
          <w:color w:val="auto"/>
          <w:sz w:val="21"/>
          <w:szCs w:val="21"/>
        </w:rPr>
        <w:t>：保安执行合同情况考核表</w:t>
      </w:r>
    </w:p>
    <w:tbl>
      <w:tblPr>
        <w:tblStyle w:val="22"/>
        <w:tblpPr w:leftFromText="180" w:rightFromText="180" w:vertAnchor="text" w:horzAnchor="page" w:tblpX="1151" w:tblpY="299"/>
        <w:tblOverlap w:val="never"/>
        <w:tblW w:w="5001"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0"/>
        <w:gridCol w:w="5009"/>
        <w:gridCol w:w="732"/>
        <w:gridCol w:w="732"/>
        <w:gridCol w:w="1098"/>
        <w:gridCol w:w="1619"/>
      </w:tblGrid>
      <w:tr w14:paraId="739411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6" w:hRule="atLeast"/>
        </w:trPr>
        <w:tc>
          <w:tcPr>
            <w:tcW w:w="5000" w:type="pct"/>
            <w:gridSpan w:val="6"/>
            <w:tcBorders>
              <w:tl2br w:val="nil"/>
              <w:tr2bl w:val="nil"/>
            </w:tcBorders>
            <w:noWrap w:val="0"/>
            <w:vAlign w:val="center"/>
          </w:tcPr>
          <w:p w14:paraId="06DEE82E">
            <w:pPr>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 xml:space="preserve">北海市妇幼保健院驻勤保安服务考核表（ </w:t>
            </w:r>
            <w:r>
              <w:rPr>
                <w:rFonts w:hint="eastAsia" w:ascii="宋体" w:hAnsi="宋体" w:cs="宋体"/>
                <w:b/>
                <w:bCs/>
                <w:color w:val="auto"/>
                <w:sz w:val="21"/>
                <w:szCs w:val="21"/>
                <w:lang w:val="en-US" w:eastAsia="zh-CN"/>
              </w:rPr>
              <w:t xml:space="preserve">    年   </w:t>
            </w:r>
            <w:r>
              <w:rPr>
                <w:rFonts w:hint="eastAsia" w:ascii="宋体" w:hAnsi="宋体" w:cs="宋体"/>
                <w:b/>
                <w:bCs/>
                <w:color w:val="auto"/>
                <w:sz w:val="21"/>
                <w:szCs w:val="21"/>
                <w:lang w:eastAsia="zh-CN"/>
              </w:rPr>
              <w:t xml:space="preserve"> 月）</w:t>
            </w:r>
          </w:p>
        </w:tc>
      </w:tr>
      <w:tr w14:paraId="386A58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6" w:hRule="atLeast"/>
        </w:trPr>
        <w:tc>
          <w:tcPr>
            <w:tcW w:w="340" w:type="pct"/>
            <w:tcBorders>
              <w:tl2br w:val="nil"/>
              <w:tr2bl w:val="nil"/>
            </w:tcBorders>
            <w:noWrap w:val="0"/>
            <w:vAlign w:val="center"/>
          </w:tcPr>
          <w:p w14:paraId="773E37A8">
            <w:pPr>
              <w:tabs>
                <w:tab w:val="left" w:pos="428"/>
              </w:tabs>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2539" w:type="pct"/>
            <w:tcBorders>
              <w:tl2br w:val="nil"/>
              <w:tr2bl w:val="nil"/>
            </w:tcBorders>
            <w:noWrap w:val="0"/>
            <w:vAlign w:val="center"/>
          </w:tcPr>
          <w:p w14:paraId="02583672">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考核</w:t>
            </w:r>
            <w:r>
              <w:rPr>
                <w:rFonts w:hint="eastAsia" w:ascii="宋体" w:hAnsi="宋体" w:eastAsia="宋体" w:cs="宋体"/>
                <w:b/>
                <w:bCs/>
                <w:sz w:val="21"/>
                <w:szCs w:val="21"/>
              </w:rPr>
              <w:t>标准</w:t>
            </w:r>
          </w:p>
        </w:tc>
        <w:tc>
          <w:tcPr>
            <w:tcW w:w="371" w:type="pct"/>
            <w:tcBorders>
              <w:tl2br w:val="nil"/>
              <w:tr2bl w:val="nil"/>
            </w:tcBorders>
            <w:noWrap w:val="0"/>
            <w:vAlign w:val="center"/>
          </w:tcPr>
          <w:p w14:paraId="62A3CFB4">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分值</w:t>
            </w:r>
          </w:p>
        </w:tc>
        <w:tc>
          <w:tcPr>
            <w:tcW w:w="371" w:type="pct"/>
            <w:tcBorders>
              <w:tl2br w:val="nil"/>
              <w:tr2bl w:val="nil"/>
            </w:tcBorders>
            <w:noWrap w:val="0"/>
            <w:vAlign w:val="center"/>
          </w:tcPr>
          <w:p w14:paraId="09F6B164">
            <w:pPr>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得分</w:t>
            </w:r>
          </w:p>
        </w:tc>
        <w:tc>
          <w:tcPr>
            <w:tcW w:w="557" w:type="pct"/>
            <w:tcBorders>
              <w:tl2br w:val="nil"/>
              <w:tr2bl w:val="nil"/>
            </w:tcBorders>
            <w:noWrap w:val="0"/>
            <w:vAlign w:val="center"/>
          </w:tcPr>
          <w:p w14:paraId="212ED454">
            <w:pPr>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扣款情况</w:t>
            </w:r>
          </w:p>
        </w:tc>
        <w:tc>
          <w:tcPr>
            <w:tcW w:w="819" w:type="pct"/>
            <w:tcBorders>
              <w:tl2br w:val="nil"/>
              <w:tr2bl w:val="nil"/>
            </w:tcBorders>
            <w:noWrap w:val="0"/>
            <w:vAlign w:val="center"/>
          </w:tcPr>
          <w:p w14:paraId="1CF4FCE7">
            <w:pPr>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扣分扣款原因</w:t>
            </w:r>
          </w:p>
        </w:tc>
      </w:tr>
      <w:tr w14:paraId="3D9E38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2E731A6D">
            <w:pPr>
              <w:jc w:val="center"/>
              <w:rPr>
                <w:rFonts w:hint="eastAsia" w:ascii="宋体" w:hAnsi="宋体" w:eastAsia="宋体" w:cs="宋体"/>
                <w:b/>
                <w:bCs/>
                <w:spacing w:val="11"/>
                <w:sz w:val="21"/>
                <w:szCs w:val="21"/>
                <w:lang w:val="en-US" w:eastAsia="zh-CN"/>
              </w:rPr>
            </w:pPr>
            <w:r>
              <w:rPr>
                <w:rFonts w:hint="eastAsia" w:ascii="宋体" w:hAnsi="宋体" w:eastAsia="宋体" w:cs="宋体"/>
                <w:b/>
                <w:bCs/>
                <w:spacing w:val="11"/>
                <w:sz w:val="21"/>
                <w:szCs w:val="21"/>
                <w:lang w:val="en-US" w:eastAsia="zh-CN"/>
              </w:rPr>
              <w:t>1</w:t>
            </w:r>
          </w:p>
        </w:tc>
        <w:tc>
          <w:tcPr>
            <w:tcW w:w="2539" w:type="pct"/>
            <w:tcBorders>
              <w:tl2br w:val="nil"/>
              <w:tr2bl w:val="nil"/>
            </w:tcBorders>
            <w:noWrap w:val="0"/>
            <w:vAlign w:val="center"/>
          </w:tcPr>
          <w:p w14:paraId="79E36D00">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对值班保安要严加管理，发生空岗、缺岗、脱岗、睡岗、上岗前喝酒（以人为记录和电子记录为准）等行为的，每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0.5分并扣款50至100</w:t>
            </w:r>
            <w:r>
              <w:rPr>
                <w:rFonts w:hint="eastAsia" w:ascii="宋体" w:hAnsi="宋体" w:eastAsia="宋体" w:cs="宋体"/>
                <w:b/>
                <w:bCs/>
                <w:color w:val="000000"/>
                <w:sz w:val="21"/>
                <w:szCs w:val="21"/>
              </w:rPr>
              <w:t>元，严重行为即时更换并处理。</w:t>
            </w:r>
          </w:p>
        </w:tc>
        <w:tc>
          <w:tcPr>
            <w:tcW w:w="371" w:type="pct"/>
            <w:tcBorders>
              <w:tl2br w:val="nil"/>
              <w:tr2bl w:val="nil"/>
            </w:tcBorders>
            <w:noWrap w:val="0"/>
            <w:vAlign w:val="center"/>
          </w:tcPr>
          <w:p w14:paraId="49BA293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11E1E4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61EDAB0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90EFD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58322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57F05485">
            <w:pPr>
              <w:jc w:val="center"/>
              <w:rPr>
                <w:rFonts w:hint="eastAsia" w:ascii="宋体" w:hAnsi="宋体" w:eastAsia="宋体" w:cs="宋体"/>
                <w:b/>
                <w:bCs/>
                <w:spacing w:val="11"/>
                <w:sz w:val="21"/>
                <w:szCs w:val="21"/>
                <w:lang w:val="en-US" w:eastAsia="zh-CN"/>
              </w:rPr>
            </w:pPr>
            <w:r>
              <w:rPr>
                <w:rFonts w:hint="eastAsia" w:ascii="宋体" w:hAnsi="宋体" w:eastAsia="宋体" w:cs="宋体"/>
                <w:b/>
                <w:bCs/>
                <w:spacing w:val="11"/>
                <w:sz w:val="21"/>
                <w:szCs w:val="21"/>
                <w:lang w:val="en-US" w:eastAsia="zh-CN"/>
              </w:rPr>
              <w:t>2</w:t>
            </w:r>
          </w:p>
        </w:tc>
        <w:tc>
          <w:tcPr>
            <w:tcW w:w="2539" w:type="pct"/>
            <w:tcBorders>
              <w:tl2br w:val="nil"/>
              <w:tr2bl w:val="nil"/>
            </w:tcBorders>
            <w:noWrap w:val="0"/>
            <w:vAlign w:val="center"/>
          </w:tcPr>
          <w:p w14:paraId="416E96E3">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发生不法分子对医院的干扰，特别是医托、医闹、暴恐和盗窃事件不及时妥善处理（阻止、制止、控制）的，每次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1分并对</w:t>
            </w:r>
            <w:r>
              <w:rPr>
                <w:rFonts w:hint="eastAsia" w:ascii="宋体" w:hAnsi="宋体" w:eastAsia="宋体" w:cs="宋体"/>
                <w:b/>
                <w:bCs/>
                <w:color w:val="000000"/>
                <w:sz w:val="21"/>
                <w:szCs w:val="21"/>
              </w:rPr>
              <w:t>供应商</w:t>
            </w:r>
            <w:r>
              <w:rPr>
                <w:rFonts w:hint="eastAsia" w:ascii="宋体" w:hAnsi="宋体" w:cs="宋体"/>
                <w:b/>
                <w:bCs/>
                <w:color w:val="000000"/>
                <w:sz w:val="21"/>
                <w:szCs w:val="21"/>
                <w:lang w:eastAsia="zh-CN"/>
              </w:rPr>
              <w:t>扣款</w:t>
            </w:r>
            <w:r>
              <w:rPr>
                <w:rFonts w:hint="eastAsia" w:ascii="宋体" w:hAnsi="宋体" w:eastAsia="宋体" w:cs="宋体"/>
                <w:b/>
                <w:bCs/>
                <w:color w:val="000000"/>
                <w:sz w:val="21"/>
                <w:szCs w:val="21"/>
              </w:rPr>
              <w:t>1000—3000元。</w:t>
            </w:r>
          </w:p>
        </w:tc>
        <w:tc>
          <w:tcPr>
            <w:tcW w:w="371" w:type="pct"/>
            <w:tcBorders>
              <w:tl2br w:val="nil"/>
              <w:tr2bl w:val="nil"/>
            </w:tcBorders>
            <w:noWrap w:val="0"/>
            <w:vAlign w:val="center"/>
          </w:tcPr>
          <w:p w14:paraId="4AD3D26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37CD6EA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F4062F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01F03F4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51DBEDE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2" w:hRule="atLeast"/>
        </w:trPr>
        <w:tc>
          <w:tcPr>
            <w:tcW w:w="340" w:type="pct"/>
            <w:tcBorders>
              <w:tl2br w:val="nil"/>
              <w:tr2bl w:val="nil"/>
            </w:tcBorders>
            <w:noWrap w:val="0"/>
            <w:vAlign w:val="center"/>
          </w:tcPr>
          <w:p w14:paraId="62F4756A">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3</w:t>
            </w:r>
          </w:p>
        </w:tc>
        <w:tc>
          <w:tcPr>
            <w:tcW w:w="2539" w:type="pct"/>
            <w:tcBorders>
              <w:tl2br w:val="nil"/>
              <w:tr2bl w:val="nil"/>
            </w:tcBorders>
            <w:noWrap w:val="0"/>
            <w:vAlign w:val="center"/>
          </w:tcPr>
          <w:p w14:paraId="02B0A4B7">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000000"/>
                <w:sz w:val="21"/>
                <w:szCs w:val="21"/>
                <w:lang w:val="en-US"/>
              </w:rPr>
            </w:pPr>
            <w:r>
              <w:rPr>
                <w:rFonts w:hint="eastAsia" w:ascii="宋体" w:hAnsi="宋体" w:eastAsia="宋体" w:cs="宋体"/>
                <w:b/>
                <w:bCs w:val="0"/>
                <w:color w:val="000000"/>
                <w:sz w:val="21"/>
                <w:szCs w:val="21"/>
                <w:lang w:val="en-US" w:eastAsia="zh-CN"/>
              </w:rPr>
              <w:t>当班人员因责任心不强，巡查不到位导致公共设施被盗、被破坏的，供应商及当班保安人员应共同承担相应的法律及经济损失赔偿责任，责任的界定由甲、乙双方确定或由公安司法部门裁定。发生一起扣1分。</w:t>
            </w:r>
          </w:p>
        </w:tc>
        <w:tc>
          <w:tcPr>
            <w:tcW w:w="371" w:type="pct"/>
            <w:tcBorders>
              <w:tl2br w:val="nil"/>
              <w:tr2bl w:val="nil"/>
            </w:tcBorders>
            <w:noWrap w:val="0"/>
            <w:vAlign w:val="center"/>
          </w:tcPr>
          <w:p w14:paraId="3DD2ED8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472571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1E84849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70CB70B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99B24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74492E76">
            <w:pPr>
              <w:jc w:val="center"/>
              <w:rPr>
                <w:rFonts w:hint="default" w:ascii="宋体" w:hAnsi="宋体" w:eastAsia="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4</w:t>
            </w:r>
          </w:p>
        </w:tc>
        <w:tc>
          <w:tcPr>
            <w:tcW w:w="2539" w:type="pct"/>
            <w:tcBorders>
              <w:tl2br w:val="nil"/>
              <w:tr2bl w:val="nil"/>
            </w:tcBorders>
            <w:noWrap w:val="0"/>
            <w:vAlign w:val="center"/>
          </w:tcPr>
          <w:p w14:paraId="5211505A">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值班人员须着保安制服上班，不穿保安制服上班每人/次扣</w:t>
            </w:r>
            <w:r>
              <w:rPr>
                <w:rFonts w:hint="eastAsia" w:ascii="宋体" w:hAnsi="宋体" w:cs="宋体"/>
                <w:b/>
                <w:bCs/>
                <w:color w:val="auto"/>
                <w:sz w:val="21"/>
                <w:szCs w:val="21"/>
                <w:lang w:val="en-US" w:eastAsia="zh-CN"/>
              </w:rPr>
              <w:t>0.5分并扣款50至100</w:t>
            </w:r>
            <w:r>
              <w:rPr>
                <w:rFonts w:hint="eastAsia" w:ascii="宋体" w:hAnsi="宋体" w:eastAsia="宋体" w:cs="宋体"/>
                <w:b/>
                <w:bCs/>
                <w:color w:val="auto"/>
                <w:sz w:val="21"/>
                <w:szCs w:val="21"/>
              </w:rPr>
              <w:t>元。</w:t>
            </w:r>
          </w:p>
        </w:tc>
        <w:tc>
          <w:tcPr>
            <w:tcW w:w="371" w:type="pct"/>
            <w:tcBorders>
              <w:tl2br w:val="nil"/>
              <w:tr2bl w:val="nil"/>
            </w:tcBorders>
            <w:noWrap w:val="0"/>
            <w:vAlign w:val="center"/>
          </w:tcPr>
          <w:p w14:paraId="2A0D751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2.5</w:t>
            </w:r>
          </w:p>
        </w:tc>
        <w:tc>
          <w:tcPr>
            <w:tcW w:w="371" w:type="pct"/>
            <w:tcBorders>
              <w:tl2br w:val="nil"/>
              <w:tr2bl w:val="nil"/>
            </w:tcBorders>
            <w:noWrap w:val="0"/>
            <w:vAlign w:val="center"/>
          </w:tcPr>
          <w:p w14:paraId="4B2CF0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7B00624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819" w:type="pct"/>
            <w:tcBorders>
              <w:tl2br w:val="nil"/>
              <w:tr2bl w:val="nil"/>
            </w:tcBorders>
            <w:noWrap w:val="0"/>
            <w:vAlign w:val="center"/>
          </w:tcPr>
          <w:p w14:paraId="4C8956E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FF"/>
                <w:sz w:val="21"/>
                <w:szCs w:val="21"/>
              </w:rPr>
            </w:pPr>
          </w:p>
        </w:tc>
      </w:tr>
      <w:tr w14:paraId="3DBAD5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4" w:hRule="atLeast"/>
        </w:trPr>
        <w:tc>
          <w:tcPr>
            <w:tcW w:w="340" w:type="pct"/>
            <w:tcBorders>
              <w:tl2br w:val="nil"/>
              <w:tr2bl w:val="nil"/>
            </w:tcBorders>
            <w:noWrap w:val="0"/>
            <w:vAlign w:val="center"/>
          </w:tcPr>
          <w:p w14:paraId="314A5B6F">
            <w:pPr>
              <w:jc w:val="center"/>
              <w:rPr>
                <w:rFonts w:hint="default" w:ascii="宋体" w:hAnsi="宋体" w:eastAsia="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5</w:t>
            </w:r>
          </w:p>
        </w:tc>
        <w:tc>
          <w:tcPr>
            <w:tcW w:w="2539" w:type="pct"/>
            <w:tcBorders>
              <w:tl2br w:val="nil"/>
              <w:tr2bl w:val="nil"/>
            </w:tcBorders>
            <w:noWrap w:val="0"/>
            <w:vAlign w:val="center"/>
          </w:tcPr>
          <w:p w14:paraId="40F400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shd w:val="clear" w:color="auto" w:fill="auto"/>
              </w:rPr>
              <w:t>在医院范围内开展（24小时）昼夜值班巡逻、守护，不迟到，不早退。保安提前10分钟到达交接地点，并认真做好交接班工作，检查所配装备是否完好有效，并填报《安保值班交接记录表》。</w:t>
            </w:r>
            <w:r>
              <w:rPr>
                <w:rFonts w:hint="eastAsia" w:ascii="宋体" w:hAnsi="宋体" w:eastAsia="宋体" w:cs="宋体"/>
                <w:b/>
                <w:bCs/>
                <w:color w:val="auto"/>
                <w:sz w:val="21"/>
                <w:szCs w:val="21"/>
              </w:rPr>
              <w:t>不开展交接班工作的，每人/次</w:t>
            </w:r>
            <w:r>
              <w:rPr>
                <w:rFonts w:hint="eastAsia" w:ascii="宋体" w:hAnsi="宋体" w:cs="宋体"/>
                <w:b/>
                <w:bCs/>
                <w:color w:val="auto"/>
                <w:sz w:val="21"/>
                <w:szCs w:val="21"/>
                <w:lang w:eastAsia="zh-CN"/>
              </w:rPr>
              <w:t>扣</w:t>
            </w:r>
            <w:r>
              <w:rPr>
                <w:rFonts w:hint="eastAsia" w:ascii="宋体" w:hAnsi="宋体" w:cs="宋体"/>
                <w:b/>
                <w:bCs/>
                <w:color w:val="auto"/>
                <w:sz w:val="21"/>
                <w:szCs w:val="21"/>
                <w:lang w:val="en-US" w:eastAsia="zh-CN"/>
              </w:rPr>
              <w:t>0.5分并</w:t>
            </w:r>
            <w:r>
              <w:rPr>
                <w:rFonts w:hint="eastAsia" w:ascii="宋体" w:hAnsi="宋体" w:eastAsia="宋体" w:cs="宋体"/>
                <w:b/>
                <w:bCs/>
                <w:color w:val="auto"/>
                <w:sz w:val="21"/>
                <w:szCs w:val="21"/>
                <w:lang w:eastAsia="zh-CN"/>
              </w:rPr>
              <w:t>扣</w:t>
            </w:r>
            <w:r>
              <w:rPr>
                <w:rFonts w:hint="eastAsia" w:ascii="宋体" w:hAnsi="宋体" w:cs="宋体"/>
                <w:b/>
                <w:bCs/>
                <w:color w:val="auto"/>
                <w:sz w:val="21"/>
                <w:szCs w:val="21"/>
                <w:lang w:eastAsia="zh-CN"/>
              </w:rPr>
              <w:t>款</w:t>
            </w:r>
            <w:r>
              <w:rPr>
                <w:rFonts w:hint="eastAsia" w:ascii="宋体" w:hAnsi="宋体" w:eastAsia="宋体" w:cs="宋体"/>
                <w:b/>
                <w:bCs/>
                <w:color w:val="auto"/>
                <w:sz w:val="21"/>
                <w:szCs w:val="21"/>
              </w:rPr>
              <w:t>50元。因交接班工作盘点财物不到位造成损失的由交接班双方共同承担。</w:t>
            </w:r>
          </w:p>
        </w:tc>
        <w:tc>
          <w:tcPr>
            <w:tcW w:w="371" w:type="pct"/>
            <w:tcBorders>
              <w:tl2br w:val="nil"/>
              <w:tr2bl w:val="nil"/>
            </w:tcBorders>
            <w:noWrap w:val="0"/>
            <w:vAlign w:val="center"/>
          </w:tcPr>
          <w:p w14:paraId="7785B30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371" w:type="pct"/>
            <w:tcBorders>
              <w:tl2br w:val="nil"/>
              <w:tr2bl w:val="nil"/>
            </w:tcBorders>
            <w:noWrap w:val="0"/>
            <w:vAlign w:val="center"/>
          </w:tcPr>
          <w:p w14:paraId="4AC9899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6F9B953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819" w:type="pct"/>
            <w:tcBorders>
              <w:tl2br w:val="nil"/>
              <w:tr2bl w:val="nil"/>
            </w:tcBorders>
            <w:noWrap w:val="0"/>
            <w:vAlign w:val="center"/>
          </w:tcPr>
          <w:p w14:paraId="59EED9C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119959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67414FA0">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6</w:t>
            </w:r>
          </w:p>
        </w:tc>
        <w:tc>
          <w:tcPr>
            <w:tcW w:w="2539" w:type="pct"/>
            <w:tcBorders>
              <w:tl2br w:val="nil"/>
              <w:tr2bl w:val="nil"/>
            </w:tcBorders>
            <w:noWrap w:val="0"/>
            <w:vAlign w:val="center"/>
          </w:tcPr>
          <w:p w14:paraId="259A646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shd w:val="clear" w:color="auto" w:fill="auto"/>
              </w:rPr>
              <w:t>上班迟到早退达到10分钟的每人/次扣20元</w:t>
            </w:r>
            <w:r>
              <w:rPr>
                <w:rFonts w:hint="eastAsia" w:ascii="宋体" w:hAnsi="宋体" w:cs="宋体"/>
                <w:b/>
                <w:bCs/>
                <w:color w:val="000000"/>
                <w:sz w:val="21"/>
                <w:szCs w:val="21"/>
                <w:shd w:val="clear" w:color="auto" w:fill="auto"/>
                <w:lang w:eastAsia="zh-CN"/>
              </w:rPr>
              <w:t>；</w:t>
            </w:r>
            <w:r>
              <w:rPr>
                <w:rFonts w:hint="eastAsia" w:ascii="宋体" w:hAnsi="宋体" w:eastAsia="宋体" w:cs="宋体"/>
                <w:b/>
                <w:bCs/>
                <w:color w:val="000000"/>
                <w:sz w:val="21"/>
                <w:szCs w:val="21"/>
                <w:shd w:val="clear" w:color="auto" w:fill="auto"/>
              </w:rPr>
              <w:t>迟到早退超过30分钟的算旷工</w:t>
            </w:r>
            <w:r>
              <w:rPr>
                <w:rFonts w:hint="eastAsia" w:ascii="宋体" w:hAnsi="宋体" w:eastAsia="宋体" w:cs="宋体"/>
                <w:b/>
                <w:bCs/>
                <w:color w:val="000000"/>
                <w:sz w:val="21"/>
                <w:szCs w:val="21"/>
                <w:shd w:val="clear" w:color="auto" w:fill="auto"/>
                <w:lang w:eastAsia="zh-CN"/>
              </w:rPr>
              <w:t>，扣除一天工资</w:t>
            </w:r>
            <w:r>
              <w:rPr>
                <w:rFonts w:hint="eastAsia" w:ascii="宋体" w:hAnsi="宋体" w:cs="宋体"/>
                <w:b/>
                <w:bCs/>
                <w:color w:val="000000"/>
                <w:sz w:val="21"/>
                <w:szCs w:val="21"/>
                <w:shd w:val="clear" w:color="auto" w:fill="auto"/>
                <w:lang w:eastAsia="zh-CN"/>
              </w:rPr>
              <w:t>，</w:t>
            </w:r>
            <w:r>
              <w:rPr>
                <w:rFonts w:hint="eastAsia" w:ascii="宋体" w:hAnsi="宋体" w:cs="宋体"/>
                <w:b/>
                <w:bCs/>
                <w:color w:val="auto"/>
                <w:sz w:val="21"/>
                <w:szCs w:val="21"/>
                <w:shd w:val="clear" w:color="auto" w:fill="auto"/>
                <w:lang w:val="en-US" w:eastAsia="zh-CN"/>
              </w:rPr>
              <w:t>每人次扣0.5分。除因台风、暴雨等恶劣天气外。</w:t>
            </w:r>
          </w:p>
        </w:tc>
        <w:tc>
          <w:tcPr>
            <w:tcW w:w="371" w:type="pct"/>
            <w:tcBorders>
              <w:tl2br w:val="nil"/>
              <w:tr2bl w:val="nil"/>
            </w:tcBorders>
            <w:noWrap w:val="0"/>
            <w:vAlign w:val="center"/>
          </w:tcPr>
          <w:p w14:paraId="75ADCAA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C05838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32D614F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A7BA9B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5F0163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5FCD9CA9">
            <w:pPr>
              <w:jc w:val="center"/>
              <w:rPr>
                <w:rFonts w:hint="default" w:ascii="宋体" w:hAnsi="宋体" w:cs="宋体"/>
                <w:b/>
                <w:bCs/>
                <w:spacing w:val="11"/>
                <w:sz w:val="21"/>
                <w:szCs w:val="21"/>
                <w:lang w:val="en-US" w:eastAsia="zh-CN"/>
              </w:rPr>
            </w:pPr>
            <w:r>
              <w:rPr>
                <w:rFonts w:hint="eastAsia" w:ascii="宋体" w:hAnsi="宋体" w:cs="宋体"/>
                <w:b/>
                <w:bCs/>
                <w:spacing w:val="11"/>
                <w:sz w:val="21"/>
                <w:szCs w:val="21"/>
                <w:lang w:val="en-US" w:eastAsia="zh-CN"/>
              </w:rPr>
              <w:t>7</w:t>
            </w:r>
          </w:p>
        </w:tc>
        <w:tc>
          <w:tcPr>
            <w:tcW w:w="2539" w:type="pct"/>
            <w:tcBorders>
              <w:tl2br w:val="nil"/>
              <w:tr2bl w:val="nil"/>
            </w:tcBorders>
            <w:noWrap w:val="0"/>
            <w:vAlign w:val="center"/>
          </w:tcPr>
          <w:p w14:paraId="6D1F358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sz w:val="21"/>
                <w:szCs w:val="21"/>
                <w:shd w:val="clear" w:color="auto" w:fill="auto"/>
              </w:rPr>
            </w:pPr>
            <w:r>
              <w:rPr>
                <w:rFonts w:hint="eastAsia" w:ascii="宋体" w:hAnsi="宋体" w:eastAsia="宋体" w:cs="宋体"/>
                <w:b/>
                <w:bCs/>
                <w:spacing w:val="11"/>
                <w:sz w:val="21"/>
                <w:szCs w:val="21"/>
              </w:rPr>
              <w:t>检查中发现有保安人员窜岗聊天或在岗位上看报纸（杂志或书等）、玩手机、睡岗或做与值班期间无关的事，</w:t>
            </w:r>
            <w:r>
              <w:rPr>
                <w:rFonts w:hint="eastAsia" w:ascii="宋体" w:hAnsi="宋体" w:eastAsia="宋体" w:cs="宋体"/>
                <w:b/>
                <w:bCs/>
                <w:color w:val="000000"/>
                <w:sz w:val="21"/>
                <w:szCs w:val="21"/>
              </w:rPr>
              <w:t>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w:t>
            </w:r>
            <w:r>
              <w:rPr>
                <w:rFonts w:hint="eastAsia" w:ascii="宋体" w:hAnsi="宋体" w:eastAsia="宋体" w:cs="宋体"/>
                <w:b/>
                <w:bCs/>
                <w:spacing w:val="11"/>
                <w:sz w:val="21"/>
                <w:szCs w:val="21"/>
              </w:rPr>
              <w:t>扣</w:t>
            </w:r>
            <w:r>
              <w:rPr>
                <w:rFonts w:hint="eastAsia" w:ascii="宋体" w:hAnsi="宋体" w:cs="宋体"/>
                <w:b/>
                <w:bCs/>
                <w:spacing w:val="11"/>
                <w:sz w:val="21"/>
                <w:szCs w:val="21"/>
                <w:lang w:eastAsia="zh-CN"/>
              </w:rPr>
              <w:t>款</w:t>
            </w:r>
            <w:r>
              <w:rPr>
                <w:rFonts w:hint="eastAsia" w:ascii="宋体" w:hAnsi="宋体" w:eastAsia="宋体" w:cs="宋体"/>
                <w:b/>
                <w:bCs/>
                <w:spacing w:val="11"/>
                <w:sz w:val="21"/>
                <w:szCs w:val="21"/>
                <w:lang w:val="en-US" w:eastAsia="zh-CN"/>
              </w:rPr>
              <w:t>5</w:t>
            </w:r>
            <w:r>
              <w:rPr>
                <w:rFonts w:hint="eastAsia" w:ascii="宋体" w:hAnsi="宋体" w:eastAsia="宋体" w:cs="宋体"/>
                <w:b/>
                <w:bCs/>
                <w:spacing w:val="11"/>
                <w:sz w:val="21"/>
                <w:szCs w:val="21"/>
              </w:rPr>
              <w:t>0元/次。</w:t>
            </w:r>
          </w:p>
        </w:tc>
        <w:tc>
          <w:tcPr>
            <w:tcW w:w="371" w:type="pct"/>
            <w:tcBorders>
              <w:tl2br w:val="nil"/>
              <w:tr2bl w:val="nil"/>
            </w:tcBorders>
            <w:noWrap w:val="0"/>
            <w:vAlign w:val="center"/>
          </w:tcPr>
          <w:p w14:paraId="6D3ED54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633799C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685BA65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AD8C69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2DF4B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54B5C1A2">
            <w:pPr>
              <w:jc w:val="center"/>
              <w:rPr>
                <w:rFonts w:hint="default" w:ascii="宋体" w:hAnsi="宋体" w:cs="宋体"/>
                <w:b/>
                <w:bCs/>
                <w:spacing w:val="11"/>
                <w:sz w:val="21"/>
                <w:szCs w:val="21"/>
                <w:lang w:val="en-US" w:eastAsia="zh-CN"/>
              </w:rPr>
            </w:pPr>
            <w:r>
              <w:rPr>
                <w:rFonts w:hint="eastAsia" w:ascii="宋体" w:hAnsi="宋体" w:cs="宋体"/>
                <w:b/>
                <w:bCs/>
                <w:spacing w:val="11"/>
                <w:sz w:val="21"/>
                <w:szCs w:val="21"/>
                <w:lang w:val="en-US" w:eastAsia="zh-CN"/>
              </w:rPr>
              <w:t>8</w:t>
            </w:r>
          </w:p>
        </w:tc>
        <w:tc>
          <w:tcPr>
            <w:tcW w:w="2539" w:type="pct"/>
            <w:tcBorders>
              <w:tl2br w:val="nil"/>
              <w:tr2bl w:val="nil"/>
            </w:tcBorders>
            <w:noWrap w:val="0"/>
            <w:vAlign w:val="center"/>
          </w:tcPr>
          <w:p w14:paraId="72A6170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pacing w:val="11"/>
                <w:sz w:val="21"/>
                <w:szCs w:val="21"/>
              </w:rPr>
            </w:pPr>
            <w:r>
              <w:rPr>
                <w:rFonts w:hint="eastAsia" w:ascii="宋体" w:hAnsi="宋体" w:eastAsia="宋体" w:cs="宋体"/>
                <w:b/>
                <w:bCs/>
                <w:color w:val="000000"/>
                <w:sz w:val="21"/>
                <w:szCs w:val="21"/>
              </w:rPr>
              <w:t>保安人员必须</w:t>
            </w:r>
            <w:r>
              <w:rPr>
                <w:rFonts w:hint="eastAsia" w:ascii="宋体" w:hAnsi="宋体" w:cs="宋体"/>
                <w:b/>
                <w:bCs/>
                <w:color w:val="000000"/>
                <w:sz w:val="21"/>
                <w:szCs w:val="21"/>
                <w:lang w:eastAsia="zh-CN"/>
              </w:rPr>
              <w:t>持证上岗</w:t>
            </w:r>
            <w:r>
              <w:rPr>
                <w:rFonts w:hint="eastAsia" w:ascii="宋体" w:hAnsi="宋体" w:eastAsia="宋体" w:cs="宋体"/>
                <w:b/>
                <w:bCs/>
                <w:color w:val="000000"/>
                <w:sz w:val="21"/>
                <w:szCs w:val="21"/>
                <w:lang w:eastAsia="zh-CN"/>
              </w:rPr>
              <w:t>，无证上岗发现一人</w:t>
            </w:r>
            <w:r>
              <w:rPr>
                <w:rFonts w:hint="eastAsia" w:ascii="宋体" w:hAnsi="宋体" w:cs="宋体"/>
                <w:b/>
                <w:bCs/>
                <w:color w:val="000000"/>
                <w:sz w:val="21"/>
                <w:szCs w:val="21"/>
                <w:lang w:eastAsia="zh-CN"/>
              </w:rPr>
              <w:t>次扣</w:t>
            </w:r>
            <w:r>
              <w:rPr>
                <w:rFonts w:hint="eastAsia" w:ascii="宋体" w:hAnsi="宋体" w:cs="宋体"/>
                <w:b/>
                <w:bCs/>
                <w:color w:val="000000"/>
                <w:sz w:val="21"/>
                <w:szCs w:val="21"/>
                <w:lang w:val="en-US" w:eastAsia="zh-CN"/>
              </w:rPr>
              <w:t>0.5分并</w:t>
            </w:r>
            <w:r>
              <w:rPr>
                <w:rFonts w:hint="eastAsia" w:ascii="宋体" w:hAnsi="宋体" w:eastAsia="宋体" w:cs="宋体"/>
                <w:b/>
                <w:bCs/>
                <w:color w:val="000000"/>
                <w:sz w:val="21"/>
                <w:szCs w:val="21"/>
                <w:lang w:eastAsia="zh-CN"/>
              </w:rPr>
              <w:t>扣</w:t>
            </w:r>
            <w:r>
              <w:rPr>
                <w:rFonts w:hint="eastAsia" w:ascii="宋体" w:hAnsi="宋体" w:cs="宋体"/>
                <w:b/>
                <w:bCs/>
                <w:color w:val="000000"/>
                <w:sz w:val="21"/>
                <w:szCs w:val="21"/>
                <w:lang w:eastAsia="zh-CN"/>
              </w:rPr>
              <w:t>款</w:t>
            </w:r>
            <w:r>
              <w:rPr>
                <w:rFonts w:hint="eastAsia" w:ascii="宋体" w:hAnsi="宋体" w:cs="宋体"/>
                <w:b/>
                <w:bCs/>
                <w:color w:val="000000"/>
                <w:sz w:val="21"/>
                <w:szCs w:val="21"/>
                <w:lang w:val="en-US" w:eastAsia="zh-CN"/>
              </w:rPr>
              <w:t>50</w:t>
            </w:r>
            <w:r>
              <w:rPr>
                <w:rFonts w:hint="eastAsia" w:ascii="宋体" w:hAnsi="宋体" w:eastAsia="宋体" w:cs="宋体"/>
                <w:b/>
                <w:bCs/>
                <w:color w:val="000000"/>
                <w:sz w:val="21"/>
                <w:szCs w:val="21"/>
                <w:lang w:val="en-US" w:eastAsia="zh-CN"/>
              </w:rPr>
              <w:t>元</w:t>
            </w:r>
            <w:r>
              <w:rPr>
                <w:rFonts w:hint="eastAsia" w:ascii="宋体" w:hAnsi="宋体" w:cs="宋体"/>
                <w:b/>
                <w:bCs/>
                <w:color w:val="000000"/>
                <w:sz w:val="21"/>
                <w:szCs w:val="21"/>
                <w:lang w:val="en-US" w:eastAsia="zh-CN"/>
              </w:rPr>
              <w:t>；</w:t>
            </w:r>
            <w:r>
              <w:rPr>
                <w:rFonts w:hint="eastAsia" w:ascii="宋体" w:hAnsi="宋体" w:cs="宋体"/>
                <w:b/>
                <w:bCs/>
                <w:color w:val="000000"/>
                <w:sz w:val="21"/>
                <w:szCs w:val="21"/>
                <w:lang w:eastAsia="zh-CN"/>
              </w:rPr>
              <w:t>保安</w:t>
            </w:r>
            <w:r>
              <w:rPr>
                <w:rFonts w:hint="eastAsia" w:ascii="宋体" w:hAnsi="宋体" w:eastAsia="宋体" w:cs="宋体"/>
                <w:b/>
                <w:bCs/>
                <w:color w:val="000000"/>
                <w:sz w:val="21"/>
                <w:szCs w:val="21"/>
              </w:rPr>
              <w:t>年龄结构合理，数量</w:t>
            </w:r>
            <w:r>
              <w:rPr>
                <w:rFonts w:hint="eastAsia" w:ascii="宋体" w:hAnsi="宋体" w:cs="宋体"/>
                <w:b/>
                <w:bCs/>
                <w:color w:val="000000"/>
                <w:sz w:val="21"/>
                <w:szCs w:val="21"/>
                <w:lang w:eastAsia="zh-CN"/>
              </w:rPr>
              <w:t>符合合同要求。不符合要求</w:t>
            </w:r>
            <w:r>
              <w:rPr>
                <w:rFonts w:hint="eastAsia" w:ascii="宋体" w:hAnsi="宋体" w:eastAsia="宋体" w:cs="宋体"/>
                <w:b/>
                <w:bCs/>
                <w:color w:val="000000"/>
                <w:sz w:val="21"/>
                <w:szCs w:val="21"/>
              </w:rPr>
              <w:t>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w:t>
            </w:r>
          </w:p>
        </w:tc>
        <w:tc>
          <w:tcPr>
            <w:tcW w:w="371" w:type="pct"/>
            <w:tcBorders>
              <w:tl2br w:val="nil"/>
              <w:tr2bl w:val="nil"/>
            </w:tcBorders>
            <w:noWrap w:val="0"/>
            <w:vAlign w:val="center"/>
          </w:tcPr>
          <w:p w14:paraId="20C3984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25DCF9B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1E21026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1399DDD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56344D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340" w:type="pct"/>
            <w:tcBorders>
              <w:tl2br w:val="nil"/>
              <w:tr2bl w:val="nil"/>
            </w:tcBorders>
            <w:noWrap w:val="0"/>
            <w:vAlign w:val="center"/>
          </w:tcPr>
          <w:p w14:paraId="7886EEF4">
            <w:pPr>
              <w:jc w:val="center"/>
              <w:rPr>
                <w:rFonts w:hint="default" w:ascii="宋体" w:hAnsi="宋体" w:cs="宋体"/>
                <w:b/>
                <w:bCs/>
                <w:spacing w:val="11"/>
                <w:sz w:val="21"/>
                <w:szCs w:val="21"/>
                <w:lang w:val="en-US" w:eastAsia="zh-CN"/>
              </w:rPr>
            </w:pPr>
            <w:r>
              <w:rPr>
                <w:rFonts w:hint="eastAsia" w:ascii="宋体" w:hAnsi="宋体" w:cs="宋体"/>
                <w:b/>
                <w:bCs/>
                <w:spacing w:val="11"/>
                <w:sz w:val="21"/>
                <w:szCs w:val="21"/>
                <w:lang w:val="en-US" w:eastAsia="zh-CN"/>
              </w:rPr>
              <w:t>9</w:t>
            </w:r>
          </w:p>
        </w:tc>
        <w:tc>
          <w:tcPr>
            <w:tcW w:w="2539" w:type="pct"/>
            <w:tcBorders>
              <w:tl2br w:val="nil"/>
              <w:tr2bl w:val="nil"/>
            </w:tcBorders>
            <w:noWrap w:val="0"/>
            <w:vAlign w:val="center"/>
          </w:tcPr>
          <w:p w14:paraId="659893B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pacing w:val="11"/>
                <w:sz w:val="21"/>
                <w:szCs w:val="21"/>
              </w:rPr>
            </w:pPr>
            <w:r>
              <w:rPr>
                <w:rFonts w:hint="eastAsia" w:ascii="宋体" w:hAnsi="宋体" w:eastAsia="宋体" w:cs="宋体"/>
                <w:b/>
                <w:bCs w:val="0"/>
                <w:color w:val="000000"/>
                <w:sz w:val="21"/>
                <w:szCs w:val="21"/>
                <w:lang w:val="en-US" w:eastAsia="zh-CN"/>
              </w:rPr>
              <w:t>维护好院内的就诊秩序，必要时提醒医患人员注意财产、人身安全，及时制止一切危害就诊秩序及安全的行为。未及时制止一起扣0.5分并扣款100元。</w:t>
            </w:r>
          </w:p>
        </w:tc>
        <w:tc>
          <w:tcPr>
            <w:tcW w:w="371" w:type="pct"/>
            <w:tcBorders>
              <w:tl2br w:val="nil"/>
              <w:tr2bl w:val="nil"/>
            </w:tcBorders>
            <w:noWrap w:val="0"/>
            <w:vAlign w:val="center"/>
          </w:tcPr>
          <w:p w14:paraId="6AC2BA7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A78662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509B1D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694A605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5F3C84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2E08ABD1">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10</w:t>
            </w:r>
          </w:p>
        </w:tc>
        <w:tc>
          <w:tcPr>
            <w:tcW w:w="2539" w:type="pct"/>
            <w:tcBorders>
              <w:tl2br w:val="nil"/>
              <w:tr2bl w:val="nil"/>
            </w:tcBorders>
            <w:noWrap w:val="0"/>
            <w:vAlign w:val="center"/>
          </w:tcPr>
          <w:p w14:paraId="1353093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sz w:val="21"/>
                <w:szCs w:val="21"/>
                <w:lang w:val="en-US"/>
              </w:rPr>
            </w:pPr>
            <w:r>
              <w:rPr>
                <w:rFonts w:hint="eastAsia" w:ascii="宋体" w:hAnsi="宋体" w:eastAsia="宋体" w:cs="宋体"/>
                <w:b/>
                <w:bCs w:val="0"/>
                <w:color w:val="000000"/>
                <w:sz w:val="21"/>
                <w:szCs w:val="21"/>
                <w:lang w:val="en-US" w:eastAsia="zh-CN"/>
              </w:rPr>
              <w:t>协助做好医院内违法犯罪行为等突发事件的处理工作，对制止无效的犯罪行为应立即报警，保护好现场，并协助公安机关查办案件。未做好一起扣0.5分并扣款50元。</w:t>
            </w:r>
          </w:p>
        </w:tc>
        <w:tc>
          <w:tcPr>
            <w:tcW w:w="371" w:type="pct"/>
            <w:tcBorders>
              <w:tl2br w:val="nil"/>
              <w:tr2bl w:val="nil"/>
            </w:tcBorders>
            <w:noWrap w:val="0"/>
            <w:vAlign w:val="center"/>
          </w:tcPr>
          <w:p w14:paraId="36A2061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8E2DDA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47A2AF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59E2FF1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5FDC8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0A988934">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11</w:t>
            </w:r>
          </w:p>
        </w:tc>
        <w:tc>
          <w:tcPr>
            <w:tcW w:w="2539" w:type="pct"/>
            <w:tcBorders>
              <w:tl2br w:val="nil"/>
              <w:tr2bl w:val="nil"/>
            </w:tcBorders>
            <w:noWrap w:val="0"/>
            <w:vAlign w:val="center"/>
          </w:tcPr>
          <w:p w14:paraId="77E0F765">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sz w:val="21"/>
                <w:szCs w:val="21"/>
                <w:lang w:val="en-US"/>
              </w:rPr>
            </w:pPr>
            <w:r>
              <w:rPr>
                <w:rFonts w:hint="eastAsia" w:ascii="宋体" w:hAnsi="宋体" w:eastAsia="宋体" w:cs="宋体"/>
                <w:b/>
                <w:bCs w:val="0"/>
                <w:color w:val="000000"/>
                <w:sz w:val="21"/>
                <w:szCs w:val="21"/>
                <w:lang w:val="en-US" w:eastAsia="zh-CN"/>
              </w:rPr>
              <w:t>巡查时及时发现并上报安全用电、消防等隐患问题。未发现或上报一起扣0.5分并扣款50元。</w:t>
            </w:r>
          </w:p>
        </w:tc>
        <w:tc>
          <w:tcPr>
            <w:tcW w:w="371" w:type="pct"/>
            <w:tcBorders>
              <w:tl2br w:val="nil"/>
              <w:tr2bl w:val="nil"/>
            </w:tcBorders>
            <w:noWrap w:val="0"/>
            <w:vAlign w:val="center"/>
          </w:tcPr>
          <w:p w14:paraId="72620E4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7A41F02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685F503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7FF7868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1997D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31F4CD81">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12</w:t>
            </w:r>
          </w:p>
        </w:tc>
        <w:tc>
          <w:tcPr>
            <w:tcW w:w="2539" w:type="pct"/>
            <w:tcBorders>
              <w:tl2br w:val="nil"/>
              <w:tr2bl w:val="nil"/>
            </w:tcBorders>
            <w:noWrap w:val="0"/>
            <w:vAlign w:val="center"/>
          </w:tcPr>
          <w:p w14:paraId="3264741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值班期间应联防联守，与各岗位保持联系，对值班期间发现的问题，要进行沟通及时妥善处理。</w:t>
            </w:r>
            <w:r>
              <w:rPr>
                <w:rFonts w:hint="eastAsia" w:ascii="宋体" w:hAnsi="宋体" w:cs="宋体"/>
                <w:b/>
                <w:bCs/>
                <w:color w:val="000000"/>
                <w:sz w:val="21"/>
                <w:szCs w:val="21"/>
                <w:lang w:eastAsia="zh-CN"/>
              </w:rPr>
              <w:t>未妥善处置</w:t>
            </w:r>
            <w:r>
              <w:rPr>
                <w:rFonts w:hint="eastAsia" w:ascii="宋体" w:hAnsi="宋体" w:eastAsia="宋体" w:cs="宋体"/>
                <w:b/>
                <w:bCs/>
                <w:color w:val="000000"/>
                <w:sz w:val="21"/>
                <w:szCs w:val="21"/>
              </w:rPr>
              <w:t>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0.5分并扣款50元。</w:t>
            </w:r>
          </w:p>
        </w:tc>
        <w:tc>
          <w:tcPr>
            <w:tcW w:w="371" w:type="pct"/>
            <w:tcBorders>
              <w:tl2br w:val="nil"/>
              <w:tr2bl w:val="nil"/>
            </w:tcBorders>
            <w:noWrap w:val="0"/>
            <w:vAlign w:val="center"/>
          </w:tcPr>
          <w:p w14:paraId="0492983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D09E8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7C1BF54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7968FC89">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r>
      <w:tr w14:paraId="088E04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72351092">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13</w:t>
            </w:r>
          </w:p>
        </w:tc>
        <w:tc>
          <w:tcPr>
            <w:tcW w:w="2539" w:type="pct"/>
            <w:tcBorders>
              <w:tl2br w:val="nil"/>
              <w:tr2bl w:val="nil"/>
            </w:tcBorders>
            <w:noWrap w:val="0"/>
            <w:vAlign w:val="center"/>
          </w:tcPr>
          <w:p w14:paraId="112B394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Times New Roman"/>
                <w:b/>
                <w:bCs/>
                <w:color w:val="auto"/>
                <w:spacing w:val="11"/>
                <w:kern w:val="2"/>
                <w:sz w:val="21"/>
                <w:szCs w:val="21"/>
                <w:lang w:val="en-US" w:eastAsia="zh-CN" w:bidi="ar-SA"/>
              </w:rPr>
            </w:pPr>
            <w:r>
              <w:rPr>
                <w:rFonts w:hint="eastAsia" w:ascii="宋体" w:hAnsi="宋体" w:eastAsia="宋体" w:cs="宋体"/>
                <w:b/>
                <w:bCs/>
                <w:color w:val="000000"/>
                <w:sz w:val="21"/>
                <w:szCs w:val="21"/>
              </w:rPr>
              <w:t>满足保护医务人员的生命安全为第一需求，维护医院的正常秩序，打击“医托”、“医闹”和散发非法医疗广告人员；协助公安机关打击不法分子对医院的干扰，特别是对“医托”、“医闹”、散发非法医疗广告、暴恐、盗窃分子的打击。</w:t>
            </w:r>
            <w:r>
              <w:rPr>
                <w:rFonts w:hint="eastAsia" w:ascii="宋体" w:hAnsi="宋体" w:cs="宋体"/>
                <w:b/>
                <w:bCs/>
                <w:color w:val="000000"/>
                <w:sz w:val="21"/>
                <w:szCs w:val="21"/>
                <w:lang w:eastAsia="zh-CN"/>
              </w:rPr>
              <w:t>未妥善处置</w:t>
            </w:r>
            <w:r>
              <w:rPr>
                <w:rFonts w:hint="eastAsia" w:ascii="宋体" w:hAnsi="宋体" w:eastAsia="宋体" w:cs="宋体"/>
                <w:b/>
                <w:bCs/>
                <w:color w:val="000000"/>
                <w:sz w:val="21"/>
                <w:szCs w:val="21"/>
              </w:rPr>
              <w:t>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1分并扣款100元。</w:t>
            </w:r>
          </w:p>
        </w:tc>
        <w:tc>
          <w:tcPr>
            <w:tcW w:w="371" w:type="pct"/>
            <w:tcBorders>
              <w:tl2br w:val="nil"/>
              <w:tr2bl w:val="nil"/>
            </w:tcBorders>
            <w:noWrap w:val="0"/>
            <w:vAlign w:val="center"/>
          </w:tcPr>
          <w:p w14:paraId="709BDF7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kern w:val="2"/>
                <w:sz w:val="21"/>
                <w:szCs w:val="21"/>
                <w:lang w:val="en-US" w:eastAsia="zh-CN" w:bidi="ar-SA"/>
              </w:rPr>
            </w:pPr>
            <w:r>
              <w:rPr>
                <w:rFonts w:hint="eastAsia" w:ascii="宋体" w:hAnsi="宋体" w:cs="Times New Roman"/>
                <w:b/>
                <w:bCs/>
                <w:color w:val="auto"/>
                <w:szCs w:val="21"/>
                <w:lang w:val="en-US" w:eastAsia="zh-CN"/>
              </w:rPr>
              <w:t>5</w:t>
            </w:r>
          </w:p>
        </w:tc>
        <w:tc>
          <w:tcPr>
            <w:tcW w:w="371" w:type="pct"/>
            <w:tcBorders>
              <w:tl2br w:val="nil"/>
              <w:tr2bl w:val="nil"/>
            </w:tcBorders>
            <w:noWrap w:val="0"/>
            <w:vAlign w:val="center"/>
          </w:tcPr>
          <w:p w14:paraId="616EF68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29508D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42D925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7E4BB0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7B6EBEF5">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14</w:t>
            </w:r>
          </w:p>
        </w:tc>
        <w:tc>
          <w:tcPr>
            <w:tcW w:w="2539" w:type="pct"/>
            <w:tcBorders>
              <w:tl2br w:val="nil"/>
              <w:tr2bl w:val="nil"/>
            </w:tcBorders>
            <w:noWrap w:val="0"/>
            <w:vAlign w:val="center"/>
          </w:tcPr>
          <w:p w14:paraId="222E1D6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val="0"/>
                <w:color w:val="000000"/>
                <w:sz w:val="21"/>
                <w:szCs w:val="21"/>
                <w:lang w:val="en-US" w:eastAsia="zh-CN"/>
              </w:rPr>
              <w:t>对重点部位（门急诊大厅、导诊台、住院部、配电房、消防水泵房、氧气站、药品库房、收款处、食堂、中控室等）加强定时巡查，监控室实时24小时监控。未按时巡查发现一起扣0.5分并扣款50元。</w:t>
            </w:r>
          </w:p>
        </w:tc>
        <w:tc>
          <w:tcPr>
            <w:tcW w:w="371" w:type="pct"/>
            <w:tcBorders>
              <w:tl2br w:val="nil"/>
              <w:tr2bl w:val="nil"/>
            </w:tcBorders>
            <w:noWrap w:val="0"/>
            <w:vAlign w:val="center"/>
          </w:tcPr>
          <w:p w14:paraId="709C0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6CC99FC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500741C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22EDD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kern w:val="2"/>
                <w:sz w:val="21"/>
                <w:szCs w:val="21"/>
                <w:lang w:val="en-US" w:eastAsia="zh-CN" w:bidi="ar-SA"/>
              </w:rPr>
            </w:pPr>
          </w:p>
        </w:tc>
      </w:tr>
      <w:tr w14:paraId="2D4F9A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4F7900C5">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15</w:t>
            </w:r>
          </w:p>
        </w:tc>
        <w:tc>
          <w:tcPr>
            <w:tcW w:w="2539" w:type="pct"/>
            <w:tcBorders>
              <w:tl2br w:val="nil"/>
              <w:tr2bl w:val="nil"/>
            </w:tcBorders>
            <w:noWrap w:val="0"/>
            <w:vAlign w:val="center"/>
          </w:tcPr>
          <w:p w14:paraId="77BF61F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color w:val="000000"/>
                <w:sz w:val="21"/>
                <w:szCs w:val="21"/>
              </w:rPr>
              <w:t>定期做好全院范围内的消防安全设施和消防器材的检查工作，并做好相关检查记录，发现火灾或其它事故要及时扑救和处理，确保医院的安全。</w:t>
            </w:r>
            <w:r>
              <w:rPr>
                <w:rFonts w:hint="eastAsia" w:ascii="宋体" w:hAnsi="宋体" w:eastAsia="宋体" w:cs="宋体"/>
                <w:b/>
                <w:bCs/>
                <w:color w:val="000000"/>
                <w:sz w:val="21"/>
                <w:szCs w:val="21"/>
                <w:lang w:eastAsia="zh-CN"/>
              </w:rPr>
              <w:t>未履职</w:t>
            </w:r>
            <w:r>
              <w:rPr>
                <w:rFonts w:hint="eastAsia" w:ascii="宋体" w:hAnsi="宋体" w:eastAsia="宋体" w:cs="宋体"/>
                <w:b/>
                <w:bCs/>
                <w:color w:val="000000"/>
                <w:sz w:val="21"/>
                <w:szCs w:val="21"/>
              </w:rPr>
              <w:t>每次</w:t>
            </w:r>
            <w:r>
              <w:rPr>
                <w:rFonts w:hint="eastAsia" w:ascii="宋体" w:hAnsi="宋体" w:eastAsia="宋体" w:cs="宋体"/>
                <w:b/>
                <w:bCs/>
                <w:color w:val="000000"/>
                <w:sz w:val="21"/>
                <w:szCs w:val="21"/>
                <w:lang w:eastAsia="zh-CN"/>
              </w:rPr>
              <w:t>扣</w:t>
            </w:r>
            <w:r>
              <w:rPr>
                <w:rFonts w:hint="eastAsia" w:ascii="宋体" w:hAnsi="宋体" w:eastAsia="宋体" w:cs="宋体"/>
                <w:b/>
                <w:bCs/>
                <w:color w:val="000000"/>
                <w:sz w:val="21"/>
                <w:szCs w:val="21"/>
                <w:lang w:val="en-US" w:eastAsia="zh-CN"/>
              </w:rPr>
              <w:t>0.5分并扣款50元。</w:t>
            </w:r>
          </w:p>
        </w:tc>
        <w:tc>
          <w:tcPr>
            <w:tcW w:w="371" w:type="pct"/>
            <w:tcBorders>
              <w:tl2br w:val="nil"/>
              <w:tr2bl w:val="nil"/>
            </w:tcBorders>
            <w:noWrap w:val="0"/>
            <w:vAlign w:val="center"/>
          </w:tcPr>
          <w:p w14:paraId="4B6777AC">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9ADE36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7BCCA5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1279763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kern w:val="2"/>
                <w:sz w:val="21"/>
                <w:szCs w:val="21"/>
                <w:lang w:val="en-US" w:eastAsia="zh-CN" w:bidi="ar-SA"/>
              </w:rPr>
            </w:pPr>
          </w:p>
        </w:tc>
      </w:tr>
      <w:tr w14:paraId="470657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0584AA33">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16</w:t>
            </w:r>
          </w:p>
        </w:tc>
        <w:tc>
          <w:tcPr>
            <w:tcW w:w="2539" w:type="pct"/>
            <w:tcBorders>
              <w:tl2br w:val="nil"/>
              <w:tr2bl w:val="nil"/>
            </w:tcBorders>
            <w:noWrap w:val="0"/>
            <w:vAlign w:val="center"/>
          </w:tcPr>
          <w:p w14:paraId="40D60EB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val="en-US"/>
              </w:rPr>
            </w:pPr>
            <w:r>
              <w:rPr>
                <w:rFonts w:hint="eastAsia" w:ascii="宋体" w:hAnsi="宋体" w:eastAsia="宋体" w:cs="宋体"/>
                <w:b/>
                <w:bCs w:val="0"/>
                <w:color w:val="000000"/>
                <w:sz w:val="21"/>
                <w:szCs w:val="21"/>
                <w:lang w:val="en-US" w:eastAsia="zh-CN"/>
              </w:rPr>
              <w:t>保安负责人不服从院方管理，执行力不强，结合当月管理表现，一次扣0.5分并扣款100元，如多次发生，院方有权建议公司进行更换。若存在其他过激行为，予以每次扣0.5分并扣减当月安保服务费50元-100元。</w:t>
            </w:r>
          </w:p>
        </w:tc>
        <w:tc>
          <w:tcPr>
            <w:tcW w:w="371" w:type="pct"/>
            <w:tcBorders>
              <w:tl2br w:val="nil"/>
              <w:tr2bl w:val="nil"/>
            </w:tcBorders>
            <w:noWrap w:val="0"/>
            <w:vAlign w:val="center"/>
          </w:tcPr>
          <w:p w14:paraId="1A02C88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228828B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1B7A2F3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A1236A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4B86CB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31DC00CA">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17</w:t>
            </w:r>
          </w:p>
        </w:tc>
        <w:tc>
          <w:tcPr>
            <w:tcW w:w="2539" w:type="pct"/>
            <w:tcBorders>
              <w:tl2br w:val="nil"/>
              <w:tr2bl w:val="nil"/>
            </w:tcBorders>
            <w:noWrap w:val="0"/>
            <w:vAlign w:val="center"/>
          </w:tcPr>
          <w:p w14:paraId="7B802B1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val="0"/>
                <w:color w:val="000000"/>
                <w:sz w:val="21"/>
                <w:szCs w:val="21"/>
                <w:lang w:val="en-US" w:eastAsia="zh-CN"/>
              </w:rPr>
            </w:pPr>
            <w:r>
              <w:rPr>
                <w:rFonts w:hint="eastAsia" w:ascii="宋体" w:hAnsi="宋体" w:cs="宋体"/>
                <w:b/>
                <w:bCs/>
                <w:color w:val="000000"/>
                <w:sz w:val="21"/>
                <w:szCs w:val="21"/>
                <w:lang w:eastAsia="zh-CN"/>
              </w:rPr>
              <w:t>做好</w:t>
            </w:r>
            <w:r>
              <w:rPr>
                <w:rFonts w:hint="eastAsia" w:ascii="宋体" w:hAnsi="宋体" w:eastAsia="宋体" w:cs="宋体"/>
                <w:b/>
                <w:bCs/>
                <w:color w:val="000000"/>
                <w:sz w:val="21"/>
                <w:szCs w:val="21"/>
              </w:rPr>
              <w:t>停车场区域以外的交通</w:t>
            </w:r>
            <w:r>
              <w:rPr>
                <w:rFonts w:hint="eastAsia" w:ascii="宋体" w:hAnsi="宋体" w:cs="宋体"/>
                <w:b/>
                <w:bCs/>
                <w:color w:val="000000"/>
                <w:sz w:val="21"/>
                <w:szCs w:val="21"/>
                <w:lang w:eastAsia="zh-CN"/>
              </w:rPr>
              <w:t>、车辆</w:t>
            </w:r>
            <w:r>
              <w:rPr>
                <w:rFonts w:hint="eastAsia" w:ascii="宋体" w:hAnsi="宋体" w:eastAsia="宋体" w:cs="宋体"/>
                <w:b/>
                <w:bCs/>
                <w:color w:val="000000"/>
                <w:sz w:val="21"/>
                <w:szCs w:val="21"/>
              </w:rPr>
              <w:t>管理</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lang w:eastAsia="zh-CN"/>
              </w:rPr>
              <w:t>保持院区主要通道通畅、</w:t>
            </w:r>
            <w:r>
              <w:rPr>
                <w:rFonts w:hint="eastAsia" w:ascii="宋体" w:hAnsi="宋体" w:cs="宋体"/>
                <w:b/>
                <w:bCs/>
                <w:color w:val="000000"/>
                <w:sz w:val="21"/>
                <w:szCs w:val="21"/>
                <w:lang w:eastAsia="zh-CN"/>
              </w:rPr>
              <w:t>禁止</w:t>
            </w:r>
            <w:r>
              <w:rPr>
                <w:rFonts w:hint="eastAsia" w:ascii="宋体" w:hAnsi="宋体" w:eastAsia="宋体" w:cs="宋体"/>
                <w:b/>
                <w:bCs/>
                <w:color w:val="000000"/>
                <w:sz w:val="21"/>
                <w:szCs w:val="21"/>
                <w:lang w:eastAsia="zh-CN"/>
              </w:rPr>
              <w:t>车辆乱停乱放</w:t>
            </w:r>
            <w:r>
              <w:rPr>
                <w:rFonts w:hint="eastAsia" w:ascii="宋体" w:hAnsi="宋体" w:cs="宋体"/>
                <w:b/>
                <w:bCs/>
                <w:color w:val="000000"/>
                <w:sz w:val="21"/>
                <w:szCs w:val="21"/>
                <w:lang w:eastAsia="zh-CN"/>
              </w:rPr>
              <w:t>（新周期停车场服务进驻前）。落</w:t>
            </w:r>
            <w:r>
              <w:rPr>
                <w:rFonts w:hint="eastAsia" w:ascii="宋体" w:hAnsi="宋体" w:eastAsia="宋体" w:cs="宋体"/>
                <w:b/>
                <w:bCs/>
                <w:color w:val="000000"/>
                <w:sz w:val="21"/>
                <w:szCs w:val="21"/>
              </w:rPr>
              <w:t>实做好“门前三包”工作。</w:t>
            </w:r>
            <w:r>
              <w:rPr>
                <w:rFonts w:hint="eastAsia" w:ascii="宋体" w:hAnsi="宋体" w:cs="宋体"/>
                <w:b/>
                <w:bCs/>
                <w:color w:val="000000"/>
                <w:sz w:val="21"/>
                <w:szCs w:val="21"/>
                <w:lang w:eastAsia="zh-CN"/>
              </w:rPr>
              <w:t>落实安</w:t>
            </w:r>
            <w:r>
              <w:rPr>
                <w:rFonts w:hint="eastAsia" w:ascii="宋体" w:hAnsi="宋体" w:eastAsia="宋体" w:cs="宋体"/>
                <w:b/>
                <w:bCs/>
                <w:color w:val="000000"/>
                <w:sz w:val="21"/>
                <w:szCs w:val="21"/>
              </w:rPr>
              <w:t>检</w:t>
            </w:r>
            <w:r>
              <w:rPr>
                <w:rFonts w:hint="eastAsia" w:ascii="宋体" w:hAnsi="宋体" w:cs="宋体"/>
                <w:b/>
                <w:bCs/>
                <w:color w:val="000000"/>
                <w:sz w:val="21"/>
                <w:szCs w:val="21"/>
                <w:lang w:eastAsia="zh-CN"/>
              </w:rPr>
              <w:t>制度</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做到应检尽检，</w:t>
            </w:r>
            <w:r>
              <w:rPr>
                <w:rFonts w:hint="eastAsia" w:ascii="宋体" w:hAnsi="宋体" w:eastAsia="宋体" w:cs="宋体"/>
                <w:b/>
                <w:bCs/>
                <w:color w:val="000000"/>
                <w:sz w:val="21"/>
                <w:szCs w:val="21"/>
              </w:rPr>
              <w:t>防止违禁品进入院内。</w:t>
            </w:r>
            <w:r>
              <w:rPr>
                <w:rFonts w:hint="eastAsia" w:ascii="宋体" w:hAnsi="宋体" w:cs="宋体"/>
                <w:b/>
                <w:bCs/>
                <w:color w:val="000000"/>
                <w:sz w:val="21"/>
                <w:szCs w:val="21"/>
                <w:lang w:eastAsia="zh-CN"/>
              </w:rPr>
              <w:t>每发生一起违规</w:t>
            </w:r>
            <w:r>
              <w:rPr>
                <w:rFonts w:hint="eastAsia" w:ascii="宋体" w:hAnsi="宋体" w:eastAsia="宋体" w:cs="宋体"/>
                <w:b/>
                <w:bCs/>
                <w:color w:val="000000"/>
                <w:sz w:val="21"/>
                <w:szCs w:val="21"/>
              </w:rPr>
              <w:t>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0.5分并扣款50元。</w:t>
            </w:r>
          </w:p>
        </w:tc>
        <w:tc>
          <w:tcPr>
            <w:tcW w:w="371" w:type="pct"/>
            <w:tcBorders>
              <w:tl2br w:val="nil"/>
              <w:tr2bl w:val="nil"/>
            </w:tcBorders>
            <w:noWrap w:val="0"/>
            <w:vAlign w:val="center"/>
          </w:tcPr>
          <w:p w14:paraId="391D1BD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55C9E5E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59876D3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7E9619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5BF4D4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42056707">
            <w:pPr>
              <w:jc w:val="center"/>
              <w:rPr>
                <w:rFonts w:hint="default" w:ascii="宋体" w:hAnsi="宋体" w:eastAsia="宋体" w:cs="宋体"/>
                <w:b/>
                <w:bCs/>
                <w:color w:val="auto"/>
                <w:spacing w:val="11"/>
                <w:sz w:val="21"/>
                <w:szCs w:val="21"/>
                <w:highlight w:val="none"/>
                <w:lang w:val="en-US" w:eastAsia="zh-CN"/>
              </w:rPr>
            </w:pPr>
            <w:r>
              <w:rPr>
                <w:rFonts w:hint="eastAsia" w:ascii="宋体" w:hAnsi="宋体" w:cs="宋体"/>
                <w:b/>
                <w:bCs/>
                <w:color w:val="auto"/>
                <w:spacing w:val="11"/>
                <w:sz w:val="21"/>
                <w:szCs w:val="21"/>
                <w:highlight w:val="none"/>
                <w:lang w:val="en-US" w:eastAsia="zh-CN"/>
              </w:rPr>
              <w:t>18</w:t>
            </w:r>
          </w:p>
        </w:tc>
        <w:tc>
          <w:tcPr>
            <w:tcW w:w="2539" w:type="pct"/>
            <w:tcBorders>
              <w:tl2br w:val="nil"/>
              <w:tr2bl w:val="nil"/>
            </w:tcBorders>
            <w:noWrap w:val="0"/>
            <w:vAlign w:val="center"/>
          </w:tcPr>
          <w:p w14:paraId="54BC8253">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建立服务（态度、质量、出勤速度等）投诉处罚机制，一般性质有效投诉，首次发生，对涉事保安扣1分处以50元罚款；累计出现2起及以上，后续每起扣2分并罚款100元。性质恶劣且影响坏的投诉</w:t>
            </w:r>
            <w:r>
              <w:rPr>
                <w:rFonts w:hint="eastAsia" w:ascii="宋体" w:hAnsi="宋体" w:eastAsia="宋体" w:cs="宋体"/>
                <w:b/>
                <w:bCs w:val="0"/>
                <w:color w:val="auto"/>
                <w:sz w:val="21"/>
                <w:szCs w:val="21"/>
                <w:highlight w:val="none"/>
                <w:lang w:val="en-US" w:eastAsia="zh-CN"/>
              </w:rPr>
              <w:t>，经核实存在辱骂他人、玩忽职守等严重失职行为，并造成不</w:t>
            </w:r>
            <w:r>
              <w:rPr>
                <w:rFonts w:hint="eastAsia" w:ascii="宋体" w:hAnsi="宋体" w:eastAsia="宋体" w:cs="宋体"/>
                <w:b/>
                <w:bCs w:val="0"/>
                <w:color w:val="auto"/>
                <w:sz w:val="21"/>
                <w:szCs w:val="21"/>
                <w:highlight w:val="none"/>
                <w:lang w:val="en-US" w:eastAsia="zh-CN"/>
              </w:rPr>
              <w:t>良影响的扣4分，每起处以200元罚款。12345平台投诉，经核查因保安自身原因引发的，在对应性质罚款基础上，额外扣5分并追加100元罚款。同一问题重复投诉同一保安人员因相同服务问题被投诉3次及以上扣10分，院方有权要求供应商立即更换涉事人员，并可对保安公司处以1000元/人的管理连带责任罚款。</w:t>
            </w:r>
          </w:p>
        </w:tc>
        <w:tc>
          <w:tcPr>
            <w:tcW w:w="371" w:type="pct"/>
            <w:tcBorders>
              <w:tl2br w:val="nil"/>
              <w:tr2bl w:val="nil"/>
            </w:tcBorders>
            <w:noWrap w:val="0"/>
            <w:vAlign w:val="center"/>
          </w:tcPr>
          <w:p w14:paraId="2604B47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10</w:t>
            </w:r>
          </w:p>
        </w:tc>
        <w:tc>
          <w:tcPr>
            <w:tcW w:w="371" w:type="pct"/>
            <w:tcBorders>
              <w:tl2br w:val="nil"/>
              <w:tr2bl w:val="nil"/>
            </w:tcBorders>
            <w:noWrap w:val="0"/>
            <w:vAlign w:val="center"/>
          </w:tcPr>
          <w:p w14:paraId="3A51383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557" w:type="pct"/>
            <w:tcBorders>
              <w:tl2br w:val="nil"/>
              <w:tr2bl w:val="nil"/>
            </w:tcBorders>
            <w:noWrap w:val="0"/>
            <w:vAlign w:val="center"/>
          </w:tcPr>
          <w:p w14:paraId="1212D24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819" w:type="pct"/>
            <w:tcBorders>
              <w:tl2br w:val="nil"/>
              <w:tr2bl w:val="nil"/>
            </w:tcBorders>
            <w:noWrap w:val="0"/>
            <w:vAlign w:val="center"/>
          </w:tcPr>
          <w:p w14:paraId="6713598F">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highlight w:val="none"/>
              </w:rPr>
            </w:pPr>
          </w:p>
        </w:tc>
      </w:tr>
      <w:tr w14:paraId="0D5384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0812155B">
            <w:pPr>
              <w:jc w:val="center"/>
              <w:rPr>
                <w:rFonts w:hint="default" w:ascii="宋体" w:hAnsi="宋体" w:eastAsia="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19</w:t>
            </w:r>
          </w:p>
        </w:tc>
        <w:tc>
          <w:tcPr>
            <w:tcW w:w="2539" w:type="pct"/>
            <w:tcBorders>
              <w:tl2br w:val="nil"/>
              <w:tr2bl w:val="nil"/>
            </w:tcBorders>
            <w:noWrap w:val="0"/>
            <w:vAlign w:val="center"/>
          </w:tcPr>
          <w:p w14:paraId="64903282">
            <w:pPr>
              <w:keepNext w:val="0"/>
              <w:keepLines w:val="0"/>
              <w:pageBreakBefore w:val="0"/>
              <w:widowControl/>
              <w:shd w:val="clear" w:color="auto" w:fill="FFFFFF"/>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rPr>
            </w:pPr>
            <w:r>
              <w:rPr>
                <w:rFonts w:hint="eastAsia" w:ascii="宋体" w:hAnsi="宋体" w:eastAsia="宋体" w:cs="宋体"/>
                <w:b/>
                <w:bCs w:val="0"/>
                <w:color w:val="auto"/>
                <w:sz w:val="21"/>
                <w:szCs w:val="21"/>
                <w:lang w:val="en-US" w:eastAsia="zh-CN"/>
              </w:rPr>
              <w:t>处理问题响应时间：接到处理问题通知后按规定时间到达采购人指定现场。未按响应时间内到达每次扣0.5分并扣款50元。</w:t>
            </w:r>
          </w:p>
        </w:tc>
        <w:tc>
          <w:tcPr>
            <w:tcW w:w="371" w:type="pct"/>
            <w:tcBorders>
              <w:tl2br w:val="nil"/>
              <w:tr2bl w:val="nil"/>
            </w:tcBorders>
            <w:noWrap w:val="0"/>
            <w:vAlign w:val="center"/>
          </w:tcPr>
          <w:p w14:paraId="0E34CF2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371" w:type="pct"/>
            <w:tcBorders>
              <w:tl2br w:val="nil"/>
              <w:tr2bl w:val="nil"/>
            </w:tcBorders>
            <w:noWrap w:val="0"/>
            <w:vAlign w:val="center"/>
          </w:tcPr>
          <w:p w14:paraId="4C85ED9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77163A1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819" w:type="pct"/>
            <w:tcBorders>
              <w:tl2br w:val="nil"/>
              <w:tr2bl w:val="nil"/>
            </w:tcBorders>
            <w:noWrap w:val="0"/>
            <w:vAlign w:val="center"/>
          </w:tcPr>
          <w:p w14:paraId="41571E2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rPr>
            </w:pPr>
          </w:p>
        </w:tc>
      </w:tr>
      <w:tr w14:paraId="56EEC6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5D0DD28C">
            <w:pPr>
              <w:jc w:val="center"/>
              <w:rPr>
                <w:rFonts w:hint="default" w:ascii="宋体" w:hAnsi="宋体" w:cs="宋体"/>
                <w:b/>
                <w:bCs/>
                <w:color w:val="auto"/>
                <w:spacing w:val="11"/>
                <w:sz w:val="21"/>
                <w:szCs w:val="21"/>
                <w:highlight w:val="none"/>
                <w:lang w:val="en-US" w:eastAsia="zh-CN"/>
              </w:rPr>
            </w:pPr>
            <w:r>
              <w:rPr>
                <w:rFonts w:hint="eastAsia" w:ascii="宋体" w:hAnsi="宋体" w:cs="宋体"/>
                <w:b/>
                <w:bCs/>
                <w:color w:val="auto"/>
                <w:spacing w:val="11"/>
                <w:sz w:val="21"/>
                <w:szCs w:val="21"/>
                <w:highlight w:val="none"/>
                <w:lang w:val="en-US" w:eastAsia="zh-CN"/>
              </w:rPr>
              <w:t>20</w:t>
            </w:r>
          </w:p>
        </w:tc>
        <w:tc>
          <w:tcPr>
            <w:tcW w:w="2539" w:type="pct"/>
            <w:tcBorders>
              <w:tl2br w:val="nil"/>
              <w:tr2bl w:val="nil"/>
            </w:tcBorders>
            <w:noWrap w:val="0"/>
            <w:vAlign w:val="center"/>
          </w:tcPr>
          <w:p w14:paraId="09EB4748">
            <w:pPr>
              <w:keepNext w:val="0"/>
              <w:keepLines w:val="0"/>
              <w:pageBreakBefore w:val="0"/>
              <w:widowControl/>
              <w:shd w:val="clear" w:color="auto" w:fill="FFFFFF"/>
              <w:kinsoku/>
              <w:wordWrap/>
              <w:overflowPunct/>
              <w:topLinePunct w:val="0"/>
              <w:autoSpaceDE/>
              <w:autoSpaceDN/>
              <w:bidi w:val="0"/>
              <w:adjustRightInd/>
              <w:snapToGrid/>
              <w:spacing w:line="280" w:lineRule="exact"/>
              <w:jc w:val="both"/>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值班保安人员各方面条件需符合合同要求;保安数量要满足医院安保要求;年龄结构合理，超龄保安需经院方和保安公司双方认可并提供工作考核鉴定，人数适当。凡当月出现顶班现象扣2.5分并扣款50元。</w:t>
            </w:r>
          </w:p>
        </w:tc>
        <w:tc>
          <w:tcPr>
            <w:tcW w:w="371" w:type="pct"/>
            <w:tcBorders>
              <w:tl2br w:val="nil"/>
              <w:tr2bl w:val="nil"/>
            </w:tcBorders>
            <w:noWrap w:val="0"/>
            <w:vAlign w:val="center"/>
          </w:tcPr>
          <w:p w14:paraId="0A27888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2.5</w:t>
            </w:r>
          </w:p>
        </w:tc>
        <w:tc>
          <w:tcPr>
            <w:tcW w:w="371" w:type="pct"/>
            <w:tcBorders>
              <w:tl2br w:val="nil"/>
              <w:tr2bl w:val="nil"/>
            </w:tcBorders>
            <w:noWrap w:val="0"/>
            <w:vAlign w:val="center"/>
          </w:tcPr>
          <w:p w14:paraId="4FB428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557" w:type="pct"/>
            <w:tcBorders>
              <w:tl2br w:val="nil"/>
              <w:tr2bl w:val="nil"/>
            </w:tcBorders>
            <w:noWrap w:val="0"/>
            <w:vAlign w:val="center"/>
          </w:tcPr>
          <w:p w14:paraId="4B2A6FB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819" w:type="pct"/>
            <w:tcBorders>
              <w:tl2br w:val="nil"/>
              <w:tr2bl w:val="nil"/>
            </w:tcBorders>
            <w:noWrap w:val="0"/>
            <w:vAlign w:val="center"/>
          </w:tcPr>
          <w:p w14:paraId="1A87A80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highlight w:val="none"/>
              </w:rPr>
            </w:pPr>
          </w:p>
        </w:tc>
      </w:tr>
      <w:tr w14:paraId="122512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5" w:hRule="atLeast"/>
        </w:trPr>
        <w:tc>
          <w:tcPr>
            <w:tcW w:w="340" w:type="pct"/>
            <w:tcBorders>
              <w:tl2br w:val="nil"/>
              <w:tr2bl w:val="nil"/>
            </w:tcBorders>
            <w:noWrap w:val="0"/>
            <w:vAlign w:val="center"/>
          </w:tcPr>
          <w:p w14:paraId="1699D7E4">
            <w:pPr>
              <w:widowControl/>
              <w:jc w:val="center"/>
              <w:rPr>
                <w:rFonts w:hint="eastAsia" w:ascii="宋体" w:hAnsi="宋体" w:cs="Times New Roman"/>
                <w:b/>
                <w:bCs/>
                <w:color w:val="auto"/>
                <w:kern w:val="0"/>
                <w:szCs w:val="21"/>
                <w:lang w:val="en-US" w:eastAsia="zh-CN"/>
              </w:rPr>
            </w:pPr>
            <w:r>
              <w:rPr>
                <w:rFonts w:hint="eastAsia" w:ascii="宋体" w:hAnsi="宋体" w:cs="Times New Roman"/>
                <w:b/>
                <w:bCs/>
                <w:color w:val="auto"/>
                <w:kern w:val="0"/>
                <w:szCs w:val="21"/>
                <w:lang w:val="en-US" w:eastAsia="zh-CN"/>
              </w:rPr>
              <w:t>合计</w:t>
            </w:r>
          </w:p>
        </w:tc>
        <w:tc>
          <w:tcPr>
            <w:tcW w:w="2539" w:type="pct"/>
            <w:tcBorders>
              <w:tl2br w:val="nil"/>
              <w:tr2bl w:val="nil"/>
            </w:tcBorders>
            <w:noWrap w:val="0"/>
            <w:vAlign w:val="center"/>
          </w:tcPr>
          <w:p w14:paraId="10CD8E4B">
            <w:pPr>
              <w:keepNext w:val="0"/>
              <w:keepLines w:val="0"/>
              <w:pageBreakBefore w:val="0"/>
              <w:widowControl/>
              <w:tabs>
                <w:tab w:val="left" w:pos="491"/>
              </w:tabs>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当月实际服务费＝合同每月应付服务费－扣罚费用</w:t>
            </w:r>
          </w:p>
        </w:tc>
        <w:tc>
          <w:tcPr>
            <w:tcW w:w="371" w:type="pct"/>
            <w:tcBorders>
              <w:tl2br w:val="nil"/>
              <w:tr2bl w:val="nil"/>
            </w:tcBorders>
            <w:noWrap w:val="0"/>
            <w:vAlign w:val="center"/>
          </w:tcPr>
          <w:p w14:paraId="0CB6FBE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szCs w:val="21"/>
                <w:lang w:val="en-US" w:eastAsia="zh-CN"/>
              </w:rPr>
            </w:pPr>
            <w:r>
              <w:rPr>
                <w:rFonts w:hint="eastAsia" w:ascii="宋体" w:hAnsi="宋体" w:cs="Times New Roman"/>
                <w:b/>
                <w:bCs/>
                <w:color w:val="auto"/>
                <w:szCs w:val="21"/>
                <w:lang w:val="en-US" w:eastAsia="zh-CN"/>
              </w:rPr>
              <w:t xml:space="preserve">  </w:t>
            </w:r>
          </w:p>
        </w:tc>
        <w:tc>
          <w:tcPr>
            <w:tcW w:w="371" w:type="pct"/>
            <w:tcBorders>
              <w:tl2br w:val="nil"/>
              <w:tr2bl w:val="nil"/>
            </w:tcBorders>
            <w:noWrap w:val="0"/>
            <w:vAlign w:val="center"/>
          </w:tcPr>
          <w:p w14:paraId="798BEA9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szCs w:val="21"/>
                <w:lang w:val="en-US" w:eastAsia="zh-CN"/>
              </w:rPr>
            </w:pPr>
          </w:p>
        </w:tc>
        <w:tc>
          <w:tcPr>
            <w:tcW w:w="557" w:type="pct"/>
            <w:tcBorders>
              <w:tl2br w:val="nil"/>
              <w:tr2bl w:val="nil"/>
            </w:tcBorders>
            <w:noWrap w:val="0"/>
            <w:vAlign w:val="center"/>
          </w:tcPr>
          <w:p w14:paraId="2E76EEE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szCs w:val="21"/>
                <w:lang w:val="en-US" w:eastAsia="zh-CN"/>
              </w:rPr>
            </w:pPr>
          </w:p>
        </w:tc>
        <w:tc>
          <w:tcPr>
            <w:tcW w:w="819" w:type="pct"/>
            <w:tcBorders>
              <w:tl2br w:val="nil"/>
              <w:tr2bl w:val="nil"/>
            </w:tcBorders>
            <w:noWrap w:val="0"/>
            <w:vAlign w:val="center"/>
          </w:tcPr>
          <w:p w14:paraId="49EE5D86">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color w:val="auto"/>
                <w:szCs w:val="21"/>
                <w:lang w:eastAsia="zh-CN"/>
              </w:rPr>
            </w:pPr>
          </w:p>
        </w:tc>
      </w:tr>
      <w:tr w14:paraId="366887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trPr>
        <w:tc>
          <w:tcPr>
            <w:tcW w:w="340" w:type="pct"/>
            <w:tcBorders>
              <w:tl2br w:val="nil"/>
              <w:tr2bl w:val="nil"/>
            </w:tcBorders>
            <w:noWrap w:val="0"/>
            <w:vAlign w:val="center"/>
          </w:tcPr>
          <w:p w14:paraId="46E7B619">
            <w:pPr>
              <w:widowControl/>
              <w:jc w:val="center"/>
              <w:rPr>
                <w:rFonts w:hint="default" w:ascii="宋体" w:hAnsi="宋体" w:eastAsia="宋体" w:cs="Times New Roman"/>
                <w:b/>
                <w:bCs/>
                <w:color w:val="auto"/>
                <w:kern w:val="0"/>
                <w:szCs w:val="21"/>
                <w:highlight w:val="none"/>
                <w:lang w:val="en-US" w:eastAsia="zh-CN"/>
              </w:rPr>
            </w:pPr>
            <w:r>
              <w:rPr>
                <w:rFonts w:hint="eastAsia" w:ascii="宋体" w:hAnsi="宋体" w:cs="Times New Roman"/>
                <w:b/>
                <w:bCs/>
                <w:color w:val="auto"/>
                <w:kern w:val="0"/>
                <w:szCs w:val="21"/>
                <w:highlight w:val="none"/>
                <w:lang w:val="en-US" w:eastAsia="zh-CN"/>
              </w:rPr>
              <w:t>说明</w:t>
            </w:r>
          </w:p>
        </w:tc>
        <w:tc>
          <w:tcPr>
            <w:tcW w:w="4659" w:type="pct"/>
            <w:gridSpan w:val="5"/>
            <w:tcBorders>
              <w:tl2br w:val="nil"/>
              <w:tr2bl w:val="nil"/>
            </w:tcBorders>
            <w:noWrap w:val="0"/>
            <w:vAlign w:val="center"/>
          </w:tcPr>
          <w:p w14:paraId="1B09EFB6">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b/>
                <w:bCs w:val="0"/>
                <w:color w:val="auto"/>
                <w:highlight w:val="none"/>
                <w:lang w:val="en-US" w:eastAsia="zh-CN"/>
              </w:rPr>
            </w:pPr>
            <w:r>
              <w:rPr>
                <w:rFonts w:hint="eastAsia"/>
                <w:b/>
                <w:bCs w:val="0"/>
                <w:color w:val="auto"/>
                <w:highlight w:val="none"/>
                <w:lang w:val="en-US" w:eastAsia="zh-CN"/>
              </w:rPr>
              <w:t>1.考核分总分为100分，实际得分90分以上为优秀，80分至89分为良好，60分至79分为合格，59分以下为不合格；当月考核合格，采购人则按合同月服务费扣除合计扣款后按实际金额支付服务费，如有一次不合格，采购人将对成交人进行约谈，在合计扣款的基础上同时扣500元服务费；如一年出现3次（含）以上不合格，采购人有权单方面终止合同。</w:t>
            </w:r>
          </w:p>
          <w:p w14:paraId="01C55BF0">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2.保卫科于每月月初（五个工作日内）对上月的安保服务工作进行考核，考核结果经保安公司负责人确认后生效；</w:t>
            </w:r>
          </w:p>
          <w:p w14:paraId="08318132">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ascii="宋体" w:hAnsi="宋体" w:eastAsia="宋体" w:cs="宋体"/>
                <w:b/>
                <w:bCs/>
                <w:color w:val="auto"/>
                <w:sz w:val="21"/>
                <w:szCs w:val="21"/>
                <w:highlight w:val="none"/>
              </w:rPr>
              <w:t>每个月考核所扣罚的费用，应从当月的服务费用中扣除。</w:t>
            </w:r>
            <w:r>
              <w:rPr>
                <w:rFonts w:hint="eastAsia" w:ascii="宋体" w:hAnsi="宋体" w:cs="宋体"/>
                <w:b/>
                <w:bCs/>
                <w:color w:val="auto"/>
                <w:sz w:val="21"/>
                <w:szCs w:val="21"/>
                <w:highlight w:val="none"/>
                <w:lang w:eastAsia="zh-CN"/>
              </w:rPr>
              <w:t>即当月实际服务费＝合同每月应付服务费－扣罚费用；财务科按当月实际服务费支付。</w:t>
            </w:r>
          </w:p>
        </w:tc>
      </w:tr>
      <w:tr w14:paraId="04C00C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trPr>
        <w:tc>
          <w:tcPr>
            <w:tcW w:w="2880" w:type="pct"/>
            <w:gridSpan w:val="2"/>
            <w:tcBorders>
              <w:tl2br w:val="nil"/>
              <w:tr2bl w:val="nil"/>
            </w:tcBorders>
            <w:noWrap w:val="0"/>
            <w:vAlign w:val="center"/>
          </w:tcPr>
          <w:p w14:paraId="275C9873">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医院考核方签名：</w:t>
            </w:r>
          </w:p>
          <w:p w14:paraId="462D4D76">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szCs w:val="21"/>
                <w:u w:val="none"/>
                <w:lang w:eastAsia="zh-CN"/>
              </w:rPr>
            </w:pPr>
          </w:p>
          <w:p w14:paraId="1331C414">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　　　　　　　　　　　　　　　　　　年　月　日</w:t>
            </w:r>
          </w:p>
        </w:tc>
        <w:tc>
          <w:tcPr>
            <w:tcW w:w="2119" w:type="pct"/>
            <w:gridSpan w:val="4"/>
            <w:tcBorders>
              <w:tl2br w:val="nil"/>
              <w:tr2bl w:val="nil"/>
            </w:tcBorders>
            <w:noWrap w:val="0"/>
            <w:vAlign w:val="center"/>
          </w:tcPr>
          <w:p w14:paraId="27A5B2F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保安公司意见：</w:t>
            </w:r>
          </w:p>
          <w:p w14:paraId="0413DFC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Times New Roman"/>
                <w:b/>
                <w:bCs/>
                <w:szCs w:val="21"/>
                <w:u w:val="none"/>
                <w:lang w:eastAsia="zh-CN"/>
              </w:rPr>
            </w:pPr>
          </w:p>
          <w:p w14:paraId="364BE1E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　　　　　　　　　　年　　月　　日</w:t>
            </w:r>
          </w:p>
        </w:tc>
      </w:tr>
    </w:tbl>
    <w:p w14:paraId="1809C633">
      <w:pPr>
        <w:spacing w:before="33"/>
        <w:ind w:firstLine="1890" w:firstLineChars="900"/>
        <w:rPr>
          <w:rFonts w:hint="eastAsia" w:ascii="宋体" w:hAnsi="宋体" w:eastAsia="宋体" w:cs="宋体"/>
          <w:b w:val="0"/>
          <w:bCs/>
          <w:color w:val="auto"/>
          <w:sz w:val="21"/>
          <w:szCs w:val="21"/>
        </w:rPr>
      </w:pPr>
    </w:p>
    <w:p w14:paraId="1AC9F8B2">
      <w:pPr>
        <w:spacing w:line="330" w:lineRule="exact"/>
        <w:ind w:right="794"/>
        <w:jc w:val="center"/>
        <w:rPr>
          <w:rFonts w:hint="eastAsia" w:ascii="宋体" w:hAnsi="宋体" w:eastAsia="宋体" w:cs="宋体"/>
          <w:b/>
          <w:color w:val="FF0000"/>
          <w:sz w:val="21"/>
          <w:szCs w:val="21"/>
        </w:rPr>
      </w:pPr>
    </w:p>
    <w:p w14:paraId="68665AE8">
      <w:pPr>
        <w:pStyle w:val="9"/>
        <w:rPr>
          <w:rFonts w:hint="eastAsia" w:ascii="宋体" w:hAnsi="宋体" w:eastAsia="宋体" w:cs="宋体"/>
          <w:color w:val="FF0000"/>
          <w:sz w:val="21"/>
          <w:szCs w:val="21"/>
        </w:rPr>
      </w:pPr>
    </w:p>
    <w:p w14:paraId="3B4D637F">
      <w:pPr>
        <w:tabs>
          <w:tab w:val="left" w:pos="1286"/>
        </w:tabs>
        <w:spacing w:before="55"/>
        <w:ind w:right="576"/>
        <w:jc w:val="center"/>
        <w:outlineLvl w:val="0"/>
        <w:rPr>
          <w:rFonts w:hint="eastAsia" w:ascii="宋体" w:hAnsi="宋体" w:eastAsia="宋体" w:cs="宋体"/>
          <w:b/>
          <w:color w:val="FF0000"/>
          <w:sz w:val="36"/>
          <w:szCs w:val="36"/>
        </w:rPr>
      </w:pPr>
    </w:p>
    <w:p w14:paraId="486608BC">
      <w:pPr>
        <w:tabs>
          <w:tab w:val="left" w:pos="1286"/>
        </w:tabs>
        <w:spacing w:before="55"/>
        <w:ind w:right="576"/>
        <w:jc w:val="center"/>
        <w:outlineLvl w:val="0"/>
        <w:rPr>
          <w:rFonts w:hint="eastAsia" w:ascii="宋体" w:hAnsi="宋体" w:eastAsia="宋体" w:cs="宋体"/>
          <w:b/>
          <w:color w:val="auto"/>
          <w:sz w:val="36"/>
          <w:szCs w:val="36"/>
        </w:rPr>
      </w:pPr>
    </w:p>
    <w:p w14:paraId="07FD037A">
      <w:pPr>
        <w:tabs>
          <w:tab w:val="left" w:pos="1286"/>
        </w:tabs>
        <w:spacing w:before="55"/>
        <w:ind w:right="576"/>
        <w:jc w:val="center"/>
        <w:outlineLvl w:val="0"/>
        <w:rPr>
          <w:rFonts w:hint="eastAsia" w:ascii="宋体" w:hAnsi="宋体" w:eastAsia="宋体" w:cs="宋体"/>
          <w:b/>
          <w:color w:val="auto"/>
          <w:sz w:val="36"/>
          <w:szCs w:val="36"/>
        </w:rPr>
      </w:pPr>
    </w:p>
    <w:p w14:paraId="3C385140">
      <w:pPr>
        <w:tabs>
          <w:tab w:val="left" w:pos="1286"/>
        </w:tabs>
        <w:spacing w:before="55"/>
        <w:ind w:right="576"/>
        <w:jc w:val="center"/>
        <w:outlineLvl w:val="0"/>
        <w:rPr>
          <w:rFonts w:hint="eastAsia" w:ascii="宋体" w:hAnsi="宋体" w:eastAsia="宋体" w:cs="宋体"/>
          <w:b/>
          <w:color w:val="auto"/>
          <w:sz w:val="36"/>
          <w:szCs w:val="36"/>
        </w:rPr>
      </w:pPr>
    </w:p>
    <w:p w14:paraId="6CD8EBF3">
      <w:pPr>
        <w:tabs>
          <w:tab w:val="left" w:pos="1286"/>
        </w:tabs>
        <w:spacing w:before="55"/>
        <w:ind w:right="576"/>
        <w:jc w:val="center"/>
        <w:outlineLvl w:val="0"/>
        <w:rPr>
          <w:rFonts w:hint="eastAsia" w:ascii="宋体" w:hAnsi="宋体" w:eastAsia="宋体" w:cs="宋体"/>
          <w:b/>
          <w:color w:val="auto"/>
          <w:sz w:val="36"/>
          <w:szCs w:val="36"/>
        </w:rPr>
      </w:pPr>
    </w:p>
    <w:p w14:paraId="0178E0DB">
      <w:pPr>
        <w:tabs>
          <w:tab w:val="left" w:pos="1286"/>
        </w:tabs>
        <w:spacing w:before="55"/>
        <w:ind w:right="576"/>
        <w:jc w:val="center"/>
        <w:outlineLvl w:val="0"/>
        <w:rPr>
          <w:rFonts w:hint="eastAsia" w:ascii="宋体" w:hAnsi="宋体" w:eastAsia="宋体" w:cs="宋体"/>
          <w:b/>
          <w:color w:val="auto"/>
          <w:sz w:val="36"/>
          <w:szCs w:val="36"/>
        </w:rPr>
      </w:pPr>
    </w:p>
    <w:p w14:paraId="343ED43B">
      <w:pPr>
        <w:tabs>
          <w:tab w:val="left" w:pos="1286"/>
        </w:tabs>
        <w:spacing w:before="55"/>
        <w:ind w:right="576"/>
        <w:jc w:val="center"/>
        <w:outlineLvl w:val="0"/>
        <w:rPr>
          <w:rFonts w:hint="eastAsia" w:ascii="宋体" w:hAnsi="宋体" w:eastAsia="宋体" w:cs="宋体"/>
          <w:b/>
          <w:color w:val="auto"/>
          <w:sz w:val="36"/>
          <w:szCs w:val="36"/>
        </w:rPr>
      </w:pPr>
    </w:p>
    <w:p w14:paraId="5926764D">
      <w:pPr>
        <w:tabs>
          <w:tab w:val="left" w:pos="1286"/>
        </w:tabs>
        <w:spacing w:before="55"/>
        <w:ind w:right="576"/>
        <w:jc w:val="center"/>
        <w:outlineLvl w:val="0"/>
        <w:rPr>
          <w:rFonts w:hint="eastAsia" w:ascii="宋体" w:hAnsi="宋体" w:eastAsia="宋体" w:cs="宋体"/>
          <w:b/>
          <w:color w:val="auto"/>
          <w:sz w:val="36"/>
          <w:szCs w:val="36"/>
        </w:rPr>
      </w:pPr>
    </w:p>
    <w:p w14:paraId="6375075C">
      <w:pPr>
        <w:tabs>
          <w:tab w:val="left" w:pos="1286"/>
        </w:tabs>
        <w:spacing w:before="55"/>
        <w:ind w:right="576"/>
        <w:jc w:val="center"/>
        <w:outlineLvl w:val="0"/>
        <w:rPr>
          <w:rFonts w:hint="eastAsia" w:ascii="宋体" w:hAnsi="宋体" w:eastAsia="宋体" w:cs="宋体"/>
          <w:b/>
          <w:color w:val="auto"/>
          <w:sz w:val="36"/>
          <w:szCs w:val="36"/>
        </w:rPr>
      </w:pPr>
    </w:p>
    <w:p w14:paraId="3BCA633A">
      <w:pPr>
        <w:tabs>
          <w:tab w:val="left" w:pos="1286"/>
        </w:tabs>
        <w:spacing w:before="55"/>
        <w:ind w:right="576"/>
        <w:jc w:val="center"/>
        <w:outlineLvl w:val="0"/>
        <w:rPr>
          <w:rFonts w:hint="eastAsia" w:ascii="宋体" w:hAnsi="宋体" w:eastAsia="宋体" w:cs="宋体"/>
          <w:b/>
          <w:color w:val="auto"/>
          <w:sz w:val="36"/>
          <w:szCs w:val="36"/>
        </w:rPr>
      </w:pPr>
    </w:p>
    <w:p w14:paraId="69A000E1">
      <w:pPr>
        <w:tabs>
          <w:tab w:val="left" w:pos="1286"/>
        </w:tabs>
        <w:spacing w:before="55"/>
        <w:ind w:right="576"/>
        <w:jc w:val="center"/>
        <w:outlineLvl w:val="0"/>
        <w:rPr>
          <w:rFonts w:hint="eastAsia" w:ascii="宋体" w:hAnsi="宋体" w:eastAsia="宋体" w:cs="宋体"/>
          <w:b/>
          <w:color w:val="auto"/>
          <w:sz w:val="36"/>
          <w:szCs w:val="36"/>
        </w:rPr>
      </w:pPr>
    </w:p>
    <w:p w14:paraId="2E729C6A">
      <w:pPr>
        <w:tabs>
          <w:tab w:val="left" w:pos="1286"/>
        </w:tabs>
        <w:spacing w:before="55"/>
        <w:ind w:right="576"/>
        <w:jc w:val="center"/>
        <w:outlineLvl w:val="0"/>
        <w:rPr>
          <w:rFonts w:hint="eastAsia" w:ascii="宋体" w:hAnsi="宋体" w:eastAsia="宋体" w:cs="宋体"/>
          <w:b/>
          <w:color w:val="auto"/>
          <w:sz w:val="36"/>
          <w:szCs w:val="36"/>
        </w:rPr>
      </w:pPr>
    </w:p>
    <w:p w14:paraId="5EC250F5">
      <w:pPr>
        <w:tabs>
          <w:tab w:val="left" w:pos="1286"/>
        </w:tabs>
        <w:spacing w:before="55"/>
        <w:ind w:right="576"/>
        <w:jc w:val="center"/>
        <w:outlineLvl w:val="0"/>
        <w:rPr>
          <w:rFonts w:hint="eastAsia" w:ascii="宋体" w:hAnsi="宋体" w:eastAsia="宋体" w:cs="宋体"/>
          <w:b/>
          <w:color w:val="auto"/>
          <w:sz w:val="36"/>
          <w:szCs w:val="36"/>
        </w:rPr>
      </w:pPr>
    </w:p>
    <w:p w14:paraId="2355E76F">
      <w:pPr>
        <w:tabs>
          <w:tab w:val="left" w:pos="1286"/>
        </w:tabs>
        <w:spacing w:before="55"/>
        <w:ind w:right="576"/>
        <w:jc w:val="center"/>
        <w:outlineLvl w:val="0"/>
        <w:rPr>
          <w:rFonts w:hint="eastAsia" w:ascii="宋体" w:hAnsi="宋体" w:eastAsia="宋体" w:cs="宋体"/>
          <w:b/>
          <w:color w:val="auto"/>
          <w:sz w:val="36"/>
          <w:szCs w:val="36"/>
        </w:rPr>
      </w:pPr>
    </w:p>
    <w:p w14:paraId="7A72EDBC">
      <w:pPr>
        <w:tabs>
          <w:tab w:val="left" w:pos="1286"/>
        </w:tabs>
        <w:spacing w:before="55"/>
        <w:ind w:right="576"/>
        <w:jc w:val="center"/>
        <w:outlineLvl w:val="0"/>
        <w:rPr>
          <w:rFonts w:hint="eastAsia" w:ascii="宋体" w:hAnsi="宋体" w:eastAsia="宋体" w:cs="宋体"/>
          <w:b/>
          <w:color w:val="auto"/>
          <w:sz w:val="36"/>
          <w:szCs w:val="36"/>
        </w:rPr>
      </w:pPr>
    </w:p>
    <w:p w14:paraId="123F61B9">
      <w:pPr>
        <w:tabs>
          <w:tab w:val="left" w:pos="1286"/>
        </w:tabs>
        <w:spacing w:before="55"/>
        <w:ind w:right="576"/>
        <w:jc w:val="center"/>
        <w:outlineLvl w:val="0"/>
        <w:rPr>
          <w:rFonts w:hint="eastAsia" w:ascii="宋体" w:hAnsi="宋体" w:eastAsia="宋体" w:cs="宋体"/>
          <w:b/>
          <w:color w:val="auto"/>
          <w:sz w:val="36"/>
          <w:szCs w:val="36"/>
        </w:rPr>
      </w:pPr>
    </w:p>
    <w:p w14:paraId="20434ED4">
      <w:pPr>
        <w:tabs>
          <w:tab w:val="left" w:pos="1286"/>
        </w:tabs>
        <w:spacing w:before="55"/>
        <w:ind w:right="576"/>
        <w:jc w:val="center"/>
        <w:outlineLvl w:val="0"/>
        <w:rPr>
          <w:rFonts w:hint="eastAsia" w:ascii="宋体" w:hAnsi="宋体" w:eastAsia="宋体" w:cs="宋体"/>
          <w:b/>
          <w:color w:val="auto"/>
          <w:sz w:val="36"/>
          <w:szCs w:val="36"/>
        </w:rPr>
      </w:pPr>
    </w:p>
    <w:p w14:paraId="4EF7511E">
      <w:pPr>
        <w:tabs>
          <w:tab w:val="left" w:pos="1286"/>
        </w:tabs>
        <w:spacing w:before="55"/>
        <w:ind w:right="576"/>
        <w:jc w:val="center"/>
        <w:outlineLvl w:val="0"/>
        <w:rPr>
          <w:rFonts w:hint="eastAsia" w:ascii="宋体" w:hAnsi="宋体" w:eastAsia="宋体" w:cs="宋体"/>
          <w:b/>
          <w:color w:val="auto"/>
          <w:sz w:val="36"/>
          <w:szCs w:val="36"/>
        </w:rPr>
      </w:pPr>
    </w:p>
    <w:p w14:paraId="38517F99">
      <w:pPr>
        <w:tabs>
          <w:tab w:val="left" w:pos="1286"/>
        </w:tabs>
        <w:spacing w:before="55"/>
        <w:ind w:right="576"/>
        <w:jc w:val="center"/>
        <w:outlineLvl w:val="0"/>
        <w:rPr>
          <w:rFonts w:hint="eastAsia" w:ascii="宋体" w:hAnsi="宋体" w:eastAsia="宋体" w:cs="宋体"/>
          <w:b/>
          <w:color w:val="auto"/>
          <w:sz w:val="36"/>
          <w:szCs w:val="36"/>
        </w:rPr>
      </w:pPr>
    </w:p>
    <w:p w14:paraId="651463C8">
      <w:pPr>
        <w:tabs>
          <w:tab w:val="left" w:pos="1286"/>
        </w:tabs>
        <w:spacing w:before="55"/>
        <w:ind w:right="576"/>
        <w:jc w:val="center"/>
        <w:outlineLvl w:val="0"/>
        <w:rPr>
          <w:rFonts w:hint="eastAsia" w:ascii="宋体" w:hAnsi="宋体" w:eastAsia="宋体" w:cs="宋体"/>
          <w:b/>
          <w:color w:val="auto"/>
          <w:sz w:val="36"/>
          <w:szCs w:val="36"/>
        </w:rPr>
      </w:pPr>
    </w:p>
    <w:p w14:paraId="7896863B">
      <w:pPr>
        <w:tabs>
          <w:tab w:val="left" w:pos="1286"/>
        </w:tabs>
        <w:spacing w:before="55"/>
        <w:ind w:right="576"/>
        <w:jc w:val="center"/>
        <w:outlineLvl w:val="0"/>
        <w:rPr>
          <w:rFonts w:hint="eastAsia" w:ascii="宋体" w:hAnsi="宋体" w:eastAsia="宋体" w:cs="宋体"/>
          <w:b/>
          <w:color w:val="auto"/>
          <w:sz w:val="36"/>
          <w:szCs w:val="36"/>
        </w:rPr>
      </w:pPr>
    </w:p>
    <w:p w14:paraId="7E64DCF0">
      <w:pPr>
        <w:tabs>
          <w:tab w:val="left" w:pos="1286"/>
        </w:tabs>
        <w:spacing w:before="55"/>
        <w:ind w:right="576"/>
        <w:jc w:val="center"/>
        <w:outlineLvl w:val="0"/>
        <w:rPr>
          <w:rFonts w:hint="eastAsia" w:ascii="宋体" w:hAnsi="宋体" w:eastAsia="宋体" w:cs="宋体"/>
          <w:b/>
          <w:color w:val="auto"/>
          <w:sz w:val="36"/>
          <w:szCs w:val="36"/>
        </w:rPr>
      </w:pPr>
    </w:p>
    <w:p w14:paraId="09F1EB59">
      <w:pPr>
        <w:tabs>
          <w:tab w:val="left" w:pos="1286"/>
        </w:tabs>
        <w:spacing w:before="55"/>
        <w:ind w:right="576"/>
        <w:jc w:val="both"/>
        <w:outlineLvl w:val="0"/>
        <w:rPr>
          <w:rFonts w:hint="eastAsia" w:ascii="宋体" w:hAnsi="宋体" w:eastAsia="宋体" w:cs="宋体"/>
          <w:b/>
          <w:color w:val="auto"/>
          <w:sz w:val="36"/>
          <w:szCs w:val="36"/>
        </w:rPr>
      </w:pPr>
    </w:p>
    <w:p w14:paraId="4A74BA62">
      <w:pPr>
        <w:tabs>
          <w:tab w:val="left" w:pos="1286"/>
        </w:tabs>
        <w:spacing w:before="55"/>
        <w:ind w:right="576"/>
        <w:jc w:val="center"/>
        <w:outlineLvl w:val="0"/>
        <w:rPr>
          <w:rFonts w:ascii="宋体" w:hAnsi="宋体" w:eastAsia="宋体" w:cs="宋体"/>
          <w:b/>
          <w:color w:val="auto"/>
          <w:sz w:val="36"/>
          <w:szCs w:val="36"/>
        </w:rPr>
      </w:pPr>
      <w:r>
        <w:rPr>
          <w:rFonts w:hint="eastAsia" w:ascii="宋体" w:hAnsi="宋体" w:eastAsia="宋体" w:cs="宋体"/>
          <w:b/>
          <w:color w:val="auto"/>
          <w:sz w:val="36"/>
          <w:szCs w:val="36"/>
        </w:rPr>
        <w:t>第四章</w:t>
      </w:r>
      <w:r>
        <w:rPr>
          <w:rFonts w:hint="eastAsia" w:ascii="宋体" w:hAnsi="宋体" w:eastAsia="宋体" w:cs="宋体"/>
          <w:b/>
          <w:color w:val="auto"/>
          <w:sz w:val="36"/>
          <w:szCs w:val="36"/>
          <w:lang w:val="en-US"/>
        </w:rPr>
        <w:t xml:space="preserve">  </w:t>
      </w:r>
      <w:r>
        <w:rPr>
          <w:rFonts w:hint="eastAsia" w:ascii="宋体" w:hAnsi="宋体" w:eastAsia="宋体" w:cs="宋体"/>
          <w:b/>
          <w:color w:val="auto"/>
          <w:sz w:val="36"/>
          <w:szCs w:val="36"/>
        </w:rPr>
        <w:t>竞争性磋商响应文件格式</w:t>
      </w:r>
    </w:p>
    <w:p w14:paraId="395138DC">
      <w:pPr>
        <w:pStyle w:val="9"/>
        <w:rPr>
          <w:rFonts w:ascii="宋体" w:hAnsi="宋体" w:eastAsia="宋体" w:cs="宋体"/>
          <w:b/>
          <w:color w:val="auto"/>
          <w:sz w:val="24"/>
          <w:szCs w:val="24"/>
        </w:rPr>
      </w:pPr>
    </w:p>
    <w:p w14:paraId="189F3067">
      <w:pPr>
        <w:pStyle w:val="9"/>
        <w:rPr>
          <w:rFonts w:ascii="宋体" w:hAnsi="宋体" w:eastAsia="宋体" w:cs="宋体"/>
          <w:b/>
          <w:color w:val="auto"/>
          <w:sz w:val="24"/>
          <w:szCs w:val="24"/>
        </w:rPr>
      </w:pPr>
    </w:p>
    <w:p w14:paraId="13BB7365">
      <w:pPr>
        <w:pStyle w:val="9"/>
        <w:rPr>
          <w:rFonts w:ascii="宋体" w:hAnsi="宋体" w:eastAsia="宋体" w:cs="宋体"/>
          <w:b/>
          <w:color w:val="auto"/>
          <w:sz w:val="24"/>
          <w:szCs w:val="24"/>
        </w:rPr>
      </w:pPr>
    </w:p>
    <w:p w14:paraId="5DA8806C">
      <w:pPr>
        <w:pStyle w:val="9"/>
        <w:spacing w:before="10"/>
        <w:rPr>
          <w:rFonts w:ascii="宋体" w:hAnsi="宋体" w:eastAsia="宋体" w:cs="宋体"/>
          <w:b/>
          <w:color w:val="auto"/>
          <w:sz w:val="24"/>
          <w:szCs w:val="24"/>
        </w:rPr>
      </w:pPr>
    </w:p>
    <w:p w14:paraId="495ABA38">
      <w:pPr>
        <w:snapToGrid w:val="0"/>
        <w:spacing w:before="120" w:beforeLines="50" w:after="50" w:line="360" w:lineRule="exact"/>
        <w:ind w:firstLine="422" w:firstLineChars="200"/>
        <w:rPr>
          <w:rFonts w:ascii="宋体" w:hAnsi="宋体" w:eastAsia="宋体" w:cs="宋体"/>
          <w:b/>
          <w:color w:val="auto"/>
          <w:sz w:val="21"/>
          <w:szCs w:val="21"/>
        </w:rPr>
      </w:pPr>
      <w:bookmarkStart w:id="58" w:name="附件一_"/>
      <w:bookmarkEnd w:id="58"/>
      <w:r>
        <w:rPr>
          <w:rFonts w:hint="eastAsia" w:ascii="宋体" w:hAnsi="宋体" w:eastAsia="宋体" w:cs="宋体"/>
          <w:b/>
          <w:color w:val="auto"/>
          <w:sz w:val="21"/>
          <w:szCs w:val="21"/>
        </w:rPr>
        <w:t xml:space="preserve">（一）. 竞争性磋商响应文件的封面格式： </w:t>
      </w:r>
    </w:p>
    <w:p w14:paraId="5519EF04">
      <w:pPr>
        <w:snapToGrid w:val="0"/>
        <w:spacing w:before="120" w:beforeLines="50" w:after="50" w:line="360" w:lineRule="exact"/>
        <w:rPr>
          <w:rFonts w:ascii="宋体" w:hAnsi="宋体" w:eastAsia="宋体" w:cs="宋体"/>
          <w:color w:val="auto"/>
          <w:sz w:val="21"/>
          <w:szCs w:val="21"/>
        </w:rPr>
      </w:pPr>
    </w:p>
    <w:p w14:paraId="55AF518B">
      <w:pPr>
        <w:snapToGrid w:val="0"/>
        <w:spacing w:before="120" w:beforeLines="50" w:after="50"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竞争性磋商响应文件</w:t>
      </w:r>
    </w:p>
    <w:p w14:paraId="1CF09676">
      <w:pPr>
        <w:snapToGrid w:val="0"/>
        <w:spacing w:before="120" w:beforeLines="50" w:after="50" w:line="360" w:lineRule="exact"/>
        <w:ind w:firstLine="840" w:firstLineChars="400"/>
        <w:rPr>
          <w:rFonts w:ascii="宋体" w:hAnsi="宋体" w:eastAsia="宋体" w:cs="宋体"/>
          <w:bCs/>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bCs/>
          <w:color w:val="auto"/>
          <w:sz w:val="21"/>
          <w:szCs w:val="21"/>
        </w:rPr>
        <w:t>：</w:t>
      </w:r>
    </w:p>
    <w:p w14:paraId="0E431C54">
      <w:pPr>
        <w:snapToGrid w:val="0"/>
        <w:spacing w:before="120" w:beforeLines="50" w:after="50" w:line="360" w:lineRule="exact"/>
        <w:ind w:firstLine="840" w:firstLineChars="400"/>
        <w:rPr>
          <w:rFonts w:ascii="宋体" w:hAnsi="宋体" w:eastAsia="宋体" w:cs="宋体"/>
          <w:bCs/>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bCs/>
          <w:color w:val="auto"/>
          <w:sz w:val="21"/>
          <w:szCs w:val="21"/>
        </w:rPr>
        <w:t>：</w:t>
      </w:r>
    </w:p>
    <w:p w14:paraId="71410668">
      <w:pPr>
        <w:pStyle w:val="7"/>
        <w:snapToGrid w:val="0"/>
        <w:spacing w:before="50" w:after="50" w:line="440" w:lineRule="exact"/>
        <w:ind w:firstLine="840" w:firstLineChars="400"/>
        <w:rPr>
          <w:rFonts w:ascii="宋体" w:hAnsi="宋体" w:eastAsia="宋体" w:cs="宋体"/>
          <w:bCs/>
          <w:color w:val="auto"/>
          <w:sz w:val="21"/>
          <w:szCs w:val="21"/>
        </w:rPr>
      </w:pPr>
      <w:r>
        <w:rPr>
          <w:rFonts w:hint="eastAsia" w:ascii="宋体" w:hAnsi="宋体" w:eastAsia="宋体" w:cs="宋体"/>
          <w:color w:val="auto"/>
          <w:sz w:val="21"/>
          <w:szCs w:val="21"/>
        </w:rPr>
        <w:t>磋商供应商名称</w:t>
      </w:r>
      <w:r>
        <w:rPr>
          <w:rFonts w:hint="eastAsia" w:ascii="宋体" w:hAnsi="宋体" w:eastAsia="宋体" w:cs="宋体"/>
          <w:bCs/>
          <w:color w:val="auto"/>
          <w:sz w:val="21"/>
          <w:szCs w:val="21"/>
        </w:rPr>
        <w:t>：</w:t>
      </w:r>
    </w:p>
    <w:p w14:paraId="4A084C9A">
      <w:pPr>
        <w:pStyle w:val="7"/>
        <w:snapToGrid w:val="0"/>
        <w:spacing w:before="50" w:after="50" w:line="360" w:lineRule="exact"/>
        <w:ind w:firstLine="840" w:firstLineChars="400"/>
        <w:rPr>
          <w:rFonts w:ascii="宋体" w:hAnsi="宋体" w:eastAsia="宋体" w:cs="宋体"/>
          <w:bCs/>
          <w:color w:val="auto"/>
          <w:sz w:val="21"/>
          <w:szCs w:val="21"/>
        </w:rPr>
      </w:pPr>
      <w:r>
        <w:rPr>
          <w:rFonts w:hint="eastAsia" w:ascii="宋体" w:hAnsi="宋体" w:eastAsia="宋体" w:cs="宋体"/>
          <w:bCs/>
          <w:color w:val="auto"/>
          <w:sz w:val="21"/>
          <w:szCs w:val="21"/>
        </w:rPr>
        <w:t>（截标时才能启封）</w:t>
      </w:r>
    </w:p>
    <w:p w14:paraId="723D220F">
      <w:pPr>
        <w:pStyle w:val="7"/>
        <w:snapToGrid w:val="0"/>
        <w:spacing w:before="50" w:after="50" w:line="360" w:lineRule="exact"/>
        <w:ind w:firstLine="630" w:firstLineChars="300"/>
        <w:rPr>
          <w:rFonts w:ascii="宋体" w:hAnsi="宋体" w:eastAsia="宋体" w:cs="宋体"/>
          <w:bCs/>
          <w:color w:val="auto"/>
          <w:sz w:val="21"/>
          <w:szCs w:val="21"/>
        </w:rPr>
      </w:pPr>
    </w:p>
    <w:p w14:paraId="58B1D95C">
      <w:pPr>
        <w:snapToGrid w:val="0"/>
        <w:spacing w:before="120" w:beforeLines="50" w:after="50" w:line="36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 xml:space="preserve">（二）. 竞争性磋商响应文件封面格式： </w:t>
      </w:r>
    </w:p>
    <w:p w14:paraId="7DDFE1C2">
      <w:pPr>
        <w:snapToGrid w:val="0"/>
        <w:spacing w:before="120" w:beforeLines="50" w:after="50" w:line="360" w:lineRule="exact"/>
        <w:ind w:left="6300" w:hanging="6300" w:hangingChars="3000"/>
        <w:rPr>
          <w:rFonts w:ascii="宋体" w:hAnsi="宋体" w:eastAsia="宋体" w:cs="宋体"/>
          <w:bCs/>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（正/副本）</w:t>
      </w:r>
    </w:p>
    <w:p w14:paraId="3923D00E">
      <w:pPr>
        <w:snapToGrid w:val="0"/>
        <w:spacing w:before="120" w:beforeLines="50" w:after="50" w:line="360" w:lineRule="exact"/>
        <w:ind w:firstLine="1669" w:firstLineChars="795"/>
        <w:rPr>
          <w:rFonts w:ascii="宋体" w:hAnsi="宋体" w:eastAsia="宋体" w:cs="宋体"/>
          <w:bCs/>
          <w:color w:val="auto"/>
          <w:sz w:val="21"/>
          <w:szCs w:val="21"/>
        </w:rPr>
      </w:pPr>
      <w:r>
        <w:rPr>
          <w:rFonts w:hint="eastAsia" w:ascii="宋体" w:hAnsi="宋体" w:eastAsia="宋体" w:cs="宋体"/>
          <w:color w:val="auto"/>
          <w:sz w:val="21"/>
          <w:szCs w:val="21"/>
        </w:rPr>
        <w:t>竞争性磋商响应文件（封面）</w:t>
      </w:r>
    </w:p>
    <w:p w14:paraId="0A198050">
      <w:pPr>
        <w:spacing w:line="500" w:lineRule="exact"/>
        <w:ind w:firstLine="420" w:firstLineChars="200"/>
        <w:rPr>
          <w:rFonts w:ascii="宋体" w:hAnsi="宋体" w:eastAsia="宋体" w:cs="宋体"/>
          <w:color w:val="auto"/>
          <w:sz w:val="21"/>
          <w:szCs w:val="21"/>
        </w:rPr>
      </w:pPr>
    </w:p>
    <w:p w14:paraId="278BB890">
      <w:pPr>
        <w:spacing w:line="500" w:lineRule="exact"/>
        <w:ind w:firstLine="840" w:firstLineChars="400"/>
        <w:rPr>
          <w:rFonts w:ascii="宋体" w:hAnsi="宋体" w:eastAsia="宋体" w:cs="宋体"/>
          <w:color w:val="auto"/>
          <w:sz w:val="21"/>
          <w:szCs w:val="21"/>
          <w:u w:val="single"/>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6BE77D7C">
      <w:pPr>
        <w:snapToGrid w:val="0"/>
        <w:spacing w:before="120" w:beforeLines="50" w:after="50" w:line="360" w:lineRule="exact"/>
        <w:ind w:firstLine="840" w:firstLineChars="400"/>
        <w:rPr>
          <w:rFonts w:ascii="宋体" w:hAnsi="宋体" w:eastAsia="宋体" w:cs="宋体"/>
          <w:color w:val="auto"/>
          <w:sz w:val="21"/>
          <w:szCs w:val="21"/>
          <w:u w:val="single"/>
        </w:rPr>
      </w:pPr>
      <w:r>
        <w:rPr>
          <w:rFonts w:hint="eastAsia" w:ascii="宋体" w:hAnsi="宋体" w:eastAsia="宋体" w:cs="宋体"/>
          <w:color w:val="auto"/>
          <w:sz w:val="21"/>
          <w:szCs w:val="21"/>
        </w:rPr>
        <w:t>项目编号</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19029CEA">
      <w:pPr>
        <w:snapToGrid w:val="0"/>
        <w:spacing w:before="120" w:beforeLines="50" w:after="50" w:line="360" w:lineRule="exact"/>
        <w:ind w:firstLine="840" w:firstLineChars="400"/>
        <w:rPr>
          <w:rFonts w:ascii="宋体" w:hAnsi="宋体" w:eastAsia="宋体" w:cs="宋体"/>
          <w:bCs/>
          <w:color w:val="auto"/>
          <w:sz w:val="21"/>
          <w:szCs w:val="21"/>
        </w:rPr>
      </w:pPr>
      <w:r>
        <w:rPr>
          <w:rFonts w:hint="eastAsia" w:ascii="宋体" w:hAnsi="宋体" w:eastAsia="宋体" w:cs="宋体"/>
          <w:color w:val="auto"/>
          <w:sz w:val="21"/>
          <w:szCs w:val="21"/>
        </w:rPr>
        <w:t>磋商供应商名称</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p>
    <w:p w14:paraId="0D30DFD2">
      <w:pPr>
        <w:spacing w:line="50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                      </w:t>
      </w:r>
    </w:p>
    <w:p w14:paraId="25C4B63B">
      <w:pPr>
        <w:snapToGrid w:val="0"/>
        <w:spacing w:before="120" w:beforeLines="50" w:after="50"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 xml:space="preserve">                   </w:t>
      </w:r>
    </w:p>
    <w:p w14:paraId="7E1AF37B">
      <w:pPr>
        <w:snapToGrid w:val="0"/>
        <w:spacing w:before="120" w:beforeLines="50" w:after="50" w:line="360" w:lineRule="exact"/>
        <w:jc w:val="center"/>
        <w:outlineLvl w:val="1"/>
        <w:rPr>
          <w:rFonts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560EAAD3">
      <w:pPr>
        <w:rPr>
          <w:rFonts w:ascii="宋体" w:hAnsi="宋体" w:eastAsia="宋体" w:cs="宋体"/>
          <w:b/>
          <w:color w:val="auto"/>
          <w:sz w:val="21"/>
          <w:szCs w:val="21"/>
        </w:rPr>
      </w:pPr>
      <w:r>
        <w:rPr>
          <w:rFonts w:hint="eastAsia" w:ascii="宋体" w:hAnsi="宋体" w:eastAsia="宋体" w:cs="宋体"/>
          <w:b/>
          <w:color w:val="auto"/>
          <w:sz w:val="21"/>
          <w:szCs w:val="21"/>
        </w:rPr>
        <w:br w:type="page"/>
      </w:r>
    </w:p>
    <w:p w14:paraId="73AE103E">
      <w:pPr>
        <w:spacing w:line="520" w:lineRule="exact"/>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 xml:space="preserve">附件1 </w:t>
      </w:r>
    </w:p>
    <w:p w14:paraId="6ED54DAA">
      <w:pPr>
        <w:spacing w:line="520" w:lineRule="exact"/>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磋商报价表</w:t>
      </w:r>
    </w:p>
    <w:p w14:paraId="0B6D4A58">
      <w:pPr>
        <w:pStyle w:val="9"/>
        <w:rPr>
          <w:rFonts w:ascii="宋体" w:hAnsi="宋体" w:eastAsia="宋体" w:cs="宋体"/>
          <w:b/>
          <w:color w:val="auto"/>
          <w:sz w:val="21"/>
          <w:szCs w:val="21"/>
        </w:rPr>
      </w:pPr>
    </w:p>
    <w:p w14:paraId="19474F0E">
      <w:pPr>
        <w:pStyle w:val="9"/>
        <w:rPr>
          <w:rFonts w:ascii="宋体" w:hAnsi="宋体" w:eastAsia="宋体" w:cs="宋体"/>
          <w:b/>
          <w:color w:val="auto"/>
          <w:sz w:val="21"/>
          <w:szCs w:val="21"/>
        </w:rPr>
      </w:pPr>
    </w:p>
    <w:p w14:paraId="1D41839C">
      <w:pPr>
        <w:spacing w:before="67"/>
        <w:rPr>
          <w:rFonts w:ascii="宋体" w:hAnsi="宋体" w:eastAsia="宋体" w:cs="宋体"/>
          <w:color w:val="auto"/>
          <w:sz w:val="21"/>
          <w:szCs w:val="21"/>
        </w:rPr>
      </w:pPr>
    </w:p>
    <w:p w14:paraId="415EC129">
      <w:pPr>
        <w:spacing w:before="191" w:after="33"/>
        <w:ind w:left="372"/>
        <w:rPr>
          <w:rFonts w:ascii="宋体" w:hAnsi="宋体" w:eastAsia="宋体" w:cs="宋体"/>
          <w:color w:val="auto"/>
          <w:sz w:val="21"/>
          <w:szCs w:val="21"/>
        </w:rPr>
      </w:pPr>
      <w:r>
        <w:rPr>
          <w:rFonts w:hint="eastAsia" w:ascii="宋体" w:hAnsi="宋体" w:eastAsia="宋体" w:cs="宋体"/>
          <w:color w:val="auto"/>
          <w:sz w:val="21"/>
          <w:szCs w:val="21"/>
        </w:rPr>
        <w:t>采购项目名称:</w:t>
      </w:r>
    </w:p>
    <w:p w14:paraId="4A35DA73">
      <w:pPr>
        <w:spacing w:before="191" w:after="33"/>
        <w:ind w:left="372"/>
        <w:rPr>
          <w:rFonts w:ascii="宋体" w:hAnsi="宋体" w:eastAsia="宋体" w:cs="宋体"/>
          <w:color w:val="auto"/>
          <w:sz w:val="21"/>
          <w:szCs w:val="21"/>
        </w:rPr>
      </w:pPr>
      <w:r>
        <w:rPr>
          <w:rFonts w:hint="eastAsia" w:ascii="宋体" w:hAnsi="宋体" w:eastAsia="宋体" w:cs="宋体"/>
          <w:color w:val="auto"/>
          <w:sz w:val="21"/>
          <w:szCs w:val="21"/>
        </w:rPr>
        <w:t>采购项目编号:</w:t>
      </w:r>
    </w:p>
    <w:tbl>
      <w:tblPr>
        <w:tblStyle w:val="22"/>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809"/>
        <w:gridCol w:w="900"/>
        <w:gridCol w:w="885"/>
        <w:gridCol w:w="1875"/>
        <w:gridCol w:w="1860"/>
        <w:gridCol w:w="2429"/>
      </w:tblGrid>
      <w:tr w14:paraId="7D24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210" w:type="dxa"/>
            <w:gridSpan w:val="7"/>
            <w:tcBorders>
              <w:top w:val="single" w:color="auto" w:sz="4" w:space="0"/>
              <w:left w:val="single" w:color="auto" w:sz="4" w:space="0"/>
              <w:bottom w:val="single" w:color="auto" w:sz="4" w:space="0"/>
              <w:right w:val="single" w:color="auto" w:sz="4" w:space="0"/>
            </w:tcBorders>
            <w:vAlign w:val="center"/>
          </w:tcPr>
          <w:p w14:paraId="113ED053">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总价表</w:t>
            </w:r>
          </w:p>
        </w:tc>
      </w:tr>
      <w:tr w14:paraId="6ACD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52" w:type="dxa"/>
            <w:tcBorders>
              <w:top w:val="single" w:color="auto" w:sz="4" w:space="0"/>
              <w:left w:val="single" w:color="auto" w:sz="4" w:space="0"/>
              <w:bottom w:val="single" w:color="auto" w:sz="4" w:space="0"/>
              <w:right w:val="single" w:color="auto" w:sz="4" w:space="0"/>
            </w:tcBorders>
            <w:vAlign w:val="center"/>
          </w:tcPr>
          <w:p w14:paraId="3F9816DD">
            <w:pPr>
              <w:snapToGrid w:val="0"/>
              <w:spacing w:line="400" w:lineRule="exact"/>
              <w:jc w:val="center"/>
              <w:rPr>
                <w:rFonts w:ascii="宋体" w:hAnsi="宋体" w:eastAsia="宋体" w:cs="宋体"/>
                <w:color w:val="auto"/>
                <w:szCs w:val="21"/>
              </w:rPr>
            </w:pPr>
            <w:r>
              <w:rPr>
                <w:rFonts w:hint="eastAsia" w:ascii="宋体" w:hAnsi="宋体" w:eastAsia="宋体" w:cs="宋体"/>
                <w:color w:val="auto"/>
                <w:sz w:val="21"/>
                <w:szCs w:val="21"/>
              </w:rPr>
              <w:t>序号</w:t>
            </w:r>
          </w:p>
        </w:tc>
        <w:tc>
          <w:tcPr>
            <w:tcW w:w="1809" w:type="dxa"/>
            <w:tcBorders>
              <w:top w:val="single" w:color="auto" w:sz="4" w:space="0"/>
              <w:left w:val="single" w:color="auto" w:sz="4" w:space="0"/>
              <w:bottom w:val="single" w:color="auto" w:sz="4" w:space="0"/>
              <w:right w:val="single" w:color="auto" w:sz="4" w:space="0"/>
            </w:tcBorders>
            <w:vAlign w:val="center"/>
          </w:tcPr>
          <w:p w14:paraId="38B2484A">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3026E21D">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ascii="宋体" w:hAnsi="宋体" w:eastAsia="宋体" w:cs="宋体"/>
                <w:color w:val="auto"/>
                <w:szCs w:val="21"/>
              </w:rPr>
            </w:pPr>
            <w:r>
              <w:rPr>
                <w:rFonts w:hint="eastAsia" w:ascii="宋体" w:hAnsi="宋体" w:eastAsia="宋体" w:cs="宋体"/>
                <w:color w:val="auto"/>
                <w:sz w:val="21"/>
                <w:szCs w:val="21"/>
              </w:rPr>
              <w:t>数量</w:t>
            </w:r>
          </w:p>
        </w:tc>
        <w:tc>
          <w:tcPr>
            <w:tcW w:w="885" w:type="dxa"/>
            <w:tcBorders>
              <w:top w:val="single" w:color="auto" w:sz="4" w:space="0"/>
              <w:left w:val="single" w:color="auto" w:sz="4" w:space="0"/>
              <w:bottom w:val="single" w:color="auto" w:sz="4" w:space="0"/>
              <w:right w:val="single" w:color="auto" w:sz="4" w:space="0"/>
            </w:tcBorders>
            <w:vAlign w:val="center"/>
          </w:tcPr>
          <w:p w14:paraId="31586B9D">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单位</w:t>
            </w:r>
          </w:p>
        </w:tc>
        <w:tc>
          <w:tcPr>
            <w:tcW w:w="1875" w:type="dxa"/>
            <w:tcBorders>
              <w:top w:val="single" w:color="auto" w:sz="4" w:space="0"/>
              <w:left w:val="single" w:color="auto" w:sz="4" w:space="0"/>
              <w:bottom w:val="single" w:color="auto" w:sz="4" w:space="0"/>
              <w:right w:val="single" w:color="auto" w:sz="4" w:space="0"/>
            </w:tcBorders>
            <w:vAlign w:val="center"/>
          </w:tcPr>
          <w:p w14:paraId="28007BF9">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 w:val="21"/>
                <w:szCs w:val="21"/>
                <w:lang w:eastAsia="zh-CN"/>
              </w:rPr>
            </w:pPr>
            <w:r>
              <w:rPr>
                <w:rFonts w:hint="eastAsia" w:hAnsi="宋体" w:eastAsia="宋体" w:cs="宋体"/>
                <w:color w:val="auto"/>
                <w:sz w:val="21"/>
                <w:szCs w:val="21"/>
                <w:lang w:eastAsia="zh-CN"/>
              </w:rPr>
              <w:t>单价（元）</w:t>
            </w:r>
          </w:p>
        </w:tc>
        <w:tc>
          <w:tcPr>
            <w:tcW w:w="4289" w:type="dxa"/>
            <w:gridSpan w:val="2"/>
            <w:tcBorders>
              <w:top w:val="single" w:color="auto" w:sz="4" w:space="0"/>
              <w:left w:val="single" w:color="auto" w:sz="4" w:space="0"/>
              <w:bottom w:val="single" w:color="auto" w:sz="4" w:space="0"/>
              <w:right w:val="single" w:color="auto" w:sz="4" w:space="0"/>
            </w:tcBorders>
            <w:vAlign w:val="center"/>
          </w:tcPr>
          <w:p w14:paraId="3440D995">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Cs w:val="21"/>
                <w:lang w:eastAsia="zh-CN"/>
              </w:rPr>
            </w:pPr>
            <w:r>
              <w:rPr>
                <w:rFonts w:hint="eastAsia" w:ascii="宋体" w:hAnsi="宋体" w:eastAsia="宋体" w:cs="宋体"/>
                <w:bCs/>
                <w:color w:val="auto"/>
                <w:sz w:val="21"/>
                <w:szCs w:val="21"/>
                <w:lang w:eastAsia="zh-CN"/>
              </w:rPr>
              <w:t>备注</w:t>
            </w:r>
          </w:p>
        </w:tc>
      </w:tr>
      <w:tr w14:paraId="6F93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52" w:type="dxa"/>
            <w:tcBorders>
              <w:top w:val="single" w:color="auto" w:sz="4" w:space="0"/>
              <w:left w:val="single" w:color="auto" w:sz="4" w:space="0"/>
              <w:bottom w:val="single" w:color="auto" w:sz="4" w:space="0"/>
              <w:right w:val="single" w:color="auto" w:sz="4" w:space="0"/>
            </w:tcBorders>
            <w:vAlign w:val="center"/>
          </w:tcPr>
          <w:p w14:paraId="3B2CB087">
            <w:pPr>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1809" w:type="dxa"/>
            <w:tcBorders>
              <w:top w:val="single" w:color="auto" w:sz="4" w:space="0"/>
              <w:left w:val="single" w:color="auto" w:sz="4" w:space="0"/>
              <w:bottom w:val="single" w:color="auto" w:sz="4" w:space="0"/>
              <w:right w:val="single" w:color="auto" w:sz="4" w:space="0"/>
            </w:tcBorders>
            <w:vAlign w:val="center"/>
          </w:tcPr>
          <w:p w14:paraId="305A6BDF">
            <w:pPr>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lang w:eastAsia="zh-CN"/>
              </w:rPr>
              <w:t>保安服务采购</w:t>
            </w:r>
          </w:p>
        </w:tc>
        <w:tc>
          <w:tcPr>
            <w:tcW w:w="900" w:type="dxa"/>
            <w:tcBorders>
              <w:top w:val="single" w:color="auto" w:sz="4" w:space="0"/>
              <w:left w:val="single" w:color="auto" w:sz="4" w:space="0"/>
              <w:bottom w:val="single" w:color="auto" w:sz="4" w:space="0"/>
              <w:right w:val="single" w:color="auto" w:sz="4" w:space="0"/>
            </w:tcBorders>
            <w:vAlign w:val="center"/>
          </w:tcPr>
          <w:p w14:paraId="60ED4841">
            <w:pPr>
              <w:snapToGrid w:val="0"/>
              <w:spacing w:line="4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885" w:type="dxa"/>
            <w:tcBorders>
              <w:top w:val="single" w:color="auto" w:sz="4" w:space="0"/>
              <w:left w:val="single" w:color="auto" w:sz="4" w:space="0"/>
              <w:bottom w:val="single" w:color="auto" w:sz="4" w:space="0"/>
              <w:right w:val="single" w:color="auto" w:sz="4" w:space="0"/>
            </w:tcBorders>
            <w:vAlign w:val="center"/>
          </w:tcPr>
          <w:p w14:paraId="0C2FD4BD">
            <w:pPr>
              <w:snapToGrid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w:t>
            </w:r>
          </w:p>
        </w:tc>
        <w:tc>
          <w:tcPr>
            <w:tcW w:w="1875" w:type="dxa"/>
            <w:tcBorders>
              <w:top w:val="single" w:color="auto" w:sz="4" w:space="0"/>
              <w:left w:val="single" w:color="auto" w:sz="4" w:space="0"/>
              <w:bottom w:val="single" w:color="auto" w:sz="4" w:space="0"/>
              <w:right w:val="single" w:color="auto" w:sz="4" w:space="0"/>
            </w:tcBorders>
          </w:tcPr>
          <w:p w14:paraId="42FDEE9A">
            <w:pPr>
              <w:snapToGrid w:val="0"/>
              <w:spacing w:line="400" w:lineRule="exact"/>
              <w:jc w:val="center"/>
              <w:rPr>
                <w:rFonts w:hint="eastAsia" w:ascii="宋体" w:hAnsi="宋体" w:eastAsia="宋体" w:cs="宋体"/>
                <w:color w:val="auto"/>
                <w:szCs w:val="21"/>
                <w:lang w:eastAsia="zh-CN"/>
              </w:rPr>
            </w:pPr>
          </w:p>
        </w:tc>
        <w:tc>
          <w:tcPr>
            <w:tcW w:w="4289" w:type="dxa"/>
            <w:gridSpan w:val="2"/>
            <w:tcBorders>
              <w:top w:val="single" w:color="auto" w:sz="4" w:space="0"/>
              <w:left w:val="single" w:color="auto" w:sz="4" w:space="0"/>
              <w:bottom w:val="single" w:color="auto" w:sz="4" w:space="0"/>
              <w:right w:val="single" w:color="auto" w:sz="4" w:space="0"/>
            </w:tcBorders>
          </w:tcPr>
          <w:p w14:paraId="5B313C1E">
            <w:pPr>
              <w:snapToGrid w:val="0"/>
              <w:spacing w:line="400" w:lineRule="exact"/>
              <w:jc w:val="center"/>
              <w:rPr>
                <w:rFonts w:ascii="宋体" w:hAnsi="宋体" w:eastAsia="宋体" w:cs="宋体"/>
                <w:color w:val="auto"/>
                <w:szCs w:val="21"/>
              </w:rPr>
            </w:pPr>
          </w:p>
        </w:tc>
      </w:tr>
      <w:tr w14:paraId="7280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0210" w:type="dxa"/>
            <w:gridSpan w:val="7"/>
            <w:tcBorders>
              <w:top w:val="single" w:color="auto" w:sz="4" w:space="0"/>
              <w:left w:val="single" w:color="auto" w:sz="4" w:space="0"/>
              <w:bottom w:val="single" w:color="auto" w:sz="4" w:space="0"/>
              <w:right w:val="single" w:color="auto" w:sz="4" w:space="0"/>
            </w:tcBorders>
          </w:tcPr>
          <w:p w14:paraId="2594A644">
            <w:pPr>
              <w:snapToGrid w:val="0"/>
              <w:spacing w:line="400" w:lineRule="exact"/>
              <w:rPr>
                <w:rFonts w:ascii="宋体" w:hAnsi="宋体" w:eastAsia="宋体" w:cs="宋体"/>
                <w:color w:val="auto"/>
                <w:szCs w:val="21"/>
              </w:rPr>
            </w:pPr>
          </w:p>
          <w:p w14:paraId="38A8EFA2">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合计（大写）：                                小写：</w:t>
            </w:r>
            <w:r>
              <w:rPr>
                <w:rFonts w:hint="eastAsia" w:ascii="宋体" w:hAnsi="宋体" w:eastAsia="宋体" w:cs="宋体"/>
                <w:color w:val="auto"/>
                <w:szCs w:val="21"/>
                <w:lang w:eastAsia="zh-CN"/>
              </w:rPr>
              <w:t>￥</w:t>
            </w:r>
          </w:p>
        </w:tc>
      </w:tr>
      <w:tr w14:paraId="47B2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210" w:type="dxa"/>
            <w:gridSpan w:val="7"/>
            <w:tcBorders>
              <w:top w:val="single" w:color="auto" w:sz="4" w:space="0"/>
              <w:left w:val="single" w:color="auto" w:sz="4" w:space="0"/>
              <w:bottom w:val="single" w:color="auto" w:sz="4" w:space="0"/>
              <w:right w:val="single" w:color="auto" w:sz="4" w:space="0"/>
            </w:tcBorders>
          </w:tcPr>
          <w:p w14:paraId="71B7A38E">
            <w:pPr>
              <w:snapToGrid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明细表</w:t>
            </w:r>
          </w:p>
        </w:tc>
      </w:tr>
      <w:tr w14:paraId="6E71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52" w:type="dxa"/>
            <w:tcBorders>
              <w:top w:val="single" w:color="auto" w:sz="4" w:space="0"/>
              <w:left w:val="single" w:color="auto" w:sz="4" w:space="0"/>
              <w:bottom w:val="single" w:color="auto" w:sz="4" w:space="0"/>
              <w:right w:val="single" w:color="auto" w:sz="4" w:space="0"/>
            </w:tcBorders>
            <w:vAlign w:val="center"/>
          </w:tcPr>
          <w:p w14:paraId="423127F7">
            <w:pPr>
              <w:snapToGrid w:val="0"/>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序号</w:t>
            </w:r>
          </w:p>
        </w:tc>
        <w:tc>
          <w:tcPr>
            <w:tcW w:w="1809" w:type="dxa"/>
            <w:tcBorders>
              <w:top w:val="single" w:color="auto" w:sz="4" w:space="0"/>
              <w:left w:val="single" w:color="auto" w:sz="4" w:space="0"/>
              <w:bottom w:val="single" w:color="auto" w:sz="4" w:space="0"/>
              <w:right w:val="single" w:color="auto" w:sz="4" w:space="0"/>
            </w:tcBorders>
            <w:vAlign w:val="center"/>
          </w:tcPr>
          <w:p w14:paraId="017D5EB3">
            <w:pPr>
              <w:snapToGrid w:val="0"/>
              <w:spacing w:line="4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岗位名称</w:t>
            </w:r>
          </w:p>
        </w:tc>
        <w:tc>
          <w:tcPr>
            <w:tcW w:w="900" w:type="dxa"/>
            <w:tcBorders>
              <w:top w:val="single" w:color="auto" w:sz="4" w:space="0"/>
              <w:left w:val="single" w:color="auto" w:sz="4" w:space="0"/>
              <w:bottom w:val="single" w:color="auto" w:sz="4" w:space="0"/>
              <w:right w:val="single" w:color="auto" w:sz="4" w:space="0"/>
            </w:tcBorders>
            <w:vAlign w:val="center"/>
          </w:tcPr>
          <w:p w14:paraId="6A788611">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Cs w:val="21"/>
                <w:lang w:eastAsia="zh-CN"/>
              </w:rPr>
            </w:pPr>
            <w:r>
              <w:rPr>
                <w:rFonts w:hint="eastAsia" w:ascii="宋体" w:hAnsi="宋体" w:eastAsia="宋体" w:cs="宋体"/>
                <w:bCs/>
                <w:color w:val="auto"/>
                <w:sz w:val="21"/>
                <w:szCs w:val="21"/>
                <w:lang w:eastAsia="zh-CN"/>
              </w:rPr>
              <w:t>①</w:t>
            </w:r>
            <w:r>
              <w:rPr>
                <w:rFonts w:hint="eastAsia" w:ascii="宋体" w:hAnsi="宋体" w:eastAsia="宋体" w:cs="宋体"/>
                <w:color w:val="auto"/>
                <w:sz w:val="21"/>
                <w:szCs w:val="21"/>
              </w:rPr>
              <w:t>数量</w:t>
            </w:r>
          </w:p>
        </w:tc>
        <w:tc>
          <w:tcPr>
            <w:tcW w:w="885" w:type="dxa"/>
            <w:tcBorders>
              <w:top w:val="single" w:color="auto" w:sz="4" w:space="0"/>
              <w:left w:val="single" w:color="auto" w:sz="4" w:space="0"/>
              <w:bottom w:val="single" w:color="auto" w:sz="4" w:space="0"/>
              <w:right w:val="single" w:color="auto" w:sz="4" w:space="0"/>
            </w:tcBorders>
            <w:vAlign w:val="center"/>
          </w:tcPr>
          <w:p w14:paraId="7C1986AF">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单位</w:t>
            </w:r>
          </w:p>
        </w:tc>
        <w:tc>
          <w:tcPr>
            <w:tcW w:w="1875" w:type="dxa"/>
            <w:tcBorders>
              <w:top w:val="single" w:color="auto" w:sz="4" w:space="0"/>
              <w:left w:val="single" w:color="auto" w:sz="4" w:space="0"/>
              <w:bottom w:val="single" w:color="auto" w:sz="4" w:space="0"/>
              <w:right w:val="single" w:color="auto" w:sz="4" w:space="0"/>
            </w:tcBorders>
            <w:vAlign w:val="center"/>
          </w:tcPr>
          <w:p w14:paraId="3C2039A8">
            <w:pPr>
              <w:keepNext w:val="0"/>
              <w:keepLines w:val="0"/>
              <w:pageBreakBefore w:val="0"/>
              <w:widowControl w:val="0"/>
              <w:kinsoku/>
              <w:wordWrap/>
              <w:overflowPunct/>
              <w:topLinePunct w:val="0"/>
              <w:autoSpaceDE w:val="0"/>
              <w:autoSpaceDN w:val="0"/>
              <w:bidi w:val="0"/>
              <w:adjustRightInd/>
              <w:snapToGrid w:val="0"/>
              <w:spacing w:line="300" w:lineRule="atLeast"/>
              <w:jc w:val="center"/>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②</w:t>
            </w:r>
            <w:r>
              <w:rPr>
                <w:rFonts w:hint="eastAsia" w:ascii="宋体" w:hAnsi="宋体" w:eastAsia="宋体" w:cs="宋体"/>
                <w:color w:val="auto"/>
                <w:sz w:val="21"/>
                <w:szCs w:val="21"/>
                <w:lang w:eastAsia="zh-CN"/>
              </w:rPr>
              <w:t>单价（人</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lang w:eastAsia="zh-CN"/>
              </w:rPr>
              <w:t>）</w:t>
            </w:r>
          </w:p>
        </w:tc>
        <w:tc>
          <w:tcPr>
            <w:tcW w:w="1860" w:type="dxa"/>
            <w:tcBorders>
              <w:top w:val="single" w:color="auto" w:sz="4" w:space="0"/>
              <w:left w:val="single" w:color="auto" w:sz="4" w:space="0"/>
              <w:bottom w:val="single" w:color="auto" w:sz="4" w:space="0"/>
              <w:right w:val="single" w:color="auto" w:sz="4" w:space="0"/>
            </w:tcBorders>
            <w:vAlign w:val="center"/>
          </w:tcPr>
          <w:p w14:paraId="5965D728">
            <w:pPr>
              <w:snapToGrid w:val="0"/>
              <w:spacing w:line="400" w:lineRule="exact"/>
              <w:jc w:val="center"/>
              <w:rPr>
                <w:rFonts w:hint="eastAsia" w:ascii="宋体" w:hAnsi="宋体" w:eastAsia="宋体" w:cs="宋体"/>
                <w:color w:val="auto"/>
                <w:szCs w:val="21"/>
                <w:lang w:eastAsia="zh-CN"/>
              </w:rPr>
            </w:pPr>
            <w:r>
              <w:rPr>
                <w:rFonts w:hint="eastAsia" w:ascii="宋体" w:hAnsi="宋体" w:eastAsia="宋体" w:cs="宋体"/>
                <w:bCs/>
                <w:color w:val="auto"/>
                <w:sz w:val="21"/>
                <w:szCs w:val="21"/>
                <w:lang w:eastAsia="zh-CN"/>
              </w:rPr>
              <w:t>③</w:t>
            </w:r>
            <w:r>
              <w:rPr>
                <w:rFonts w:hint="eastAsia" w:ascii="宋体" w:hAnsi="宋体" w:eastAsia="宋体" w:cs="宋体"/>
                <w:color w:val="auto"/>
                <w:szCs w:val="21"/>
                <w:lang w:eastAsia="zh-CN"/>
              </w:rPr>
              <w:t>服务期（月）</w:t>
            </w:r>
          </w:p>
        </w:tc>
        <w:tc>
          <w:tcPr>
            <w:tcW w:w="2429" w:type="dxa"/>
            <w:tcBorders>
              <w:top w:val="single" w:color="auto" w:sz="4" w:space="0"/>
              <w:left w:val="single" w:color="auto" w:sz="4" w:space="0"/>
              <w:bottom w:val="single" w:color="auto" w:sz="4" w:space="0"/>
              <w:right w:val="single" w:color="auto" w:sz="4" w:space="0"/>
            </w:tcBorders>
            <w:vAlign w:val="center"/>
          </w:tcPr>
          <w:p w14:paraId="6545B3BF">
            <w:pPr>
              <w:snapToGrid w:val="0"/>
              <w:spacing w:line="400" w:lineRule="exact"/>
              <w:jc w:val="center"/>
              <w:rPr>
                <w:rFonts w:hint="eastAsia" w:ascii="宋体" w:hAnsi="宋体" w:eastAsia="宋体" w:cs="宋体"/>
                <w:color w:val="auto"/>
                <w:szCs w:val="21"/>
              </w:rPr>
            </w:pPr>
            <w:r>
              <w:rPr>
                <w:rFonts w:hint="eastAsia" w:ascii="宋体" w:hAnsi="宋体" w:eastAsia="宋体" w:cs="宋体"/>
                <w:bCs/>
                <w:color w:val="auto"/>
                <w:sz w:val="21"/>
                <w:szCs w:val="21"/>
                <w:lang w:eastAsia="zh-CN"/>
              </w:rPr>
              <w:t>④小计（④</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eastAsia="zh-CN"/>
              </w:rPr>
              <w:t>①</w:t>
            </w:r>
            <w:r>
              <w:rPr>
                <w:rFonts w:hint="eastAsia" w:ascii="宋体" w:hAnsi="宋体" w:eastAsia="宋体" w:cs="宋体"/>
                <w:bCs/>
                <w:color w:val="auto"/>
                <w:sz w:val="21"/>
                <w:szCs w:val="21"/>
                <w:lang w:val="en-US" w:eastAsia="zh-CN"/>
              </w:rPr>
              <w:t>x</w:t>
            </w:r>
            <w:r>
              <w:rPr>
                <w:rFonts w:hint="eastAsia" w:ascii="宋体" w:hAnsi="宋体" w:eastAsia="宋体" w:cs="宋体"/>
                <w:bCs/>
                <w:color w:val="auto"/>
                <w:sz w:val="21"/>
                <w:szCs w:val="21"/>
                <w:lang w:eastAsia="zh-CN"/>
              </w:rPr>
              <w:t>②</w:t>
            </w:r>
            <w:r>
              <w:rPr>
                <w:rFonts w:hint="eastAsia" w:ascii="宋体" w:hAnsi="宋体" w:eastAsia="宋体" w:cs="宋体"/>
                <w:bCs/>
                <w:color w:val="auto"/>
                <w:sz w:val="21"/>
                <w:szCs w:val="21"/>
                <w:lang w:val="en-US" w:eastAsia="zh-CN"/>
              </w:rPr>
              <w:t>x</w:t>
            </w:r>
            <w:r>
              <w:rPr>
                <w:rFonts w:hint="eastAsia" w:ascii="宋体" w:hAnsi="宋体" w:eastAsia="宋体" w:cs="宋体"/>
                <w:bCs/>
                <w:color w:val="auto"/>
                <w:sz w:val="21"/>
                <w:szCs w:val="21"/>
                <w:lang w:eastAsia="zh-CN"/>
              </w:rPr>
              <w:t>③）</w:t>
            </w:r>
          </w:p>
        </w:tc>
      </w:tr>
      <w:tr w14:paraId="19CF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52" w:type="dxa"/>
            <w:tcBorders>
              <w:top w:val="single" w:color="auto" w:sz="4" w:space="0"/>
              <w:left w:val="single" w:color="auto" w:sz="4" w:space="0"/>
              <w:bottom w:val="single" w:color="auto" w:sz="4" w:space="0"/>
              <w:right w:val="single" w:color="auto" w:sz="4" w:space="0"/>
            </w:tcBorders>
          </w:tcPr>
          <w:p w14:paraId="68EB8C45">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809" w:type="dxa"/>
            <w:tcBorders>
              <w:top w:val="single" w:color="auto" w:sz="4" w:space="0"/>
              <w:left w:val="single" w:color="auto" w:sz="4" w:space="0"/>
              <w:bottom w:val="single" w:color="auto" w:sz="4" w:space="0"/>
              <w:right w:val="single" w:color="auto" w:sz="4" w:space="0"/>
            </w:tcBorders>
            <w:vAlign w:val="center"/>
          </w:tcPr>
          <w:p w14:paraId="3EC77104">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保安主管</w:t>
            </w:r>
            <w:r>
              <w:rPr>
                <w:rFonts w:hint="eastAsia" w:ascii="宋体" w:hAnsi="宋体" w:eastAsia="宋体" w:cs="宋体"/>
                <w:color w:val="auto"/>
                <w:sz w:val="21"/>
                <w:szCs w:val="21"/>
                <w:lang w:eastAsia="zh-CN"/>
              </w:rPr>
              <w:t>岗</w:t>
            </w:r>
          </w:p>
        </w:tc>
        <w:tc>
          <w:tcPr>
            <w:tcW w:w="900" w:type="dxa"/>
            <w:tcBorders>
              <w:top w:val="single" w:color="auto" w:sz="4" w:space="0"/>
              <w:left w:val="single" w:color="auto" w:sz="4" w:space="0"/>
              <w:bottom w:val="single" w:color="auto" w:sz="4" w:space="0"/>
              <w:right w:val="single" w:color="auto" w:sz="4" w:space="0"/>
            </w:tcBorders>
          </w:tcPr>
          <w:p w14:paraId="1D354CF4">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885" w:type="dxa"/>
            <w:tcBorders>
              <w:top w:val="single" w:color="auto" w:sz="4" w:space="0"/>
              <w:left w:val="single" w:color="auto" w:sz="4" w:space="0"/>
              <w:bottom w:val="single" w:color="auto" w:sz="4" w:space="0"/>
              <w:right w:val="single" w:color="auto" w:sz="4" w:space="0"/>
            </w:tcBorders>
          </w:tcPr>
          <w:p w14:paraId="70DBF8EF">
            <w:pPr>
              <w:snapToGrid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人</w:t>
            </w:r>
          </w:p>
        </w:tc>
        <w:tc>
          <w:tcPr>
            <w:tcW w:w="1875" w:type="dxa"/>
            <w:tcBorders>
              <w:top w:val="single" w:color="auto" w:sz="4" w:space="0"/>
              <w:left w:val="single" w:color="auto" w:sz="4" w:space="0"/>
              <w:bottom w:val="single" w:color="auto" w:sz="4" w:space="0"/>
              <w:right w:val="single" w:color="auto" w:sz="4" w:space="0"/>
            </w:tcBorders>
          </w:tcPr>
          <w:p w14:paraId="004CDA17">
            <w:pPr>
              <w:snapToGrid w:val="0"/>
              <w:spacing w:line="400" w:lineRule="exact"/>
              <w:jc w:val="center"/>
              <w:rPr>
                <w:rFonts w:hint="eastAsia" w:ascii="宋体" w:hAnsi="宋体" w:eastAsia="宋体" w:cs="宋体"/>
                <w:color w:val="auto"/>
                <w:szCs w:val="21"/>
                <w:lang w:eastAsia="zh-CN"/>
              </w:rPr>
            </w:pPr>
          </w:p>
        </w:tc>
        <w:tc>
          <w:tcPr>
            <w:tcW w:w="1860" w:type="dxa"/>
            <w:tcBorders>
              <w:top w:val="single" w:color="auto" w:sz="4" w:space="0"/>
              <w:left w:val="single" w:color="auto" w:sz="4" w:space="0"/>
              <w:bottom w:val="single" w:color="auto" w:sz="4" w:space="0"/>
              <w:right w:val="single" w:color="auto" w:sz="4" w:space="0"/>
            </w:tcBorders>
          </w:tcPr>
          <w:p w14:paraId="2383DB57">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2429" w:type="dxa"/>
            <w:tcBorders>
              <w:top w:val="single" w:color="auto" w:sz="4" w:space="0"/>
              <w:left w:val="single" w:color="auto" w:sz="4" w:space="0"/>
              <w:bottom w:val="single" w:color="auto" w:sz="4" w:space="0"/>
              <w:right w:val="single" w:color="auto" w:sz="4" w:space="0"/>
            </w:tcBorders>
          </w:tcPr>
          <w:p w14:paraId="46F73968">
            <w:pPr>
              <w:snapToGrid w:val="0"/>
              <w:spacing w:line="400" w:lineRule="exact"/>
              <w:jc w:val="center"/>
              <w:rPr>
                <w:rFonts w:hint="default" w:ascii="宋体" w:hAnsi="宋体" w:eastAsia="宋体" w:cs="宋体"/>
                <w:color w:val="auto"/>
                <w:szCs w:val="21"/>
                <w:lang w:val="en-US" w:eastAsia="zh-CN"/>
              </w:rPr>
            </w:pPr>
          </w:p>
        </w:tc>
      </w:tr>
      <w:tr w14:paraId="4393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52" w:type="dxa"/>
            <w:tcBorders>
              <w:top w:val="single" w:color="auto" w:sz="4" w:space="0"/>
              <w:left w:val="single" w:color="auto" w:sz="4" w:space="0"/>
              <w:bottom w:val="single" w:color="auto" w:sz="4" w:space="0"/>
              <w:right w:val="single" w:color="auto" w:sz="4" w:space="0"/>
            </w:tcBorders>
          </w:tcPr>
          <w:p w14:paraId="69A1CA8D">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809" w:type="dxa"/>
            <w:tcBorders>
              <w:top w:val="single" w:color="auto" w:sz="4" w:space="0"/>
              <w:left w:val="single" w:color="auto" w:sz="4" w:space="0"/>
              <w:bottom w:val="single" w:color="auto" w:sz="4" w:space="0"/>
              <w:right w:val="single" w:color="auto" w:sz="4" w:space="0"/>
            </w:tcBorders>
            <w:vAlign w:val="center"/>
          </w:tcPr>
          <w:p w14:paraId="090F92DC">
            <w:pPr>
              <w:snapToGrid w:val="0"/>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消防、监控</w:t>
            </w:r>
            <w:r>
              <w:rPr>
                <w:rFonts w:hint="eastAsia" w:ascii="宋体" w:hAnsi="宋体" w:eastAsia="宋体" w:cs="宋体"/>
                <w:color w:val="auto"/>
                <w:sz w:val="21"/>
                <w:szCs w:val="21"/>
                <w:lang w:eastAsia="zh-CN"/>
              </w:rPr>
              <w:t>员岗</w:t>
            </w:r>
          </w:p>
        </w:tc>
        <w:tc>
          <w:tcPr>
            <w:tcW w:w="900" w:type="dxa"/>
            <w:tcBorders>
              <w:top w:val="single" w:color="auto" w:sz="4" w:space="0"/>
              <w:left w:val="single" w:color="auto" w:sz="4" w:space="0"/>
              <w:bottom w:val="single" w:color="auto" w:sz="4" w:space="0"/>
              <w:right w:val="single" w:color="auto" w:sz="4" w:space="0"/>
            </w:tcBorders>
          </w:tcPr>
          <w:p w14:paraId="0A791B87">
            <w:pPr>
              <w:snapToGrid w:val="0"/>
              <w:spacing w:line="4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885" w:type="dxa"/>
            <w:tcBorders>
              <w:top w:val="single" w:color="auto" w:sz="4" w:space="0"/>
              <w:left w:val="single" w:color="auto" w:sz="4" w:space="0"/>
              <w:bottom w:val="single" w:color="auto" w:sz="4" w:space="0"/>
              <w:right w:val="single" w:color="auto" w:sz="4" w:space="0"/>
            </w:tcBorders>
          </w:tcPr>
          <w:p w14:paraId="17F0FDCD">
            <w:pPr>
              <w:snapToGrid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人</w:t>
            </w:r>
          </w:p>
        </w:tc>
        <w:tc>
          <w:tcPr>
            <w:tcW w:w="1875" w:type="dxa"/>
            <w:tcBorders>
              <w:top w:val="single" w:color="auto" w:sz="4" w:space="0"/>
              <w:left w:val="single" w:color="auto" w:sz="4" w:space="0"/>
              <w:bottom w:val="single" w:color="auto" w:sz="4" w:space="0"/>
              <w:right w:val="single" w:color="auto" w:sz="4" w:space="0"/>
            </w:tcBorders>
          </w:tcPr>
          <w:p w14:paraId="1E4B1D96">
            <w:pPr>
              <w:snapToGrid w:val="0"/>
              <w:spacing w:line="400" w:lineRule="exact"/>
              <w:jc w:val="center"/>
              <w:rPr>
                <w:rFonts w:hint="eastAsia" w:ascii="宋体" w:hAnsi="宋体" w:eastAsia="宋体" w:cs="宋体"/>
                <w:color w:val="auto"/>
                <w:szCs w:val="21"/>
                <w:lang w:eastAsia="zh-CN"/>
              </w:rPr>
            </w:pPr>
          </w:p>
        </w:tc>
        <w:tc>
          <w:tcPr>
            <w:tcW w:w="1860" w:type="dxa"/>
            <w:tcBorders>
              <w:top w:val="single" w:color="auto" w:sz="4" w:space="0"/>
              <w:left w:val="single" w:color="auto" w:sz="4" w:space="0"/>
              <w:bottom w:val="single" w:color="auto" w:sz="4" w:space="0"/>
              <w:right w:val="single" w:color="auto" w:sz="4" w:space="0"/>
            </w:tcBorders>
          </w:tcPr>
          <w:p w14:paraId="661E8304">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2429" w:type="dxa"/>
            <w:tcBorders>
              <w:top w:val="single" w:color="auto" w:sz="4" w:space="0"/>
              <w:left w:val="single" w:color="auto" w:sz="4" w:space="0"/>
              <w:bottom w:val="single" w:color="auto" w:sz="4" w:space="0"/>
              <w:right w:val="single" w:color="auto" w:sz="4" w:space="0"/>
            </w:tcBorders>
          </w:tcPr>
          <w:p w14:paraId="1421C211">
            <w:pPr>
              <w:snapToGrid w:val="0"/>
              <w:spacing w:line="400" w:lineRule="exact"/>
              <w:jc w:val="center"/>
              <w:rPr>
                <w:rFonts w:hint="eastAsia" w:ascii="宋体" w:hAnsi="宋体" w:eastAsia="宋体" w:cs="宋体"/>
                <w:color w:val="auto"/>
                <w:szCs w:val="21"/>
              </w:rPr>
            </w:pPr>
          </w:p>
        </w:tc>
      </w:tr>
      <w:tr w14:paraId="36BC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52" w:type="dxa"/>
            <w:tcBorders>
              <w:top w:val="single" w:color="auto" w:sz="4" w:space="0"/>
              <w:left w:val="single" w:color="auto" w:sz="4" w:space="0"/>
              <w:bottom w:val="single" w:color="auto" w:sz="4" w:space="0"/>
              <w:right w:val="single" w:color="auto" w:sz="4" w:space="0"/>
            </w:tcBorders>
          </w:tcPr>
          <w:p w14:paraId="568EF226">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809" w:type="dxa"/>
            <w:tcBorders>
              <w:top w:val="single" w:color="auto" w:sz="4" w:space="0"/>
              <w:left w:val="single" w:color="auto" w:sz="4" w:space="0"/>
              <w:bottom w:val="single" w:color="auto" w:sz="4" w:space="0"/>
              <w:right w:val="single" w:color="auto" w:sz="4" w:space="0"/>
            </w:tcBorders>
            <w:vAlign w:val="center"/>
          </w:tcPr>
          <w:p w14:paraId="16EB33EE">
            <w:pPr>
              <w:snapToGrid w:val="0"/>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保安</w:t>
            </w:r>
            <w:r>
              <w:rPr>
                <w:rFonts w:hint="eastAsia" w:ascii="宋体" w:hAnsi="宋体" w:eastAsia="宋体" w:cs="宋体"/>
                <w:color w:val="auto"/>
                <w:sz w:val="21"/>
                <w:szCs w:val="21"/>
                <w:lang w:eastAsia="zh-CN"/>
              </w:rPr>
              <w:t>员岗</w:t>
            </w:r>
          </w:p>
        </w:tc>
        <w:tc>
          <w:tcPr>
            <w:tcW w:w="900" w:type="dxa"/>
            <w:tcBorders>
              <w:top w:val="single" w:color="auto" w:sz="4" w:space="0"/>
              <w:left w:val="single" w:color="auto" w:sz="4" w:space="0"/>
              <w:bottom w:val="single" w:color="auto" w:sz="4" w:space="0"/>
              <w:right w:val="single" w:color="auto" w:sz="4" w:space="0"/>
            </w:tcBorders>
          </w:tcPr>
          <w:p w14:paraId="5761B930">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23</w:t>
            </w:r>
          </w:p>
        </w:tc>
        <w:tc>
          <w:tcPr>
            <w:tcW w:w="885" w:type="dxa"/>
            <w:tcBorders>
              <w:top w:val="single" w:color="auto" w:sz="4" w:space="0"/>
              <w:left w:val="single" w:color="auto" w:sz="4" w:space="0"/>
              <w:bottom w:val="single" w:color="auto" w:sz="4" w:space="0"/>
              <w:right w:val="single" w:color="auto" w:sz="4" w:space="0"/>
            </w:tcBorders>
          </w:tcPr>
          <w:p w14:paraId="66783E98">
            <w:pPr>
              <w:snapToGrid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人</w:t>
            </w:r>
          </w:p>
        </w:tc>
        <w:tc>
          <w:tcPr>
            <w:tcW w:w="1875" w:type="dxa"/>
            <w:tcBorders>
              <w:top w:val="single" w:color="auto" w:sz="4" w:space="0"/>
              <w:left w:val="single" w:color="auto" w:sz="4" w:space="0"/>
              <w:bottom w:val="single" w:color="auto" w:sz="4" w:space="0"/>
              <w:right w:val="single" w:color="auto" w:sz="4" w:space="0"/>
            </w:tcBorders>
          </w:tcPr>
          <w:p w14:paraId="1B93C046">
            <w:pPr>
              <w:snapToGrid w:val="0"/>
              <w:spacing w:line="400" w:lineRule="exact"/>
              <w:jc w:val="center"/>
              <w:rPr>
                <w:rFonts w:hint="eastAsia" w:ascii="宋体" w:hAnsi="宋体" w:eastAsia="宋体" w:cs="宋体"/>
                <w:color w:val="auto"/>
                <w:szCs w:val="21"/>
                <w:lang w:eastAsia="zh-CN"/>
              </w:rPr>
            </w:pPr>
          </w:p>
        </w:tc>
        <w:tc>
          <w:tcPr>
            <w:tcW w:w="1860" w:type="dxa"/>
            <w:tcBorders>
              <w:top w:val="single" w:color="auto" w:sz="4" w:space="0"/>
              <w:left w:val="single" w:color="auto" w:sz="4" w:space="0"/>
              <w:bottom w:val="single" w:color="auto" w:sz="4" w:space="0"/>
              <w:right w:val="single" w:color="auto" w:sz="4" w:space="0"/>
            </w:tcBorders>
          </w:tcPr>
          <w:p w14:paraId="40C809E5">
            <w:pPr>
              <w:snapToGrid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2429" w:type="dxa"/>
            <w:tcBorders>
              <w:top w:val="single" w:color="auto" w:sz="4" w:space="0"/>
              <w:left w:val="single" w:color="auto" w:sz="4" w:space="0"/>
              <w:bottom w:val="single" w:color="auto" w:sz="4" w:space="0"/>
              <w:right w:val="single" w:color="auto" w:sz="4" w:space="0"/>
            </w:tcBorders>
          </w:tcPr>
          <w:p w14:paraId="26C4CE3C">
            <w:pPr>
              <w:snapToGrid w:val="0"/>
              <w:spacing w:line="400" w:lineRule="exact"/>
              <w:jc w:val="center"/>
              <w:rPr>
                <w:rFonts w:hint="eastAsia" w:ascii="宋体" w:hAnsi="宋体" w:eastAsia="宋体" w:cs="宋体"/>
                <w:color w:val="auto"/>
                <w:szCs w:val="21"/>
              </w:rPr>
            </w:pPr>
          </w:p>
        </w:tc>
      </w:tr>
      <w:tr w14:paraId="0205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210" w:type="dxa"/>
            <w:gridSpan w:val="7"/>
            <w:tcBorders>
              <w:top w:val="single" w:color="auto" w:sz="4" w:space="0"/>
              <w:left w:val="single" w:color="auto" w:sz="4" w:space="0"/>
              <w:bottom w:val="single" w:color="auto" w:sz="4" w:space="0"/>
              <w:right w:val="single" w:color="auto" w:sz="4" w:space="0"/>
            </w:tcBorders>
          </w:tcPr>
          <w:p w14:paraId="6F6926D1">
            <w:pPr>
              <w:snapToGrid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合计（大写）：                                小写：</w:t>
            </w:r>
            <w:r>
              <w:rPr>
                <w:rFonts w:hint="eastAsia" w:ascii="宋体" w:hAnsi="宋体" w:eastAsia="宋体" w:cs="宋体"/>
                <w:color w:val="auto"/>
                <w:szCs w:val="21"/>
                <w:lang w:eastAsia="zh-CN"/>
              </w:rPr>
              <w:t>￥</w:t>
            </w:r>
          </w:p>
        </w:tc>
      </w:tr>
    </w:tbl>
    <w:p w14:paraId="55A609C9">
      <w:pPr>
        <w:spacing w:before="160" w:line="360" w:lineRule="auto"/>
        <w:ind w:left="372"/>
        <w:rPr>
          <w:rFonts w:ascii="宋体" w:hAnsi="宋体" w:eastAsia="宋体" w:cs="宋体"/>
          <w:color w:val="auto"/>
          <w:sz w:val="21"/>
          <w:szCs w:val="21"/>
        </w:rPr>
      </w:pPr>
      <w:r>
        <w:rPr>
          <w:rFonts w:hint="eastAsia" w:ascii="宋体" w:hAnsi="宋体" w:eastAsia="宋体" w:cs="宋体"/>
          <w:color w:val="auto"/>
          <w:sz w:val="21"/>
          <w:szCs w:val="21"/>
        </w:rPr>
        <w:t>注：所有价格均用</w:t>
      </w:r>
      <w:r>
        <w:rPr>
          <w:rFonts w:hint="eastAsia" w:ascii="宋体" w:hAnsi="宋体" w:eastAsia="宋体" w:cs="宋体"/>
          <w:color w:val="auto"/>
          <w:sz w:val="21"/>
          <w:szCs w:val="21"/>
          <w:lang w:eastAsia="zh-CN"/>
        </w:rPr>
        <w:t>人民币</w:t>
      </w:r>
      <w:r>
        <w:rPr>
          <w:rFonts w:hint="eastAsia" w:ascii="宋体" w:hAnsi="宋体" w:eastAsia="宋体" w:cs="宋体"/>
          <w:color w:val="auto"/>
          <w:sz w:val="21"/>
          <w:szCs w:val="21"/>
        </w:rPr>
        <w:t>表示，单位为</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rPr>
        <w:t>，精确到小数点后两位数。</w:t>
      </w:r>
    </w:p>
    <w:p w14:paraId="75EE2415">
      <w:pPr>
        <w:pStyle w:val="9"/>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本项目报价费用包含人员的工资、按规定提取的保险和福利费用及国家地方规定必须缴纳的费用（含基本工资、节日加班费、社会保险费、管理人员服装费、装备费、高温费、节假日补贴、年终奖等）、办公费用（含通讯费、办公用品、培训费、维修费等）、管理费、利润、税费等完成合同所需的一切本身和不可或缺的所有开支、政策性文件规定的合同包含的所有风险、责任等各项全部用来完成本次项目费用的总和。</w:t>
      </w:r>
    </w:p>
    <w:p w14:paraId="0E3B1270">
      <w:pPr>
        <w:pStyle w:val="13"/>
        <w:spacing w:line="360" w:lineRule="auto"/>
        <w:ind w:firstLine="420" w:firstLineChars="200"/>
        <w:rPr>
          <w:rFonts w:hAnsi="宋体" w:eastAsia="宋体" w:cs="宋体"/>
          <w:color w:val="auto"/>
          <w:sz w:val="21"/>
          <w:szCs w:val="21"/>
          <w:u w:val="single"/>
        </w:rPr>
      </w:pPr>
      <w:r>
        <w:rPr>
          <w:rFonts w:hint="eastAsia" w:hAnsi="宋体" w:eastAsia="宋体" w:cs="宋体"/>
          <w:color w:val="auto"/>
          <w:sz w:val="21"/>
          <w:szCs w:val="21"/>
        </w:rPr>
        <w:t>法定代表人（负责人）或委托代理人（签字）:</w:t>
      </w:r>
      <w:r>
        <w:rPr>
          <w:rFonts w:hint="eastAsia" w:hAnsi="宋体" w:eastAsia="宋体" w:cs="宋体"/>
          <w:color w:val="auto"/>
          <w:sz w:val="21"/>
          <w:szCs w:val="21"/>
          <w:u w:val="single"/>
        </w:rPr>
        <w:t xml:space="preserve">              </w:t>
      </w:r>
    </w:p>
    <w:p w14:paraId="58BADFF4">
      <w:pPr>
        <w:pStyle w:val="13"/>
        <w:spacing w:line="360" w:lineRule="auto"/>
        <w:ind w:firstLine="420" w:firstLineChars="200"/>
        <w:rPr>
          <w:rFonts w:hAnsi="宋体" w:eastAsia="宋体" w:cs="宋体"/>
          <w:color w:val="auto"/>
          <w:sz w:val="21"/>
          <w:szCs w:val="21"/>
          <w:u w:val="single"/>
        </w:rPr>
      </w:pPr>
      <w:r>
        <w:rPr>
          <w:rFonts w:hint="eastAsia" w:hAnsi="宋体" w:eastAsia="宋体" w:cs="宋体"/>
          <w:color w:val="auto"/>
          <w:sz w:val="21"/>
          <w:szCs w:val="21"/>
        </w:rPr>
        <w:t>供应商名称（盖章）：</w:t>
      </w:r>
      <w:r>
        <w:rPr>
          <w:rFonts w:hint="eastAsia" w:hAnsi="宋体" w:eastAsia="宋体" w:cs="宋体"/>
          <w:color w:val="auto"/>
          <w:sz w:val="21"/>
          <w:szCs w:val="21"/>
          <w:u w:val="single"/>
        </w:rPr>
        <w:t xml:space="preserve">    </w:t>
      </w:r>
      <w:r>
        <w:rPr>
          <w:rFonts w:hint="eastAsia" w:hAnsi="宋体" w:eastAsia="宋体" w:cs="宋体"/>
          <w:color w:val="auto"/>
          <w:sz w:val="21"/>
          <w:szCs w:val="21"/>
          <w:u w:val="single"/>
          <w:lang w:val="en-US" w:eastAsia="zh-CN"/>
        </w:rPr>
        <w:t xml:space="preserve">   </w:t>
      </w:r>
      <w:r>
        <w:rPr>
          <w:rFonts w:hint="eastAsia" w:hAnsi="宋体" w:eastAsia="宋体" w:cs="宋体"/>
          <w:color w:val="auto"/>
          <w:sz w:val="21"/>
          <w:szCs w:val="21"/>
          <w:u w:val="single"/>
        </w:rPr>
        <w:t xml:space="preserve"> </w:t>
      </w:r>
      <w:r>
        <w:rPr>
          <w:rFonts w:hint="eastAsia" w:hAnsi="宋体" w:eastAsia="宋体" w:cs="宋体"/>
          <w:color w:val="auto"/>
          <w:sz w:val="21"/>
          <w:szCs w:val="21"/>
          <w:u w:val="single"/>
          <w:lang w:val="en-US"/>
        </w:rPr>
        <w:t xml:space="preserve"> </w:t>
      </w:r>
      <w:r>
        <w:rPr>
          <w:rFonts w:hint="eastAsia" w:hAnsi="宋体" w:eastAsia="宋体" w:cs="宋体"/>
          <w:color w:val="auto"/>
          <w:sz w:val="21"/>
          <w:szCs w:val="21"/>
          <w:u w:val="single"/>
        </w:rPr>
        <w:t xml:space="preserve">  </w:t>
      </w:r>
    </w:p>
    <w:p w14:paraId="76A926C8">
      <w:pPr>
        <w:spacing w:line="360" w:lineRule="auto"/>
        <w:ind w:firstLine="420" w:firstLineChars="200"/>
        <w:rPr>
          <w:rFonts w:ascii="宋体" w:hAnsi="宋体" w:eastAsia="宋体" w:cs="宋体"/>
          <w:color w:val="auto"/>
          <w:sz w:val="21"/>
          <w:szCs w:val="21"/>
        </w:rPr>
        <w:sectPr>
          <w:headerReference r:id="rId9" w:type="default"/>
          <w:footerReference r:id="rId10" w:type="default"/>
          <w:pgSz w:w="11910" w:h="16840"/>
          <w:pgMar w:top="1134" w:right="1134" w:bottom="1134" w:left="1134" w:header="610" w:footer="550" w:gutter="0"/>
          <w:cols w:space="720" w:num="1"/>
        </w:sectPr>
      </w:pPr>
      <w:r>
        <w:rPr>
          <w:rFonts w:hint="eastAsia" w:ascii="宋体" w:hAnsi="宋体" w:eastAsia="宋体" w:cs="宋体"/>
          <w:color w:val="auto"/>
          <w:sz w:val="21"/>
          <w:szCs w:val="21"/>
        </w:rPr>
        <w:t>报价时间：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371C5AD8">
      <w:pPr>
        <w:rPr>
          <w:rFonts w:ascii="宋体" w:hAnsi="宋体" w:eastAsia="宋体" w:cs="宋体"/>
          <w:b/>
          <w:color w:val="auto"/>
          <w:sz w:val="21"/>
          <w:szCs w:val="21"/>
        </w:rPr>
      </w:pPr>
      <w:r>
        <w:rPr>
          <w:rFonts w:hint="eastAsia" w:ascii="宋体" w:hAnsi="宋体" w:eastAsia="宋体" w:cs="宋体"/>
          <w:b/>
          <w:color w:val="auto"/>
          <w:sz w:val="21"/>
          <w:szCs w:val="21"/>
        </w:rPr>
        <w:t>附件2</w:t>
      </w:r>
    </w:p>
    <w:p w14:paraId="313C758E">
      <w:pPr>
        <w:spacing w:line="52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磋 商 书</w:t>
      </w:r>
    </w:p>
    <w:p w14:paraId="138EBC39">
      <w:pPr>
        <w:spacing w:line="520" w:lineRule="exact"/>
        <w:jc w:val="center"/>
        <w:rPr>
          <w:rFonts w:ascii="宋体" w:hAnsi="宋体" w:eastAsia="宋体" w:cs="宋体"/>
          <w:b/>
          <w:color w:val="auto"/>
          <w:sz w:val="21"/>
          <w:szCs w:val="21"/>
        </w:rPr>
      </w:pPr>
    </w:p>
    <w:p w14:paraId="30D0009A">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u w:val="single"/>
        </w:rPr>
        <w:t>采购代理机构名称</w:t>
      </w:r>
      <w:r>
        <w:rPr>
          <w:rFonts w:hint="eastAsia" w:hAnsi="宋体" w:eastAsia="宋体" w:cs="宋体"/>
          <w:color w:val="auto"/>
          <w:sz w:val="21"/>
          <w:szCs w:val="21"/>
        </w:rPr>
        <w:t>：</w:t>
      </w:r>
    </w:p>
    <w:p w14:paraId="7148190F">
      <w:pPr>
        <w:pStyle w:val="13"/>
        <w:spacing w:line="400" w:lineRule="exact"/>
        <w:ind w:firstLine="420" w:firstLineChars="200"/>
        <w:rPr>
          <w:rFonts w:hAnsi="宋体" w:eastAsia="宋体" w:cs="宋体"/>
          <w:bCs/>
          <w:color w:val="auto"/>
          <w:sz w:val="21"/>
          <w:szCs w:val="21"/>
        </w:rPr>
      </w:pPr>
      <w:r>
        <w:rPr>
          <w:rFonts w:hint="eastAsia" w:hAnsi="宋体" w:eastAsia="宋体" w:cs="宋体"/>
          <w:color w:val="auto"/>
          <w:sz w:val="21"/>
          <w:szCs w:val="21"/>
        </w:rPr>
        <w:t>依据贵方</w:t>
      </w:r>
      <w:r>
        <w:rPr>
          <w:rFonts w:hint="eastAsia" w:hAnsi="宋体" w:eastAsia="宋体" w:cs="宋体"/>
          <w:color w:val="auto"/>
          <w:sz w:val="21"/>
          <w:szCs w:val="21"/>
          <w:u w:val="single"/>
        </w:rPr>
        <w:t>（项目名称、 项目编号）</w:t>
      </w:r>
      <w:r>
        <w:rPr>
          <w:rFonts w:hint="eastAsia" w:hAnsi="宋体" w:eastAsia="宋体" w:cs="宋体"/>
          <w:color w:val="auto"/>
          <w:sz w:val="21"/>
          <w:szCs w:val="21"/>
        </w:rPr>
        <w:t>项目政府采购的磋商邀请，我方</w:t>
      </w:r>
      <w:r>
        <w:rPr>
          <w:rFonts w:hint="eastAsia" w:hAnsi="宋体" w:eastAsia="宋体" w:cs="宋体"/>
          <w:color w:val="auto"/>
          <w:sz w:val="21"/>
          <w:szCs w:val="21"/>
          <w:u w:val="single"/>
        </w:rPr>
        <w:t>（姓名和职务）</w:t>
      </w:r>
      <w:r>
        <w:rPr>
          <w:rFonts w:hint="eastAsia" w:hAnsi="宋体" w:eastAsia="宋体" w:cs="宋体"/>
          <w:color w:val="auto"/>
          <w:sz w:val="21"/>
          <w:szCs w:val="21"/>
        </w:rPr>
        <w:t>经正式授权并代表本单位</w:t>
      </w:r>
      <w:r>
        <w:rPr>
          <w:rFonts w:hint="eastAsia" w:hAnsi="宋体" w:eastAsia="宋体" w:cs="宋体"/>
          <w:color w:val="auto"/>
          <w:sz w:val="21"/>
          <w:szCs w:val="21"/>
          <w:u w:val="single"/>
        </w:rPr>
        <w:t>（磋商供应商名称、地址）</w:t>
      </w:r>
      <w:r>
        <w:rPr>
          <w:rFonts w:hint="eastAsia" w:hAnsi="宋体" w:eastAsia="宋体" w:cs="宋体"/>
          <w:color w:val="auto"/>
          <w:sz w:val="21"/>
          <w:szCs w:val="21"/>
        </w:rPr>
        <w:t>提交下述竞争性磋商响应文件</w:t>
      </w:r>
      <w:r>
        <w:rPr>
          <w:rFonts w:hint="eastAsia" w:hAnsi="宋体" w:eastAsia="宋体" w:cs="宋体"/>
          <w:b/>
          <w:color w:val="auto"/>
          <w:sz w:val="21"/>
          <w:szCs w:val="21"/>
        </w:rPr>
        <w:t>（价格文件、商务技术文件）</w:t>
      </w:r>
      <w:r>
        <w:rPr>
          <w:rFonts w:hint="eastAsia" w:hAnsi="宋体" w:eastAsia="宋体" w:cs="宋体"/>
          <w:bCs/>
          <w:color w:val="auto"/>
          <w:sz w:val="21"/>
          <w:szCs w:val="21"/>
        </w:rPr>
        <w:t>。</w:t>
      </w:r>
    </w:p>
    <w:p w14:paraId="1C4F8801">
      <w:pPr>
        <w:pStyle w:val="13"/>
        <w:numPr>
          <w:ilvl w:val="0"/>
          <w:numId w:val="2"/>
        </w:numPr>
        <w:spacing w:line="400" w:lineRule="exact"/>
        <w:rPr>
          <w:rFonts w:hAnsi="宋体" w:eastAsia="宋体" w:cs="宋体"/>
          <w:color w:val="auto"/>
          <w:sz w:val="21"/>
          <w:szCs w:val="21"/>
        </w:rPr>
      </w:pPr>
      <w:r>
        <w:rPr>
          <w:rFonts w:hint="eastAsia" w:hAnsi="宋体" w:eastAsia="宋体" w:cs="宋体"/>
          <w:color w:val="auto"/>
          <w:sz w:val="21"/>
          <w:szCs w:val="21"/>
        </w:rPr>
        <w:t>价格文件；</w:t>
      </w:r>
    </w:p>
    <w:p w14:paraId="483BB487">
      <w:pPr>
        <w:pStyle w:val="13"/>
        <w:numPr>
          <w:ilvl w:val="0"/>
          <w:numId w:val="2"/>
        </w:numPr>
        <w:spacing w:line="400" w:lineRule="exact"/>
        <w:rPr>
          <w:rFonts w:hAnsi="宋体" w:eastAsia="宋体" w:cs="宋体"/>
          <w:color w:val="auto"/>
          <w:sz w:val="21"/>
          <w:szCs w:val="21"/>
        </w:rPr>
      </w:pPr>
      <w:r>
        <w:rPr>
          <w:rFonts w:hint="eastAsia" w:hAnsi="宋体" w:eastAsia="宋体" w:cs="宋体"/>
          <w:color w:val="auto"/>
          <w:sz w:val="21"/>
          <w:szCs w:val="21"/>
        </w:rPr>
        <w:t>商务技术文件</w:t>
      </w:r>
    </w:p>
    <w:p w14:paraId="78221304">
      <w:pPr>
        <w:pStyle w:val="13"/>
        <w:numPr>
          <w:ilvl w:val="0"/>
          <w:numId w:val="2"/>
        </w:numPr>
        <w:spacing w:line="400" w:lineRule="exact"/>
        <w:rPr>
          <w:rFonts w:hAnsi="宋体" w:eastAsia="宋体" w:cs="宋体"/>
          <w:color w:val="auto"/>
          <w:sz w:val="21"/>
          <w:szCs w:val="21"/>
        </w:rPr>
      </w:pPr>
      <w:r>
        <w:rPr>
          <w:rFonts w:hint="eastAsia" w:hAnsi="宋体" w:eastAsia="宋体" w:cs="宋体"/>
          <w:color w:val="auto"/>
          <w:sz w:val="21"/>
          <w:szCs w:val="21"/>
        </w:rPr>
        <w:t>按竞争性磋商文件磋商供应商须知和采购需求提供的有关文件。</w:t>
      </w:r>
    </w:p>
    <w:p w14:paraId="47D5D507">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在此，授权代表宣布同意如下：</w:t>
      </w:r>
    </w:p>
    <w:p w14:paraId="3292A691">
      <w:pPr>
        <w:pStyle w:val="13"/>
        <w:spacing w:line="400" w:lineRule="exact"/>
        <w:ind w:firstLine="420" w:firstLineChars="200"/>
        <w:rPr>
          <w:rFonts w:hAnsi="宋体" w:eastAsia="宋体" w:cs="宋体"/>
          <w:color w:val="auto"/>
          <w:sz w:val="21"/>
          <w:szCs w:val="21"/>
          <w:u w:val="single"/>
        </w:rPr>
      </w:pPr>
      <w:r>
        <w:rPr>
          <w:rFonts w:hint="eastAsia" w:hAnsi="宋体" w:eastAsia="宋体" w:cs="宋体"/>
          <w:color w:val="auto"/>
          <w:sz w:val="21"/>
          <w:szCs w:val="21"/>
        </w:rPr>
        <w:t>1. 我方</w:t>
      </w:r>
      <w:r>
        <w:rPr>
          <w:rFonts w:hint="eastAsia" w:hAnsi="宋体" w:eastAsia="宋体" w:cs="宋体"/>
          <w:color w:val="auto"/>
          <w:sz w:val="21"/>
          <w:szCs w:val="21"/>
          <w:lang w:eastAsia="zh-CN"/>
        </w:rPr>
        <w:t>投标</w:t>
      </w:r>
      <w:r>
        <w:rPr>
          <w:rFonts w:hint="eastAsia" w:hAnsi="宋体" w:eastAsia="宋体" w:cs="宋体"/>
          <w:color w:val="auto"/>
          <w:sz w:val="21"/>
          <w:szCs w:val="21"/>
        </w:rPr>
        <w:t>报价 （大写）</w:t>
      </w:r>
      <w:r>
        <w:rPr>
          <w:rFonts w:hint="eastAsia" w:hAnsi="宋体" w:eastAsia="宋体" w:cs="宋体"/>
          <w:color w:val="auto"/>
          <w:sz w:val="21"/>
          <w:szCs w:val="21"/>
          <w:u w:val="single"/>
        </w:rPr>
        <w:t xml:space="preserve">            </w:t>
      </w:r>
      <w:r>
        <w:rPr>
          <w:rFonts w:hint="eastAsia" w:hAnsi="宋体" w:eastAsia="宋体" w:cs="宋体"/>
          <w:color w:val="auto"/>
          <w:sz w:val="21"/>
          <w:szCs w:val="21"/>
        </w:rPr>
        <w:t>（小写：</w:t>
      </w:r>
      <w:r>
        <w:rPr>
          <w:rFonts w:hint="eastAsia" w:hAnsi="宋体" w:eastAsia="宋体" w:cs="宋体"/>
          <w:color w:val="auto"/>
          <w:sz w:val="21"/>
          <w:szCs w:val="21"/>
          <w:u w:val="single"/>
        </w:rPr>
        <w:t xml:space="preserve">    </w:t>
      </w:r>
      <w:r>
        <w:rPr>
          <w:rFonts w:hint="eastAsia" w:hAnsi="宋体" w:eastAsia="宋体" w:cs="宋体"/>
          <w:color w:val="auto"/>
          <w:sz w:val="21"/>
          <w:szCs w:val="21"/>
          <w:u w:val="single"/>
          <w:lang w:val="en-US" w:eastAsia="zh-CN"/>
        </w:rPr>
        <w:t>￥</w:t>
      </w:r>
      <w:r>
        <w:rPr>
          <w:rFonts w:hint="eastAsia" w:hAnsi="宋体" w:eastAsia="宋体" w:cs="宋体"/>
          <w:color w:val="auto"/>
          <w:sz w:val="21"/>
          <w:szCs w:val="21"/>
        </w:rPr>
        <w:t>），合同履行期限：</w:t>
      </w:r>
      <w:r>
        <w:rPr>
          <w:rFonts w:hint="eastAsia" w:hAnsi="宋体" w:eastAsia="宋体" w:cs="宋体"/>
          <w:color w:val="auto"/>
          <w:sz w:val="21"/>
          <w:szCs w:val="21"/>
          <w:u w:val="single"/>
          <w:lang w:val="en-US"/>
        </w:rPr>
        <w:t xml:space="preserve">            </w:t>
      </w:r>
      <w:r>
        <w:rPr>
          <w:rFonts w:hint="eastAsia" w:hAnsi="宋体" w:eastAsia="宋体" w:cs="宋体"/>
          <w:color w:val="auto"/>
          <w:sz w:val="21"/>
          <w:szCs w:val="21"/>
        </w:rPr>
        <w:t>。</w:t>
      </w:r>
    </w:p>
    <w:p w14:paraId="75272E93">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2. 将按竞争性磋商文件的约定履行合同责任和义务；</w:t>
      </w:r>
    </w:p>
    <w:p w14:paraId="480F2ED9">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lang w:val="en-US" w:eastAsia="zh-CN"/>
        </w:rPr>
        <w:t>3</w:t>
      </w:r>
      <w:r>
        <w:rPr>
          <w:rFonts w:hint="eastAsia" w:hAnsi="宋体" w:eastAsia="宋体" w:cs="宋体"/>
          <w:color w:val="auto"/>
          <w:sz w:val="21"/>
          <w:szCs w:val="21"/>
        </w:rPr>
        <w:t>. 已详细审查全部竞争性磋商文件，包括</w:t>
      </w:r>
      <w:r>
        <w:rPr>
          <w:rFonts w:hint="eastAsia" w:hAnsi="宋体" w:eastAsia="宋体" w:cs="宋体"/>
          <w:color w:val="auto"/>
          <w:sz w:val="21"/>
          <w:szCs w:val="21"/>
          <w:u w:val="single"/>
        </w:rPr>
        <w:t>（补遗文件）（如果有的话）</w:t>
      </w:r>
      <w:r>
        <w:rPr>
          <w:rFonts w:hint="eastAsia" w:hAnsi="宋体" w:eastAsia="宋体" w:cs="宋体"/>
          <w:color w:val="auto"/>
          <w:sz w:val="21"/>
          <w:szCs w:val="21"/>
        </w:rPr>
        <w:t>；</w:t>
      </w:r>
    </w:p>
    <w:p w14:paraId="02B16B32">
      <w:pPr>
        <w:pStyle w:val="13"/>
        <w:spacing w:line="400" w:lineRule="exact"/>
        <w:ind w:firstLine="420" w:firstLineChars="200"/>
        <w:rPr>
          <w:rFonts w:hint="eastAsia" w:hAnsi="宋体" w:eastAsia="宋体" w:cs="宋体"/>
          <w:color w:val="auto"/>
          <w:sz w:val="21"/>
          <w:szCs w:val="21"/>
        </w:rPr>
      </w:pPr>
      <w:r>
        <w:rPr>
          <w:rFonts w:hint="eastAsia" w:hAnsi="宋体" w:eastAsia="宋体" w:cs="宋体"/>
          <w:color w:val="auto"/>
          <w:sz w:val="21"/>
          <w:szCs w:val="21"/>
          <w:lang w:val="en-US" w:eastAsia="zh-CN"/>
        </w:rPr>
        <w:t>4</w:t>
      </w:r>
      <w:r>
        <w:rPr>
          <w:rFonts w:hint="eastAsia" w:hAnsi="宋体" w:eastAsia="宋体" w:cs="宋体"/>
          <w:color w:val="auto"/>
          <w:sz w:val="21"/>
          <w:szCs w:val="21"/>
        </w:rPr>
        <w:t>. 已详细审查全部竞争性磋商文件，包括修改文件（如有的话）以及全部参考资料和有关附件，已经了解我方对竞争性磋商文件、采购过程、采购结果有依法进行咨询、质疑、投诉的权利及相关渠道和要求。</w:t>
      </w:r>
    </w:p>
    <w:p w14:paraId="13D900D0">
      <w:pPr>
        <w:pStyle w:val="13"/>
        <w:spacing w:line="400" w:lineRule="exact"/>
        <w:ind w:firstLine="420" w:firstLineChars="200"/>
        <w:rPr>
          <w:rFonts w:hint="eastAsia" w:hAnsi="宋体" w:eastAsia="宋体" w:cs="宋体"/>
          <w:color w:val="auto"/>
          <w:sz w:val="21"/>
          <w:szCs w:val="21"/>
        </w:rPr>
      </w:pPr>
      <w:r>
        <w:rPr>
          <w:rFonts w:hint="eastAsia" w:hAnsi="宋体" w:eastAsia="宋体" w:cs="宋体"/>
          <w:color w:val="auto"/>
          <w:sz w:val="21"/>
          <w:szCs w:val="21"/>
          <w:lang w:val="en-US" w:eastAsia="zh-CN"/>
        </w:rPr>
        <w:t>5</w:t>
      </w:r>
      <w:r>
        <w:rPr>
          <w:rFonts w:hint="eastAsia" w:hAnsi="宋体" w:eastAsia="宋体" w:cs="宋体"/>
          <w:color w:val="auto"/>
          <w:sz w:val="21"/>
          <w:szCs w:val="21"/>
        </w:rPr>
        <w:t>、</w:t>
      </w:r>
      <w:r>
        <w:rPr>
          <w:rFonts w:hint="eastAsia" w:hAnsi="宋体" w:eastAsia="宋体" w:cs="宋体"/>
          <w:color w:val="auto"/>
          <w:sz w:val="21"/>
          <w:szCs w:val="21"/>
          <w:lang w:eastAsia="zh-CN"/>
        </w:rPr>
        <w:t>磋商</w:t>
      </w:r>
      <w:r>
        <w:rPr>
          <w:rFonts w:hint="eastAsia" w:hAnsi="宋体" w:eastAsia="宋体" w:cs="宋体"/>
          <w:color w:val="auto"/>
          <w:sz w:val="21"/>
          <w:szCs w:val="21"/>
        </w:rPr>
        <w:t>供应商在</w:t>
      </w:r>
      <w:r>
        <w:rPr>
          <w:rFonts w:hint="eastAsia" w:hAnsi="宋体" w:eastAsia="宋体" w:cs="宋体"/>
          <w:color w:val="auto"/>
          <w:sz w:val="21"/>
          <w:szCs w:val="21"/>
          <w:lang w:eastAsia="zh-CN"/>
        </w:rPr>
        <w:t>磋商</w:t>
      </w:r>
      <w:r>
        <w:rPr>
          <w:rFonts w:hint="eastAsia" w:hAnsi="宋体" w:eastAsia="宋体" w:cs="宋体"/>
          <w:color w:val="auto"/>
          <w:sz w:val="21"/>
          <w:szCs w:val="21"/>
        </w:rPr>
        <w:t>之前已经与贵方进行了充分沟通，完全理解并接受竞争性磋商文件的各项规定和要求，对竞争性磋商文件的合理性、合法性不再有异议，不存在对竞争性磋商文件有异议的同时又参加磋商以求侥幸成交或者为实现其他非法目的的行为。</w:t>
      </w:r>
    </w:p>
    <w:p w14:paraId="0DBBBCE8">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lang w:val="en-US" w:eastAsia="zh-CN"/>
        </w:rPr>
        <w:t>6</w:t>
      </w:r>
      <w:r>
        <w:rPr>
          <w:rFonts w:hint="eastAsia" w:hAnsi="宋体" w:eastAsia="宋体" w:cs="宋体"/>
          <w:color w:val="auto"/>
          <w:sz w:val="21"/>
          <w:szCs w:val="21"/>
        </w:rPr>
        <w:t>. 同意提供按照贵方可能要求的与其磋商有关的一切数据或资料；</w:t>
      </w:r>
    </w:p>
    <w:p w14:paraId="5108A200">
      <w:pPr>
        <w:pStyle w:val="13"/>
        <w:spacing w:line="400" w:lineRule="exact"/>
        <w:ind w:firstLine="420" w:firstLineChars="200"/>
        <w:rPr>
          <w:rFonts w:hAnsi="宋体" w:eastAsia="宋体" w:cs="宋体"/>
          <w:color w:val="auto"/>
          <w:sz w:val="21"/>
          <w:szCs w:val="21"/>
          <w:u w:val="single"/>
        </w:rPr>
      </w:pPr>
      <w:r>
        <w:rPr>
          <w:rFonts w:hint="eastAsia" w:hAnsi="宋体" w:eastAsia="宋体" w:cs="宋体"/>
          <w:color w:val="auto"/>
          <w:sz w:val="21"/>
          <w:szCs w:val="21"/>
          <w:lang w:val="en-US" w:eastAsia="zh-CN"/>
        </w:rPr>
        <w:t>7</w:t>
      </w:r>
      <w:r>
        <w:rPr>
          <w:rFonts w:hint="eastAsia" w:hAnsi="宋体" w:eastAsia="宋体" w:cs="宋体"/>
          <w:color w:val="auto"/>
          <w:sz w:val="21"/>
          <w:szCs w:val="21"/>
        </w:rPr>
        <w:t>. 与本磋商有关的一切正式往来信函请寄：</w:t>
      </w:r>
      <w:r>
        <w:rPr>
          <w:rFonts w:hint="eastAsia" w:hAnsi="宋体" w:eastAsia="宋体" w:cs="宋体"/>
          <w:color w:val="auto"/>
          <w:sz w:val="21"/>
          <w:szCs w:val="21"/>
          <w:u w:val="single"/>
        </w:rPr>
        <w:t xml:space="preserve">                       </w:t>
      </w:r>
    </w:p>
    <w:p w14:paraId="7B36ED2C">
      <w:pPr>
        <w:pStyle w:val="13"/>
        <w:spacing w:line="400" w:lineRule="exact"/>
        <w:ind w:firstLine="420" w:firstLineChars="200"/>
        <w:rPr>
          <w:rFonts w:hAnsi="宋体" w:eastAsia="宋体" w:cs="宋体"/>
          <w:color w:val="auto"/>
          <w:sz w:val="21"/>
          <w:szCs w:val="21"/>
          <w:u w:val="single"/>
        </w:rPr>
      </w:pPr>
      <w:r>
        <w:rPr>
          <w:rFonts w:hint="eastAsia" w:hAnsi="宋体" w:eastAsia="宋体" w:cs="宋体"/>
          <w:color w:val="auto"/>
          <w:sz w:val="21"/>
          <w:szCs w:val="21"/>
        </w:rPr>
        <w:t>开户银行：</w:t>
      </w:r>
      <w:r>
        <w:rPr>
          <w:rFonts w:hint="eastAsia" w:hAnsi="宋体" w:eastAsia="宋体" w:cs="宋体"/>
          <w:color w:val="auto"/>
          <w:sz w:val="21"/>
          <w:szCs w:val="21"/>
          <w:u w:val="single"/>
        </w:rPr>
        <w:t xml:space="preserve">                         </w:t>
      </w:r>
      <w:r>
        <w:rPr>
          <w:rFonts w:hint="eastAsia" w:hAnsi="宋体" w:eastAsia="宋体" w:cs="宋体"/>
          <w:color w:val="auto"/>
          <w:sz w:val="21"/>
          <w:szCs w:val="21"/>
        </w:rPr>
        <w:t xml:space="preserve">  帐号/行号：</w:t>
      </w:r>
      <w:r>
        <w:rPr>
          <w:rFonts w:hint="eastAsia" w:hAnsi="宋体" w:eastAsia="宋体" w:cs="宋体"/>
          <w:color w:val="auto"/>
          <w:sz w:val="21"/>
          <w:szCs w:val="21"/>
          <w:u w:val="single"/>
        </w:rPr>
        <w:t xml:space="preserve">       </w:t>
      </w:r>
      <w:r>
        <w:rPr>
          <w:rFonts w:hint="eastAsia" w:hAnsi="宋体" w:eastAsia="宋体" w:cs="宋体"/>
          <w:color w:val="auto"/>
          <w:sz w:val="21"/>
          <w:szCs w:val="21"/>
          <w:u w:val="single"/>
          <w:lang w:val="en-US"/>
        </w:rPr>
        <w:t xml:space="preserve">    </w:t>
      </w:r>
      <w:r>
        <w:rPr>
          <w:rFonts w:hint="eastAsia" w:hAnsi="宋体" w:eastAsia="宋体" w:cs="宋体"/>
          <w:color w:val="auto"/>
          <w:sz w:val="21"/>
          <w:szCs w:val="21"/>
          <w:u w:val="single"/>
        </w:rPr>
        <w:t xml:space="preserve">   </w:t>
      </w:r>
    </w:p>
    <w:p w14:paraId="39697DF7">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电话/传真：</w:t>
      </w:r>
      <w:r>
        <w:rPr>
          <w:rFonts w:hint="eastAsia" w:hAnsi="宋体" w:eastAsia="宋体" w:cs="宋体"/>
          <w:color w:val="auto"/>
          <w:sz w:val="21"/>
          <w:szCs w:val="21"/>
          <w:u w:val="single"/>
        </w:rPr>
        <w:t xml:space="preserve">                        </w:t>
      </w:r>
      <w:r>
        <w:rPr>
          <w:rFonts w:hint="eastAsia" w:hAnsi="宋体" w:eastAsia="宋体" w:cs="宋体"/>
          <w:color w:val="auto"/>
          <w:sz w:val="21"/>
          <w:szCs w:val="21"/>
        </w:rPr>
        <w:t xml:space="preserve"> 电子函件：</w:t>
      </w:r>
      <w:r>
        <w:rPr>
          <w:rFonts w:hint="eastAsia" w:hAnsi="宋体" w:eastAsia="宋体" w:cs="宋体"/>
          <w:color w:val="auto"/>
          <w:sz w:val="21"/>
          <w:szCs w:val="21"/>
          <w:u w:val="single"/>
        </w:rPr>
        <w:t xml:space="preserve">          </w:t>
      </w:r>
      <w:r>
        <w:rPr>
          <w:rFonts w:hint="eastAsia" w:hAnsi="宋体" w:eastAsia="宋体" w:cs="宋体"/>
          <w:color w:val="auto"/>
          <w:sz w:val="21"/>
          <w:szCs w:val="21"/>
          <w:u w:val="single"/>
          <w:lang w:val="en-US"/>
        </w:rPr>
        <w:t xml:space="preserve">   </w:t>
      </w:r>
      <w:r>
        <w:rPr>
          <w:rFonts w:hint="eastAsia" w:hAnsi="宋体" w:eastAsia="宋体" w:cs="宋体"/>
          <w:color w:val="auto"/>
          <w:sz w:val="21"/>
          <w:szCs w:val="21"/>
          <w:u w:val="single"/>
        </w:rPr>
        <w:t xml:space="preserve">   </w:t>
      </w:r>
      <w:r>
        <w:rPr>
          <w:rFonts w:hint="eastAsia" w:hAnsi="宋体" w:eastAsia="宋体" w:cs="宋体"/>
          <w:color w:val="auto"/>
          <w:sz w:val="21"/>
          <w:szCs w:val="21"/>
        </w:rPr>
        <w:t xml:space="preserve">              </w:t>
      </w:r>
    </w:p>
    <w:p w14:paraId="0F29F4F7">
      <w:pPr>
        <w:pStyle w:val="13"/>
        <w:spacing w:line="400" w:lineRule="exact"/>
        <w:ind w:firstLine="420" w:firstLineChars="200"/>
        <w:rPr>
          <w:rFonts w:hAnsi="宋体" w:eastAsia="宋体" w:cs="宋体"/>
          <w:color w:val="auto"/>
          <w:sz w:val="21"/>
          <w:szCs w:val="21"/>
          <w:u w:val="single"/>
        </w:rPr>
      </w:pPr>
      <w:r>
        <w:rPr>
          <w:rFonts w:hint="eastAsia" w:hAnsi="宋体" w:eastAsia="宋体" w:cs="宋体"/>
          <w:color w:val="auto"/>
          <w:sz w:val="21"/>
          <w:szCs w:val="21"/>
        </w:rPr>
        <w:t>日期：</w:t>
      </w:r>
      <w:r>
        <w:rPr>
          <w:rFonts w:hint="eastAsia" w:hAnsi="宋体" w:eastAsia="宋体" w:cs="宋体"/>
          <w:color w:val="auto"/>
          <w:sz w:val="21"/>
          <w:szCs w:val="21"/>
          <w:u w:val="single"/>
        </w:rPr>
        <w:t xml:space="preserve">      </w:t>
      </w:r>
      <w:r>
        <w:rPr>
          <w:rFonts w:hint="eastAsia" w:hAnsi="宋体" w:eastAsia="宋体" w:cs="宋体"/>
          <w:color w:val="auto"/>
          <w:sz w:val="21"/>
          <w:szCs w:val="21"/>
        </w:rPr>
        <w:t>年</w:t>
      </w:r>
      <w:r>
        <w:rPr>
          <w:rFonts w:hint="eastAsia" w:hAnsi="宋体" w:eastAsia="宋体" w:cs="宋体"/>
          <w:color w:val="auto"/>
          <w:sz w:val="21"/>
          <w:szCs w:val="21"/>
          <w:u w:val="single"/>
        </w:rPr>
        <w:t xml:space="preserve">   </w:t>
      </w:r>
      <w:r>
        <w:rPr>
          <w:rFonts w:hint="eastAsia" w:hAnsi="宋体" w:eastAsia="宋体" w:cs="宋体"/>
          <w:color w:val="auto"/>
          <w:sz w:val="21"/>
          <w:szCs w:val="21"/>
        </w:rPr>
        <w:t>月</w:t>
      </w:r>
      <w:r>
        <w:rPr>
          <w:rFonts w:hint="eastAsia" w:hAnsi="宋体" w:eastAsia="宋体" w:cs="宋体"/>
          <w:color w:val="auto"/>
          <w:sz w:val="21"/>
          <w:szCs w:val="21"/>
          <w:u w:val="single"/>
        </w:rPr>
        <w:t xml:space="preserve">    </w:t>
      </w:r>
      <w:r>
        <w:rPr>
          <w:rFonts w:hint="eastAsia" w:hAnsi="宋体" w:eastAsia="宋体" w:cs="宋体"/>
          <w:color w:val="auto"/>
          <w:sz w:val="21"/>
          <w:szCs w:val="21"/>
        </w:rPr>
        <w:t>日</w:t>
      </w:r>
    </w:p>
    <w:p w14:paraId="2EEC5B02">
      <w:pPr>
        <w:pStyle w:val="13"/>
        <w:spacing w:line="400" w:lineRule="exact"/>
        <w:ind w:firstLine="420" w:firstLineChars="200"/>
        <w:rPr>
          <w:rFonts w:hAnsi="宋体" w:eastAsia="宋体" w:cs="宋体"/>
          <w:color w:val="auto"/>
          <w:sz w:val="21"/>
          <w:szCs w:val="21"/>
          <w:u w:val="single"/>
        </w:rPr>
      </w:pPr>
      <w:r>
        <w:rPr>
          <w:rFonts w:hint="eastAsia" w:hAnsi="宋体" w:eastAsia="宋体" w:cs="宋体"/>
          <w:color w:val="auto"/>
          <w:sz w:val="21"/>
          <w:szCs w:val="21"/>
        </w:rPr>
        <w:t>法定代表人（负责人）或委托代理人（被授权人）签字：</w:t>
      </w:r>
      <w:r>
        <w:rPr>
          <w:rFonts w:hint="eastAsia" w:hAnsi="宋体" w:eastAsia="宋体" w:cs="宋体"/>
          <w:color w:val="auto"/>
          <w:sz w:val="21"/>
          <w:szCs w:val="21"/>
          <w:u w:val="single"/>
        </w:rPr>
        <w:t xml:space="preserve">            </w:t>
      </w:r>
    </w:p>
    <w:p w14:paraId="1AFB97EB">
      <w:pPr>
        <w:ind w:firstLine="420" w:firstLineChars="200"/>
        <w:rPr>
          <w:rFonts w:ascii="宋体" w:hAnsi="宋体" w:eastAsia="宋体" w:cs="宋体"/>
          <w:color w:val="FF0000"/>
          <w:sz w:val="21"/>
          <w:szCs w:val="21"/>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FF0000"/>
          <w:sz w:val="21"/>
          <w:szCs w:val="21"/>
        </w:rPr>
        <w:br w:type="page"/>
      </w:r>
    </w:p>
    <w:p w14:paraId="0D393CE3">
      <w:pPr>
        <w:pStyle w:val="4"/>
        <w:spacing w:line="360" w:lineRule="auto"/>
        <w:ind w:left="0"/>
        <w:rPr>
          <w:rFonts w:ascii="宋体" w:hAnsi="宋体" w:eastAsia="宋体" w:cs="宋体"/>
          <w:color w:val="auto"/>
          <w:sz w:val="21"/>
          <w:szCs w:val="21"/>
          <w:lang w:val="en-US"/>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rPr>
        <w:t>3</w:t>
      </w:r>
    </w:p>
    <w:p w14:paraId="11CC3020">
      <w:pPr>
        <w:spacing w:before="92"/>
        <w:ind w:right="667"/>
        <w:jc w:val="center"/>
        <w:rPr>
          <w:rFonts w:ascii="宋体" w:hAnsi="宋体" w:eastAsia="宋体" w:cs="宋体"/>
          <w:b/>
          <w:color w:val="auto"/>
          <w:sz w:val="21"/>
          <w:szCs w:val="21"/>
        </w:rPr>
      </w:pPr>
      <w:r>
        <w:rPr>
          <w:rFonts w:hint="eastAsia" w:ascii="宋体" w:hAnsi="宋体" w:eastAsia="宋体" w:cs="宋体"/>
          <w:b/>
          <w:color w:val="auto"/>
          <w:sz w:val="21"/>
          <w:szCs w:val="21"/>
        </w:rPr>
        <w:t>商务、服务（技术）响应、偏离情况说明表格式</w:t>
      </w:r>
    </w:p>
    <w:p w14:paraId="632B3661">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 xml:space="preserve">项目名称:                 </w:t>
      </w:r>
    </w:p>
    <w:p w14:paraId="1EB06B24">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 xml:space="preserve">项目编号:                              </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4"/>
        <w:gridCol w:w="2610"/>
        <w:gridCol w:w="2546"/>
        <w:gridCol w:w="1464"/>
        <w:gridCol w:w="1361"/>
      </w:tblGrid>
      <w:tr w14:paraId="3C9AE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04" w:type="dxa"/>
            <w:noWrap/>
            <w:vAlign w:val="center"/>
          </w:tcPr>
          <w:p w14:paraId="776B5109">
            <w:pPr>
              <w:pStyle w:val="13"/>
              <w:spacing w:line="400" w:lineRule="exact"/>
              <w:jc w:val="center"/>
              <w:rPr>
                <w:rFonts w:hAnsi="宋体" w:eastAsia="宋体" w:cs="宋体"/>
                <w:color w:val="auto"/>
                <w:sz w:val="21"/>
                <w:szCs w:val="21"/>
              </w:rPr>
            </w:pPr>
            <w:r>
              <w:rPr>
                <w:rFonts w:hint="eastAsia" w:hAnsi="宋体" w:eastAsia="宋体" w:cs="宋体"/>
                <w:color w:val="auto"/>
                <w:sz w:val="21"/>
                <w:szCs w:val="21"/>
              </w:rPr>
              <w:t>序号</w:t>
            </w:r>
          </w:p>
        </w:tc>
        <w:tc>
          <w:tcPr>
            <w:tcW w:w="2610" w:type="dxa"/>
            <w:noWrap/>
            <w:vAlign w:val="center"/>
          </w:tcPr>
          <w:p w14:paraId="0A825FC6">
            <w:pPr>
              <w:pStyle w:val="13"/>
              <w:spacing w:line="400" w:lineRule="exact"/>
              <w:jc w:val="center"/>
              <w:rPr>
                <w:rFonts w:hAnsi="宋体" w:eastAsia="宋体" w:cs="宋体"/>
                <w:color w:val="auto"/>
                <w:sz w:val="21"/>
                <w:szCs w:val="21"/>
              </w:rPr>
            </w:pPr>
            <w:r>
              <w:rPr>
                <w:rFonts w:hint="eastAsia" w:hAnsi="宋体" w:eastAsia="宋体" w:cs="宋体"/>
                <w:color w:val="auto"/>
                <w:sz w:val="21"/>
                <w:szCs w:val="21"/>
              </w:rPr>
              <w:t>竞争性磋商文件要求</w:t>
            </w:r>
          </w:p>
        </w:tc>
        <w:tc>
          <w:tcPr>
            <w:tcW w:w="2546" w:type="dxa"/>
            <w:noWrap/>
            <w:vAlign w:val="center"/>
          </w:tcPr>
          <w:p w14:paraId="6150E99B">
            <w:pPr>
              <w:pStyle w:val="13"/>
              <w:spacing w:line="400" w:lineRule="exact"/>
              <w:jc w:val="center"/>
              <w:rPr>
                <w:rFonts w:hAnsi="宋体" w:eastAsia="宋体" w:cs="宋体"/>
                <w:color w:val="auto"/>
                <w:sz w:val="21"/>
                <w:szCs w:val="21"/>
              </w:rPr>
            </w:pPr>
            <w:r>
              <w:rPr>
                <w:rFonts w:hint="eastAsia" w:hAnsi="宋体" w:eastAsia="宋体" w:cs="宋体"/>
                <w:color w:val="auto"/>
                <w:sz w:val="21"/>
                <w:szCs w:val="21"/>
              </w:rPr>
              <w:t>竞争性磋商响应文件具体响应</w:t>
            </w:r>
          </w:p>
        </w:tc>
        <w:tc>
          <w:tcPr>
            <w:tcW w:w="1464" w:type="dxa"/>
            <w:noWrap/>
            <w:vAlign w:val="center"/>
          </w:tcPr>
          <w:p w14:paraId="50F3CE0D">
            <w:pPr>
              <w:pStyle w:val="13"/>
              <w:spacing w:line="400" w:lineRule="exact"/>
              <w:jc w:val="center"/>
              <w:rPr>
                <w:rFonts w:hAnsi="宋体" w:eastAsia="宋体" w:cs="宋体"/>
                <w:color w:val="auto"/>
                <w:sz w:val="21"/>
                <w:szCs w:val="21"/>
              </w:rPr>
            </w:pPr>
            <w:r>
              <w:rPr>
                <w:rFonts w:hint="eastAsia" w:hAnsi="宋体" w:eastAsia="宋体" w:cs="宋体"/>
                <w:color w:val="auto"/>
                <w:sz w:val="21"/>
                <w:szCs w:val="21"/>
              </w:rPr>
              <w:t>响应/偏离</w:t>
            </w:r>
          </w:p>
        </w:tc>
        <w:tc>
          <w:tcPr>
            <w:tcW w:w="1361" w:type="dxa"/>
            <w:noWrap/>
            <w:vAlign w:val="center"/>
          </w:tcPr>
          <w:p w14:paraId="53DAD31D">
            <w:pPr>
              <w:pStyle w:val="13"/>
              <w:spacing w:line="400" w:lineRule="exact"/>
              <w:jc w:val="center"/>
              <w:rPr>
                <w:rFonts w:hAnsi="宋体" w:eastAsia="宋体" w:cs="宋体"/>
                <w:color w:val="auto"/>
                <w:sz w:val="21"/>
                <w:szCs w:val="21"/>
              </w:rPr>
            </w:pPr>
            <w:r>
              <w:rPr>
                <w:rFonts w:hint="eastAsia" w:hAnsi="宋体" w:eastAsia="宋体" w:cs="宋体"/>
                <w:color w:val="auto"/>
                <w:sz w:val="21"/>
                <w:szCs w:val="21"/>
              </w:rPr>
              <w:t>说明</w:t>
            </w:r>
          </w:p>
        </w:tc>
      </w:tr>
      <w:tr w14:paraId="155BE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04" w:type="dxa"/>
            <w:noWrap/>
            <w:vAlign w:val="center"/>
          </w:tcPr>
          <w:p w14:paraId="12C3C2B7">
            <w:pPr>
              <w:pStyle w:val="13"/>
              <w:spacing w:line="400" w:lineRule="exact"/>
              <w:ind w:firstLine="420" w:firstLineChars="200"/>
              <w:jc w:val="both"/>
              <w:rPr>
                <w:rFonts w:hint="eastAsia" w:hAnsi="宋体" w:eastAsia="宋体" w:cs="宋体"/>
                <w:color w:val="auto"/>
                <w:sz w:val="21"/>
                <w:szCs w:val="21"/>
                <w:lang w:eastAsia="zh-CN"/>
              </w:rPr>
            </w:pPr>
            <w:r>
              <w:rPr>
                <w:rFonts w:hint="eastAsia" w:hAnsi="宋体" w:eastAsia="宋体" w:cs="宋体"/>
                <w:color w:val="auto"/>
                <w:sz w:val="21"/>
                <w:szCs w:val="21"/>
                <w:lang w:val="en-US" w:eastAsia="zh-CN"/>
              </w:rPr>
              <w:t>1</w:t>
            </w:r>
          </w:p>
        </w:tc>
        <w:tc>
          <w:tcPr>
            <w:tcW w:w="2610" w:type="dxa"/>
            <w:noWrap/>
            <w:vAlign w:val="center"/>
          </w:tcPr>
          <w:p w14:paraId="3A980E4B">
            <w:pPr>
              <w:pStyle w:val="13"/>
              <w:spacing w:line="400" w:lineRule="exact"/>
              <w:ind w:firstLine="420" w:firstLineChars="200"/>
              <w:rPr>
                <w:rFonts w:hAnsi="宋体" w:eastAsia="宋体" w:cs="宋体"/>
                <w:color w:val="auto"/>
                <w:sz w:val="21"/>
                <w:szCs w:val="21"/>
              </w:rPr>
            </w:pPr>
          </w:p>
        </w:tc>
        <w:tc>
          <w:tcPr>
            <w:tcW w:w="2546" w:type="dxa"/>
            <w:noWrap/>
            <w:vAlign w:val="center"/>
          </w:tcPr>
          <w:p w14:paraId="0F587526">
            <w:pPr>
              <w:pStyle w:val="13"/>
              <w:spacing w:line="400" w:lineRule="exact"/>
              <w:ind w:firstLine="420" w:firstLineChars="200"/>
              <w:rPr>
                <w:rFonts w:hAnsi="宋体" w:eastAsia="宋体" w:cs="宋体"/>
                <w:color w:val="auto"/>
                <w:sz w:val="21"/>
                <w:szCs w:val="21"/>
              </w:rPr>
            </w:pPr>
          </w:p>
        </w:tc>
        <w:tc>
          <w:tcPr>
            <w:tcW w:w="1464" w:type="dxa"/>
            <w:noWrap/>
            <w:vAlign w:val="center"/>
          </w:tcPr>
          <w:p w14:paraId="59B0E1C6">
            <w:pPr>
              <w:pStyle w:val="13"/>
              <w:spacing w:line="400" w:lineRule="exact"/>
              <w:ind w:firstLine="420" w:firstLineChars="200"/>
              <w:rPr>
                <w:rFonts w:hAnsi="宋体" w:eastAsia="宋体" w:cs="宋体"/>
                <w:color w:val="auto"/>
                <w:sz w:val="21"/>
                <w:szCs w:val="21"/>
              </w:rPr>
            </w:pPr>
          </w:p>
        </w:tc>
        <w:tc>
          <w:tcPr>
            <w:tcW w:w="1361" w:type="dxa"/>
            <w:noWrap/>
            <w:vAlign w:val="center"/>
          </w:tcPr>
          <w:p w14:paraId="43C7C54F">
            <w:pPr>
              <w:pStyle w:val="13"/>
              <w:spacing w:line="400" w:lineRule="exact"/>
              <w:ind w:firstLine="420" w:firstLineChars="200"/>
              <w:rPr>
                <w:rFonts w:hAnsi="宋体" w:eastAsia="宋体" w:cs="宋体"/>
                <w:color w:val="auto"/>
                <w:sz w:val="21"/>
                <w:szCs w:val="21"/>
              </w:rPr>
            </w:pPr>
          </w:p>
        </w:tc>
      </w:tr>
      <w:tr w14:paraId="6E78D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04" w:type="dxa"/>
            <w:noWrap/>
            <w:vAlign w:val="center"/>
          </w:tcPr>
          <w:p w14:paraId="68016009">
            <w:pPr>
              <w:pStyle w:val="13"/>
              <w:spacing w:line="400" w:lineRule="exact"/>
              <w:ind w:firstLine="420" w:firstLineChars="200"/>
              <w:jc w:val="both"/>
              <w:rPr>
                <w:rFonts w:hint="eastAsia" w:hAnsi="宋体" w:eastAsia="宋体" w:cs="宋体"/>
                <w:color w:val="auto"/>
                <w:sz w:val="21"/>
                <w:szCs w:val="21"/>
                <w:lang w:eastAsia="zh-CN"/>
              </w:rPr>
            </w:pPr>
            <w:r>
              <w:rPr>
                <w:rFonts w:hint="eastAsia" w:hAnsi="宋体" w:eastAsia="宋体" w:cs="宋体"/>
                <w:color w:val="auto"/>
                <w:sz w:val="21"/>
                <w:szCs w:val="21"/>
                <w:lang w:val="en-US" w:eastAsia="zh-CN"/>
              </w:rPr>
              <w:t>2</w:t>
            </w:r>
          </w:p>
        </w:tc>
        <w:tc>
          <w:tcPr>
            <w:tcW w:w="2610" w:type="dxa"/>
            <w:noWrap/>
            <w:vAlign w:val="center"/>
          </w:tcPr>
          <w:p w14:paraId="00B3F57D">
            <w:pPr>
              <w:pStyle w:val="13"/>
              <w:spacing w:line="400" w:lineRule="exact"/>
              <w:ind w:firstLine="420" w:firstLineChars="200"/>
              <w:rPr>
                <w:rFonts w:hAnsi="宋体" w:eastAsia="宋体" w:cs="宋体"/>
                <w:color w:val="auto"/>
                <w:sz w:val="21"/>
                <w:szCs w:val="21"/>
              </w:rPr>
            </w:pPr>
          </w:p>
        </w:tc>
        <w:tc>
          <w:tcPr>
            <w:tcW w:w="2546" w:type="dxa"/>
            <w:noWrap/>
            <w:vAlign w:val="center"/>
          </w:tcPr>
          <w:p w14:paraId="527AF000">
            <w:pPr>
              <w:pStyle w:val="13"/>
              <w:spacing w:line="400" w:lineRule="exact"/>
              <w:ind w:firstLine="420" w:firstLineChars="200"/>
              <w:rPr>
                <w:rFonts w:hAnsi="宋体" w:eastAsia="宋体" w:cs="宋体"/>
                <w:color w:val="auto"/>
                <w:sz w:val="21"/>
                <w:szCs w:val="21"/>
              </w:rPr>
            </w:pPr>
          </w:p>
        </w:tc>
        <w:tc>
          <w:tcPr>
            <w:tcW w:w="1464" w:type="dxa"/>
            <w:noWrap/>
            <w:vAlign w:val="center"/>
          </w:tcPr>
          <w:p w14:paraId="22009AEB">
            <w:pPr>
              <w:pStyle w:val="13"/>
              <w:spacing w:line="400" w:lineRule="exact"/>
              <w:ind w:firstLine="420" w:firstLineChars="200"/>
              <w:rPr>
                <w:rFonts w:hAnsi="宋体" w:eastAsia="宋体" w:cs="宋体"/>
                <w:color w:val="auto"/>
                <w:sz w:val="21"/>
                <w:szCs w:val="21"/>
              </w:rPr>
            </w:pPr>
          </w:p>
        </w:tc>
        <w:tc>
          <w:tcPr>
            <w:tcW w:w="1361" w:type="dxa"/>
            <w:noWrap/>
            <w:vAlign w:val="center"/>
          </w:tcPr>
          <w:p w14:paraId="0838C4AE">
            <w:pPr>
              <w:pStyle w:val="13"/>
              <w:spacing w:line="400" w:lineRule="exact"/>
              <w:ind w:firstLine="420" w:firstLineChars="200"/>
              <w:rPr>
                <w:rFonts w:hAnsi="宋体" w:eastAsia="宋体" w:cs="宋体"/>
                <w:color w:val="auto"/>
                <w:sz w:val="21"/>
                <w:szCs w:val="21"/>
              </w:rPr>
            </w:pPr>
          </w:p>
        </w:tc>
      </w:tr>
      <w:tr w14:paraId="726E6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04" w:type="dxa"/>
            <w:noWrap/>
            <w:vAlign w:val="center"/>
          </w:tcPr>
          <w:p w14:paraId="100654F4">
            <w:pPr>
              <w:pStyle w:val="13"/>
              <w:spacing w:line="400" w:lineRule="exact"/>
              <w:ind w:firstLine="420" w:firstLineChars="200"/>
              <w:jc w:val="both"/>
              <w:rPr>
                <w:rFonts w:hint="eastAsia" w:hAnsi="宋体" w:eastAsia="宋体" w:cs="宋体"/>
                <w:color w:val="auto"/>
                <w:sz w:val="21"/>
                <w:szCs w:val="21"/>
                <w:lang w:eastAsia="zh-CN"/>
              </w:rPr>
            </w:pPr>
            <w:r>
              <w:rPr>
                <w:rFonts w:hint="eastAsia" w:hAnsi="宋体" w:eastAsia="宋体" w:cs="宋体"/>
                <w:color w:val="auto"/>
                <w:sz w:val="21"/>
                <w:szCs w:val="21"/>
                <w:lang w:val="en-US" w:eastAsia="zh-CN"/>
              </w:rPr>
              <w:t>3</w:t>
            </w:r>
          </w:p>
        </w:tc>
        <w:tc>
          <w:tcPr>
            <w:tcW w:w="2610" w:type="dxa"/>
            <w:noWrap/>
            <w:vAlign w:val="center"/>
          </w:tcPr>
          <w:p w14:paraId="0D1808EE">
            <w:pPr>
              <w:pStyle w:val="13"/>
              <w:spacing w:line="400" w:lineRule="exact"/>
              <w:ind w:firstLine="420" w:firstLineChars="200"/>
              <w:rPr>
                <w:rFonts w:hAnsi="宋体" w:eastAsia="宋体" w:cs="宋体"/>
                <w:color w:val="auto"/>
                <w:sz w:val="21"/>
                <w:szCs w:val="21"/>
              </w:rPr>
            </w:pPr>
          </w:p>
        </w:tc>
        <w:tc>
          <w:tcPr>
            <w:tcW w:w="2546" w:type="dxa"/>
            <w:noWrap/>
            <w:vAlign w:val="center"/>
          </w:tcPr>
          <w:p w14:paraId="5D3ABE2B">
            <w:pPr>
              <w:pStyle w:val="13"/>
              <w:spacing w:line="400" w:lineRule="exact"/>
              <w:ind w:firstLine="420" w:firstLineChars="200"/>
              <w:rPr>
                <w:rFonts w:hAnsi="宋体" w:eastAsia="宋体" w:cs="宋体"/>
                <w:color w:val="auto"/>
                <w:sz w:val="21"/>
                <w:szCs w:val="21"/>
              </w:rPr>
            </w:pPr>
          </w:p>
        </w:tc>
        <w:tc>
          <w:tcPr>
            <w:tcW w:w="1464" w:type="dxa"/>
            <w:noWrap/>
            <w:vAlign w:val="center"/>
          </w:tcPr>
          <w:p w14:paraId="6452B2DF">
            <w:pPr>
              <w:pStyle w:val="13"/>
              <w:spacing w:line="400" w:lineRule="exact"/>
              <w:ind w:firstLine="420" w:firstLineChars="200"/>
              <w:rPr>
                <w:rFonts w:hAnsi="宋体" w:eastAsia="宋体" w:cs="宋体"/>
                <w:color w:val="auto"/>
                <w:sz w:val="21"/>
                <w:szCs w:val="21"/>
              </w:rPr>
            </w:pPr>
          </w:p>
        </w:tc>
        <w:tc>
          <w:tcPr>
            <w:tcW w:w="1361" w:type="dxa"/>
            <w:noWrap/>
            <w:vAlign w:val="center"/>
          </w:tcPr>
          <w:p w14:paraId="58C6266A">
            <w:pPr>
              <w:pStyle w:val="13"/>
              <w:spacing w:line="400" w:lineRule="exact"/>
              <w:ind w:firstLine="420" w:firstLineChars="200"/>
              <w:rPr>
                <w:rFonts w:hAnsi="宋体" w:eastAsia="宋体" w:cs="宋体"/>
                <w:color w:val="auto"/>
                <w:sz w:val="21"/>
                <w:szCs w:val="21"/>
              </w:rPr>
            </w:pPr>
          </w:p>
        </w:tc>
      </w:tr>
      <w:tr w14:paraId="1ED669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04" w:type="dxa"/>
            <w:noWrap/>
            <w:vAlign w:val="center"/>
          </w:tcPr>
          <w:p w14:paraId="721B0960">
            <w:pPr>
              <w:pStyle w:val="13"/>
              <w:spacing w:line="400" w:lineRule="exact"/>
              <w:ind w:firstLine="420" w:firstLineChars="200"/>
              <w:jc w:val="both"/>
              <w:rPr>
                <w:rFonts w:hint="eastAsia" w:hAnsi="宋体" w:eastAsia="宋体" w:cs="宋体"/>
                <w:color w:val="auto"/>
                <w:sz w:val="21"/>
                <w:szCs w:val="21"/>
                <w:lang w:val="en-US" w:eastAsia="zh-CN"/>
              </w:rPr>
            </w:pPr>
            <w:r>
              <w:rPr>
                <w:rFonts w:hint="eastAsia" w:hAnsi="宋体" w:eastAsia="宋体" w:cs="宋体"/>
                <w:color w:val="auto"/>
                <w:sz w:val="21"/>
                <w:szCs w:val="21"/>
              </w:rPr>
              <w:t>…</w:t>
            </w:r>
          </w:p>
        </w:tc>
        <w:tc>
          <w:tcPr>
            <w:tcW w:w="2610" w:type="dxa"/>
            <w:noWrap/>
            <w:vAlign w:val="center"/>
          </w:tcPr>
          <w:p w14:paraId="4AEB5480">
            <w:pPr>
              <w:pStyle w:val="13"/>
              <w:spacing w:line="400" w:lineRule="exact"/>
              <w:ind w:firstLine="420" w:firstLineChars="200"/>
              <w:rPr>
                <w:rFonts w:hAnsi="宋体" w:eastAsia="宋体" w:cs="宋体"/>
                <w:color w:val="auto"/>
                <w:sz w:val="21"/>
                <w:szCs w:val="21"/>
              </w:rPr>
            </w:pPr>
          </w:p>
        </w:tc>
        <w:tc>
          <w:tcPr>
            <w:tcW w:w="2546" w:type="dxa"/>
            <w:noWrap/>
            <w:vAlign w:val="center"/>
          </w:tcPr>
          <w:p w14:paraId="70B6C19E">
            <w:pPr>
              <w:pStyle w:val="13"/>
              <w:spacing w:line="400" w:lineRule="exact"/>
              <w:ind w:firstLine="420" w:firstLineChars="200"/>
              <w:rPr>
                <w:rFonts w:hAnsi="宋体" w:eastAsia="宋体" w:cs="宋体"/>
                <w:color w:val="auto"/>
                <w:sz w:val="21"/>
                <w:szCs w:val="21"/>
              </w:rPr>
            </w:pPr>
          </w:p>
        </w:tc>
        <w:tc>
          <w:tcPr>
            <w:tcW w:w="1464" w:type="dxa"/>
            <w:noWrap/>
            <w:vAlign w:val="center"/>
          </w:tcPr>
          <w:p w14:paraId="2297A302">
            <w:pPr>
              <w:pStyle w:val="13"/>
              <w:spacing w:line="400" w:lineRule="exact"/>
              <w:ind w:firstLine="420" w:firstLineChars="200"/>
              <w:rPr>
                <w:rFonts w:hAnsi="宋体" w:eastAsia="宋体" w:cs="宋体"/>
                <w:color w:val="auto"/>
                <w:sz w:val="21"/>
                <w:szCs w:val="21"/>
              </w:rPr>
            </w:pPr>
          </w:p>
        </w:tc>
        <w:tc>
          <w:tcPr>
            <w:tcW w:w="1361" w:type="dxa"/>
            <w:noWrap/>
            <w:vAlign w:val="center"/>
          </w:tcPr>
          <w:p w14:paraId="720E77FA">
            <w:pPr>
              <w:pStyle w:val="13"/>
              <w:spacing w:line="400" w:lineRule="exact"/>
              <w:ind w:firstLine="420" w:firstLineChars="200"/>
              <w:rPr>
                <w:rFonts w:hAnsi="宋体" w:eastAsia="宋体" w:cs="宋体"/>
                <w:color w:val="auto"/>
                <w:sz w:val="21"/>
                <w:szCs w:val="21"/>
              </w:rPr>
            </w:pPr>
          </w:p>
        </w:tc>
      </w:tr>
    </w:tbl>
    <w:p w14:paraId="0F219A27">
      <w:pPr>
        <w:pStyle w:val="13"/>
        <w:spacing w:line="400" w:lineRule="exact"/>
        <w:rPr>
          <w:rFonts w:hAnsi="宋体" w:eastAsia="宋体" w:cs="宋体"/>
          <w:color w:val="auto"/>
          <w:sz w:val="21"/>
          <w:szCs w:val="21"/>
        </w:rPr>
      </w:pPr>
      <w:r>
        <w:rPr>
          <w:rFonts w:hint="eastAsia" w:hAnsi="宋体" w:eastAsia="宋体" w:cs="宋体"/>
          <w:color w:val="auto"/>
          <w:sz w:val="21"/>
          <w:szCs w:val="21"/>
        </w:rPr>
        <w:t>说明：1、应写明竞争性磋商响应文件对商务与服务技术要求的响应和偏离情况；</w:t>
      </w:r>
    </w:p>
    <w:p w14:paraId="1D384AE3">
      <w:pPr>
        <w:pStyle w:val="13"/>
        <w:spacing w:line="400" w:lineRule="exact"/>
        <w:ind w:firstLine="630" w:firstLineChars="300"/>
        <w:rPr>
          <w:rFonts w:hAnsi="宋体" w:eastAsia="宋体" w:cs="宋体"/>
          <w:color w:val="auto"/>
          <w:sz w:val="21"/>
          <w:szCs w:val="21"/>
        </w:rPr>
      </w:pPr>
      <w:r>
        <w:rPr>
          <w:rFonts w:hint="eastAsia" w:hAnsi="宋体" w:eastAsia="宋体" w:cs="宋体"/>
          <w:color w:val="auto"/>
          <w:sz w:val="21"/>
          <w:szCs w:val="21"/>
        </w:rPr>
        <w:t>2、应对照竞争性磋商文件“第三章  采购项目需求”，</w:t>
      </w:r>
      <w:r>
        <w:rPr>
          <w:rFonts w:hint="eastAsia" w:hAnsi="宋体" w:eastAsia="宋体" w:cs="宋体"/>
          <w:color w:val="auto"/>
          <w:sz w:val="21"/>
          <w:szCs w:val="21"/>
          <w:highlight w:val="none"/>
        </w:rPr>
        <w:t>逐条说明所提供服务已对竞争性磋商文件的商务、服务、技术要求做出了实质性的响应，</w:t>
      </w:r>
      <w:r>
        <w:rPr>
          <w:rFonts w:hint="eastAsia" w:hAnsi="宋体" w:eastAsia="宋体" w:cs="宋体"/>
          <w:color w:val="auto"/>
          <w:sz w:val="21"/>
          <w:szCs w:val="21"/>
        </w:rPr>
        <w:t>并申明与采购项目要求的响应和偏离。特别对有具体商务、服务、技术要求的，磋商供应商必须提供对应的详细应答。如果仅注明“符合”、“满足”或简单复制竞争性磋商文件要求，将导致磋商被拒绝。</w:t>
      </w:r>
    </w:p>
    <w:p w14:paraId="74E1FF33">
      <w:pPr>
        <w:pStyle w:val="13"/>
        <w:spacing w:line="400" w:lineRule="exact"/>
        <w:ind w:firstLine="630" w:firstLineChars="300"/>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3、本项目不允许负偏离，出现负偏离将</w:t>
      </w:r>
      <w:r>
        <w:rPr>
          <w:rFonts w:hint="eastAsia" w:hAnsi="宋体" w:eastAsia="宋体" w:cs="宋体"/>
          <w:color w:val="auto"/>
          <w:sz w:val="21"/>
          <w:szCs w:val="21"/>
        </w:rPr>
        <w:t>导致磋商被拒绝</w:t>
      </w:r>
      <w:r>
        <w:rPr>
          <w:rFonts w:hint="eastAsia" w:hAnsi="宋体" w:eastAsia="宋体" w:cs="宋体"/>
          <w:color w:val="auto"/>
          <w:sz w:val="21"/>
          <w:szCs w:val="21"/>
          <w:lang w:eastAsia="zh-CN"/>
        </w:rPr>
        <w:t>。</w:t>
      </w:r>
    </w:p>
    <w:p w14:paraId="75785BF9">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 xml:space="preserve">法定代表人（负责人）或委托代理人签字:                 </w:t>
      </w:r>
    </w:p>
    <w:p w14:paraId="39C27E82">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 xml:space="preserve">磋商供应商名称（盖章）：       </w:t>
      </w:r>
    </w:p>
    <w:p w14:paraId="22D9B440">
      <w:pPr>
        <w:pStyle w:val="13"/>
        <w:spacing w:line="400" w:lineRule="exact"/>
        <w:ind w:firstLine="420" w:firstLineChars="200"/>
        <w:rPr>
          <w:rFonts w:hAnsi="宋体" w:eastAsia="宋体" w:cs="宋体"/>
          <w:color w:val="auto"/>
          <w:sz w:val="21"/>
          <w:szCs w:val="21"/>
        </w:rPr>
      </w:pPr>
      <w:r>
        <w:rPr>
          <w:rFonts w:hint="eastAsia" w:hAnsi="宋体" w:eastAsia="宋体" w:cs="宋体"/>
          <w:color w:val="auto"/>
          <w:sz w:val="21"/>
          <w:szCs w:val="21"/>
        </w:rPr>
        <w:t xml:space="preserve">      年   月   日</w:t>
      </w:r>
    </w:p>
    <w:p w14:paraId="0C2382CD">
      <w:pPr>
        <w:rPr>
          <w:rFonts w:ascii="宋体" w:hAnsi="宋体" w:eastAsia="宋体" w:cs="宋体"/>
          <w:color w:val="auto"/>
          <w:sz w:val="21"/>
          <w:szCs w:val="21"/>
        </w:rPr>
      </w:pPr>
      <w:r>
        <w:rPr>
          <w:rFonts w:hint="eastAsia" w:ascii="宋体" w:hAnsi="宋体" w:eastAsia="宋体" w:cs="宋体"/>
          <w:color w:val="auto"/>
          <w:sz w:val="21"/>
          <w:szCs w:val="21"/>
        </w:rPr>
        <w:br w:type="page"/>
      </w:r>
    </w:p>
    <w:p w14:paraId="4F0A80DB">
      <w:pPr>
        <w:pStyle w:val="4"/>
        <w:tabs>
          <w:tab w:val="left" w:pos="4001"/>
        </w:tabs>
        <w:spacing w:before="6"/>
        <w:ind w:left="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附件</w:t>
      </w:r>
      <w:r>
        <w:rPr>
          <w:rFonts w:hint="eastAsia" w:ascii="Times New Roman" w:hAnsi="Times New Roman" w:eastAsia="宋体" w:cs="Times New Roman"/>
          <w:color w:val="auto"/>
          <w:sz w:val="21"/>
          <w:szCs w:val="21"/>
          <w:highlight w:val="none"/>
          <w:lang w:val="en-US" w:eastAsia="zh-CN"/>
        </w:rPr>
        <w:t>4</w:t>
      </w:r>
    </w:p>
    <w:p w14:paraId="4CF41382">
      <w:pPr>
        <w:autoSpaceDE/>
        <w:autoSpaceDN/>
        <w:spacing w:line="300" w:lineRule="auto"/>
        <w:ind w:left="420" w:hanging="420"/>
        <w:jc w:val="center"/>
        <w:rPr>
          <w:rFonts w:hint="eastAsia" w:ascii="宋体" w:hAnsi="宋体" w:eastAsia="宋体" w:cs="宋体"/>
          <w:b/>
          <w:bCs/>
          <w:color w:val="auto"/>
          <w:kern w:val="2"/>
          <w:sz w:val="30"/>
          <w:szCs w:val="30"/>
          <w:lang w:val="en-US" w:bidi="ar-SA"/>
        </w:rPr>
      </w:pPr>
      <w:r>
        <w:rPr>
          <w:rFonts w:hint="eastAsia" w:ascii="宋体" w:hAnsi="宋体" w:eastAsia="宋体" w:cs="宋体"/>
          <w:b/>
          <w:bCs/>
          <w:color w:val="auto"/>
          <w:kern w:val="2"/>
          <w:sz w:val="30"/>
          <w:szCs w:val="30"/>
          <w:lang w:val="en-US" w:bidi="ar-SA"/>
        </w:rPr>
        <w:t>北海市政府采购供应商信用承诺函（格式）</w:t>
      </w:r>
    </w:p>
    <w:p w14:paraId="2C75A23F">
      <w:pPr>
        <w:autoSpaceDE/>
        <w:autoSpaceDN/>
        <w:spacing w:line="300" w:lineRule="auto"/>
        <w:ind w:left="420" w:hanging="420"/>
        <w:rPr>
          <w:rFonts w:hint="eastAsia" w:ascii="宋体" w:hAnsi="宋体" w:eastAsia="宋体" w:cs="宋体"/>
          <w:color w:val="auto"/>
          <w:kern w:val="2"/>
          <w:sz w:val="21"/>
          <w:szCs w:val="21"/>
          <w:lang w:val="en-US" w:bidi="ar-SA"/>
        </w:rPr>
      </w:pPr>
    </w:p>
    <w:p w14:paraId="2AAAA5C6">
      <w:pPr>
        <w:autoSpaceDE/>
        <w:autoSpaceDN/>
        <w:spacing w:line="300" w:lineRule="auto"/>
        <w:ind w:left="420" w:hanging="420"/>
        <w:rPr>
          <w:rFonts w:hint="eastAsia" w:ascii="宋体" w:hAnsi="宋体" w:eastAsia="宋体" w:cs="宋体"/>
          <w:color w:val="auto"/>
          <w:kern w:val="2"/>
          <w:sz w:val="21"/>
          <w:szCs w:val="21"/>
          <w:lang w:val="en-US" w:bidi="ar-SA"/>
        </w:rPr>
      </w:pPr>
    </w:p>
    <w:p w14:paraId="54C28A08">
      <w:pPr>
        <w:autoSpaceDE/>
        <w:autoSpaceDN/>
        <w:spacing w:line="300" w:lineRule="auto"/>
        <w:ind w:left="420" w:hanging="420"/>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致（采购人或采购代理机构） ：</w:t>
      </w:r>
    </w:p>
    <w:p w14:paraId="27D8587C">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供应商名称：</w:t>
      </w:r>
    </w:p>
    <w:p w14:paraId="7F3C7BAB">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统一社会信用代码：</w:t>
      </w:r>
    </w:p>
    <w:p w14:paraId="49DC0C87">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供应商地址：</w:t>
      </w:r>
    </w:p>
    <w:p w14:paraId="7350924D">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我单位自愿参加本次政府采购活动，严格遵守《中华人民共和国政府采购法》及相关法律法规，依</w:t>
      </w:r>
    </w:p>
    <w:p w14:paraId="391483F9">
      <w:pPr>
        <w:autoSpaceDE/>
        <w:autoSpaceDN/>
        <w:spacing w:line="300" w:lineRule="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法诚信经营，无条件遵守本次政府采购活动的各项规定。我单位郑重承诺，本单位符合《中华人民共和国政府采购法》第二十二条规定的条件：</w:t>
      </w:r>
    </w:p>
    <w:p w14:paraId="49FC38ED">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1.我单位具有符合采购文件资格要求独立承担民事责任的能力。</w:t>
      </w:r>
    </w:p>
    <w:p w14:paraId="4806590C">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2.我单位具有符合采购文件资格要求的财务状况报告。</w:t>
      </w:r>
    </w:p>
    <w:p w14:paraId="75D9E8F8">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3.我单位具有符合采购文件资格要求的依法缴纳税收和社会保障记录的良好记录。</w:t>
      </w:r>
    </w:p>
    <w:p w14:paraId="51E6BEFB">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4.我单位具有符合采购文件资格要求履行合同所必需的设备和专业技术能力。</w:t>
      </w:r>
    </w:p>
    <w:p w14:paraId="730500AC">
      <w:pPr>
        <w:autoSpaceDE/>
        <w:autoSpaceDN/>
        <w:spacing w:line="300" w:lineRule="auto"/>
        <w:ind w:left="493" w:leftChars="224"/>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5.参加政府采购活动前三年内，在经营活动中没有重大违法记录。</w:t>
      </w:r>
    </w:p>
    <w:p w14:paraId="6A90482C">
      <w:pPr>
        <w:autoSpaceDE/>
        <w:autoSpaceDN/>
        <w:spacing w:line="300" w:lineRule="auto"/>
        <w:ind w:left="440" w:leftChars="200"/>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若我单位承诺不实，自愿承担提供虚假材料谋取中标、成交的法律责任。</w:t>
      </w:r>
    </w:p>
    <w:p w14:paraId="744DAFAF">
      <w:pPr>
        <w:autoSpaceDE/>
        <w:autoSpaceDN/>
        <w:spacing w:line="300" w:lineRule="auto"/>
        <w:ind w:left="420" w:hanging="420"/>
        <w:rPr>
          <w:rFonts w:hint="eastAsia" w:ascii="宋体" w:hAnsi="宋体" w:eastAsia="宋体" w:cs="宋体"/>
          <w:b/>
          <w:bCs/>
          <w:color w:val="auto"/>
          <w:kern w:val="2"/>
          <w:sz w:val="21"/>
          <w:szCs w:val="21"/>
          <w:lang w:val="en-US" w:bidi="ar-SA"/>
        </w:rPr>
      </w:pPr>
    </w:p>
    <w:p w14:paraId="1E1F19BE">
      <w:pPr>
        <w:autoSpaceDE/>
        <w:autoSpaceDN/>
        <w:spacing w:line="300" w:lineRule="auto"/>
        <w:ind w:left="420" w:hanging="420"/>
        <w:rPr>
          <w:rFonts w:hint="eastAsia" w:ascii="宋体" w:hAnsi="宋体" w:eastAsia="宋体" w:cs="宋体"/>
          <w:b/>
          <w:bCs/>
          <w:color w:val="auto"/>
          <w:kern w:val="2"/>
          <w:sz w:val="21"/>
          <w:szCs w:val="21"/>
          <w:lang w:val="en-US" w:bidi="ar-SA"/>
        </w:rPr>
      </w:pPr>
    </w:p>
    <w:p w14:paraId="33CF7E92">
      <w:pPr>
        <w:autoSpaceDE/>
        <w:autoSpaceDN/>
        <w:spacing w:line="300" w:lineRule="auto"/>
        <w:ind w:left="420" w:hanging="420"/>
        <w:rPr>
          <w:rFonts w:hint="eastAsia" w:ascii="宋体" w:hAnsi="宋体" w:eastAsia="宋体" w:cs="宋体"/>
          <w:b/>
          <w:bCs/>
          <w:color w:val="auto"/>
          <w:kern w:val="2"/>
          <w:sz w:val="21"/>
          <w:szCs w:val="21"/>
          <w:lang w:val="en-US" w:bidi="ar-SA"/>
        </w:rPr>
      </w:pPr>
    </w:p>
    <w:p w14:paraId="605FEF58">
      <w:pPr>
        <w:autoSpaceDE/>
        <w:autoSpaceDN/>
        <w:spacing w:line="300" w:lineRule="auto"/>
        <w:ind w:left="420" w:hanging="420"/>
        <w:rPr>
          <w:rFonts w:hint="eastAsia" w:ascii="宋体" w:hAnsi="宋体" w:eastAsia="宋体" w:cs="宋体"/>
          <w:b/>
          <w:bCs/>
          <w:color w:val="auto"/>
          <w:kern w:val="2"/>
          <w:sz w:val="21"/>
          <w:szCs w:val="21"/>
          <w:lang w:val="en-US" w:bidi="ar-SA"/>
        </w:rPr>
      </w:pPr>
    </w:p>
    <w:p w14:paraId="7C8C5B75">
      <w:pPr>
        <w:autoSpaceDE/>
        <w:autoSpaceDN/>
        <w:spacing w:line="300" w:lineRule="auto"/>
        <w:ind w:left="420" w:hanging="42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供应商名称（公 章）：</w:t>
      </w:r>
    </w:p>
    <w:p w14:paraId="6DC7C15D">
      <w:pPr>
        <w:autoSpaceDE/>
        <w:autoSpaceDN/>
        <w:spacing w:line="300" w:lineRule="auto"/>
        <w:ind w:left="420" w:hanging="42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法定代表人或授权代表 (签名)：</w:t>
      </w:r>
    </w:p>
    <w:p w14:paraId="7014DB3C">
      <w:pPr>
        <w:autoSpaceDE/>
        <w:autoSpaceDN/>
        <w:spacing w:line="300" w:lineRule="auto"/>
        <w:ind w:left="420" w:hanging="42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日 期： 年  月  日</w:t>
      </w:r>
    </w:p>
    <w:p w14:paraId="77F3647D">
      <w:pPr>
        <w:spacing w:line="380" w:lineRule="exact"/>
        <w:jc w:val="both"/>
        <w:rPr>
          <w:rFonts w:hint="eastAsia" w:ascii="宋体" w:hAnsi="宋体" w:eastAsia="宋体" w:cs="宋体"/>
          <w:b/>
          <w:bCs/>
          <w:color w:val="auto"/>
          <w:kern w:val="2"/>
          <w:sz w:val="21"/>
          <w:szCs w:val="21"/>
          <w:lang w:val="en-US" w:bidi="ar-SA"/>
        </w:rPr>
      </w:pPr>
    </w:p>
    <w:p w14:paraId="3BC4F408">
      <w:pPr>
        <w:autoSpaceDE/>
        <w:autoSpaceDN/>
        <w:jc w:val="both"/>
        <w:rPr>
          <w:rFonts w:hint="eastAsia" w:ascii="Times New Roman" w:hAnsi="Times New Roman" w:eastAsia="宋体" w:cs="Times New Roman"/>
          <w:color w:val="auto"/>
          <w:kern w:val="2"/>
          <w:sz w:val="21"/>
          <w:szCs w:val="24"/>
          <w:lang w:val="en-US" w:bidi="ar-SA"/>
        </w:rPr>
      </w:pPr>
    </w:p>
    <w:p w14:paraId="78B6A583">
      <w:pPr>
        <w:autoSpaceDE/>
        <w:autoSpaceDN/>
        <w:spacing w:line="300" w:lineRule="auto"/>
        <w:ind w:left="440" w:leftChars="200"/>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注：1.供应商须在投标（响应）文件中按此模板提供承诺函 ，未提供视为未实质性响应招标（采</w:t>
      </w:r>
    </w:p>
    <w:p w14:paraId="7C9DF53A">
      <w:pPr>
        <w:autoSpaceDE/>
        <w:autoSpaceDN/>
        <w:spacing w:line="300" w:lineRule="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购）文件要求 ，按无效投标（响应）处理 。</w:t>
      </w:r>
    </w:p>
    <w:p w14:paraId="2AA5CE38">
      <w:pPr>
        <w:autoSpaceDE/>
        <w:autoSpaceDN/>
        <w:spacing w:line="300" w:lineRule="auto"/>
        <w:ind w:firstLine="420" w:firstLineChars="200"/>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2.供应商的法定代表人（其他组织的为负责人）或者授权代表的签名或盖章应真实、有效，如‛授权</w:t>
      </w:r>
    </w:p>
    <w:p w14:paraId="341B881E">
      <w:pPr>
        <w:autoSpaceDE/>
        <w:autoSpaceDN/>
        <w:spacing w:line="300" w:lineRule="auto"/>
        <w:rPr>
          <w:rFonts w:hint="eastAsia" w:ascii="黑体" w:hAnsi="宋体" w:eastAsia="黑体" w:cs="Times New Roman"/>
          <w:color w:val="auto"/>
          <w:sz w:val="32"/>
          <w:szCs w:val="32"/>
          <w:lang w:val="en-US" w:bidi="ar-SA"/>
        </w:rPr>
      </w:pPr>
      <w:r>
        <w:rPr>
          <w:rFonts w:hint="eastAsia" w:ascii="宋体" w:hAnsi="宋体" w:eastAsia="宋体" w:cs="宋体"/>
          <w:color w:val="auto"/>
          <w:kern w:val="2"/>
          <w:sz w:val="21"/>
          <w:szCs w:val="21"/>
          <w:lang w:val="en-US" w:bidi="ar-SA"/>
        </w:rPr>
        <w:t>代表签名或盖章的，应提供 “法定 代表 人授权书”。</w:t>
      </w:r>
    </w:p>
    <w:p w14:paraId="190E47A5">
      <w:pPr>
        <w:tabs>
          <w:tab w:val="left" w:pos="2532"/>
        </w:tabs>
        <w:spacing w:before="213" w:line="405" w:lineRule="auto"/>
        <w:ind w:left="372" w:right="951" w:firstLine="480"/>
        <w:jc w:val="both"/>
        <w:rPr>
          <w:rFonts w:hint="default" w:ascii="Times New Roman" w:hAnsi="Times New Roman" w:eastAsia="宋体" w:cs="Times New Roman"/>
          <w:color w:val="auto"/>
          <w:sz w:val="21"/>
          <w:szCs w:val="21"/>
          <w:highlight w:val="none"/>
        </w:rPr>
      </w:pPr>
    </w:p>
    <w:p w14:paraId="25BB8C7A">
      <w:pPr>
        <w:pStyle w:val="4"/>
        <w:tabs>
          <w:tab w:val="left" w:pos="4001"/>
        </w:tabs>
        <w:spacing w:before="6"/>
        <w:ind w:left="0"/>
        <w:rPr>
          <w:rFonts w:hint="eastAsia" w:ascii="宋体" w:hAnsi="宋体" w:eastAsia="宋体" w:cs="宋体"/>
          <w:color w:val="auto"/>
          <w:sz w:val="21"/>
          <w:szCs w:val="21"/>
        </w:rPr>
      </w:pPr>
    </w:p>
    <w:p w14:paraId="418C889B">
      <w:pPr>
        <w:pStyle w:val="4"/>
        <w:tabs>
          <w:tab w:val="left" w:pos="4001"/>
        </w:tabs>
        <w:spacing w:before="6"/>
        <w:ind w:left="0"/>
        <w:rPr>
          <w:rFonts w:hint="eastAsia" w:ascii="宋体" w:hAnsi="宋体" w:eastAsia="宋体" w:cs="宋体"/>
          <w:color w:val="auto"/>
          <w:sz w:val="21"/>
          <w:szCs w:val="21"/>
        </w:rPr>
      </w:pPr>
    </w:p>
    <w:p w14:paraId="50475143">
      <w:pPr>
        <w:pStyle w:val="4"/>
        <w:tabs>
          <w:tab w:val="left" w:pos="4001"/>
        </w:tabs>
        <w:spacing w:before="6"/>
        <w:ind w:left="0"/>
        <w:rPr>
          <w:rFonts w:hint="eastAsia" w:ascii="宋体" w:hAnsi="宋体" w:eastAsia="宋体" w:cs="宋体"/>
          <w:color w:val="auto"/>
          <w:sz w:val="21"/>
          <w:szCs w:val="21"/>
        </w:rPr>
      </w:pPr>
    </w:p>
    <w:p w14:paraId="2A62820D">
      <w:pPr>
        <w:pStyle w:val="4"/>
        <w:tabs>
          <w:tab w:val="left" w:pos="4001"/>
        </w:tabs>
        <w:spacing w:before="6"/>
        <w:ind w:left="0"/>
        <w:rPr>
          <w:rFonts w:hint="eastAsia" w:ascii="宋体" w:hAnsi="宋体" w:eastAsia="宋体" w:cs="宋体"/>
          <w:color w:val="auto"/>
          <w:sz w:val="21"/>
          <w:szCs w:val="21"/>
        </w:rPr>
      </w:pPr>
    </w:p>
    <w:p w14:paraId="1260D5E1">
      <w:pPr>
        <w:pStyle w:val="4"/>
        <w:tabs>
          <w:tab w:val="left" w:pos="4001"/>
        </w:tabs>
        <w:spacing w:before="6"/>
        <w:ind w:left="0"/>
        <w:rPr>
          <w:rFonts w:hint="eastAsia" w:ascii="宋体" w:hAnsi="宋体" w:eastAsia="宋体" w:cs="宋体"/>
          <w:color w:val="auto"/>
          <w:sz w:val="21"/>
          <w:szCs w:val="21"/>
        </w:rPr>
      </w:pPr>
    </w:p>
    <w:p w14:paraId="5B6A6354">
      <w:pPr>
        <w:pStyle w:val="4"/>
        <w:tabs>
          <w:tab w:val="left" w:pos="4001"/>
        </w:tabs>
        <w:spacing w:before="6"/>
        <w:ind w:left="0"/>
        <w:rPr>
          <w:rFonts w:hint="eastAsia" w:ascii="宋体" w:hAnsi="宋体" w:eastAsia="宋体" w:cs="宋体"/>
          <w:color w:val="auto"/>
          <w:sz w:val="21"/>
          <w:szCs w:val="21"/>
        </w:rPr>
      </w:pPr>
    </w:p>
    <w:p w14:paraId="4FBAF66B">
      <w:pPr>
        <w:pStyle w:val="4"/>
        <w:tabs>
          <w:tab w:val="left" w:pos="4001"/>
        </w:tabs>
        <w:spacing w:before="6"/>
        <w:ind w:left="0"/>
        <w:rPr>
          <w:rFonts w:hint="eastAsia" w:ascii="宋体" w:hAnsi="宋体" w:eastAsia="宋体" w:cs="宋体"/>
          <w:color w:val="auto"/>
          <w:sz w:val="21"/>
          <w:szCs w:val="21"/>
        </w:rPr>
      </w:pPr>
    </w:p>
    <w:p w14:paraId="433F621B">
      <w:pPr>
        <w:pStyle w:val="4"/>
        <w:tabs>
          <w:tab w:val="left" w:pos="4001"/>
        </w:tabs>
        <w:spacing w:before="6"/>
        <w:ind w:left="0"/>
        <w:rPr>
          <w:rFonts w:hint="eastAsia" w:ascii="宋体" w:hAnsi="宋体" w:eastAsia="宋体" w:cs="宋体"/>
          <w:color w:val="auto"/>
          <w:sz w:val="21"/>
          <w:szCs w:val="21"/>
        </w:rPr>
      </w:pPr>
    </w:p>
    <w:p w14:paraId="1DAFCCF7">
      <w:pPr>
        <w:pStyle w:val="4"/>
        <w:tabs>
          <w:tab w:val="left" w:pos="4001"/>
        </w:tabs>
        <w:spacing w:before="6"/>
        <w:ind w:left="0"/>
        <w:rPr>
          <w:rFonts w:hint="eastAsia" w:ascii="宋体" w:hAnsi="宋体" w:eastAsia="宋体" w:cs="宋体"/>
          <w:color w:val="auto"/>
          <w:sz w:val="21"/>
          <w:szCs w:val="21"/>
        </w:rPr>
      </w:pPr>
    </w:p>
    <w:p w14:paraId="2DABAA55">
      <w:pPr>
        <w:pStyle w:val="4"/>
        <w:tabs>
          <w:tab w:val="left" w:pos="4001"/>
        </w:tabs>
        <w:spacing w:before="6"/>
        <w:ind w:left="0"/>
        <w:rPr>
          <w:rFonts w:hint="eastAsia" w:ascii="宋体" w:hAnsi="宋体" w:eastAsia="宋体" w:cs="宋体"/>
          <w:color w:val="auto"/>
          <w:sz w:val="21"/>
          <w:szCs w:val="21"/>
        </w:rPr>
      </w:pPr>
    </w:p>
    <w:p w14:paraId="2E98AD93">
      <w:pPr>
        <w:pStyle w:val="4"/>
        <w:tabs>
          <w:tab w:val="left" w:pos="4001"/>
        </w:tabs>
        <w:spacing w:before="6"/>
        <w:ind w:left="0"/>
        <w:rPr>
          <w:rFonts w:hint="eastAsia" w:ascii="宋体" w:hAnsi="宋体" w:eastAsia="宋体" w:cs="宋体"/>
          <w:color w:val="auto"/>
          <w:sz w:val="21"/>
          <w:szCs w:val="21"/>
        </w:rPr>
      </w:pPr>
    </w:p>
    <w:p w14:paraId="45BCDEDF">
      <w:pPr>
        <w:pStyle w:val="4"/>
        <w:tabs>
          <w:tab w:val="left" w:pos="4001"/>
        </w:tabs>
        <w:spacing w:before="6"/>
        <w:ind w:left="0"/>
        <w:rPr>
          <w:rFonts w:hint="eastAsia" w:ascii="宋体" w:hAnsi="宋体" w:eastAsia="宋体" w:cs="宋体"/>
          <w:color w:val="auto"/>
          <w:sz w:val="21"/>
          <w:szCs w:val="21"/>
        </w:rPr>
      </w:pPr>
    </w:p>
    <w:p w14:paraId="7CE03A9F">
      <w:pPr>
        <w:pStyle w:val="4"/>
        <w:tabs>
          <w:tab w:val="left" w:pos="4001"/>
        </w:tabs>
        <w:spacing w:before="6"/>
        <w:ind w:left="0"/>
        <w:rPr>
          <w:rFonts w:hint="eastAsia" w:ascii="宋体" w:hAnsi="宋体" w:eastAsia="宋体" w:cs="宋体"/>
          <w:color w:val="auto"/>
          <w:sz w:val="21"/>
          <w:szCs w:val="21"/>
        </w:rPr>
      </w:pPr>
    </w:p>
    <w:p w14:paraId="43E12852">
      <w:pPr>
        <w:pStyle w:val="4"/>
        <w:tabs>
          <w:tab w:val="left" w:pos="4001"/>
        </w:tabs>
        <w:spacing w:before="6"/>
        <w:ind w:lef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5</w:t>
      </w:r>
    </w:p>
    <w:p w14:paraId="0E60F861">
      <w:pPr>
        <w:pStyle w:val="4"/>
        <w:tabs>
          <w:tab w:val="left" w:pos="4001"/>
        </w:tabs>
        <w:spacing w:before="6"/>
        <w:ind w:left="3575"/>
        <w:rPr>
          <w:rFonts w:ascii="宋体" w:hAnsi="宋体" w:eastAsia="宋体" w:cs="宋体"/>
          <w:color w:val="auto"/>
          <w:sz w:val="21"/>
          <w:szCs w:val="21"/>
        </w:rPr>
      </w:pPr>
      <w:r>
        <w:rPr>
          <w:rFonts w:hint="eastAsia" w:ascii="宋体" w:hAnsi="宋体" w:eastAsia="宋体" w:cs="宋体"/>
          <w:color w:val="auto"/>
          <w:sz w:val="21"/>
          <w:szCs w:val="21"/>
        </w:rPr>
        <w:t>法定代表人身份证明书</w:t>
      </w:r>
    </w:p>
    <w:p w14:paraId="50245451">
      <w:pPr>
        <w:pStyle w:val="9"/>
        <w:spacing w:before="3"/>
        <w:rPr>
          <w:rFonts w:ascii="宋体" w:hAnsi="宋体" w:eastAsia="宋体" w:cs="宋体"/>
          <w:b/>
          <w:color w:val="auto"/>
          <w:sz w:val="21"/>
          <w:szCs w:val="21"/>
        </w:rPr>
      </w:pPr>
    </w:p>
    <w:p w14:paraId="160F7464">
      <w:pPr>
        <w:spacing w:line="360" w:lineRule="exact"/>
        <w:rPr>
          <w:rFonts w:ascii="宋体" w:hAnsi="宋体" w:eastAsia="宋体" w:cs="宋体"/>
          <w:color w:val="auto"/>
          <w:sz w:val="21"/>
          <w:szCs w:val="21"/>
          <w:u w:val="single"/>
        </w:rPr>
      </w:pPr>
      <w:r>
        <w:rPr>
          <w:rFonts w:hint="eastAsia" w:ascii="宋体" w:hAnsi="宋体" w:eastAsia="宋体" w:cs="宋体"/>
          <w:color w:val="auto"/>
          <w:sz w:val="21"/>
          <w:szCs w:val="21"/>
        </w:rPr>
        <w:t>供</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应</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商：</w:t>
      </w:r>
      <w:r>
        <w:rPr>
          <w:rFonts w:hint="eastAsia" w:ascii="宋体" w:hAnsi="宋体" w:eastAsia="宋体" w:cs="宋体"/>
          <w:color w:val="auto"/>
          <w:sz w:val="21"/>
          <w:szCs w:val="21"/>
          <w:u w:val="single"/>
        </w:rPr>
        <w:t xml:space="preserve">                                                      </w:t>
      </w:r>
    </w:p>
    <w:p w14:paraId="510F198A">
      <w:pPr>
        <w:spacing w:line="360" w:lineRule="exact"/>
        <w:rPr>
          <w:rFonts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p>
    <w:p w14:paraId="1BE5656A">
      <w:pPr>
        <w:spacing w:line="360" w:lineRule="exact"/>
        <w:rPr>
          <w:rFonts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p>
    <w:p w14:paraId="7E05B6E7">
      <w:pPr>
        <w:spacing w:line="360" w:lineRule="exact"/>
        <w:rPr>
          <w:rFonts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5EA9ACA0">
      <w:pPr>
        <w:spacing w:line="360" w:lineRule="exact"/>
        <w:rPr>
          <w:rFonts w:ascii="宋体" w:hAnsi="宋体" w:eastAsia="宋体" w:cs="宋体"/>
          <w:color w:val="auto"/>
          <w:sz w:val="21"/>
          <w:szCs w:val="21"/>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14:paraId="02883AA1">
      <w:pPr>
        <w:spacing w:line="360" w:lineRule="exact"/>
        <w:rPr>
          <w:rFonts w:ascii="宋体" w:hAnsi="宋体" w:eastAsia="宋体" w:cs="宋体"/>
          <w:color w:val="auto"/>
          <w:sz w:val="21"/>
          <w:szCs w:val="21"/>
          <w:u w:val="single"/>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性    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09F461C7">
      <w:pPr>
        <w:spacing w:line="360" w:lineRule="exact"/>
        <w:rPr>
          <w:rFonts w:ascii="宋体" w:hAnsi="宋体" w:eastAsia="宋体" w:cs="宋体"/>
          <w:color w:val="auto"/>
          <w:sz w:val="21"/>
          <w:szCs w:val="21"/>
          <w:u w:val="single"/>
        </w:rPr>
      </w:pPr>
      <w:r>
        <w:rPr>
          <w:rFonts w:hint="eastAsia" w:ascii="宋体" w:hAnsi="宋体" w:eastAsia="宋体" w:cs="宋体"/>
          <w:color w:val="auto"/>
          <w:sz w:val="21"/>
          <w:szCs w:val="21"/>
        </w:rPr>
        <w:t>年    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3F8893ED">
      <w:pPr>
        <w:spacing w:line="360" w:lineRule="exact"/>
        <w:rPr>
          <w:rFonts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2818F750">
      <w:pPr>
        <w:spacing w:line="360" w:lineRule="exact"/>
        <w:rPr>
          <w:rFonts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（竞争性磋商供应商名称）的法定代表人。</w:t>
      </w:r>
    </w:p>
    <w:p w14:paraId="4571DB97">
      <w:pPr>
        <w:pStyle w:val="13"/>
        <w:spacing w:line="360" w:lineRule="exact"/>
        <w:ind w:firstLine="420" w:firstLineChars="200"/>
        <w:rPr>
          <w:rFonts w:hAnsi="宋体" w:eastAsia="宋体" w:cs="宋体"/>
          <w:color w:val="auto"/>
          <w:sz w:val="21"/>
          <w:szCs w:val="21"/>
        </w:rPr>
      </w:pPr>
      <w:r>
        <w:rPr>
          <w:rFonts w:hint="eastAsia" w:hAnsi="宋体" w:eastAsia="宋体" w:cs="宋体"/>
          <w:color w:val="auto"/>
          <w:sz w:val="21"/>
          <w:szCs w:val="21"/>
        </w:rPr>
        <w:t>特此证明。</w:t>
      </w:r>
    </w:p>
    <w:p w14:paraId="4465FE5D">
      <w:pPr>
        <w:pStyle w:val="13"/>
        <w:spacing w:line="360" w:lineRule="exact"/>
        <w:ind w:firstLine="539" w:firstLineChars="257"/>
        <w:rPr>
          <w:rFonts w:hAnsi="宋体" w:eastAsia="宋体" w:cs="宋体"/>
          <w:color w:val="auto"/>
          <w:sz w:val="21"/>
          <w:szCs w:val="21"/>
        </w:rPr>
      </w:pPr>
    </w:p>
    <w:p w14:paraId="2B0EB97C">
      <w:pPr>
        <w:pStyle w:val="13"/>
        <w:spacing w:line="360" w:lineRule="exact"/>
        <w:ind w:firstLine="539" w:firstLineChars="257"/>
        <w:jc w:val="right"/>
        <w:rPr>
          <w:rFonts w:hAnsi="宋体" w:eastAsia="宋体" w:cs="宋体"/>
          <w:color w:val="auto"/>
          <w:sz w:val="21"/>
          <w:szCs w:val="21"/>
        </w:rPr>
      </w:pPr>
      <w:r>
        <w:rPr>
          <w:rFonts w:hint="eastAsia" w:hAnsi="宋体" w:eastAsia="宋体" w:cs="宋体"/>
          <w:color w:val="auto"/>
          <w:sz w:val="21"/>
          <w:szCs w:val="21"/>
        </w:rPr>
        <w:t>供应商：</w:t>
      </w:r>
      <w:r>
        <w:rPr>
          <w:rFonts w:hint="eastAsia" w:hAnsi="宋体" w:eastAsia="宋体" w:cs="宋体"/>
          <w:color w:val="auto"/>
          <w:sz w:val="21"/>
          <w:szCs w:val="21"/>
          <w:u w:val="single"/>
        </w:rPr>
        <w:t xml:space="preserve">                     </w:t>
      </w:r>
      <w:r>
        <w:rPr>
          <w:rFonts w:hint="eastAsia" w:hAnsi="宋体" w:eastAsia="宋体" w:cs="宋体"/>
          <w:color w:val="auto"/>
          <w:sz w:val="21"/>
          <w:szCs w:val="21"/>
        </w:rPr>
        <w:t>（盖单位公章）</w:t>
      </w:r>
    </w:p>
    <w:p w14:paraId="1C5A6A48">
      <w:pPr>
        <w:pStyle w:val="13"/>
        <w:spacing w:line="360" w:lineRule="exact"/>
        <w:ind w:firstLine="539" w:firstLineChars="257"/>
        <w:rPr>
          <w:rFonts w:hAnsi="宋体" w:eastAsia="宋体" w:cs="宋体"/>
          <w:color w:val="auto"/>
          <w:sz w:val="21"/>
          <w:szCs w:val="21"/>
        </w:rPr>
      </w:pPr>
    </w:p>
    <w:p w14:paraId="718DE791">
      <w:pPr>
        <w:pStyle w:val="13"/>
        <w:spacing w:line="360" w:lineRule="exact"/>
        <w:ind w:firstLine="525" w:firstLineChars="250"/>
        <w:jc w:val="right"/>
        <w:rPr>
          <w:rFonts w:hAnsi="宋体" w:eastAsia="宋体" w:cs="宋体"/>
          <w:color w:val="auto"/>
          <w:sz w:val="21"/>
          <w:szCs w:val="21"/>
        </w:rPr>
      </w:pPr>
      <w:r>
        <w:rPr>
          <w:rFonts w:hint="eastAsia" w:hAnsi="宋体" w:eastAsia="宋体" w:cs="宋体"/>
          <w:color w:val="auto"/>
          <w:sz w:val="21"/>
          <w:szCs w:val="21"/>
        </w:rPr>
        <w:t>日期：    年    月    日</w:t>
      </w:r>
    </w:p>
    <w:p w14:paraId="1C985CBB">
      <w:pPr>
        <w:pStyle w:val="13"/>
        <w:spacing w:line="360" w:lineRule="exact"/>
        <w:rPr>
          <w:rFonts w:hAnsi="宋体" w:eastAsia="宋体" w:cs="宋体"/>
          <w:color w:val="auto"/>
          <w:sz w:val="21"/>
          <w:szCs w:val="21"/>
        </w:rPr>
      </w:pPr>
    </w:p>
    <w:p w14:paraId="2625121A">
      <w:pPr>
        <w:pStyle w:val="13"/>
        <w:spacing w:line="360" w:lineRule="exact"/>
        <w:rPr>
          <w:rFonts w:hAnsi="宋体" w:eastAsia="宋体" w:cs="宋体"/>
          <w:color w:val="auto"/>
          <w:sz w:val="21"/>
          <w:szCs w:val="21"/>
        </w:rPr>
      </w:pPr>
    </w:p>
    <w:p w14:paraId="6AB76970">
      <w:pPr>
        <w:pStyle w:val="13"/>
        <w:spacing w:line="360" w:lineRule="exact"/>
        <w:rPr>
          <w:rFonts w:hAnsi="宋体" w:eastAsia="宋体" w:cs="宋体"/>
          <w:b/>
          <w:color w:val="auto"/>
          <w:sz w:val="21"/>
          <w:szCs w:val="21"/>
        </w:rPr>
      </w:pPr>
      <w:r>
        <w:rPr>
          <w:rFonts w:hint="eastAsia" w:hAnsi="宋体" w:eastAsia="宋体" w:cs="宋体"/>
          <w:color w:val="auto"/>
          <w:sz w:val="21"/>
          <w:szCs w:val="21"/>
        </w:rPr>
        <w:t>附注：如法定代表人亲自参加开标会议的，须在开标会上提供法定代表人身份证明书、法人代表身份证。</w:t>
      </w:r>
    </w:p>
    <w:p w14:paraId="690CE179">
      <w:pPr>
        <w:pStyle w:val="13"/>
        <w:spacing w:line="300" w:lineRule="auto"/>
        <w:ind w:firstLine="420" w:firstLineChars="200"/>
        <w:rPr>
          <w:rFonts w:hAnsi="宋体" w:eastAsia="宋体" w:cs="宋体"/>
          <w:color w:val="auto"/>
          <w:sz w:val="21"/>
          <w:szCs w:val="21"/>
        </w:rPr>
      </w:pPr>
    </w:p>
    <w:tbl>
      <w:tblPr>
        <w:tblStyle w:val="2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6BAE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9" w:hRule="atLeast"/>
        </w:trPr>
        <w:tc>
          <w:tcPr>
            <w:tcW w:w="9380" w:type="dxa"/>
            <w:noWrap/>
          </w:tcPr>
          <w:p w14:paraId="3FA31316">
            <w:pPr>
              <w:spacing w:line="300" w:lineRule="auto"/>
              <w:rPr>
                <w:rFonts w:ascii="宋体" w:hAnsi="宋体" w:eastAsia="宋体" w:cs="宋体"/>
                <w:color w:val="auto"/>
                <w:sz w:val="21"/>
                <w:szCs w:val="21"/>
              </w:rPr>
            </w:pPr>
            <w:r>
              <w:rPr>
                <w:rFonts w:hint="eastAsia" w:ascii="宋体" w:hAnsi="宋体" w:eastAsia="宋体" w:cs="宋体"/>
                <w:color w:val="auto"/>
                <w:sz w:val="21"/>
                <w:szCs w:val="21"/>
              </w:rPr>
              <w:t>粘贴法定代表人的正面及反面身份证复印件</w:t>
            </w:r>
          </w:p>
        </w:tc>
      </w:tr>
    </w:tbl>
    <w:p w14:paraId="75A03F37">
      <w:pPr>
        <w:spacing w:before="1" w:line="280" w:lineRule="auto"/>
        <w:ind w:left="372" w:right="951" w:firstLine="612"/>
        <w:rPr>
          <w:rFonts w:ascii="宋体" w:hAnsi="宋体" w:eastAsia="宋体" w:cs="宋体"/>
          <w:color w:val="auto"/>
          <w:sz w:val="21"/>
          <w:szCs w:val="21"/>
        </w:rPr>
      </w:pPr>
    </w:p>
    <w:p w14:paraId="5182A303">
      <w:pPr>
        <w:spacing w:line="280" w:lineRule="auto"/>
        <w:rPr>
          <w:rFonts w:ascii="宋体" w:hAnsi="宋体" w:eastAsia="宋体" w:cs="宋体"/>
          <w:color w:val="auto"/>
          <w:sz w:val="21"/>
          <w:szCs w:val="21"/>
        </w:rPr>
        <w:sectPr>
          <w:headerReference r:id="rId11" w:type="default"/>
          <w:footerReference r:id="rId12" w:type="default"/>
          <w:pgSz w:w="11910" w:h="16840"/>
          <w:pgMar w:top="1134" w:right="1134" w:bottom="1134" w:left="1134" w:header="610" w:footer="550" w:gutter="0"/>
          <w:cols w:space="720" w:num="1"/>
        </w:sectPr>
      </w:pPr>
    </w:p>
    <w:p w14:paraId="62089C91">
      <w:pPr>
        <w:pStyle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6</w:t>
      </w:r>
    </w:p>
    <w:p w14:paraId="5BB0E998">
      <w:pPr>
        <w:pStyle w:val="4"/>
        <w:spacing w:before="201"/>
        <w:ind w:left="0" w:right="969"/>
        <w:jc w:val="center"/>
        <w:rPr>
          <w:rFonts w:ascii="宋体" w:hAnsi="宋体" w:eastAsia="宋体" w:cs="宋体"/>
          <w:color w:val="auto"/>
          <w:sz w:val="21"/>
          <w:szCs w:val="21"/>
        </w:rPr>
      </w:pPr>
      <w:r>
        <w:rPr>
          <w:rFonts w:hint="eastAsia" w:ascii="宋体" w:hAnsi="宋体" w:eastAsia="宋体" w:cs="宋体"/>
          <w:color w:val="auto"/>
          <w:sz w:val="21"/>
          <w:szCs w:val="21"/>
        </w:rPr>
        <w:t>法人授权委托书</w:t>
      </w:r>
    </w:p>
    <w:p w14:paraId="0FB6EFFB">
      <w:pPr>
        <w:pStyle w:val="9"/>
        <w:spacing w:before="10"/>
        <w:rPr>
          <w:rFonts w:ascii="宋体" w:hAnsi="宋体" w:eastAsia="宋体" w:cs="宋体"/>
          <w:b/>
          <w:color w:val="auto"/>
          <w:sz w:val="21"/>
          <w:szCs w:val="21"/>
        </w:rPr>
      </w:pPr>
    </w:p>
    <w:p w14:paraId="01C40398">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采购代理机构名称</w:t>
      </w:r>
      <w:r>
        <w:rPr>
          <w:rFonts w:hint="eastAsia" w:ascii="宋体" w:hAnsi="宋体" w:eastAsia="宋体" w:cs="宋体"/>
          <w:color w:val="auto"/>
          <w:sz w:val="21"/>
          <w:szCs w:val="21"/>
        </w:rPr>
        <w:t>：</w:t>
      </w:r>
    </w:p>
    <w:p w14:paraId="6BB812B5">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兹授权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同志为我公司参加贵单位组织的</w:t>
      </w:r>
      <w:r>
        <w:rPr>
          <w:rFonts w:hint="eastAsia" w:ascii="宋体" w:hAnsi="宋体" w:eastAsia="宋体" w:cs="宋体"/>
          <w:color w:val="auto"/>
          <w:sz w:val="21"/>
          <w:szCs w:val="21"/>
          <w:u w:val="single"/>
        </w:rPr>
        <w:t>（项目名称、项目编号）竞争性磋商</w:t>
      </w:r>
      <w:r>
        <w:rPr>
          <w:rFonts w:hint="eastAsia" w:ascii="宋体" w:hAnsi="宋体" w:eastAsia="宋体" w:cs="宋体"/>
          <w:color w:val="auto"/>
          <w:sz w:val="21"/>
          <w:szCs w:val="21"/>
        </w:rPr>
        <w:t>采购活动的委托代理人，全权代表我公司处理在该项目活动中的一切事宜。代理期限从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日止。 </w:t>
      </w:r>
    </w:p>
    <w:p w14:paraId="6006BEEA">
      <w:pPr>
        <w:spacing w:line="520" w:lineRule="exact"/>
        <w:ind w:firstLine="420" w:firstLineChars="200"/>
        <w:rPr>
          <w:rFonts w:ascii="宋体" w:hAnsi="宋体" w:eastAsia="宋体" w:cs="宋体"/>
          <w:color w:val="auto"/>
          <w:sz w:val="21"/>
          <w:szCs w:val="21"/>
        </w:rPr>
      </w:pPr>
    </w:p>
    <w:p w14:paraId="2D8378B2">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144FF365">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法定代表人（负责人）（签字或盖章）：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7532FD84">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签发日期：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4F845704">
      <w:pPr>
        <w:spacing w:line="520" w:lineRule="exact"/>
        <w:ind w:firstLine="420" w:firstLineChars="200"/>
        <w:rPr>
          <w:rFonts w:ascii="宋体" w:hAnsi="宋体" w:eastAsia="宋体" w:cs="宋体"/>
          <w:color w:val="auto"/>
          <w:sz w:val="21"/>
          <w:szCs w:val="21"/>
        </w:rPr>
      </w:pPr>
    </w:p>
    <w:p w14:paraId="13AF5990">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附：委托代理人工作单位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59511B42">
      <w:pPr>
        <w:spacing w:line="5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p w14:paraId="29D530DA">
      <w:pPr>
        <w:adjustRightInd w:val="0"/>
        <w:snapToGrid w:val="0"/>
        <w:spacing w:after="240" w:afterLines="100" w:line="52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p>
    <w:tbl>
      <w:tblPr>
        <w:tblStyle w:val="2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1470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9260" w:type="dxa"/>
            <w:noWrap/>
          </w:tcPr>
          <w:p w14:paraId="454285E4">
            <w:pPr>
              <w:spacing w:line="300" w:lineRule="auto"/>
              <w:rPr>
                <w:rFonts w:ascii="宋体" w:hAnsi="宋体" w:eastAsia="宋体" w:cs="宋体"/>
                <w:color w:val="auto"/>
                <w:sz w:val="21"/>
                <w:szCs w:val="21"/>
              </w:rPr>
            </w:pPr>
            <w:r>
              <w:rPr>
                <w:rFonts w:hint="eastAsia" w:ascii="宋体" w:hAnsi="宋体" w:eastAsia="宋体" w:cs="宋体"/>
                <w:color w:val="auto"/>
                <w:sz w:val="21"/>
                <w:szCs w:val="21"/>
              </w:rPr>
              <w:t>粘贴委托代理人的正面及反面身份证复印件</w:t>
            </w:r>
          </w:p>
        </w:tc>
      </w:tr>
    </w:tbl>
    <w:p w14:paraId="2B0D17D1">
      <w:pPr>
        <w:rPr>
          <w:rFonts w:ascii="宋体" w:hAnsi="宋体" w:eastAsia="宋体" w:cs="宋体"/>
          <w:color w:val="auto"/>
          <w:sz w:val="21"/>
          <w:szCs w:val="21"/>
        </w:rPr>
      </w:pPr>
      <w:r>
        <w:rPr>
          <w:rFonts w:hint="eastAsia" w:ascii="宋体" w:hAnsi="宋体" w:eastAsia="宋体" w:cs="宋体"/>
          <w:color w:val="auto"/>
          <w:sz w:val="21"/>
          <w:szCs w:val="21"/>
        </w:rPr>
        <w:br w:type="page"/>
      </w:r>
    </w:p>
    <w:p w14:paraId="1906D1CC">
      <w:pPr>
        <w:rPr>
          <w:rFonts w:ascii="宋体" w:hAnsi="宋体" w:eastAsia="宋体" w:cs="宋体"/>
          <w:color w:val="auto"/>
          <w:sz w:val="21"/>
          <w:szCs w:val="21"/>
        </w:rPr>
      </w:pPr>
    </w:p>
    <w:p w14:paraId="3B073AAA">
      <w:pPr>
        <w:pStyle w:val="4"/>
        <w:tabs>
          <w:tab w:val="left" w:pos="4001"/>
        </w:tabs>
        <w:spacing w:before="6"/>
        <w:ind w:left="0"/>
        <w:rPr>
          <w:rFonts w:ascii="宋体" w:hAnsi="宋体" w:eastAsia="宋体" w:cs="宋体"/>
          <w:color w:val="auto"/>
          <w:sz w:val="21"/>
          <w:szCs w:val="21"/>
          <w:lang w:val="en-US"/>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rPr>
        <w:t>7</w:t>
      </w:r>
    </w:p>
    <w:p w14:paraId="442676EB">
      <w:pPr>
        <w:spacing w:line="50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服务方案（包含但不限于服务</w:t>
      </w:r>
      <w:r>
        <w:rPr>
          <w:rFonts w:hint="eastAsia" w:ascii="宋体" w:hAnsi="宋体" w:eastAsia="宋体" w:cs="宋体"/>
          <w:b/>
          <w:bCs/>
          <w:color w:val="auto"/>
          <w:sz w:val="21"/>
          <w:szCs w:val="21"/>
          <w:lang w:eastAsia="zh-CN"/>
        </w:rPr>
        <w:t>方案</w:t>
      </w:r>
      <w:r>
        <w:rPr>
          <w:rFonts w:hint="eastAsia" w:ascii="宋体" w:hAnsi="宋体" w:eastAsia="宋体" w:cs="宋体"/>
          <w:b/>
          <w:bCs/>
          <w:color w:val="auto"/>
          <w:sz w:val="21"/>
          <w:szCs w:val="21"/>
        </w:rPr>
        <w:t>）</w:t>
      </w:r>
    </w:p>
    <w:p w14:paraId="54DFF706">
      <w:pPr>
        <w:pStyle w:val="13"/>
        <w:rPr>
          <w:rFonts w:hAnsi="宋体" w:eastAsia="宋体" w:cs="宋体"/>
          <w:color w:val="auto"/>
          <w:sz w:val="21"/>
          <w:szCs w:val="21"/>
        </w:rPr>
      </w:pPr>
    </w:p>
    <w:p w14:paraId="3093882A">
      <w:pPr>
        <w:pStyle w:val="13"/>
        <w:rPr>
          <w:rFonts w:hAnsi="宋体" w:eastAsia="宋体" w:cs="宋体"/>
          <w:color w:val="auto"/>
          <w:sz w:val="21"/>
          <w:szCs w:val="21"/>
        </w:rPr>
      </w:pPr>
    </w:p>
    <w:p w14:paraId="6D75DBF6">
      <w:pPr>
        <w:pStyle w:val="13"/>
        <w:rPr>
          <w:rFonts w:hAnsi="宋体" w:eastAsia="宋体" w:cs="宋体"/>
          <w:color w:val="auto"/>
          <w:sz w:val="21"/>
          <w:szCs w:val="21"/>
        </w:rPr>
      </w:pPr>
    </w:p>
    <w:p w14:paraId="60608C2C">
      <w:pPr>
        <w:pStyle w:val="13"/>
        <w:rPr>
          <w:rFonts w:hAnsi="宋体" w:eastAsia="宋体" w:cs="宋体"/>
          <w:color w:val="auto"/>
          <w:sz w:val="21"/>
          <w:szCs w:val="21"/>
        </w:rPr>
      </w:pPr>
    </w:p>
    <w:p w14:paraId="24F0D592">
      <w:pPr>
        <w:pStyle w:val="13"/>
        <w:rPr>
          <w:rFonts w:hAnsi="宋体" w:eastAsia="宋体" w:cs="宋体"/>
          <w:color w:val="auto"/>
          <w:sz w:val="21"/>
          <w:szCs w:val="21"/>
        </w:rPr>
      </w:pPr>
    </w:p>
    <w:p w14:paraId="4E2715A6">
      <w:pPr>
        <w:pStyle w:val="13"/>
        <w:rPr>
          <w:rFonts w:hAnsi="宋体" w:eastAsia="宋体" w:cs="宋体"/>
          <w:color w:val="auto"/>
          <w:sz w:val="21"/>
          <w:szCs w:val="21"/>
        </w:rPr>
      </w:pPr>
    </w:p>
    <w:p w14:paraId="55338841">
      <w:pPr>
        <w:pStyle w:val="13"/>
        <w:rPr>
          <w:rFonts w:hAnsi="宋体" w:eastAsia="宋体" w:cs="宋体"/>
          <w:color w:val="auto"/>
          <w:sz w:val="21"/>
          <w:szCs w:val="21"/>
        </w:rPr>
      </w:pPr>
    </w:p>
    <w:p w14:paraId="1746E09C">
      <w:pPr>
        <w:pStyle w:val="13"/>
        <w:rPr>
          <w:rFonts w:hAnsi="宋体" w:eastAsia="宋体" w:cs="宋体"/>
          <w:color w:val="auto"/>
          <w:sz w:val="21"/>
          <w:szCs w:val="21"/>
        </w:rPr>
      </w:pPr>
    </w:p>
    <w:p w14:paraId="5C2A2E38">
      <w:pPr>
        <w:pStyle w:val="13"/>
        <w:rPr>
          <w:rFonts w:hAnsi="宋体" w:eastAsia="宋体" w:cs="宋体"/>
          <w:color w:val="auto"/>
          <w:sz w:val="21"/>
          <w:szCs w:val="21"/>
        </w:rPr>
      </w:pPr>
    </w:p>
    <w:p w14:paraId="3D7C3C38">
      <w:pPr>
        <w:pStyle w:val="13"/>
        <w:rPr>
          <w:rFonts w:hAnsi="宋体" w:eastAsia="宋体" w:cs="宋体"/>
          <w:color w:val="auto"/>
          <w:sz w:val="21"/>
          <w:szCs w:val="21"/>
        </w:rPr>
      </w:pPr>
    </w:p>
    <w:p w14:paraId="6584B4DF">
      <w:pPr>
        <w:pStyle w:val="13"/>
        <w:rPr>
          <w:rFonts w:hAnsi="宋体" w:eastAsia="宋体" w:cs="宋体"/>
          <w:color w:val="auto"/>
          <w:sz w:val="21"/>
          <w:szCs w:val="21"/>
        </w:rPr>
      </w:pPr>
    </w:p>
    <w:p w14:paraId="4EA4B74F">
      <w:pPr>
        <w:pStyle w:val="13"/>
        <w:rPr>
          <w:rFonts w:hAnsi="宋体" w:eastAsia="宋体" w:cs="宋体"/>
          <w:color w:val="auto"/>
          <w:sz w:val="21"/>
          <w:szCs w:val="21"/>
        </w:rPr>
      </w:pPr>
      <w:r>
        <w:rPr>
          <w:rFonts w:hint="eastAsia" w:hAnsi="宋体" w:eastAsia="宋体" w:cs="宋体"/>
          <w:color w:val="auto"/>
          <w:sz w:val="21"/>
          <w:szCs w:val="21"/>
        </w:rPr>
        <w:t xml:space="preserve"> </w:t>
      </w:r>
    </w:p>
    <w:p w14:paraId="5B1BF2F4">
      <w:pPr>
        <w:pStyle w:val="13"/>
        <w:rPr>
          <w:rFonts w:hAnsi="宋体" w:eastAsia="宋体" w:cs="宋体"/>
          <w:color w:val="auto"/>
          <w:sz w:val="21"/>
          <w:szCs w:val="21"/>
        </w:rPr>
      </w:pPr>
    </w:p>
    <w:p w14:paraId="4DCC9B53">
      <w:pPr>
        <w:pStyle w:val="13"/>
        <w:rPr>
          <w:rFonts w:hAnsi="宋体" w:eastAsia="宋体" w:cs="宋体"/>
          <w:color w:val="auto"/>
          <w:sz w:val="21"/>
          <w:szCs w:val="21"/>
        </w:rPr>
      </w:pPr>
    </w:p>
    <w:p w14:paraId="5FD98B2C">
      <w:pPr>
        <w:pStyle w:val="13"/>
        <w:rPr>
          <w:rFonts w:hAnsi="宋体" w:eastAsia="宋体" w:cs="宋体"/>
          <w:color w:val="auto"/>
          <w:sz w:val="21"/>
          <w:szCs w:val="21"/>
        </w:rPr>
      </w:pPr>
    </w:p>
    <w:p w14:paraId="1BE8D7D7">
      <w:pPr>
        <w:pStyle w:val="13"/>
        <w:rPr>
          <w:rFonts w:hAnsi="宋体" w:eastAsia="宋体" w:cs="宋体"/>
          <w:color w:val="auto"/>
          <w:sz w:val="21"/>
          <w:szCs w:val="21"/>
        </w:rPr>
      </w:pPr>
    </w:p>
    <w:p w14:paraId="2F79329C">
      <w:pPr>
        <w:pStyle w:val="13"/>
        <w:rPr>
          <w:rFonts w:hAnsi="宋体" w:eastAsia="宋体" w:cs="宋体"/>
          <w:color w:val="auto"/>
          <w:sz w:val="21"/>
          <w:szCs w:val="21"/>
        </w:rPr>
      </w:pPr>
    </w:p>
    <w:p w14:paraId="05B98DB6">
      <w:pPr>
        <w:pStyle w:val="13"/>
        <w:rPr>
          <w:rFonts w:hAnsi="宋体" w:eastAsia="宋体" w:cs="宋体"/>
          <w:color w:val="auto"/>
          <w:sz w:val="21"/>
          <w:szCs w:val="21"/>
        </w:rPr>
      </w:pPr>
    </w:p>
    <w:p w14:paraId="7EA24675">
      <w:pPr>
        <w:pStyle w:val="13"/>
        <w:rPr>
          <w:rFonts w:hAnsi="宋体" w:eastAsia="宋体" w:cs="宋体"/>
          <w:color w:val="auto"/>
          <w:sz w:val="21"/>
          <w:szCs w:val="21"/>
        </w:rPr>
      </w:pPr>
    </w:p>
    <w:p w14:paraId="29692B0A">
      <w:pPr>
        <w:pStyle w:val="13"/>
        <w:rPr>
          <w:rFonts w:hAnsi="宋体" w:eastAsia="宋体" w:cs="宋体"/>
          <w:color w:val="auto"/>
          <w:sz w:val="21"/>
          <w:szCs w:val="21"/>
        </w:rPr>
      </w:pPr>
    </w:p>
    <w:p w14:paraId="667697B1">
      <w:pPr>
        <w:pStyle w:val="13"/>
        <w:rPr>
          <w:rFonts w:hAnsi="宋体" w:eastAsia="宋体" w:cs="宋体"/>
          <w:color w:val="auto"/>
          <w:sz w:val="21"/>
          <w:szCs w:val="21"/>
        </w:rPr>
      </w:pPr>
    </w:p>
    <w:p w14:paraId="7C9D43B9">
      <w:pPr>
        <w:pStyle w:val="13"/>
        <w:rPr>
          <w:rFonts w:hAnsi="宋体" w:eastAsia="宋体" w:cs="宋体"/>
          <w:color w:val="auto"/>
          <w:sz w:val="21"/>
          <w:szCs w:val="21"/>
        </w:rPr>
      </w:pPr>
    </w:p>
    <w:p w14:paraId="7B1C237B">
      <w:pPr>
        <w:pStyle w:val="13"/>
        <w:rPr>
          <w:rFonts w:hAnsi="宋体" w:eastAsia="宋体" w:cs="宋体"/>
          <w:color w:val="auto"/>
          <w:sz w:val="21"/>
          <w:szCs w:val="21"/>
        </w:rPr>
      </w:pPr>
    </w:p>
    <w:p w14:paraId="35EBFE45">
      <w:pPr>
        <w:pStyle w:val="13"/>
        <w:rPr>
          <w:rFonts w:hAnsi="宋体" w:eastAsia="宋体" w:cs="宋体"/>
          <w:color w:val="auto"/>
          <w:sz w:val="21"/>
          <w:szCs w:val="21"/>
        </w:rPr>
      </w:pPr>
    </w:p>
    <w:p w14:paraId="23757576">
      <w:pPr>
        <w:pStyle w:val="13"/>
        <w:rPr>
          <w:rFonts w:hAnsi="宋体" w:eastAsia="宋体" w:cs="宋体"/>
          <w:color w:val="auto"/>
          <w:sz w:val="21"/>
          <w:szCs w:val="21"/>
        </w:rPr>
      </w:pPr>
    </w:p>
    <w:p w14:paraId="7D1B0536">
      <w:pPr>
        <w:pStyle w:val="13"/>
        <w:rPr>
          <w:rFonts w:hAnsi="宋体" w:eastAsia="宋体" w:cs="宋体"/>
          <w:color w:val="auto"/>
          <w:sz w:val="21"/>
          <w:szCs w:val="21"/>
        </w:rPr>
      </w:pPr>
      <w:r>
        <w:rPr>
          <w:rFonts w:hint="eastAsia" w:hAnsi="宋体" w:eastAsia="宋体" w:cs="宋体"/>
          <w:color w:val="auto"/>
          <w:sz w:val="21"/>
          <w:szCs w:val="21"/>
        </w:rPr>
        <w:t xml:space="preserve">                        </w:t>
      </w:r>
    </w:p>
    <w:p w14:paraId="1F6F7D6D">
      <w:pPr>
        <w:pStyle w:val="13"/>
        <w:rPr>
          <w:rFonts w:hAnsi="宋体" w:eastAsia="宋体" w:cs="宋体"/>
          <w:color w:val="auto"/>
          <w:sz w:val="21"/>
          <w:szCs w:val="21"/>
          <w:u w:val="single"/>
        </w:rPr>
      </w:pPr>
      <w:r>
        <w:rPr>
          <w:rFonts w:hint="eastAsia" w:hAnsi="宋体" w:eastAsia="宋体" w:cs="宋体"/>
          <w:color w:val="auto"/>
          <w:sz w:val="21"/>
          <w:szCs w:val="21"/>
        </w:rPr>
        <w:t>供应商盖（公章）：</w:t>
      </w:r>
      <w:r>
        <w:rPr>
          <w:rFonts w:hint="eastAsia" w:hAnsi="宋体" w:eastAsia="宋体" w:cs="宋体"/>
          <w:color w:val="auto"/>
          <w:sz w:val="21"/>
          <w:szCs w:val="21"/>
          <w:u w:val="single"/>
        </w:rPr>
        <w:t xml:space="preserve">                                 </w:t>
      </w:r>
    </w:p>
    <w:p w14:paraId="144F6A71">
      <w:pPr>
        <w:pStyle w:val="13"/>
        <w:rPr>
          <w:rFonts w:hAnsi="宋体" w:eastAsia="宋体" w:cs="宋体"/>
          <w:color w:val="auto"/>
          <w:sz w:val="21"/>
          <w:szCs w:val="21"/>
        </w:rPr>
      </w:pPr>
      <w:r>
        <w:rPr>
          <w:rFonts w:hint="eastAsia" w:hAnsi="宋体" w:eastAsia="宋体" w:cs="宋体"/>
          <w:color w:val="auto"/>
          <w:sz w:val="21"/>
          <w:szCs w:val="21"/>
        </w:rPr>
        <w:t xml:space="preserve">                    </w:t>
      </w:r>
    </w:p>
    <w:p w14:paraId="1EEA6A2E">
      <w:pPr>
        <w:pStyle w:val="13"/>
        <w:rPr>
          <w:rFonts w:hAnsi="宋体" w:eastAsia="宋体" w:cs="宋体"/>
          <w:color w:val="auto"/>
          <w:sz w:val="21"/>
          <w:szCs w:val="21"/>
          <w:u w:val="single"/>
        </w:rPr>
      </w:pPr>
      <w:r>
        <w:rPr>
          <w:rFonts w:hint="eastAsia" w:hAnsi="宋体" w:eastAsia="宋体" w:cs="宋体"/>
          <w:color w:val="auto"/>
          <w:sz w:val="21"/>
          <w:szCs w:val="21"/>
        </w:rPr>
        <w:t>法定代表人（负责人）或授权代表签字（盖姓名章的无效）：</w:t>
      </w:r>
      <w:r>
        <w:rPr>
          <w:rFonts w:hint="eastAsia" w:hAnsi="宋体" w:eastAsia="宋体" w:cs="宋体"/>
          <w:color w:val="auto"/>
          <w:sz w:val="21"/>
          <w:szCs w:val="21"/>
          <w:u w:val="single"/>
        </w:rPr>
        <w:t xml:space="preserve">                    </w:t>
      </w:r>
    </w:p>
    <w:p w14:paraId="635E05B3">
      <w:pPr>
        <w:pStyle w:val="13"/>
        <w:rPr>
          <w:rFonts w:hAnsi="宋体" w:eastAsia="宋体" w:cs="宋体"/>
          <w:color w:val="auto"/>
          <w:sz w:val="21"/>
          <w:szCs w:val="21"/>
          <w:u w:val="single"/>
        </w:rPr>
      </w:pPr>
    </w:p>
    <w:p w14:paraId="617DB10A">
      <w:pPr>
        <w:pStyle w:val="13"/>
        <w:rPr>
          <w:rFonts w:hAnsi="宋体" w:eastAsia="宋体" w:cs="宋体"/>
          <w:color w:val="auto"/>
          <w:sz w:val="21"/>
          <w:szCs w:val="21"/>
        </w:rPr>
      </w:pPr>
      <w:r>
        <w:rPr>
          <w:rFonts w:hint="eastAsia" w:hAnsi="宋体" w:eastAsia="宋体" w:cs="宋体"/>
          <w:color w:val="auto"/>
          <w:sz w:val="21"/>
          <w:szCs w:val="21"/>
        </w:rPr>
        <w:t>日期：</w:t>
      </w:r>
      <w:r>
        <w:rPr>
          <w:rFonts w:hint="eastAsia" w:hAnsi="宋体" w:eastAsia="宋体" w:cs="宋体"/>
          <w:color w:val="auto"/>
          <w:sz w:val="21"/>
          <w:szCs w:val="21"/>
          <w:u w:val="single"/>
        </w:rPr>
        <w:t xml:space="preserve">                      </w:t>
      </w:r>
    </w:p>
    <w:p w14:paraId="266A532D">
      <w:pPr>
        <w:pStyle w:val="35"/>
        <w:tabs>
          <w:tab w:val="left" w:pos="857"/>
        </w:tabs>
        <w:spacing w:line="360" w:lineRule="auto"/>
        <w:ind w:left="0" w:firstLine="422" w:firstLineChars="200"/>
        <w:rPr>
          <w:rFonts w:ascii="宋体" w:hAnsi="宋体" w:eastAsia="宋体" w:cs="宋体"/>
          <w:b/>
          <w:color w:val="auto"/>
          <w:sz w:val="21"/>
          <w:szCs w:val="21"/>
        </w:rPr>
      </w:pPr>
    </w:p>
    <w:p w14:paraId="21BB038D">
      <w:pPr>
        <w:pStyle w:val="35"/>
        <w:tabs>
          <w:tab w:val="left" w:pos="857"/>
        </w:tabs>
        <w:spacing w:line="360" w:lineRule="auto"/>
        <w:ind w:left="0" w:firstLine="422" w:firstLineChars="200"/>
        <w:rPr>
          <w:rFonts w:ascii="宋体" w:hAnsi="宋体" w:eastAsia="宋体" w:cs="宋体"/>
          <w:b/>
          <w:color w:val="auto"/>
          <w:sz w:val="21"/>
          <w:szCs w:val="21"/>
        </w:rPr>
      </w:pPr>
    </w:p>
    <w:p w14:paraId="2825820D">
      <w:pPr>
        <w:spacing w:line="360" w:lineRule="auto"/>
        <w:ind w:firstLine="420" w:firstLineChars="200"/>
        <w:rPr>
          <w:rFonts w:ascii="宋体" w:hAnsi="宋体" w:eastAsia="宋体" w:cs="宋体"/>
          <w:color w:val="auto"/>
          <w:sz w:val="21"/>
          <w:szCs w:val="21"/>
        </w:rPr>
        <w:sectPr>
          <w:headerReference r:id="rId13" w:type="default"/>
          <w:footerReference r:id="rId14" w:type="default"/>
          <w:pgSz w:w="11910" w:h="16840"/>
          <w:pgMar w:top="1134" w:right="1134" w:bottom="1134" w:left="1134" w:header="610" w:footer="550" w:gutter="0"/>
          <w:cols w:space="720" w:num="1"/>
        </w:sectPr>
      </w:pPr>
    </w:p>
    <w:p w14:paraId="35EA432A">
      <w:pPr>
        <w:pStyle w:val="9"/>
        <w:spacing w:before="5"/>
        <w:rPr>
          <w:rFonts w:ascii="宋体" w:hAnsi="宋体" w:eastAsia="宋体" w:cs="宋体"/>
          <w:b/>
          <w:bCs/>
          <w:color w:val="auto"/>
          <w:sz w:val="21"/>
          <w:szCs w:val="21"/>
          <w:lang w:val="en-US"/>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rPr>
        <w:t>8</w:t>
      </w:r>
    </w:p>
    <w:p w14:paraId="2D75EC1A">
      <w:pPr>
        <w:pStyle w:val="4"/>
        <w:spacing w:before="61" w:line="364" w:lineRule="auto"/>
        <w:ind w:left="372" w:right="807" w:firstLine="2932" w:firstLineChars="1217"/>
        <w:rPr>
          <w:rFonts w:hint="eastAsia" w:ascii="宋体" w:hAnsi="宋体" w:eastAsia="宋体" w:cs="宋体"/>
          <w:color w:val="auto"/>
          <w:sz w:val="24"/>
          <w:szCs w:val="24"/>
          <w:lang w:eastAsia="zh-CN"/>
        </w:rPr>
      </w:pPr>
      <w:r>
        <w:rPr>
          <w:rFonts w:ascii="宋体" w:hAnsi="宋体" w:eastAsia="宋体" w:cs="宋体"/>
          <w:color w:val="auto"/>
          <w:sz w:val="24"/>
          <w:szCs w:val="24"/>
        </w:rPr>
        <w:t>中小企业声明函</w:t>
      </w:r>
      <w:r>
        <w:rPr>
          <w:rFonts w:hint="eastAsia" w:ascii="宋体" w:hAnsi="宋体" w:eastAsia="宋体" w:cs="宋体"/>
          <w:color w:val="auto"/>
          <w:sz w:val="24"/>
          <w:szCs w:val="24"/>
          <w:lang w:eastAsia="zh-CN"/>
        </w:rPr>
        <w:t>（服务）</w:t>
      </w:r>
    </w:p>
    <w:p w14:paraId="5107D7E0">
      <w:pPr>
        <w:pStyle w:val="4"/>
        <w:spacing w:line="360" w:lineRule="auto"/>
        <w:ind w:left="0"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本公司（联合体）郑重声明，根据《政府采购促进中小企业发展管理办法》（财库﹝2020﹞46 号）的规定，本公司（联合体）参加（单位名称）的（项目名称）采购活动，服务全部由符合政策要求的中小企业承接。相关企业（含联合 体中的中小企业、签订分包意向协议的中小企业）的具体情 况如下： </w:t>
      </w:r>
    </w:p>
    <w:p w14:paraId="13D15D9A">
      <w:pPr>
        <w:pStyle w:val="4"/>
        <w:numPr>
          <w:ilvl w:val="0"/>
          <w:numId w:val="3"/>
        </w:numPr>
        <w:spacing w:line="360" w:lineRule="auto"/>
        <w:ind w:left="0"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u w:val="single"/>
          <w:lang w:val="en-US"/>
        </w:rPr>
        <w:t>（标的名称）</w:t>
      </w:r>
      <w:r>
        <w:rPr>
          <w:rFonts w:hint="eastAsia" w:ascii="宋体" w:hAnsi="宋体" w:eastAsia="宋体" w:cs="宋体"/>
          <w:b w:val="0"/>
          <w:bCs w:val="0"/>
          <w:color w:val="auto"/>
          <w:sz w:val="21"/>
          <w:szCs w:val="21"/>
          <w:lang w:val="en-US"/>
        </w:rPr>
        <w:t xml:space="preserve"> ，属于</w:t>
      </w:r>
      <w:r>
        <w:rPr>
          <w:rFonts w:hint="eastAsia" w:ascii="宋体" w:hAnsi="宋体" w:eastAsia="宋体" w:cs="宋体"/>
          <w:b w:val="0"/>
          <w:bCs w:val="0"/>
          <w:color w:val="auto"/>
          <w:sz w:val="21"/>
          <w:szCs w:val="21"/>
          <w:u w:val="single"/>
          <w:lang w:val="en-US"/>
        </w:rPr>
        <w:t>（采购文件中明确的所属行业）</w:t>
      </w:r>
      <w:r>
        <w:rPr>
          <w:rFonts w:hint="eastAsia" w:ascii="宋体" w:hAnsi="宋体" w:eastAsia="宋体" w:cs="宋体"/>
          <w:b w:val="0"/>
          <w:bCs w:val="0"/>
          <w:color w:val="auto"/>
          <w:sz w:val="21"/>
          <w:szCs w:val="21"/>
          <w:lang w:val="en-US"/>
        </w:rPr>
        <w:t>； 承接企业为</w:t>
      </w:r>
      <w:r>
        <w:rPr>
          <w:rFonts w:hint="eastAsia" w:ascii="宋体" w:hAnsi="宋体" w:eastAsia="宋体" w:cs="宋体"/>
          <w:b w:val="0"/>
          <w:bCs w:val="0"/>
          <w:color w:val="auto"/>
          <w:sz w:val="21"/>
          <w:szCs w:val="21"/>
          <w:u w:val="single"/>
          <w:lang w:val="en-US"/>
        </w:rPr>
        <w:t>（企业名称）</w:t>
      </w:r>
      <w:r>
        <w:rPr>
          <w:rFonts w:hint="eastAsia" w:ascii="宋体" w:hAnsi="宋体" w:eastAsia="宋体" w:cs="宋体"/>
          <w:b w:val="0"/>
          <w:bCs w:val="0"/>
          <w:color w:val="auto"/>
          <w:sz w:val="21"/>
          <w:szCs w:val="21"/>
          <w:lang w:val="en-US"/>
        </w:rPr>
        <w:t>，从业人员</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rPr>
        <w:t>人，营业 收入为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rPr>
        <w:t>万元，资产总额为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rPr>
        <w:t>万元 ，属于</w:t>
      </w:r>
      <w:r>
        <w:rPr>
          <w:rFonts w:hint="eastAsia" w:ascii="宋体" w:hAnsi="宋体" w:eastAsia="宋体" w:cs="宋体"/>
          <w:b w:val="0"/>
          <w:bCs w:val="0"/>
          <w:color w:val="auto"/>
          <w:sz w:val="21"/>
          <w:szCs w:val="21"/>
          <w:u w:val="single"/>
          <w:lang w:val="en-US"/>
        </w:rPr>
        <w:t>（中型企业、 小型企业、微型企业）</w:t>
      </w:r>
      <w:r>
        <w:rPr>
          <w:rFonts w:hint="eastAsia" w:ascii="宋体" w:hAnsi="宋体" w:eastAsia="宋体" w:cs="宋体"/>
          <w:b w:val="0"/>
          <w:bCs w:val="0"/>
          <w:color w:val="auto"/>
          <w:sz w:val="21"/>
          <w:szCs w:val="21"/>
          <w:lang w:val="en-US"/>
        </w:rPr>
        <w:t xml:space="preserve">； </w:t>
      </w:r>
    </w:p>
    <w:p w14:paraId="2F45E26A">
      <w:pPr>
        <w:pStyle w:val="4"/>
        <w:numPr>
          <w:ilvl w:val="0"/>
          <w:numId w:val="0"/>
        </w:numPr>
        <w:spacing w:line="360" w:lineRule="auto"/>
        <w:ind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2. </w:t>
      </w:r>
      <w:r>
        <w:rPr>
          <w:rFonts w:hint="eastAsia" w:ascii="宋体" w:hAnsi="宋体" w:eastAsia="宋体" w:cs="宋体"/>
          <w:b w:val="0"/>
          <w:bCs w:val="0"/>
          <w:color w:val="auto"/>
          <w:sz w:val="21"/>
          <w:szCs w:val="21"/>
          <w:u w:val="single"/>
          <w:lang w:val="en-US"/>
        </w:rPr>
        <w:t>（标的名称）</w:t>
      </w:r>
      <w:r>
        <w:rPr>
          <w:rFonts w:hint="eastAsia" w:ascii="宋体" w:hAnsi="宋体" w:eastAsia="宋体" w:cs="宋体"/>
          <w:b w:val="0"/>
          <w:bCs w:val="0"/>
          <w:color w:val="auto"/>
          <w:sz w:val="21"/>
          <w:szCs w:val="21"/>
          <w:u w:val="none"/>
          <w:lang w:val="en-US" w:eastAsia="zh-CN"/>
        </w:rPr>
        <w:t xml:space="preserve"> </w:t>
      </w:r>
      <w:r>
        <w:rPr>
          <w:rFonts w:hint="eastAsia" w:ascii="宋体" w:hAnsi="宋体" w:eastAsia="宋体" w:cs="宋体"/>
          <w:b w:val="0"/>
          <w:bCs w:val="0"/>
          <w:color w:val="auto"/>
          <w:sz w:val="21"/>
          <w:szCs w:val="21"/>
          <w:lang w:val="en-US"/>
        </w:rPr>
        <w:t>，属于</w:t>
      </w:r>
      <w:r>
        <w:rPr>
          <w:rFonts w:hint="eastAsia" w:ascii="宋体" w:hAnsi="宋体" w:eastAsia="宋体" w:cs="宋体"/>
          <w:b w:val="0"/>
          <w:bCs w:val="0"/>
          <w:color w:val="auto"/>
          <w:sz w:val="21"/>
          <w:szCs w:val="21"/>
          <w:u w:val="single"/>
          <w:lang w:val="en-US"/>
        </w:rPr>
        <w:t>（采购文件中明确的所属行业）</w:t>
      </w:r>
      <w:r>
        <w:rPr>
          <w:rFonts w:hint="eastAsia" w:ascii="宋体" w:hAnsi="宋体" w:eastAsia="宋体" w:cs="宋体"/>
          <w:b w:val="0"/>
          <w:bCs w:val="0"/>
          <w:color w:val="auto"/>
          <w:sz w:val="21"/>
          <w:szCs w:val="21"/>
          <w:lang w:val="en-US"/>
        </w:rPr>
        <w:t>；承接企业为</w:t>
      </w:r>
      <w:r>
        <w:rPr>
          <w:rFonts w:hint="eastAsia" w:ascii="宋体" w:hAnsi="宋体" w:eastAsia="宋体" w:cs="宋体"/>
          <w:b w:val="0"/>
          <w:bCs w:val="0"/>
          <w:color w:val="auto"/>
          <w:sz w:val="21"/>
          <w:szCs w:val="21"/>
          <w:u w:val="single"/>
          <w:lang w:val="en-US"/>
        </w:rPr>
        <w:t>（企业名称）</w:t>
      </w:r>
      <w:r>
        <w:rPr>
          <w:rFonts w:hint="eastAsia" w:ascii="宋体" w:hAnsi="宋体" w:eastAsia="宋体" w:cs="宋体"/>
          <w:b w:val="0"/>
          <w:bCs w:val="0"/>
          <w:color w:val="auto"/>
          <w:sz w:val="21"/>
          <w:szCs w:val="21"/>
          <w:lang w:val="en-US"/>
        </w:rPr>
        <w:t>，从业人员</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rPr>
        <w:t>人，营业 收入为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rPr>
        <w:t>万元，资产总额为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rPr>
        <w:t>万元，属于</w:t>
      </w:r>
      <w:r>
        <w:rPr>
          <w:rFonts w:hint="eastAsia" w:ascii="宋体" w:hAnsi="宋体" w:eastAsia="宋体" w:cs="宋体"/>
          <w:b w:val="0"/>
          <w:bCs w:val="0"/>
          <w:color w:val="auto"/>
          <w:sz w:val="21"/>
          <w:szCs w:val="21"/>
          <w:u w:val="single"/>
          <w:lang w:val="en-US"/>
        </w:rPr>
        <w:t>（中型企业、 小型企业、微型企业）</w:t>
      </w:r>
      <w:r>
        <w:rPr>
          <w:rFonts w:hint="eastAsia" w:ascii="宋体" w:hAnsi="宋体" w:eastAsia="宋体" w:cs="宋体"/>
          <w:b w:val="0"/>
          <w:bCs w:val="0"/>
          <w:color w:val="auto"/>
          <w:sz w:val="21"/>
          <w:szCs w:val="21"/>
          <w:lang w:val="en-US"/>
        </w:rPr>
        <w:t xml:space="preserve">； </w:t>
      </w:r>
    </w:p>
    <w:p w14:paraId="4533B2F0">
      <w:pPr>
        <w:pStyle w:val="4"/>
        <w:spacing w:line="360" w:lineRule="auto"/>
        <w:ind w:left="0"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 </w:t>
      </w:r>
    </w:p>
    <w:p w14:paraId="1CBC3C72">
      <w:pPr>
        <w:pStyle w:val="4"/>
        <w:spacing w:line="360" w:lineRule="auto"/>
        <w:ind w:left="0"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7817DB8E">
      <w:pPr>
        <w:pStyle w:val="4"/>
        <w:spacing w:line="360" w:lineRule="auto"/>
        <w:ind w:left="0"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企业名称（盖章）： </w:t>
      </w:r>
    </w:p>
    <w:p w14:paraId="1F5051F1">
      <w:pPr>
        <w:pStyle w:val="4"/>
        <w:spacing w:line="360" w:lineRule="auto"/>
        <w:ind w:left="0"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日 期：</w:t>
      </w:r>
    </w:p>
    <w:p w14:paraId="1489AC69">
      <w:pPr>
        <w:pStyle w:val="4"/>
        <w:spacing w:before="61" w:line="364" w:lineRule="auto"/>
        <w:ind w:left="372" w:right="807" w:firstLine="700"/>
        <w:rPr>
          <w:rFonts w:ascii="宋体" w:hAnsi="宋体" w:eastAsia="宋体" w:cs="宋体"/>
          <w:color w:val="auto"/>
          <w:sz w:val="21"/>
          <w:szCs w:val="21"/>
          <w:lang w:val="en-US"/>
        </w:rPr>
      </w:pPr>
    </w:p>
    <w:p w14:paraId="4E84F9A1">
      <w:pPr>
        <w:pStyle w:val="4"/>
        <w:spacing w:before="61" w:line="364" w:lineRule="auto"/>
        <w:ind w:left="0" w:right="807"/>
        <w:rPr>
          <w:rFonts w:hint="eastAsia" w:ascii="宋体" w:hAnsi="宋体" w:eastAsia="宋体" w:cs="宋体"/>
          <w:b w:val="0"/>
          <w:bCs w:val="0"/>
          <w:color w:val="auto"/>
          <w:sz w:val="21"/>
          <w:szCs w:val="21"/>
          <w:lang w:val="en-US"/>
        </w:rPr>
      </w:pPr>
    </w:p>
    <w:p w14:paraId="3315D695">
      <w:pPr>
        <w:pStyle w:val="4"/>
        <w:spacing w:before="61" w:line="364" w:lineRule="auto"/>
        <w:ind w:left="0" w:right="807"/>
        <w:rPr>
          <w:rFonts w:hint="eastAsia" w:ascii="宋体" w:hAnsi="宋体" w:eastAsia="宋体" w:cs="宋体"/>
          <w:b w:val="0"/>
          <w:bCs w:val="0"/>
          <w:color w:val="auto"/>
          <w:sz w:val="21"/>
          <w:szCs w:val="21"/>
          <w:lang w:val="en-US"/>
        </w:rPr>
      </w:pPr>
    </w:p>
    <w:p w14:paraId="1B51EC65">
      <w:pPr>
        <w:pStyle w:val="4"/>
        <w:spacing w:before="61" w:line="364" w:lineRule="auto"/>
        <w:ind w:left="0" w:right="807"/>
        <w:rPr>
          <w:rFonts w:hint="eastAsia" w:ascii="宋体" w:hAnsi="宋体" w:eastAsia="宋体" w:cs="宋体"/>
          <w:b w:val="0"/>
          <w:bCs w:val="0"/>
          <w:color w:val="auto"/>
          <w:sz w:val="21"/>
          <w:szCs w:val="21"/>
          <w:lang w:val="en-US"/>
        </w:rPr>
      </w:pPr>
    </w:p>
    <w:p w14:paraId="5D0E8301">
      <w:pPr>
        <w:pStyle w:val="4"/>
        <w:spacing w:before="61" w:line="364" w:lineRule="auto"/>
        <w:ind w:left="0" w:right="807"/>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填写注意事项：</w:t>
      </w:r>
    </w:p>
    <w:p w14:paraId="09BC1A5A">
      <w:pPr>
        <w:pStyle w:val="4"/>
        <w:spacing w:before="61" w:line="364" w:lineRule="auto"/>
        <w:ind w:left="0" w:right="807"/>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（1）从业人员、营业收入、资产总额填报上一年度数据，无上一年度数据的新成立企业可不报。</w:t>
      </w:r>
    </w:p>
    <w:p w14:paraId="3269D4FF">
      <w:pPr>
        <w:pStyle w:val="4"/>
        <w:spacing w:before="61" w:line="364" w:lineRule="auto"/>
        <w:ind w:left="0" w:right="807"/>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（2）供应商按照本办法规定提供声明函内容不实的，属于提供虚假材料谋取中标、成交，依照</w:t>
      </w:r>
    </w:p>
    <w:p w14:paraId="6499BDC7">
      <w:pPr>
        <w:pStyle w:val="4"/>
        <w:spacing w:before="61" w:line="364" w:lineRule="auto"/>
        <w:ind w:left="0" w:right="807"/>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《中华人民共和国政府采购法》等国家有关规定追究相应责任。</w:t>
      </w:r>
    </w:p>
    <w:p w14:paraId="78192792">
      <w:pPr>
        <w:pStyle w:val="4"/>
        <w:spacing w:before="61" w:line="364" w:lineRule="auto"/>
        <w:ind w:left="0" w:right="807"/>
        <w:rPr>
          <w:rFonts w:hint="eastAsia" w:ascii="宋体" w:hAnsi="宋体" w:eastAsia="宋体" w:cs="宋体"/>
          <w:color w:val="auto"/>
          <w:sz w:val="21"/>
          <w:szCs w:val="21"/>
          <w:lang w:val="en-US"/>
        </w:rPr>
      </w:pPr>
      <w:r>
        <w:rPr>
          <w:rFonts w:hint="eastAsia" w:ascii="宋体" w:hAnsi="宋体" w:eastAsia="宋体" w:cs="宋体"/>
          <w:b w:val="0"/>
          <w:bCs w:val="0"/>
          <w:color w:val="auto"/>
          <w:sz w:val="21"/>
          <w:szCs w:val="21"/>
          <w:lang w:val="en-US"/>
        </w:rPr>
        <w:t>（3）政府采购监督检查、投诉处理及政府采购行政处罚中对中小企业的认定，由货物制造商或者工程、服务供应商注册登记所在地的县级以上人民政府中小企业主管部门负责。</w:t>
      </w:r>
    </w:p>
    <w:p w14:paraId="7C18C7ED">
      <w:pPr>
        <w:pStyle w:val="4"/>
        <w:spacing w:before="61" w:line="364" w:lineRule="auto"/>
        <w:ind w:left="0" w:leftChars="0" w:right="807" w:firstLine="3162" w:firstLineChars="1500"/>
        <w:rPr>
          <w:rFonts w:hint="eastAsia" w:ascii="宋体" w:hAnsi="宋体" w:eastAsia="宋体" w:cs="宋体"/>
          <w:color w:val="auto"/>
          <w:sz w:val="21"/>
          <w:szCs w:val="21"/>
          <w:lang w:val="en-US"/>
        </w:rPr>
      </w:pPr>
    </w:p>
    <w:p w14:paraId="43F6972E">
      <w:pPr>
        <w:pStyle w:val="4"/>
        <w:spacing w:before="61" w:line="364" w:lineRule="auto"/>
        <w:ind w:left="0" w:leftChars="0" w:right="807" w:firstLine="3162" w:firstLineChars="1500"/>
        <w:rPr>
          <w:rFonts w:ascii="宋体" w:hAnsi="宋体" w:eastAsia="宋体" w:cs="宋体"/>
          <w:color w:val="auto"/>
          <w:sz w:val="21"/>
          <w:szCs w:val="21"/>
        </w:rPr>
      </w:pPr>
      <w:r>
        <w:rPr>
          <w:rFonts w:hint="eastAsia" w:ascii="宋体" w:hAnsi="宋体" w:eastAsia="宋体" w:cs="宋体"/>
          <w:color w:val="auto"/>
          <w:sz w:val="21"/>
          <w:szCs w:val="21"/>
          <w:lang w:val="en-US"/>
        </w:rPr>
        <w:t>残疾人福利性单位声明函（格式）</w:t>
      </w:r>
    </w:p>
    <w:p w14:paraId="2B658F6D">
      <w:pPr>
        <w:pStyle w:val="4"/>
        <w:spacing w:line="360" w:lineRule="auto"/>
        <w:ind w:left="0" w:firstLine="420" w:firstLineChars="2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C6E4DE">
      <w:pPr>
        <w:pStyle w:val="4"/>
        <w:spacing w:line="360" w:lineRule="auto"/>
        <w:ind w:left="0" w:firstLine="420" w:firstLineChars="2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本单位对上述声明的真实性负责。如有虚假，将依法承担相应责任。</w:t>
      </w:r>
    </w:p>
    <w:p w14:paraId="4D746DF1">
      <w:pPr>
        <w:pStyle w:val="4"/>
        <w:spacing w:before="61" w:line="364" w:lineRule="auto"/>
        <w:ind w:left="372" w:right="807" w:firstLine="700"/>
        <w:rPr>
          <w:rFonts w:ascii="宋体" w:hAnsi="宋体" w:eastAsia="宋体" w:cs="宋体"/>
          <w:b w:val="0"/>
          <w:bCs w:val="0"/>
          <w:color w:val="auto"/>
          <w:sz w:val="21"/>
          <w:szCs w:val="21"/>
        </w:rPr>
      </w:pPr>
    </w:p>
    <w:p w14:paraId="5DEA5750">
      <w:pPr>
        <w:pStyle w:val="4"/>
        <w:spacing w:before="61" w:line="364" w:lineRule="auto"/>
        <w:ind w:left="372" w:right="807" w:firstLine="7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                                             单位名称（盖章）：</w:t>
      </w:r>
    </w:p>
    <w:p w14:paraId="79647C5E">
      <w:pPr>
        <w:pStyle w:val="4"/>
        <w:spacing w:before="61" w:line="364" w:lineRule="auto"/>
        <w:ind w:left="372" w:right="807" w:firstLine="700"/>
        <w:rPr>
          <w:rFonts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w:t>
      </w:r>
      <w:r>
        <w:rPr>
          <w:rFonts w:hint="eastAsia" w:ascii="宋体" w:hAnsi="宋体" w:eastAsia="宋体" w:cs="宋体"/>
          <w:b w:val="0"/>
          <w:bCs w:val="0"/>
          <w:color w:val="auto"/>
          <w:sz w:val="21"/>
          <w:szCs w:val="21"/>
          <w:lang w:val="en-US"/>
        </w:rPr>
        <w:t xml:space="preserve">  日  期：</w:t>
      </w:r>
    </w:p>
    <w:p w14:paraId="65A33FF2">
      <w:pPr>
        <w:pStyle w:val="4"/>
        <w:spacing w:before="61" w:line="364" w:lineRule="auto"/>
        <w:ind w:left="0" w:right="807" w:firstLine="3373" w:firstLineChars="1600"/>
        <w:jc w:val="both"/>
        <w:rPr>
          <w:rFonts w:hint="eastAsia" w:ascii="宋体" w:hAnsi="宋体" w:eastAsia="宋体" w:cs="宋体"/>
          <w:color w:val="auto"/>
          <w:sz w:val="21"/>
          <w:szCs w:val="21"/>
          <w:lang w:val="en-US"/>
        </w:rPr>
      </w:pPr>
    </w:p>
    <w:p w14:paraId="6BC8E56C">
      <w:pPr>
        <w:pStyle w:val="4"/>
        <w:spacing w:before="61" w:line="364" w:lineRule="auto"/>
        <w:ind w:left="0" w:right="807" w:firstLine="3373" w:firstLineChars="1600"/>
        <w:jc w:val="both"/>
        <w:rPr>
          <w:rFonts w:hint="eastAsia" w:ascii="宋体" w:hAnsi="宋体" w:eastAsia="宋体" w:cs="宋体"/>
          <w:color w:val="auto"/>
          <w:sz w:val="21"/>
          <w:szCs w:val="21"/>
          <w:lang w:val="en-US"/>
        </w:rPr>
      </w:pPr>
    </w:p>
    <w:p w14:paraId="01144E48">
      <w:pPr>
        <w:pStyle w:val="4"/>
        <w:spacing w:before="61" w:line="364" w:lineRule="auto"/>
        <w:ind w:left="0" w:right="807" w:firstLine="3373" w:firstLineChars="1600"/>
        <w:jc w:val="both"/>
        <w:rPr>
          <w:rFonts w:hint="eastAsia" w:ascii="宋体" w:hAnsi="宋体" w:eastAsia="宋体" w:cs="宋体"/>
          <w:color w:val="auto"/>
          <w:sz w:val="21"/>
          <w:szCs w:val="21"/>
          <w:lang w:val="en-US"/>
        </w:rPr>
      </w:pPr>
    </w:p>
    <w:p w14:paraId="2A0529B2">
      <w:pPr>
        <w:pStyle w:val="4"/>
        <w:spacing w:before="61" w:line="364" w:lineRule="auto"/>
        <w:ind w:left="0" w:right="807" w:firstLine="3373" w:firstLineChars="1600"/>
        <w:jc w:val="both"/>
        <w:rPr>
          <w:rFonts w:hint="eastAsia" w:ascii="宋体" w:hAnsi="宋体" w:eastAsia="宋体" w:cs="宋体"/>
          <w:color w:val="auto"/>
          <w:sz w:val="21"/>
          <w:szCs w:val="21"/>
          <w:lang w:val="en-US"/>
        </w:rPr>
      </w:pPr>
    </w:p>
    <w:p w14:paraId="148949AF">
      <w:pPr>
        <w:pStyle w:val="4"/>
        <w:spacing w:before="61" w:line="364" w:lineRule="auto"/>
        <w:ind w:left="0" w:right="807" w:firstLine="3373" w:firstLineChars="1600"/>
        <w:jc w:val="both"/>
        <w:rPr>
          <w:rFonts w:hint="eastAsia" w:ascii="宋体" w:hAnsi="宋体" w:eastAsia="宋体" w:cs="宋体"/>
          <w:color w:val="auto"/>
          <w:sz w:val="21"/>
          <w:szCs w:val="21"/>
          <w:lang w:val="en-US"/>
        </w:rPr>
      </w:pPr>
    </w:p>
    <w:p w14:paraId="2F7CEE05">
      <w:pPr>
        <w:pStyle w:val="4"/>
        <w:spacing w:before="61" w:line="364" w:lineRule="auto"/>
        <w:ind w:left="0" w:leftChars="0" w:right="807" w:firstLine="0" w:firstLineChars="0"/>
        <w:jc w:val="both"/>
        <w:rPr>
          <w:rFonts w:hint="eastAsia" w:ascii="宋体" w:hAnsi="宋体" w:eastAsia="宋体" w:cs="宋体"/>
          <w:color w:val="auto"/>
          <w:sz w:val="21"/>
          <w:szCs w:val="21"/>
          <w:lang w:val="en-US"/>
        </w:rPr>
      </w:pPr>
    </w:p>
    <w:p w14:paraId="4E3D0EC2">
      <w:pPr>
        <w:pStyle w:val="4"/>
        <w:spacing w:before="61" w:line="364" w:lineRule="auto"/>
        <w:ind w:left="0" w:right="807" w:firstLine="3373" w:firstLineChars="1600"/>
        <w:jc w:val="both"/>
        <w:rPr>
          <w:rFonts w:hint="eastAsia" w:ascii="宋体" w:hAnsi="宋体" w:eastAsia="宋体" w:cs="宋体"/>
          <w:color w:val="auto"/>
          <w:sz w:val="21"/>
          <w:szCs w:val="21"/>
          <w:lang w:val="en-US"/>
        </w:rPr>
      </w:pPr>
    </w:p>
    <w:p w14:paraId="23C573E4">
      <w:pPr>
        <w:pStyle w:val="4"/>
        <w:spacing w:before="61" w:line="364" w:lineRule="auto"/>
        <w:ind w:left="0" w:right="807" w:firstLine="3373" w:firstLineChars="1600"/>
        <w:jc w:val="both"/>
        <w:rPr>
          <w:rFonts w:ascii="宋体" w:hAnsi="宋体" w:eastAsia="宋体" w:cs="宋体"/>
          <w:color w:val="auto"/>
          <w:sz w:val="21"/>
          <w:szCs w:val="21"/>
        </w:rPr>
      </w:pPr>
      <w:r>
        <w:rPr>
          <w:rFonts w:hint="eastAsia" w:ascii="宋体" w:hAnsi="宋体" w:eastAsia="宋体" w:cs="宋体"/>
          <w:color w:val="auto"/>
          <w:sz w:val="21"/>
          <w:szCs w:val="21"/>
          <w:lang w:val="en-US"/>
        </w:rPr>
        <w:t>监狱企业声明函（格式）</w:t>
      </w:r>
    </w:p>
    <w:p w14:paraId="3C2BC879">
      <w:pPr>
        <w:pStyle w:val="4"/>
        <w:spacing w:before="61" w:line="364" w:lineRule="auto"/>
        <w:ind w:left="372" w:right="807" w:firstLine="700"/>
        <w:rPr>
          <w:rFonts w:ascii="宋体" w:hAnsi="宋体" w:eastAsia="宋体" w:cs="宋体"/>
          <w:color w:val="auto"/>
          <w:sz w:val="21"/>
          <w:szCs w:val="21"/>
          <w:lang w:val="en-US"/>
        </w:rPr>
      </w:pPr>
    </w:p>
    <w:p w14:paraId="6E2E3165">
      <w:pPr>
        <w:pStyle w:val="4"/>
        <w:spacing w:line="360" w:lineRule="auto"/>
        <w:ind w:left="0"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rPr>
        <w:t>报价产品提供企业按《关于政府采购支持监狱企业发展有关问题的通知》(财库[2014]68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0F9B27B5">
      <w:pPr>
        <w:pStyle w:val="4"/>
        <w:spacing w:before="61" w:line="364" w:lineRule="auto"/>
        <w:ind w:left="372" w:right="807" w:firstLine="5495" w:firstLineChars="2617"/>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单位名称（盖章）：</w:t>
      </w:r>
    </w:p>
    <w:p w14:paraId="594EB9CE">
      <w:pPr>
        <w:pStyle w:val="4"/>
        <w:spacing w:before="61" w:line="364" w:lineRule="auto"/>
        <w:ind w:left="372" w:right="807" w:firstLine="700"/>
        <w:rPr>
          <w:rFonts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w:t>
      </w:r>
      <w:r>
        <w:rPr>
          <w:rFonts w:hint="eastAsia" w:ascii="宋体" w:hAnsi="宋体" w:eastAsia="宋体" w:cs="宋体"/>
          <w:b w:val="0"/>
          <w:bCs w:val="0"/>
          <w:color w:val="auto"/>
          <w:sz w:val="21"/>
          <w:szCs w:val="21"/>
          <w:lang w:val="en-US"/>
        </w:rPr>
        <w:t xml:space="preserve">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rPr>
        <w:t xml:space="preserve"> 日  期：</w:t>
      </w:r>
    </w:p>
    <w:p w14:paraId="64521EFA">
      <w:pPr>
        <w:adjustRightInd w:val="0"/>
        <w:snapToGrid w:val="0"/>
        <w:spacing w:line="300" w:lineRule="auto"/>
        <w:ind w:firstLine="482" w:firstLineChars="200"/>
        <w:rPr>
          <w:rFonts w:ascii="宋体" w:hAnsi="宋体" w:eastAsia="宋体" w:cs="宋体"/>
          <w:b/>
          <w:color w:val="auto"/>
          <w:sz w:val="24"/>
          <w:szCs w:val="24"/>
        </w:rPr>
      </w:pPr>
    </w:p>
    <w:p w14:paraId="596837D2">
      <w:pPr>
        <w:adjustRightInd w:val="0"/>
        <w:snapToGrid w:val="0"/>
        <w:spacing w:line="300" w:lineRule="auto"/>
        <w:ind w:firstLine="482" w:firstLineChars="200"/>
        <w:rPr>
          <w:rFonts w:ascii="宋体" w:hAnsi="宋体" w:eastAsia="宋体" w:cs="宋体"/>
          <w:b/>
          <w:color w:val="auto"/>
          <w:sz w:val="24"/>
          <w:szCs w:val="24"/>
        </w:rPr>
      </w:pPr>
    </w:p>
    <w:p w14:paraId="27322C36">
      <w:pPr>
        <w:pStyle w:val="9"/>
        <w:spacing w:before="5"/>
        <w:rPr>
          <w:rFonts w:hint="eastAsia" w:ascii="宋体" w:hAnsi="宋体" w:eastAsia="宋体" w:cs="宋体"/>
          <w:b/>
          <w:bCs/>
          <w:color w:val="auto"/>
          <w:sz w:val="21"/>
          <w:szCs w:val="21"/>
        </w:rPr>
      </w:pPr>
    </w:p>
    <w:p w14:paraId="5E3194EC">
      <w:pPr>
        <w:pStyle w:val="9"/>
        <w:spacing w:before="5"/>
        <w:rPr>
          <w:rFonts w:hint="eastAsia" w:ascii="宋体" w:hAnsi="宋体" w:eastAsia="宋体" w:cs="宋体"/>
          <w:b/>
          <w:bCs/>
          <w:color w:val="auto"/>
          <w:sz w:val="21"/>
          <w:szCs w:val="21"/>
        </w:rPr>
      </w:pPr>
    </w:p>
    <w:p w14:paraId="3773B618">
      <w:pPr>
        <w:pStyle w:val="9"/>
        <w:spacing w:before="5"/>
        <w:rPr>
          <w:rFonts w:ascii="宋体" w:hAnsi="宋体" w:eastAsia="宋体" w:cs="宋体"/>
          <w:b/>
          <w:bCs/>
          <w:color w:val="auto"/>
          <w:sz w:val="21"/>
          <w:szCs w:val="21"/>
          <w:lang w:val="en-US"/>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rPr>
        <w:t>9</w:t>
      </w:r>
    </w:p>
    <w:p w14:paraId="5C759E9F">
      <w:pPr>
        <w:spacing w:line="300" w:lineRule="auto"/>
        <w:rPr>
          <w:rFonts w:ascii="宋体" w:hAnsi="宋体"/>
          <w:b/>
          <w:color w:val="auto"/>
          <w:szCs w:val="21"/>
        </w:rPr>
      </w:pPr>
    </w:p>
    <w:p w14:paraId="2DBA0F4C">
      <w:pPr>
        <w:widowControl/>
        <w:adjustRightInd w:val="0"/>
        <w:snapToGrid w:val="0"/>
        <w:spacing w:line="58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供应商股东信息承诺函</w:t>
      </w:r>
    </w:p>
    <w:p w14:paraId="1CF5C55D">
      <w:pPr>
        <w:widowControl/>
        <w:adjustRightInd w:val="0"/>
        <w:snapToGrid w:val="0"/>
        <w:spacing w:line="580" w:lineRule="exact"/>
        <w:jc w:val="center"/>
        <w:rPr>
          <w:rFonts w:ascii="宋体" w:hAnsi="宋体" w:eastAsia="宋体" w:cs="宋体"/>
          <w:color w:val="auto"/>
          <w:sz w:val="21"/>
          <w:szCs w:val="21"/>
        </w:rPr>
      </w:pPr>
    </w:p>
    <w:p w14:paraId="35E41F49">
      <w:pPr>
        <w:pStyle w:val="4"/>
        <w:spacing w:line="360" w:lineRule="auto"/>
        <w:ind w:left="0" w:firstLine="420" w:firstLineChars="2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（招标代理机构）：</w:t>
      </w:r>
    </w:p>
    <w:p w14:paraId="01A13BC8">
      <w:pPr>
        <w:pStyle w:val="4"/>
        <w:spacing w:line="360" w:lineRule="auto"/>
        <w:ind w:left="0" w:firstLine="420" w:firstLineChars="2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我方承诺：</w:t>
      </w:r>
    </w:p>
    <w:p w14:paraId="7014C842">
      <w:pPr>
        <w:pStyle w:val="4"/>
        <w:spacing w:line="360" w:lineRule="auto"/>
        <w:ind w:left="0" w:firstLine="420" w:firstLineChars="2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1.我方与参加此次投标的其他供应商不存在单位负责人为同一人或者直接控股、管理关系，也没有为本次采购提供整体设计、规范编制或者项目管理、监理、检测等服务。</w:t>
      </w:r>
    </w:p>
    <w:p w14:paraId="013DFCA7">
      <w:pPr>
        <w:pStyle w:val="4"/>
        <w:spacing w:line="360" w:lineRule="auto"/>
        <w:ind w:left="0" w:firstLine="420" w:firstLineChars="20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2.以上事项如有虚假或隐瞒，我方愿意承担一切后果。</w:t>
      </w:r>
    </w:p>
    <w:p w14:paraId="09390254">
      <w:pPr>
        <w:pStyle w:val="4"/>
        <w:spacing w:line="360" w:lineRule="auto"/>
        <w:ind w:left="0" w:firstLine="420" w:firstLineChars="200"/>
        <w:rPr>
          <w:rFonts w:ascii="宋体" w:hAnsi="宋体" w:eastAsia="宋体" w:cs="宋体"/>
          <w:b w:val="0"/>
          <w:bCs w:val="0"/>
          <w:color w:val="auto"/>
          <w:sz w:val="21"/>
          <w:szCs w:val="21"/>
          <w:lang w:val="en-US"/>
        </w:rPr>
      </w:pPr>
    </w:p>
    <w:p w14:paraId="50CE526B">
      <w:pPr>
        <w:pStyle w:val="4"/>
        <w:spacing w:line="360" w:lineRule="auto"/>
        <w:ind w:left="0" w:firstLine="420" w:firstLineChars="200"/>
        <w:rPr>
          <w:rFonts w:ascii="宋体" w:hAnsi="宋体" w:eastAsia="宋体" w:cs="宋体"/>
          <w:b w:val="0"/>
          <w:bCs w:val="0"/>
          <w:color w:val="auto"/>
          <w:sz w:val="21"/>
          <w:szCs w:val="21"/>
          <w:lang w:val="en-US"/>
        </w:rPr>
      </w:pPr>
    </w:p>
    <w:p w14:paraId="2F8ED961">
      <w:pPr>
        <w:pStyle w:val="4"/>
        <w:wordWrap w:val="0"/>
        <w:spacing w:line="360" w:lineRule="auto"/>
        <w:ind w:left="0" w:firstLine="420" w:firstLineChars="200"/>
        <w:jc w:val="right"/>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          </w:t>
      </w:r>
    </w:p>
    <w:p w14:paraId="00604822">
      <w:pPr>
        <w:pStyle w:val="4"/>
        <w:spacing w:line="360" w:lineRule="auto"/>
        <w:ind w:left="0" w:firstLine="420" w:firstLineChars="200"/>
        <w:rPr>
          <w:rFonts w:ascii="宋体" w:hAnsi="宋体" w:eastAsia="宋体" w:cs="宋体"/>
          <w:b w:val="0"/>
          <w:bCs w:val="0"/>
          <w:color w:val="auto"/>
          <w:sz w:val="21"/>
          <w:szCs w:val="21"/>
          <w:lang w:val="en-US"/>
        </w:rPr>
      </w:pPr>
    </w:p>
    <w:p w14:paraId="32DB120C">
      <w:pPr>
        <w:pStyle w:val="4"/>
        <w:spacing w:line="360" w:lineRule="auto"/>
        <w:ind w:left="0" w:firstLine="420" w:firstLineChars="200"/>
        <w:jc w:val="right"/>
        <w:rPr>
          <w:rFonts w:ascii="宋体" w:hAnsi="宋体" w:eastAsia="宋体" w:cs="宋体"/>
          <w:b w:val="0"/>
          <w:bCs w:val="0"/>
          <w:color w:val="auto"/>
          <w:sz w:val="21"/>
          <w:szCs w:val="21"/>
          <w:lang w:val="en-US"/>
        </w:rPr>
      </w:pPr>
    </w:p>
    <w:p w14:paraId="25AB3529">
      <w:pPr>
        <w:pStyle w:val="4"/>
        <w:wordWrap w:val="0"/>
        <w:spacing w:line="360" w:lineRule="auto"/>
        <w:ind w:left="0" w:firstLine="420" w:firstLineChars="200"/>
        <w:jc w:val="right"/>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供应商（单位盖章）：                   </w:t>
      </w:r>
    </w:p>
    <w:p w14:paraId="7EB8A43E">
      <w:pPr>
        <w:pStyle w:val="4"/>
        <w:wordWrap w:val="0"/>
        <w:spacing w:line="360" w:lineRule="auto"/>
        <w:ind w:left="0" w:firstLine="420" w:firstLineChars="200"/>
        <w:jc w:val="right"/>
        <w:rPr>
          <w:rFonts w:ascii="宋体" w:hAnsi="宋体" w:eastAsia="宋体" w:cs="宋体"/>
          <w:b w:val="0"/>
          <w:bCs w:val="0"/>
          <w:color w:val="auto"/>
          <w:sz w:val="21"/>
          <w:szCs w:val="21"/>
          <w:lang w:val="en-US"/>
        </w:rPr>
      </w:pPr>
    </w:p>
    <w:p w14:paraId="17E13931">
      <w:pPr>
        <w:pStyle w:val="4"/>
        <w:wordWrap w:val="0"/>
        <w:spacing w:line="360" w:lineRule="auto"/>
        <w:ind w:left="0" w:firstLine="420" w:firstLineChars="200"/>
        <w:jc w:val="right"/>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法定代表人（签字或签章）：                   </w:t>
      </w:r>
    </w:p>
    <w:p w14:paraId="49076062">
      <w:pPr>
        <w:pStyle w:val="4"/>
        <w:wordWrap w:val="0"/>
        <w:spacing w:line="360" w:lineRule="auto"/>
        <w:ind w:left="0" w:firstLine="420" w:firstLineChars="200"/>
        <w:jc w:val="right"/>
        <w:rPr>
          <w:rFonts w:ascii="宋体" w:hAnsi="宋体" w:eastAsia="宋体" w:cs="宋体"/>
          <w:b w:val="0"/>
          <w:bCs w:val="0"/>
          <w:color w:val="auto"/>
          <w:sz w:val="21"/>
          <w:szCs w:val="21"/>
          <w:lang w:val="en-US"/>
        </w:rPr>
      </w:pPr>
    </w:p>
    <w:p w14:paraId="73E2E77C">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 日期：</w:t>
      </w:r>
      <w:r>
        <w:rPr>
          <w:rFonts w:hint="eastAsia" w:ascii="宋体" w:hAnsi="宋体" w:eastAsia="宋体" w:cs="宋体"/>
          <w:b w:val="0"/>
          <w:bCs w:val="0"/>
          <w:color w:val="auto"/>
          <w:sz w:val="21"/>
          <w:szCs w:val="21"/>
          <w:lang w:val="en-US"/>
        </w:rPr>
        <w:tab/>
      </w:r>
      <w:r>
        <w:rPr>
          <w:rFonts w:hint="eastAsia" w:ascii="宋体" w:hAnsi="宋体" w:eastAsia="宋体" w:cs="宋体"/>
          <w:b w:val="0"/>
          <w:bCs w:val="0"/>
          <w:color w:val="auto"/>
          <w:sz w:val="21"/>
          <w:szCs w:val="21"/>
          <w:lang w:val="en-US"/>
        </w:rPr>
        <w:t>年</w:t>
      </w:r>
      <w:r>
        <w:rPr>
          <w:rFonts w:hint="eastAsia" w:ascii="宋体" w:hAnsi="宋体" w:eastAsia="宋体" w:cs="宋体"/>
          <w:b w:val="0"/>
          <w:bCs w:val="0"/>
          <w:color w:val="auto"/>
          <w:sz w:val="21"/>
          <w:szCs w:val="21"/>
          <w:lang w:val="en-US"/>
        </w:rPr>
        <w:tab/>
      </w:r>
      <w:r>
        <w:rPr>
          <w:rFonts w:hint="eastAsia" w:ascii="宋体" w:hAnsi="宋体" w:eastAsia="宋体" w:cs="宋体"/>
          <w:b w:val="0"/>
          <w:bCs w:val="0"/>
          <w:color w:val="auto"/>
          <w:sz w:val="21"/>
          <w:szCs w:val="21"/>
          <w:lang w:val="en-US"/>
        </w:rPr>
        <w:t>月</w:t>
      </w:r>
      <w:r>
        <w:rPr>
          <w:rFonts w:hint="eastAsia" w:ascii="宋体" w:hAnsi="宋体" w:eastAsia="宋体" w:cs="宋体"/>
          <w:b w:val="0"/>
          <w:bCs w:val="0"/>
          <w:color w:val="auto"/>
          <w:sz w:val="21"/>
          <w:szCs w:val="21"/>
          <w:lang w:val="en-US"/>
        </w:rPr>
        <w:tab/>
      </w:r>
      <w:r>
        <w:rPr>
          <w:rFonts w:hint="eastAsia" w:ascii="宋体" w:hAnsi="宋体" w:eastAsia="宋体" w:cs="宋体"/>
          <w:b w:val="0"/>
          <w:bCs w:val="0"/>
          <w:color w:val="auto"/>
          <w:sz w:val="21"/>
          <w:szCs w:val="21"/>
          <w:lang w:val="en-US"/>
        </w:rPr>
        <w:t xml:space="preserve">日       </w:t>
      </w:r>
    </w:p>
    <w:p w14:paraId="051B5618">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17B0C1D3">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3AFA279D">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0D8DE8E5">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7FA6B53B">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23FF59CB">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64635105">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10AC6DB5">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5AD3B2BD">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786B92A0">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130CC5B6">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0C9C8FA6">
      <w:pPr>
        <w:pStyle w:val="4"/>
        <w:wordWrap w:val="0"/>
        <w:spacing w:line="360" w:lineRule="auto"/>
        <w:ind w:left="0" w:firstLine="420" w:firstLineChars="200"/>
        <w:jc w:val="right"/>
        <w:rPr>
          <w:rFonts w:hint="eastAsia" w:ascii="宋体" w:hAnsi="宋体" w:eastAsia="宋体" w:cs="宋体"/>
          <w:b w:val="0"/>
          <w:bCs w:val="0"/>
          <w:color w:val="auto"/>
          <w:sz w:val="21"/>
          <w:szCs w:val="21"/>
          <w:lang w:val="en-US"/>
        </w:rPr>
      </w:pPr>
    </w:p>
    <w:p w14:paraId="0D3B0C6E">
      <w:pPr>
        <w:pStyle w:val="4"/>
        <w:wordWrap w:val="0"/>
        <w:spacing w:line="360" w:lineRule="auto"/>
        <w:ind w:left="0" w:leftChars="0" w:firstLine="0" w:firstLineChars="0"/>
        <w:jc w:val="both"/>
        <w:rPr>
          <w:rFonts w:hint="eastAsia" w:ascii="宋体" w:hAnsi="宋体" w:eastAsia="宋体" w:cs="宋体"/>
          <w:b/>
          <w:bCs/>
          <w:color w:val="auto"/>
          <w:sz w:val="21"/>
          <w:szCs w:val="21"/>
          <w:lang w:val="en-US" w:eastAsia="zh-CN"/>
        </w:rPr>
      </w:pPr>
    </w:p>
    <w:p w14:paraId="2E584371">
      <w:pPr>
        <w:pStyle w:val="4"/>
        <w:wordWrap w:val="0"/>
        <w:spacing w:line="360" w:lineRule="auto"/>
        <w:ind w:left="0" w:leftChars="0" w:firstLine="0" w:firstLineChars="0"/>
        <w:jc w:val="both"/>
        <w:rPr>
          <w:rFonts w:ascii="宋体" w:hAnsi="宋体" w:eastAsia="宋体" w:cs="宋体"/>
          <w:b w:val="0"/>
          <w:bCs w:val="0"/>
          <w:color w:val="auto"/>
          <w:sz w:val="21"/>
          <w:szCs w:val="21"/>
          <w:lang w:val="en-US"/>
        </w:rPr>
      </w:pPr>
      <w:r>
        <w:rPr>
          <w:rFonts w:hint="eastAsia" w:ascii="宋体" w:hAnsi="宋体" w:eastAsia="宋体" w:cs="宋体"/>
          <w:b/>
          <w:bCs/>
          <w:color w:val="auto"/>
          <w:sz w:val="21"/>
          <w:szCs w:val="21"/>
          <w:lang w:val="en-US" w:eastAsia="zh-CN"/>
        </w:rPr>
        <w:t>附件10</w:t>
      </w:r>
      <w:r>
        <w:rPr>
          <w:rFonts w:hint="eastAsia" w:ascii="宋体" w:hAnsi="宋体" w:eastAsia="宋体" w:cs="宋体"/>
          <w:b/>
          <w:bCs/>
          <w:color w:val="auto"/>
          <w:sz w:val="21"/>
          <w:szCs w:val="21"/>
          <w:lang w:val="en-US"/>
        </w:rPr>
        <w:t xml:space="preserve">  </w:t>
      </w:r>
      <w:r>
        <w:rPr>
          <w:rFonts w:hint="eastAsia" w:ascii="宋体" w:hAnsi="宋体" w:eastAsia="宋体" w:cs="宋体"/>
          <w:b w:val="0"/>
          <w:bCs w:val="0"/>
          <w:color w:val="auto"/>
          <w:sz w:val="21"/>
          <w:szCs w:val="21"/>
          <w:lang w:val="en-US"/>
        </w:rPr>
        <w:t xml:space="preserve">            </w:t>
      </w:r>
    </w:p>
    <w:p w14:paraId="39153FD2">
      <w:pPr>
        <w:spacing w:line="360" w:lineRule="auto"/>
        <w:jc w:val="center"/>
        <w:rPr>
          <w:rFonts w:hint="default" w:ascii="Times New Roman" w:hAnsi="Times New Roman" w:eastAsia="宋体" w:cs="Times New Roman"/>
          <w:b/>
          <w:color w:val="auto"/>
          <w:sz w:val="21"/>
          <w:szCs w:val="21"/>
        </w:rPr>
      </w:pPr>
    </w:p>
    <w:p w14:paraId="03868379">
      <w:pPr>
        <w:autoSpaceDE w:val="0"/>
        <w:autoSpaceDN w:val="0"/>
        <w:adjustRightInd w:val="0"/>
        <w:spacing w:line="360" w:lineRule="auto"/>
        <w:ind w:firstLine="3795" w:firstLineChars="18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拟投入本项目的人员配置情况表</w:t>
      </w:r>
    </w:p>
    <w:tbl>
      <w:tblPr>
        <w:tblStyle w:val="22"/>
        <w:tblW w:w="7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98"/>
        <w:gridCol w:w="1800"/>
        <w:gridCol w:w="2836"/>
        <w:gridCol w:w="900"/>
      </w:tblGrid>
      <w:tr w14:paraId="6B8C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top w:val="single" w:color="auto" w:sz="8" w:space="0"/>
            </w:tcBorders>
            <w:noWrap w:val="0"/>
            <w:vAlign w:val="center"/>
          </w:tcPr>
          <w:p w14:paraId="73BC6521">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序号</w:t>
            </w:r>
          </w:p>
        </w:tc>
        <w:tc>
          <w:tcPr>
            <w:tcW w:w="1298" w:type="dxa"/>
            <w:tcBorders>
              <w:top w:val="single" w:color="auto" w:sz="8" w:space="0"/>
            </w:tcBorders>
            <w:noWrap w:val="0"/>
            <w:vAlign w:val="center"/>
          </w:tcPr>
          <w:p w14:paraId="6304897C">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800" w:type="dxa"/>
            <w:tcBorders>
              <w:top w:val="single" w:color="auto" w:sz="8" w:space="0"/>
            </w:tcBorders>
            <w:noWrap w:val="0"/>
            <w:vAlign w:val="center"/>
          </w:tcPr>
          <w:p w14:paraId="4E46D413">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岗位</w:t>
            </w:r>
          </w:p>
        </w:tc>
        <w:tc>
          <w:tcPr>
            <w:tcW w:w="2836" w:type="dxa"/>
            <w:tcBorders>
              <w:top w:val="single" w:color="auto" w:sz="8" w:space="0"/>
              <w:right w:val="single" w:color="auto" w:sz="8" w:space="0"/>
            </w:tcBorders>
            <w:noWrap w:val="0"/>
            <w:vAlign w:val="center"/>
          </w:tcPr>
          <w:p w14:paraId="31149B21">
            <w:pPr>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证书名称及编号（如有）</w:t>
            </w:r>
          </w:p>
        </w:tc>
        <w:tc>
          <w:tcPr>
            <w:tcW w:w="900" w:type="dxa"/>
            <w:noWrap w:val="0"/>
            <w:vAlign w:val="center"/>
          </w:tcPr>
          <w:p w14:paraId="3E40BFAE">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14:paraId="7907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7FBFFB66">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98" w:type="dxa"/>
            <w:tcBorders>
              <w:left w:val="single" w:color="auto" w:sz="4" w:space="0"/>
            </w:tcBorders>
            <w:noWrap w:val="0"/>
            <w:vAlign w:val="center"/>
          </w:tcPr>
          <w:p w14:paraId="7E9677F3">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7457FDF9">
            <w:pPr>
              <w:pStyle w:val="7"/>
              <w:snapToGrid w:val="0"/>
              <w:ind w:left="0" w:leftChars="0" w:firstLine="0" w:firstLineChars="0"/>
              <w:jc w:val="center"/>
              <w:rPr>
                <w:rFonts w:hint="default" w:ascii="Times New Roman" w:hAnsi="Times New Roman" w:eastAsia="宋体" w:cs="Times New Roman"/>
                <w:color w:val="auto"/>
                <w:sz w:val="21"/>
                <w:szCs w:val="21"/>
              </w:rPr>
            </w:pPr>
            <w:r>
              <w:rPr>
                <w:rFonts w:hint="eastAsia" w:ascii="宋体" w:hAnsi="宋体" w:eastAsia="宋体" w:cs="宋体"/>
                <w:color w:val="000000" w:themeColor="text1"/>
                <w:sz w:val="21"/>
                <w:szCs w:val="21"/>
                <w14:textFill>
                  <w14:solidFill>
                    <w14:schemeClr w14:val="tx1"/>
                  </w14:solidFill>
                </w14:textFill>
              </w:rPr>
              <w:t>保安主管</w:t>
            </w:r>
            <w:r>
              <w:rPr>
                <w:rFonts w:hint="eastAsia" w:ascii="宋体" w:hAnsi="宋体" w:eastAsia="宋体" w:cs="宋体"/>
                <w:color w:val="000000" w:themeColor="text1"/>
                <w:sz w:val="21"/>
                <w:szCs w:val="21"/>
                <w:lang w:eastAsia="zh-CN"/>
                <w14:textFill>
                  <w14:solidFill>
                    <w14:schemeClr w14:val="tx1"/>
                  </w14:solidFill>
                </w14:textFill>
              </w:rPr>
              <w:t>岗</w:t>
            </w:r>
          </w:p>
        </w:tc>
        <w:tc>
          <w:tcPr>
            <w:tcW w:w="2836" w:type="dxa"/>
            <w:noWrap w:val="0"/>
            <w:vAlign w:val="center"/>
          </w:tcPr>
          <w:p w14:paraId="0A46E8B0">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0DBA57A0">
            <w:pPr>
              <w:pStyle w:val="7"/>
              <w:snapToGrid w:val="0"/>
              <w:ind w:firstLine="480"/>
              <w:jc w:val="center"/>
              <w:rPr>
                <w:rFonts w:hint="default" w:ascii="Times New Roman" w:hAnsi="Times New Roman" w:eastAsia="宋体" w:cs="Times New Roman"/>
                <w:color w:val="auto"/>
                <w:sz w:val="21"/>
                <w:szCs w:val="21"/>
              </w:rPr>
            </w:pPr>
          </w:p>
        </w:tc>
      </w:tr>
      <w:tr w14:paraId="6912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66598153">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298" w:type="dxa"/>
            <w:tcBorders>
              <w:left w:val="single" w:color="auto" w:sz="4" w:space="0"/>
            </w:tcBorders>
            <w:noWrap w:val="0"/>
            <w:vAlign w:val="center"/>
          </w:tcPr>
          <w:p w14:paraId="46E60063">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0952E43A">
            <w:pPr>
              <w:pStyle w:val="7"/>
              <w:snapToGrid w:val="0"/>
              <w:ind w:left="0" w:lef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消防、监控员岗</w:t>
            </w:r>
          </w:p>
        </w:tc>
        <w:tc>
          <w:tcPr>
            <w:tcW w:w="2836" w:type="dxa"/>
            <w:noWrap w:val="0"/>
            <w:vAlign w:val="center"/>
          </w:tcPr>
          <w:p w14:paraId="391FA6C1">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61BEAA2A">
            <w:pPr>
              <w:pStyle w:val="7"/>
              <w:snapToGrid w:val="0"/>
              <w:ind w:firstLine="480"/>
              <w:jc w:val="center"/>
              <w:rPr>
                <w:rFonts w:hint="default" w:ascii="Times New Roman" w:hAnsi="Times New Roman" w:eastAsia="宋体" w:cs="Times New Roman"/>
                <w:color w:val="auto"/>
                <w:sz w:val="21"/>
                <w:szCs w:val="21"/>
              </w:rPr>
            </w:pPr>
          </w:p>
        </w:tc>
      </w:tr>
      <w:tr w14:paraId="217E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18B639C2">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298" w:type="dxa"/>
            <w:tcBorders>
              <w:left w:val="single" w:color="auto" w:sz="4" w:space="0"/>
            </w:tcBorders>
            <w:noWrap w:val="0"/>
            <w:vAlign w:val="center"/>
          </w:tcPr>
          <w:p w14:paraId="27EBBF5E">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4FA95E14">
            <w:pPr>
              <w:pStyle w:val="7"/>
              <w:snapToGrid w:val="0"/>
              <w:ind w:left="0" w:lef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消防、监控员岗</w:t>
            </w:r>
          </w:p>
        </w:tc>
        <w:tc>
          <w:tcPr>
            <w:tcW w:w="2836" w:type="dxa"/>
            <w:noWrap w:val="0"/>
            <w:vAlign w:val="center"/>
          </w:tcPr>
          <w:p w14:paraId="68BBDBC2">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64E42CD8">
            <w:pPr>
              <w:pStyle w:val="7"/>
              <w:snapToGrid w:val="0"/>
              <w:ind w:firstLine="480"/>
              <w:jc w:val="center"/>
              <w:rPr>
                <w:rFonts w:hint="default" w:ascii="Times New Roman" w:hAnsi="Times New Roman" w:eastAsia="宋体" w:cs="Times New Roman"/>
                <w:color w:val="auto"/>
                <w:sz w:val="21"/>
                <w:szCs w:val="21"/>
              </w:rPr>
            </w:pPr>
          </w:p>
        </w:tc>
      </w:tr>
      <w:tr w14:paraId="4A40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3960A22A">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298" w:type="dxa"/>
            <w:tcBorders>
              <w:left w:val="single" w:color="auto" w:sz="4" w:space="0"/>
            </w:tcBorders>
            <w:noWrap w:val="0"/>
            <w:vAlign w:val="center"/>
          </w:tcPr>
          <w:p w14:paraId="5D6B6380">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660DEE28">
            <w:pPr>
              <w:pStyle w:val="7"/>
              <w:snapToGrid w:val="0"/>
              <w:ind w:left="0" w:lef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消防、监控员岗</w:t>
            </w:r>
          </w:p>
        </w:tc>
        <w:tc>
          <w:tcPr>
            <w:tcW w:w="2836" w:type="dxa"/>
            <w:noWrap w:val="0"/>
            <w:vAlign w:val="center"/>
          </w:tcPr>
          <w:p w14:paraId="3871B571">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5A88F4F1">
            <w:pPr>
              <w:pStyle w:val="7"/>
              <w:snapToGrid w:val="0"/>
              <w:ind w:firstLine="480"/>
              <w:jc w:val="center"/>
              <w:rPr>
                <w:rFonts w:hint="default" w:ascii="Times New Roman" w:hAnsi="Times New Roman" w:eastAsia="宋体" w:cs="Times New Roman"/>
                <w:color w:val="auto"/>
                <w:sz w:val="21"/>
                <w:szCs w:val="21"/>
              </w:rPr>
            </w:pPr>
          </w:p>
        </w:tc>
      </w:tr>
      <w:tr w14:paraId="636F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638D2CA3">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298" w:type="dxa"/>
            <w:tcBorders>
              <w:left w:val="single" w:color="auto" w:sz="4" w:space="0"/>
            </w:tcBorders>
            <w:noWrap w:val="0"/>
            <w:vAlign w:val="center"/>
          </w:tcPr>
          <w:p w14:paraId="1C5D760F">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2E547900">
            <w:pPr>
              <w:pStyle w:val="7"/>
              <w:snapToGrid w:val="0"/>
              <w:ind w:left="0" w:leftChars="0" w:firstLine="0" w:firstLineChars="0"/>
              <w:jc w:val="center"/>
              <w:rPr>
                <w:rFonts w:hint="default" w:ascii="Times New Roman" w:hAnsi="Times New Roman" w:eastAsia="宋体" w:cs="Times New Roman"/>
                <w:color w:val="auto"/>
                <w:sz w:val="21"/>
                <w:szCs w:val="21"/>
              </w:rPr>
            </w:pPr>
            <w:r>
              <w:rPr>
                <w:rFonts w:hint="eastAsia" w:ascii="宋体" w:hAnsi="宋体" w:eastAsia="宋体" w:cs="宋体"/>
                <w:color w:val="000000" w:themeColor="text1"/>
                <w:sz w:val="21"/>
                <w:szCs w:val="21"/>
                <w14:textFill>
                  <w14:solidFill>
                    <w14:schemeClr w14:val="tx1"/>
                  </w14:solidFill>
                </w14:textFill>
              </w:rPr>
              <w:t>保安</w:t>
            </w:r>
            <w:r>
              <w:rPr>
                <w:rFonts w:hint="eastAsia" w:ascii="宋体" w:hAnsi="宋体" w:eastAsia="宋体" w:cs="宋体"/>
                <w:color w:val="000000" w:themeColor="text1"/>
                <w:sz w:val="21"/>
                <w:szCs w:val="21"/>
                <w:lang w:eastAsia="zh-CN"/>
                <w14:textFill>
                  <w14:solidFill>
                    <w14:schemeClr w14:val="tx1"/>
                  </w14:solidFill>
                </w14:textFill>
              </w:rPr>
              <w:t>员岗</w:t>
            </w:r>
          </w:p>
        </w:tc>
        <w:tc>
          <w:tcPr>
            <w:tcW w:w="2836" w:type="dxa"/>
            <w:noWrap w:val="0"/>
            <w:vAlign w:val="center"/>
          </w:tcPr>
          <w:p w14:paraId="3887733B">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389EC617">
            <w:pPr>
              <w:pStyle w:val="7"/>
              <w:snapToGrid w:val="0"/>
              <w:ind w:firstLine="480"/>
              <w:jc w:val="center"/>
              <w:rPr>
                <w:rFonts w:hint="default" w:ascii="Times New Roman" w:hAnsi="Times New Roman" w:eastAsia="宋体" w:cs="Times New Roman"/>
                <w:color w:val="auto"/>
                <w:sz w:val="21"/>
                <w:szCs w:val="21"/>
              </w:rPr>
            </w:pPr>
          </w:p>
        </w:tc>
      </w:tr>
      <w:tr w14:paraId="6E9D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235B66E8">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298" w:type="dxa"/>
            <w:tcBorders>
              <w:left w:val="single" w:color="auto" w:sz="4" w:space="0"/>
            </w:tcBorders>
            <w:noWrap w:val="0"/>
            <w:vAlign w:val="center"/>
          </w:tcPr>
          <w:p w14:paraId="06C8DEFE">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05C30001">
            <w:pPr>
              <w:pStyle w:val="7"/>
              <w:snapToGrid w:val="0"/>
              <w:ind w:left="0" w:leftChars="0" w:firstLine="0" w:firstLineChars="0"/>
              <w:jc w:val="center"/>
              <w:rPr>
                <w:rFonts w:hint="default" w:ascii="Times New Roman" w:hAnsi="Times New Roman" w:eastAsia="宋体" w:cs="Times New Roman"/>
                <w:color w:val="auto"/>
                <w:sz w:val="21"/>
                <w:szCs w:val="21"/>
              </w:rPr>
            </w:pPr>
            <w:r>
              <w:rPr>
                <w:rFonts w:hint="eastAsia" w:ascii="宋体" w:hAnsi="宋体" w:eastAsia="宋体" w:cs="宋体"/>
                <w:color w:val="000000" w:themeColor="text1"/>
                <w:sz w:val="21"/>
                <w:szCs w:val="21"/>
                <w14:textFill>
                  <w14:solidFill>
                    <w14:schemeClr w14:val="tx1"/>
                  </w14:solidFill>
                </w14:textFill>
              </w:rPr>
              <w:t>保安</w:t>
            </w:r>
            <w:r>
              <w:rPr>
                <w:rFonts w:hint="eastAsia" w:ascii="宋体" w:hAnsi="宋体" w:eastAsia="宋体" w:cs="宋体"/>
                <w:color w:val="000000" w:themeColor="text1"/>
                <w:sz w:val="21"/>
                <w:szCs w:val="21"/>
                <w:lang w:eastAsia="zh-CN"/>
                <w14:textFill>
                  <w14:solidFill>
                    <w14:schemeClr w14:val="tx1"/>
                  </w14:solidFill>
                </w14:textFill>
              </w:rPr>
              <w:t>员岗</w:t>
            </w:r>
          </w:p>
        </w:tc>
        <w:tc>
          <w:tcPr>
            <w:tcW w:w="2836" w:type="dxa"/>
            <w:noWrap w:val="0"/>
            <w:vAlign w:val="center"/>
          </w:tcPr>
          <w:p w14:paraId="1B826EAC">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79BB92AC">
            <w:pPr>
              <w:pStyle w:val="7"/>
              <w:snapToGrid w:val="0"/>
              <w:ind w:firstLine="480"/>
              <w:jc w:val="center"/>
              <w:rPr>
                <w:rFonts w:hint="default" w:ascii="Times New Roman" w:hAnsi="Times New Roman" w:eastAsia="宋体" w:cs="Times New Roman"/>
                <w:color w:val="auto"/>
                <w:sz w:val="21"/>
                <w:szCs w:val="21"/>
              </w:rPr>
            </w:pPr>
          </w:p>
        </w:tc>
      </w:tr>
      <w:tr w14:paraId="14B5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51997A4E">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298" w:type="dxa"/>
            <w:tcBorders>
              <w:left w:val="single" w:color="auto" w:sz="4" w:space="0"/>
            </w:tcBorders>
            <w:noWrap w:val="0"/>
            <w:vAlign w:val="center"/>
          </w:tcPr>
          <w:p w14:paraId="3D148897">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5659D382">
            <w:pPr>
              <w:pStyle w:val="7"/>
              <w:snapToGrid w:val="0"/>
              <w:ind w:left="0" w:leftChars="0" w:firstLine="0" w:firstLineChars="0"/>
              <w:jc w:val="center"/>
              <w:rPr>
                <w:rFonts w:hint="default" w:ascii="Times New Roman" w:hAnsi="Times New Roman" w:eastAsia="宋体" w:cs="Times New Roman"/>
                <w:color w:val="auto"/>
                <w:sz w:val="21"/>
                <w:szCs w:val="21"/>
              </w:rPr>
            </w:pPr>
            <w:r>
              <w:rPr>
                <w:rFonts w:hint="eastAsia" w:ascii="宋体" w:hAnsi="宋体" w:eastAsia="宋体" w:cs="宋体"/>
                <w:color w:val="000000" w:themeColor="text1"/>
                <w:sz w:val="21"/>
                <w:szCs w:val="21"/>
                <w14:textFill>
                  <w14:solidFill>
                    <w14:schemeClr w14:val="tx1"/>
                  </w14:solidFill>
                </w14:textFill>
              </w:rPr>
              <w:t>保安</w:t>
            </w:r>
            <w:r>
              <w:rPr>
                <w:rFonts w:hint="eastAsia" w:ascii="宋体" w:hAnsi="宋体" w:eastAsia="宋体" w:cs="宋体"/>
                <w:color w:val="000000" w:themeColor="text1"/>
                <w:sz w:val="21"/>
                <w:szCs w:val="21"/>
                <w:lang w:eastAsia="zh-CN"/>
                <w14:textFill>
                  <w14:solidFill>
                    <w14:schemeClr w14:val="tx1"/>
                  </w14:solidFill>
                </w14:textFill>
              </w:rPr>
              <w:t>员岗</w:t>
            </w:r>
          </w:p>
        </w:tc>
        <w:tc>
          <w:tcPr>
            <w:tcW w:w="2836" w:type="dxa"/>
            <w:noWrap w:val="0"/>
            <w:vAlign w:val="center"/>
          </w:tcPr>
          <w:p w14:paraId="7A9F50EE">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022031EB">
            <w:pPr>
              <w:pStyle w:val="7"/>
              <w:snapToGrid w:val="0"/>
              <w:ind w:firstLine="480"/>
              <w:jc w:val="center"/>
              <w:rPr>
                <w:rFonts w:hint="default" w:ascii="Times New Roman" w:hAnsi="Times New Roman" w:eastAsia="宋体" w:cs="Times New Roman"/>
                <w:color w:val="auto"/>
                <w:sz w:val="21"/>
                <w:szCs w:val="21"/>
              </w:rPr>
            </w:pPr>
          </w:p>
        </w:tc>
      </w:tr>
      <w:tr w14:paraId="3F83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5193BCB8">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298" w:type="dxa"/>
            <w:tcBorders>
              <w:left w:val="single" w:color="auto" w:sz="4" w:space="0"/>
            </w:tcBorders>
            <w:noWrap w:val="0"/>
            <w:vAlign w:val="center"/>
          </w:tcPr>
          <w:p w14:paraId="7D591629">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6EA80009">
            <w:pPr>
              <w:pStyle w:val="7"/>
              <w:snapToGrid w:val="0"/>
              <w:jc w:val="both"/>
              <w:rPr>
                <w:rFonts w:hint="default" w:ascii="Times New Roman" w:hAnsi="Times New Roman" w:eastAsia="宋体" w:cs="Times New Roman"/>
                <w:color w:val="auto"/>
                <w:sz w:val="21"/>
                <w:szCs w:val="21"/>
              </w:rPr>
            </w:pPr>
            <w:r>
              <w:rPr>
                <w:rFonts w:hint="eastAsia" w:ascii="宋体" w:hAnsi="宋体" w:eastAsia="宋体" w:cs="宋体"/>
                <w:color w:val="000000" w:themeColor="text1"/>
                <w:sz w:val="21"/>
                <w:szCs w:val="21"/>
                <w14:textFill>
                  <w14:solidFill>
                    <w14:schemeClr w14:val="tx1"/>
                  </w14:solidFill>
                </w14:textFill>
              </w:rPr>
              <w:t>保安</w:t>
            </w:r>
            <w:r>
              <w:rPr>
                <w:rFonts w:hint="eastAsia" w:ascii="宋体" w:hAnsi="宋体" w:eastAsia="宋体" w:cs="宋体"/>
                <w:color w:val="000000" w:themeColor="text1"/>
                <w:sz w:val="21"/>
                <w:szCs w:val="21"/>
                <w:lang w:eastAsia="zh-CN"/>
                <w14:textFill>
                  <w14:solidFill>
                    <w14:schemeClr w14:val="tx1"/>
                  </w14:solidFill>
                </w14:textFill>
              </w:rPr>
              <w:t>员岗</w:t>
            </w:r>
          </w:p>
        </w:tc>
        <w:tc>
          <w:tcPr>
            <w:tcW w:w="2836" w:type="dxa"/>
            <w:noWrap w:val="0"/>
            <w:vAlign w:val="center"/>
          </w:tcPr>
          <w:p w14:paraId="3C6F6BE8">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128F0309">
            <w:pPr>
              <w:pStyle w:val="7"/>
              <w:snapToGrid w:val="0"/>
              <w:ind w:firstLine="480"/>
              <w:jc w:val="center"/>
              <w:rPr>
                <w:rFonts w:hint="default" w:ascii="Times New Roman" w:hAnsi="Times New Roman" w:eastAsia="宋体" w:cs="Times New Roman"/>
                <w:color w:val="auto"/>
                <w:sz w:val="21"/>
                <w:szCs w:val="21"/>
              </w:rPr>
            </w:pPr>
          </w:p>
        </w:tc>
      </w:tr>
      <w:tr w14:paraId="08F7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2F628CD8">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298" w:type="dxa"/>
            <w:tcBorders>
              <w:left w:val="single" w:color="auto" w:sz="4" w:space="0"/>
            </w:tcBorders>
            <w:noWrap w:val="0"/>
            <w:vAlign w:val="center"/>
          </w:tcPr>
          <w:p w14:paraId="5E9767FA">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5F8D241B">
            <w:pPr>
              <w:pStyle w:val="7"/>
              <w:snapToGrid w:val="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保安</w:t>
            </w:r>
            <w:r>
              <w:rPr>
                <w:rFonts w:hint="eastAsia" w:ascii="宋体" w:hAnsi="宋体" w:eastAsia="宋体" w:cs="宋体"/>
                <w:color w:val="000000" w:themeColor="text1"/>
                <w:sz w:val="21"/>
                <w:szCs w:val="21"/>
                <w:lang w:eastAsia="zh-CN"/>
                <w14:textFill>
                  <w14:solidFill>
                    <w14:schemeClr w14:val="tx1"/>
                  </w14:solidFill>
                </w14:textFill>
              </w:rPr>
              <w:t>员岗</w:t>
            </w:r>
          </w:p>
        </w:tc>
        <w:tc>
          <w:tcPr>
            <w:tcW w:w="2836" w:type="dxa"/>
            <w:noWrap w:val="0"/>
            <w:vAlign w:val="center"/>
          </w:tcPr>
          <w:p w14:paraId="203A3AD2">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71E6D883">
            <w:pPr>
              <w:pStyle w:val="7"/>
              <w:snapToGrid w:val="0"/>
              <w:ind w:firstLine="480"/>
              <w:jc w:val="center"/>
              <w:rPr>
                <w:rFonts w:hint="default" w:ascii="Times New Roman" w:hAnsi="Times New Roman" w:eastAsia="宋体" w:cs="Times New Roman"/>
                <w:color w:val="auto"/>
                <w:sz w:val="21"/>
                <w:szCs w:val="21"/>
              </w:rPr>
            </w:pPr>
          </w:p>
        </w:tc>
      </w:tr>
      <w:tr w14:paraId="1076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0" w:type="dxa"/>
            <w:tcBorders>
              <w:left w:val="single" w:color="auto" w:sz="4" w:space="0"/>
            </w:tcBorders>
            <w:noWrap w:val="0"/>
            <w:vAlign w:val="center"/>
          </w:tcPr>
          <w:p w14:paraId="793E5E6D">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w:t>
            </w:r>
          </w:p>
        </w:tc>
        <w:tc>
          <w:tcPr>
            <w:tcW w:w="1298" w:type="dxa"/>
            <w:tcBorders>
              <w:left w:val="single" w:color="auto" w:sz="4" w:space="0"/>
            </w:tcBorders>
            <w:noWrap w:val="0"/>
            <w:vAlign w:val="center"/>
          </w:tcPr>
          <w:p w14:paraId="7FD7FE56">
            <w:pPr>
              <w:snapToGrid w:val="0"/>
              <w:jc w:val="center"/>
              <w:rPr>
                <w:rFonts w:hint="default" w:ascii="Times New Roman" w:hAnsi="Times New Roman" w:eastAsia="宋体" w:cs="Times New Roman"/>
                <w:color w:val="auto"/>
                <w:sz w:val="21"/>
                <w:szCs w:val="21"/>
              </w:rPr>
            </w:pPr>
          </w:p>
        </w:tc>
        <w:tc>
          <w:tcPr>
            <w:tcW w:w="1800" w:type="dxa"/>
            <w:noWrap w:val="0"/>
            <w:vAlign w:val="center"/>
          </w:tcPr>
          <w:p w14:paraId="59ECE813">
            <w:pPr>
              <w:pStyle w:val="7"/>
              <w:snapToGrid w:val="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保安</w:t>
            </w:r>
            <w:r>
              <w:rPr>
                <w:rFonts w:hint="eastAsia" w:ascii="宋体" w:hAnsi="宋体" w:eastAsia="宋体" w:cs="宋体"/>
                <w:color w:val="000000" w:themeColor="text1"/>
                <w:sz w:val="21"/>
                <w:szCs w:val="21"/>
                <w:lang w:eastAsia="zh-CN"/>
                <w14:textFill>
                  <w14:solidFill>
                    <w14:schemeClr w14:val="tx1"/>
                  </w14:solidFill>
                </w14:textFill>
              </w:rPr>
              <w:t>员岗</w:t>
            </w:r>
          </w:p>
        </w:tc>
        <w:tc>
          <w:tcPr>
            <w:tcW w:w="2836" w:type="dxa"/>
            <w:noWrap w:val="0"/>
            <w:vAlign w:val="center"/>
          </w:tcPr>
          <w:p w14:paraId="643119A5">
            <w:pPr>
              <w:pStyle w:val="7"/>
              <w:snapToGrid w:val="0"/>
              <w:ind w:firstLine="480"/>
              <w:jc w:val="center"/>
              <w:rPr>
                <w:rFonts w:hint="default" w:ascii="Times New Roman" w:hAnsi="Times New Roman" w:eastAsia="宋体" w:cs="Times New Roman"/>
                <w:color w:val="auto"/>
                <w:sz w:val="21"/>
                <w:szCs w:val="21"/>
              </w:rPr>
            </w:pPr>
          </w:p>
        </w:tc>
        <w:tc>
          <w:tcPr>
            <w:tcW w:w="900" w:type="dxa"/>
            <w:noWrap w:val="0"/>
            <w:vAlign w:val="center"/>
          </w:tcPr>
          <w:p w14:paraId="01CC3844">
            <w:pPr>
              <w:pStyle w:val="7"/>
              <w:snapToGrid w:val="0"/>
              <w:ind w:firstLine="480"/>
              <w:jc w:val="center"/>
              <w:rPr>
                <w:rFonts w:hint="default" w:ascii="Times New Roman" w:hAnsi="Times New Roman" w:eastAsia="宋体" w:cs="Times New Roman"/>
                <w:color w:val="auto"/>
                <w:sz w:val="21"/>
                <w:szCs w:val="21"/>
              </w:rPr>
            </w:pPr>
          </w:p>
        </w:tc>
      </w:tr>
    </w:tbl>
    <w:p w14:paraId="184280B4">
      <w:pPr>
        <w:widowControl/>
        <w:tabs>
          <w:tab w:val="left" w:pos="720"/>
          <w:tab w:val="left" w:pos="900"/>
          <w:tab w:val="left" w:pos="1260"/>
          <w:tab w:val="left" w:pos="1440"/>
        </w:tabs>
        <w:ind w:right="32"/>
        <w:rPr>
          <w:rFonts w:hint="default" w:ascii="Times New Roman" w:hAnsi="Times New Roman" w:eastAsia="宋体" w:cs="Times New Roman"/>
          <w:color w:val="auto"/>
          <w:kern w:val="0"/>
          <w:sz w:val="21"/>
          <w:szCs w:val="21"/>
        </w:rPr>
      </w:pPr>
    </w:p>
    <w:p w14:paraId="488DD7D8">
      <w:pPr>
        <w:spacing w:line="360" w:lineRule="auto"/>
        <w:ind w:left="420" w:hanging="420" w:hangingChars="200"/>
        <w:jc w:val="both"/>
        <w:rPr>
          <w:rFonts w:hint="eastAsia" w:ascii="宋体" w:hAnsi="宋体" w:eastAsia="宋体" w:cs="宋体"/>
          <w:b w:val="0"/>
          <w:bCs/>
          <w:color w:val="auto"/>
          <w:sz w:val="21"/>
          <w:szCs w:val="21"/>
          <w:lang w:val="en-US" w:eastAsia="zh-CN"/>
        </w:rPr>
      </w:pPr>
      <w:r>
        <w:rPr>
          <w:rFonts w:hint="default" w:ascii="Times New Roman" w:hAnsi="Times New Roman" w:eastAsia="宋体" w:cs="Times New Roman"/>
          <w:color w:val="auto"/>
          <w:kern w:val="0"/>
          <w:sz w:val="21"/>
          <w:szCs w:val="21"/>
        </w:rPr>
        <w:t>注：</w:t>
      </w:r>
      <w:r>
        <w:rPr>
          <w:rFonts w:hint="eastAsia" w:ascii="Times New Roman" w:hAnsi="Times New Roman" w:eastAsia="宋体"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本格式如不够填写，</w:t>
      </w:r>
      <w:r>
        <w:rPr>
          <w:rFonts w:hint="eastAsia" w:ascii="Times New Roman" w:hAnsi="Times New Roman" w:eastAsia="宋体" w:cs="Times New Roman"/>
          <w:color w:val="auto"/>
          <w:kern w:val="0"/>
          <w:sz w:val="21"/>
          <w:szCs w:val="21"/>
          <w:lang w:val="en-US" w:eastAsia="zh-CN"/>
        </w:rPr>
        <w:t>请自行</w:t>
      </w:r>
      <w:r>
        <w:rPr>
          <w:rFonts w:hint="default" w:ascii="Times New Roman" w:hAnsi="Times New Roman" w:eastAsia="宋体" w:cs="Times New Roman"/>
          <w:color w:val="auto"/>
          <w:kern w:val="0"/>
          <w:sz w:val="21"/>
          <w:szCs w:val="21"/>
        </w:rPr>
        <w:t>扩展</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eastAsia="zh-CN"/>
        </w:rPr>
        <w:br w:type="textWrapping"/>
      </w:r>
      <w:r>
        <w:rPr>
          <w:rFonts w:hint="eastAsia" w:ascii="Times New Roman" w:hAnsi="Times New Roman" w:eastAsia="宋体" w:cs="Times New Roman"/>
          <w:color w:val="auto"/>
          <w:kern w:val="0"/>
          <w:sz w:val="21"/>
          <w:szCs w:val="21"/>
          <w:lang w:val="en-US" w:eastAsia="zh-CN"/>
        </w:rPr>
        <w:t>2、</w:t>
      </w:r>
      <w:r>
        <w:rPr>
          <w:rFonts w:hint="eastAsia" w:ascii="宋体" w:hAnsi="宋体" w:eastAsia="宋体" w:cs="宋体"/>
          <w:b w:val="0"/>
          <w:bCs/>
          <w:color w:val="auto"/>
          <w:sz w:val="21"/>
          <w:szCs w:val="21"/>
          <w:lang w:val="en-US" w:eastAsia="zh-CN"/>
        </w:rPr>
        <w:t>拟投入人员由公安机关核发的《保安员证》。 （供应商自行安排和组织对保安人员的上岗培训，并取得资格证书。响应文件中必须提供相关证明材料并加盖公章）（必须提供）</w:t>
      </w:r>
    </w:p>
    <w:p w14:paraId="5BA492FF">
      <w:pPr>
        <w:spacing w:line="360" w:lineRule="auto"/>
        <w:ind w:left="418" w:leftChars="190" w:firstLine="0" w:firstLineChars="0"/>
        <w:jc w:val="both"/>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3、拟投入人员中不少于3人持有消防设施操作员</w:t>
      </w:r>
      <w:r>
        <w:rPr>
          <w:rFonts w:hint="eastAsia" w:ascii="宋体" w:hAnsi="宋体" w:eastAsia="宋体" w:cs="宋体"/>
          <w:b w:val="0"/>
          <w:bCs/>
          <w:color w:val="auto"/>
          <w:sz w:val="21"/>
          <w:szCs w:val="21"/>
          <w:highlight w:val="none"/>
          <w:lang w:val="en-US" w:eastAsia="zh-CN"/>
        </w:rPr>
        <w:t>中级及以上证件</w:t>
      </w:r>
      <w:r>
        <w:rPr>
          <w:rFonts w:hint="eastAsia" w:ascii="宋体" w:hAnsi="宋体" w:eastAsia="宋体" w:cs="宋体"/>
          <w:b w:val="0"/>
          <w:bCs/>
          <w:color w:val="auto"/>
          <w:sz w:val="21"/>
          <w:szCs w:val="21"/>
          <w:lang w:val="en-US" w:eastAsia="zh-CN"/>
        </w:rPr>
        <w:t>。（必须提供）</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val="0"/>
          <w:bCs/>
          <w:color w:val="auto"/>
          <w:sz w:val="21"/>
          <w:szCs w:val="21"/>
          <w:lang w:val="en-US" w:eastAsia="zh-CN"/>
        </w:rPr>
        <w:t>4、拟投入人员的身份证正反面复印件。（必须提供）</w:t>
      </w:r>
      <w:r>
        <w:rPr>
          <w:rFonts w:hint="eastAsia" w:ascii="宋体" w:hAnsi="宋体" w:eastAsia="宋体" w:cs="宋体"/>
          <w:b w:val="0"/>
          <w:bCs/>
          <w:color w:val="auto"/>
          <w:sz w:val="21"/>
          <w:szCs w:val="21"/>
          <w:lang w:val="en-US" w:eastAsia="zh-CN"/>
        </w:rPr>
        <w:br w:type="textWrapping"/>
      </w:r>
      <w:r>
        <w:rPr>
          <w:rFonts w:hint="eastAsia" w:ascii="宋体" w:hAnsi="宋体" w:eastAsia="宋体" w:cs="宋体"/>
          <w:b/>
          <w:bCs w:val="0"/>
          <w:color w:val="auto"/>
          <w:sz w:val="22"/>
          <w:szCs w:val="22"/>
          <w:lang w:val="en-US" w:eastAsia="zh-CN"/>
        </w:rPr>
        <w:t>注：未按要求提供相关人员证件的，按</w:t>
      </w:r>
      <w:r>
        <w:rPr>
          <w:rFonts w:hint="eastAsia" w:ascii="宋体" w:hAnsi="宋体" w:eastAsia="宋体" w:cs="宋体"/>
          <w:b/>
          <w:bCs w:val="0"/>
          <w:color w:val="auto"/>
          <w:sz w:val="22"/>
          <w:szCs w:val="22"/>
        </w:rPr>
        <w:t>无效磋商</w:t>
      </w:r>
      <w:r>
        <w:rPr>
          <w:rFonts w:hint="eastAsia" w:ascii="宋体" w:hAnsi="宋体" w:eastAsia="宋体" w:cs="宋体"/>
          <w:b/>
          <w:bCs w:val="0"/>
          <w:color w:val="auto"/>
          <w:sz w:val="22"/>
          <w:szCs w:val="22"/>
          <w:lang w:eastAsia="zh-CN"/>
        </w:rPr>
        <w:t>处理（请各供应商务必仔细核对清点相关资料，根据磋商文件要求规定人数填写）</w:t>
      </w:r>
      <w:r>
        <w:rPr>
          <w:rFonts w:hint="eastAsia" w:ascii="宋体" w:hAnsi="宋体" w:eastAsia="宋体" w:cs="宋体"/>
          <w:b/>
          <w:bCs w:val="0"/>
          <w:color w:val="auto"/>
          <w:sz w:val="21"/>
          <w:szCs w:val="21"/>
          <w:lang w:val="en-US" w:eastAsia="zh-CN"/>
        </w:rPr>
        <w:br w:type="textWrapping"/>
      </w:r>
    </w:p>
    <w:p w14:paraId="52323983">
      <w:pPr>
        <w:widowControl/>
        <w:tabs>
          <w:tab w:val="left" w:pos="720"/>
          <w:tab w:val="left" w:pos="900"/>
          <w:tab w:val="left" w:pos="1260"/>
          <w:tab w:val="left" w:pos="1440"/>
        </w:tabs>
        <w:ind w:left="420" w:right="32" w:hanging="420" w:hangingChars="200"/>
        <w:rPr>
          <w:rFonts w:hint="default" w:ascii="Times New Roman" w:hAnsi="Times New Roman" w:eastAsia="宋体" w:cs="Times New Roman"/>
          <w:color w:val="FF0000"/>
          <w:kern w:val="0"/>
          <w:sz w:val="21"/>
          <w:szCs w:val="21"/>
          <w:lang w:val="en-US" w:eastAsia="zh-CN"/>
        </w:rPr>
      </w:pPr>
    </w:p>
    <w:p w14:paraId="31B718FC">
      <w:pPr>
        <w:pStyle w:val="13"/>
        <w:adjustRightInd w:val="0"/>
        <w:snapToGrid w:val="0"/>
        <w:spacing w:line="400" w:lineRule="exact"/>
        <w:jc w:val="both"/>
        <w:rPr>
          <w:rFonts w:hint="default" w:ascii="Times New Roman" w:hAnsi="Times New Roman" w:eastAsia="宋体" w:cs="Times New Roman"/>
          <w:b/>
          <w:color w:val="FF0000"/>
          <w:sz w:val="21"/>
          <w:szCs w:val="21"/>
        </w:rPr>
      </w:pPr>
    </w:p>
    <w:p w14:paraId="6FB19838">
      <w:pPr>
        <w:pStyle w:val="9"/>
        <w:spacing w:before="5"/>
        <w:rPr>
          <w:rFonts w:ascii="宋体" w:hAnsi="宋体" w:eastAsia="宋体" w:cs="宋体"/>
          <w:b/>
          <w:color w:val="FF0000"/>
          <w:sz w:val="24"/>
          <w:szCs w:val="24"/>
        </w:rPr>
      </w:pPr>
    </w:p>
    <w:p w14:paraId="6A46F030">
      <w:pPr>
        <w:rPr>
          <w:rFonts w:ascii="宋体" w:hAnsi="宋体" w:eastAsia="宋体" w:cs="宋体"/>
          <w:b/>
          <w:color w:val="FF0000"/>
          <w:sz w:val="36"/>
          <w:szCs w:val="36"/>
        </w:rPr>
      </w:pPr>
      <w:bookmarkStart w:id="59" w:name="_bookmark4"/>
      <w:bookmarkEnd w:id="59"/>
      <w:bookmarkStart w:id="60" w:name="第五章__合同格式及合同条款"/>
      <w:bookmarkEnd w:id="60"/>
      <w:bookmarkStart w:id="61" w:name="_Toc677"/>
      <w:bookmarkStart w:id="62" w:name="_Toc6012_WPSOffice_Level1"/>
      <w:bookmarkStart w:id="63" w:name="_Toc28443_WPSOffice_Level1"/>
      <w:bookmarkStart w:id="64" w:name="_Toc19464_WPSOffice_Level1"/>
      <w:r>
        <w:rPr>
          <w:rFonts w:hint="eastAsia" w:ascii="宋体" w:hAnsi="宋体" w:eastAsia="宋体" w:cs="宋体"/>
          <w:b/>
          <w:color w:val="FF0000"/>
          <w:sz w:val="36"/>
          <w:szCs w:val="36"/>
        </w:rPr>
        <w:br w:type="page"/>
      </w:r>
    </w:p>
    <w:p w14:paraId="0EE82F1D">
      <w:pPr>
        <w:tabs>
          <w:tab w:val="left" w:pos="1286"/>
        </w:tabs>
        <w:spacing w:before="50"/>
        <w:ind w:right="573"/>
        <w:jc w:val="center"/>
        <w:outlineLvl w:val="0"/>
        <w:rPr>
          <w:rFonts w:ascii="宋体" w:hAnsi="宋体" w:eastAsia="宋体" w:cs="宋体"/>
          <w:b/>
          <w:color w:val="auto"/>
          <w:sz w:val="36"/>
          <w:szCs w:val="36"/>
        </w:rPr>
      </w:pPr>
      <w:r>
        <w:rPr>
          <w:rFonts w:hint="eastAsia" w:ascii="宋体" w:hAnsi="宋体" w:eastAsia="宋体" w:cs="宋体"/>
          <w:b/>
          <w:color w:val="auto"/>
          <w:sz w:val="36"/>
          <w:szCs w:val="36"/>
        </w:rPr>
        <w:t>第五章</w:t>
      </w:r>
      <w:r>
        <w:rPr>
          <w:rFonts w:hint="eastAsia" w:ascii="宋体" w:hAnsi="宋体" w:eastAsia="宋体" w:cs="宋体"/>
          <w:b/>
          <w:color w:val="auto"/>
          <w:sz w:val="36"/>
          <w:szCs w:val="36"/>
        </w:rPr>
        <w:tab/>
      </w:r>
      <w:r>
        <w:rPr>
          <w:rFonts w:hint="eastAsia" w:ascii="宋体" w:hAnsi="宋体" w:eastAsia="宋体" w:cs="宋体"/>
          <w:b/>
          <w:color w:val="auto"/>
          <w:sz w:val="36"/>
          <w:szCs w:val="36"/>
          <w:lang w:val="en-US"/>
        </w:rPr>
        <w:t xml:space="preserve"> </w:t>
      </w:r>
      <w:r>
        <w:rPr>
          <w:rFonts w:hint="eastAsia" w:ascii="宋体" w:hAnsi="宋体" w:eastAsia="宋体" w:cs="宋体"/>
          <w:b/>
          <w:color w:val="auto"/>
          <w:sz w:val="36"/>
          <w:szCs w:val="36"/>
        </w:rPr>
        <w:t>合同格式及合同条款</w:t>
      </w:r>
      <w:bookmarkEnd w:id="61"/>
      <w:bookmarkEnd w:id="62"/>
      <w:bookmarkEnd w:id="63"/>
      <w:bookmarkEnd w:id="64"/>
    </w:p>
    <w:p w14:paraId="322D8049">
      <w:pPr>
        <w:pStyle w:val="13"/>
        <w:jc w:val="center"/>
        <w:rPr>
          <w:rFonts w:hAnsi="宋体" w:eastAsia="宋体" w:cs="宋体"/>
          <w:color w:val="FF0000"/>
          <w:sz w:val="36"/>
          <w:szCs w:val="36"/>
        </w:rPr>
      </w:pPr>
    </w:p>
    <w:p w14:paraId="1A7208EF">
      <w:pPr>
        <w:pStyle w:val="13"/>
        <w:jc w:val="center"/>
        <w:rPr>
          <w:rFonts w:hAnsi="宋体" w:eastAsia="宋体" w:cs="宋体"/>
          <w:color w:val="auto"/>
          <w:sz w:val="36"/>
          <w:szCs w:val="36"/>
        </w:rPr>
      </w:pPr>
    </w:p>
    <w:p w14:paraId="5FA6E120">
      <w:pPr>
        <w:pStyle w:val="13"/>
        <w:jc w:val="center"/>
        <w:rPr>
          <w:rFonts w:hAnsi="宋体" w:eastAsia="宋体" w:cs="宋体"/>
          <w:color w:val="auto"/>
          <w:sz w:val="21"/>
          <w:szCs w:val="21"/>
        </w:rPr>
      </w:pPr>
      <w:r>
        <w:rPr>
          <w:rFonts w:hint="eastAsia" w:hAnsi="宋体" w:eastAsia="宋体" w:cs="宋体"/>
          <w:color w:val="auto"/>
          <w:sz w:val="48"/>
          <w:szCs w:val="48"/>
        </w:rPr>
        <w:t>北海市政府采购合同</w:t>
      </w:r>
    </w:p>
    <w:p w14:paraId="55EEC77C">
      <w:pPr>
        <w:pStyle w:val="13"/>
        <w:spacing w:line="600" w:lineRule="exact"/>
        <w:rPr>
          <w:rFonts w:hAnsi="宋体" w:eastAsia="宋体" w:cs="宋体"/>
          <w:color w:val="auto"/>
          <w:sz w:val="21"/>
          <w:szCs w:val="21"/>
        </w:rPr>
      </w:pPr>
    </w:p>
    <w:p w14:paraId="423B476A">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（服务类）</w:t>
      </w:r>
    </w:p>
    <w:p w14:paraId="28165165">
      <w:pPr>
        <w:pStyle w:val="51"/>
        <w:ind w:firstLine="2843" w:firstLineChars="1180"/>
        <w:rPr>
          <w:rFonts w:hint="eastAsia" w:ascii="宋体" w:hAnsi="宋体" w:eastAsia="宋体" w:cs="宋体"/>
          <w:b/>
          <w:color w:val="000000" w:themeColor="text1"/>
          <w:szCs w:val="24"/>
          <w14:textFill>
            <w14:solidFill>
              <w14:schemeClr w14:val="tx1"/>
            </w14:solidFill>
          </w14:textFill>
        </w:rPr>
      </w:pPr>
    </w:p>
    <w:p w14:paraId="465FF1DE">
      <w:pPr>
        <w:pStyle w:val="11"/>
        <w:rPr>
          <w:rFonts w:hint="eastAsia" w:ascii="宋体" w:hAnsi="宋体" w:eastAsia="宋体" w:cs="宋体"/>
          <w:color w:val="000000" w:themeColor="text1"/>
          <w14:textFill>
            <w14:solidFill>
              <w14:schemeClr w14:val="tx1"/>
            </w14:solidFill>
          </w14:textFill>
        </w:rPr>
      </w:pPr>
    </w:p>
    <w:p w14:paraId="1A3DFF8B">
      <w:pPr>
        <w:pStyle w:val="11"/>
        <w:rPr>
          <w:rFonts w:hint="eastAsia" w:ascii="宋体" w:hAnsi="宋体" w:eastAsia="宋体" w:cs="宋体"/>
          <w:color w:val="000000" w:themeColor="text1"/>
          <w14:textFill>
            <w14:solidFill>
              <w14:schemeClr w14:val="tx1"/>
            </w14:solidFill>
          </w14:textFill>
        </w:rPr>
      </w:pPr>
    </w:p>
    <w:p w14:paraId="44EFB9F9">
      <w:pPr>
        <w:adjustRightInd/>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项目名称：</w:t>
      </w:r>
      <w:r>
        <w:rPr>
          <w:rFonts w:hint="eastAsia" w:ascii="宋体" w:hAnsi="宋体" w:eastAsia="宋体" w:cs="宋体"/>
          <w:color w:val="000000" w:themeColor="text1"/>
          <w:sz w:val="32"/>
          <w:szCs w:val="32"/>
          <w:u w:val="single"/>
          <w14:textFill>
            <w14:solidFill>
              <w14:schemeClr w14:val="tx1"/>
            </w14:solidFill>
          </w14:textFill>
        </w:rPr>
        <w:t xml:space="preserve">                             </w:t>
      </w:r>
    </w:p>
    <w:p w14:paraId="133FA5BA">
      <w:pPr>
        <w:adjustRightInd/>
        <w:spacing w:line="360" w:lineRule="auto"/>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合同编号：</w:t>
      </w:r>
      <w:r>
        <w:rPr>
          <w:rFonts w:hint="eastAsia" w:ascii="宋体" w:hAnsi="宋体" w:eastAsia="宋体" w:cs="宋体"/>
          <w:color w:val="000000" w:themeColor="text1"/>
          <w:sz w:val="32"/>
          <w:szCs w:val="32"/>
          <w:u w:val="single"/>
          <w14:textFill>
            <w14:solidFill>
              <w14:schemeClr w14:val="tx1"/>
            </w14:solidFill>
          </w14:textFill>
        </w:rPr>
        <w:t xml:space="preserve">                             </w:t>
      </w:r>
    </w:p>
    <w:p w14:paraId="49504C09">
      <w:pPr>
        <w:adjustRightInd/>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甲    方：</w:t>
      </w:r>
      <w:r>
        <w:rPr>
          <w:rFonts w:hint="eastAsia" w:ascii="宋体" w:hAnsi="宋体" w:eastAsia="宋体" w:cs="宋体"/>
          <w:color w:val="000000" w:themeColor="text1"/>
          <w:sz w:val="32"/>
          <w:szCs w:val="32"/>
          <w:u w:val="single"/>
          <w14:textFill>
            <w14:solidFill>
              <w14:schemeClr w14:val="tx1"/>
            </w14:solidFill>
          </w14:textFill>
        </w:rPr>
        <w:t xml:space="preserve">                             </w:t>
      </w:r>
    </w:p>
    <w:p w14:paraId="6748B3F2">
      <w:pPr>
        <w:adjustRightInd/>
        <w:spacing w:line="360" w:lineRule="auto"/>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乙    方：</w:t>
      </w:r>
      <w:r>
        <w:rPr>
          <w:rFonts w:hint="eastAsia" w:ascii="宋体" w:hAnsi="宋体" w:eastAsia="宋体" w:cs="宋体"/>
          <w:color w:val="000000" w:themeColor="text1"/>
          <w:sz w:val="32"/>
          <w:szCs w:val="32"/>
          <w:u w:val="single"/>
          <w14:textFill>
            <w14:solidFill>
              <w14:schemeClr w14:val="tx1"/>
            </w14:solidFill>
          </w14:textFill>
        </w:rPr>
        <w:t xml:space="preserve">                             </w:t>
      </w:r>
    </w:p>
    <w:p w14:paraId="35E3F24B">
      <w:pPr>
        <w:adjustRightInd/>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签订时间：</w:t>
      </w:r>
      <w:r>
        <w:rPr>
          <w:rFonts w:hint="eastAsia" w:ascii="宋体" w:hAnsi="宋体" w:eastAsia="宋体" w:cs="宋体"/>
          <w:color w:val="000000" w:themeColor="text1"/>
          <w:sz w:val="32"/>
          <w:szCs w:val="32"/>
          <w:u w:val="single"/>
          <w14:textFill>
            <w14:solidFill>
              <w14:schemeClr w14:val="tx1"/>
            </w14:solidFill>
          </w14:textFill>
        </w:rPr>
        <w:t xml:space="preserve">                             </w:t>
      </w:r>
    </w:p>
    <w:p w14:paraId="6BAA75EF">
      <w:pPr>
        <w:widowControl/>
        <w:jc w:val="left"/>
        <w:rPr>
          <w:rFonts w:hint="eastAsia" w:ascii="宋体" w:hAnsi="宋体" w:eastAsia="宋体" w:cs="宋体"/>
          <w:color w:val="000000" w:themeColor="text1"/>
          <w:kern w:val="0"/>
          <w:sz w:val="24"/>
          <w14:textFill>
            <w14:solidFill>
              <w14:schemeClr w14:val="tx1"/>
            </w14:solidFill>
          </w14:textFill>
        </w:rPr>
        <w:sectPr>
          <w:headerReference r:id="rId15" w:type="default"/>
          <w:pgSz w:w="11907" w:h="16840"/>
          <w:pgMar w:top="1474" w:right="1814" w:bottom="1474" w:left="1814" w:header="851" w:footer="851" w:gutter="0"/>
          <w:cols w:space="720" w:num="1"/>
        </w:sectPr>
      </w:pPr>
    </w:p>
    <w:p w14:paraId="7FE1D645">
      <w:pPr>
        <w:spacing w:line="360" w:lineRule="auto"/>
        <w:jc w:val="center"/>
        <w:outlineLvl w:val="1"/>
        <w:rPr>
          <w:rFonts w:hint="eastAsia" w:ascii="宋体" w:hAnsi="宋体" w:eastAsia="宋体" w:cs="宋体"/>
          <w:b/>
          <w:color w:val="000000" w:themeColor="text1"/>
          <w:sz w:val="21"/>
          <w:szCs w:val="21"/>
          <w14:textFill>
            <w14:solidFill>
              <w14:schemeClr w14:val="tx1"/>
            </w14:solidFill>
          </w14:textFill>
        </w:rPr>
      </w:pPr>
      <w:bookmarkStart w:id="65" w:name="_Toc22209"/>
      <w:r>
        <w:rPr>
          <w:rFonts w:hint="eastAsia" w:ascii="宋体" w:hAnsi="宋体" w:eastAsia="宋体" w:cs="宋体"/>
          <w:b/>
          <w:color w:val="000000" w:themeColor="text1"/>
          <w:sz w:val="21"/>
          <w:szCs w:val="21"/>
          <w14:textFill>
            <w14:solidFill>
              <w14:schemeClr w14:val="tx1"/>
            </w14:solidFill>
          </w14:textFill>
        </w:rPr>
        <w:t>第一节 政府采购合同协议书</w:t>
      </w:r>
      <w:bookmarkEnd w:id="65"/>
    </w:p>
    <w:p w14:paraId="05D4348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lang w:val="zh-CN"/>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年</w:t>
      </w:r>
      <w:r>
        <w:rPr>
          <w:rFonts w:hint="eastAsia" w:ascii="宋体" w:hAnsi="宋体" w:eastAsia="宋体" w:cs="宋体"/>
          <w:color w:val="000000" w:themeColor="text1"/>
          <w:sz w:val="21"/>
          <w:szCs w:val="21"/>
          <w:u w:val="single"/>
          <w:lang w:val="zh-CN"/>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月</w:t>
      </w:r>
      <w:r>
        <w:rPr>
          <w:rFonts w:hint="eastAsia" w:ascii="宋体" w:hAnsi="宋体" w:eastAsia="宋体" w:cs="宋体"/>
          <w:color w:val="000000" w:themeColor="text1"/>
          <w:sz w:val="21"/>
          <w:szCs w:val="21"/>
          <w:u w:val="single"/>
          <w:lang w:val="zh-CN"/>
          <w14:textFill>
            <w14:solidFill>
              <w14:schemeClr w14:val="tx1"/>
            </w14:solidFill>
          </w14:textFill>
        </w:rPr>
        <w:t xml:space="preserve">    </w:t>
      </w:r>
      <w:r>
        <w:rPr>
          <w:rFonts w:hint="eastAsia" w:ascii="宋体" w:hAnsi="宋体" w:eastAsia="宋体" w:cs="宋体"/>
          <w:color w:val="000000" w:themeColor="text1"/>
          <w:sz w:val="21"/>
          <w:szCs w:val="21"/>
          <w:lang w:val="zh-CN"/>
          <w14:textFill>
            <w14:solidFill>
              <w14:schemeClr w14:val="tx1"/>
            </w14:solidFill>
          </w14:textFill>
        </w:rPr>
        <w:t>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北海市妇幼保健院   </w:t>
      </w:r>
      <w:r>
        <w:rPr>
          <w:rFonts w:hint="eastAsia" w:ascii="宋体" w:hAnsi="宋体" w:eastAsia="宋体" w:cs="宋体"/>
          <w:color w:val="000000" w:themeColor="text1"/>
          <w:sz w:val="21"/>
          <w:szCs w:val="21"/>
          <w14:textFill>
            <w14:solidFill>
              <w14:schemeClr w14:val="tx1"/>
            </w14:solidFill>
          </w14:textFill>
        </w:rPr>
        <w:t>以</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政府采购竞争性磋商方式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对</w:t>
      </w:r>
      <w:r>
        <w:rPr>
          <w:rFonts w:hint="eastAsia" w:ascii="宋体" w:hAnsi="宋体" w:eastAsia="宋体" w:cs="宋体"/>
          <w:color w:val="000000" w:themeColor="text1"/>
          <w:sz w:val="21"/>
          <w:szCs w:val="21"/>
          <w:u w:val="single"/>
          <w14:textFill>
            <w14:solidFill>
              <w14:schemeClr w14:val="tx1"/>
            </w14:solidFill>
          </w14:textFill>
        </w:rPr>
        <w:t xml:space="preserve">  保安服务采购   </w:t>
      </w:r>
      <w:r>
        <w:rPr>
          <w:rFonts w:hint="eastAsia" w:ascii="宋体" w:hAnsi="宋体" w:eastAsia="宋体" w:cs="宋体"/>
          <w:color w:val="000000" w:themeColor="text1"/>
          <w:sz w:val="21"/>
          <w:szCs w:val="21"/>
          <w14:textFill>
            <w14:solidFill>
              <w14:schemeClr w14:val="tx1"/>
            </w14:solidFill>
          </w14:textFill>
        </w:rPr>
        <w:t>项目进行了采购。经评审小组评定，</w:t>
      </w:r>
      <w:r>
        <w:rPr>
          <w:rFonts w:hint="eastAsia" w:ascii="宋体" w:hAnsi="宋体" w:eastAsia="宋体" w:cs="宋体"/>
          <w:color w:val="000000" w:themeColor="text1"/>
          <w:sz w:val="21"/>
          <w:szCs w:val="21"/>
          <w:u w:val="single"/>
          <w14:textFill>
            <w14:solidFill>
              <w14:schemeClr w14:val="tx1"/>
            </w14:solidFill>
          </w14:textFill>
        </w:rPr>
        <w:t xml:space="preserve">   （中标供应商名称） </w:t>
      </w:r>
      <w:r>
        <w:rPr>
          <w:rFonts w:hint="eastAsia" w:ascii="宋体" w:hAnsi="宋体" w:eastAsia="宋体" w:cs="宋体"/>
          <w:color w:val="000000" w:themeColor="text1"/>
          <w:sz w:val="21"/>
          <w:szCs w:val="21"/>
          <w14:textFill>
            <w14:solidFill>
              <w14:schemeClr w14:val="tx1"/>
            </w14:solidFill>
          </w14:textFill>
        </w:rPr>
        <w:t>为该项目中标供应商。现于中标</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auto"/>
          <w:sz w:val="21"/>
          <w:szCs w:val="21"/>
        </w:rPr>
        <w:t>通知书发出之日起</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日内，按照采购文</w:t>
      </w:r>
      <w:r>
        <w:rPr>
          <w:rFonts w:hint="eastAsia" w:ascii="宋体" w:hAnsi="宋体" w:eastAsia="宋体" w:cs="宋体"/>
          <w:color w:val="000000" w:themeColor="text1"/>
          <w:sz w:val="21"/>
          <w:szCs w:val="21"/>
          <w14:textFill>
            <w14:solidFill>
              <w14:schemeClr w14:val="tx1"/>
            </w14:solidFill>
          </w14:textFill>
        </w:rPr>
        <w:t>件确定的事项签订本合同。</w:t>
      </w:r>
    </w:p>
    <w:p w14:paraId="0BC5CFE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1"/>
          <w:szCs w:val="21"/>
          <w:u w:val="single"/>
          <w14:textFill>
            <w14:solidFill>
              <w14:schemeClr w14:val="tx1"/>
            </w14:solidFill>
          </w14:textFill>
        </w:rPr>
        <w:t xml:space="preserve">   北海市妇幼保健院   </w:t>
      </w:r>
      <w:r>
        <w:rPr>
          <w:rFonts w:hint="eastAsia" w:ascii="宋体" w:hAnsi="宋体" w:eastAsia="宋体" w:cs="宋体"/>
          <w:color w:val="000000" w:themeColor="text1"/>
          <w:sz w:val="21"/>
          <w:szCs w:val="21"/>
          <w:lang w:val="zh-CN"/>
          <w14:textFill>
            <w14:solidFill>
              <w14:schemeClr w14:val="tx1"/>
            </w14:solidFill>
          </w14:textFill>
        </w:rPr>
        <w:t>(以下简称：甲方)和</w:t>
      </w:r>
      <w:r>
        <w:rPr>
          <w:rFonts w:hint="eastAsia" w:ascii="宋体" w:hAnsi="宋体" w:eastAsia="宋体" w:cs="宋体"/>
          <w:color w:val="000000" w:themeColor="text1"/>
          <w:sz w:val="21"/>
          <w:szCs w:val="21"/>
          <w:u w:val="single"/>
          <w14:textFill>
            <w14:solidFill>
              <w14:schemeClr w14:val="tx1"/>
            </w14:solidFill>
          </w14:textFill>
        </w:rPr>
        <w:t xml:space="preserve">   （中标供应商名称）   </w:t>
      </w:r>
      <w:r>
        <w:rPr>
          <w:rFonts w:hint="eastAsia" w:ascii="宋体" w:hAnsi="宋体" w:eastAsia="宋体" w:cs="宋体"/>
          <w:color w:val="000000" w:themeColor="text1"/>
          <w:sz w:val="21"/>
          <w:szCs w:val="21"/>
          <w:lang w:val="zh-CN"/>
          <w14:textFill>
            <w14:solidFill>
              <w14:schemeClr w14:val="tx1"/>
            </w14:solidFill>
          </w14:textFill>
        </w:rPr>
        <w:t>(以下简称：乙方)协商一致，约定以下合同</w:t>
      </w:r>
      <w:r>
        <w:rPr>
          <w:rFonts w:hint="eastAsia" w:ascii="宋体" w:hAnsi="宋体" w:eastAsia="宋体" w:cs="宋体"/>
          <w:color w:val="000000" w:themeColor="text1"/>
          <w:sz w:val="21"/>
          <w:szCs w:val="21"/>
          <w14:textFill>
            <w14:solidFill>
              <w14:schemeClr w14:val="tx1"/>
            </w14:solidFill>
          </w14:textFill>
        </w:rPr>
        <w:t>条款，以兹共同遵守、全面履行。</w:t>
      </w:r>
    </w:p>
    <w:p w14:paraId="39CE31FF">
      <w:pPr>
        <w:spacing w:line="360" w:lineRule="auto"/>
        <w:ind w:firstLine="422" w:firstLineChars="200"/>
        <w:rPr>
          <w:rFonts w:hint="eastAsia" w:ascii="宋体" w:hAnsi="宋体" w:eastAsia="宋体" w:cs="宋体"/>
          <w:color w:val="000000" w:themeColor="text1"/>
          <w:sz w:val="21"/>
          <w:szCs w:val="21"/>
          <w14:textFill>
            <w14:solidFill>
              <w14:schemeClr w14:val="tx1"/>
            </w14:solidFill>
          </w14:textFill>
        </w:rPr>
      </w:pPr>
      <w:bookmarkStart w:id="66" w:name="_Toc22967"/>
      <w:bookmarkStart w:id="67" w:name="_Toc19273"/>
      <w:bookmarkStart w:id="68" w:name="_Toc20421"/>
      <w:bookmarkStart w:id="69" w:name="_Toc15367"/>
      <w:bookmarkStart w:id="70" w:name="_Toc28855"/>
      <w:r>
        <w:rPr>
          <w:rFonts w:hint="eastAsia" w:ascii="宋体" w:hAnsi="宋体" w:eastAsia="宋体" w:cs="宋体"/>
          <w:b/>
          <w:color w:val="000000" w:themeColor="text1"/>
          <w:sz w:val="21"/>
          <w:szCs w:val="21"/>
          <w14:textFill>
            <w14:solidFill>
              <w14:schemeClr w14:val="tx1"/>
            </w14:solidFill>
          </w14:textFill>
        </w:rPr>
        <w:t>1.1 合同组成部分</w:t>
      </w:r>
      <w:bookmarkEnd w:id="66"/>
      <w:bookmarkEnd w:id="67"/>
      <w:bookmarkEnd w:id="68"/>
      <w:bookmarkEnd w:id="69"/>
      <w:bookmarkEnd w:id="70"/>
    </w:p>
    <w:p w14:paraId="619B186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CE07FA">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 本合同及其补充合同、变更协议；</w:t>
      </w:r>
    </w:p>
    <w:p w14:paraId="6757361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 中标通知书；</w:t>
      </w:r>
    </w:p>
    <w:p w14:paraId="570DA91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 投标文件（含澄清或者说明文件）；</w:t>
      </w:r>
    </w:p>
    <w:p w14:paraId="16C7780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 采购文件（含澄清或者修改文件）；</w:t>
      </w:r>
    </w:p>
    <w:p w14:paraId="6F48959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1.1.5 其他相关采购文件。</w:t>
      </w:r>
    </w:p>
    <w:p w14:paraId="191C9D47">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71" w:name="_Toc6773"/>
      <w:bookmarkStart w:id="72" w:name="_Toc18585"/>
      <w:bookmarkStart w:id="73" w:name="_Toc6311"/>
      <w:bookmarkStart w:id="74" w:name="_Toc2918"/>
      <w:bookmarkStart w:id="75" w:name="_Toc22185"/>
      <w:r>
        <w:rPr>
          <w:rFonts w:hint="eastAsia" w:ascii="宋体" w:hAnsi="宋体" w:eastAsia="宋体" w:cs="宋体"/>
          <w:b/>
          <w:color w:val="000000" w:themeColor="text1"/>
          <w:sz w:val="21"/>
          <w:szCs w:val="21"/>
          <w14:textFill>
            <w14:solidFill>
              <w14:schemeClr w14:val="tx1"/>
            </w14:solidFill>
          </w14:textFill>
        </w:rPr>
        <w:t>1.2 标的</w:t>
      </w:r>
      <w:bookmarkEnd w:id="71"/>
      <w:bookmarkEnd w:id="72"/>
      <w:bookmarkEnd w:id="73"/>
      <w:bookmarkEnd w:id="74"/>
      <w:bookmarkEnd w:id="75"/>
    </w:p>
    <w:p w14:paraId="5327EE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000000" w:themeColor="text1"/>
          <w:sz w:val="21"/>
          <w:szCs w:val="21"/>
          <w:highlight w:val="none"/>
          <w14:textFill>
            <w14:solidFill>
              <w14:schemeClr w14:val="tx1"/>
            </w14:solidFill>
          </w14:textFill>
        </w:rPr>
        <w:t>1.2.1 服</w:t>
      </w:r>
      <w:r>
        <w:rPr>
          <w:rFonts w:hint="eastAsia" w:ascii="宋体" w:hAnsi="宋体" w:eastAsia="宋体" w:cs="宋体"/>
          <w:color w:val="auto"/>
          <w:sz w:val="21"/>
          <w:szCs w:val="21"/>
          <w:highlight w:val="none"/>
        </w:rPr>
        <w:t>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按采购需求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3186B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按服务部分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1400F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w:t>
      </w:r>
    </w:p>
    <w:p w14:paraId="0550CE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27人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7828C8">
      <w:pPr>
        <w:pStyle w:val="52"/>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rPr>
        <w:t xml:space="preserve"> （是/否）涉及货物。若涉及货物的，则：</w:t>
      </w:r>
    </w:p>
    <w:p w14:paraId="7AA4783D">
      <w:pPr>
        <w:spacing w:line="360" w:lineRule="auto"/>
        <w:ind w:firstLine="420" w:firstLineChars="200"/>
        <w:rPr>
          <w:rFonts w:hint="eastAsia" w:ascii="宋体" w:hAnsi="宋体" w:eastAsia="宋体" w:cs="宋体"/>
          <w:color w:val="auto"/>
          <w:sz w:val="21"/>
          <w:szCs w:val="21"/>
          <w:highlight w:val="none"/>
          <w:u w:val="single"/>
        </w:rPr>
      </w:pPr>
      <w:bookmarkStart w:id="76" w:name="_Toc13918"/>
      <w:bookmarkStart w:id="77" w:name="_Toc5635"/>
      <w:bookmarkStart w:id="78" w:name="_Toc1386"/>
      <w:bookmarkStart w:id="79" w:name="_Toc4929"/>
      <w:bookmarkStart w:id="80" w:name="_Toc21124"/>
      <w:r>
        <w:rPr>
          <w:rFonts w:hint="eastAsia" w:ascii="宋体" w:hAnsi="宋体" w:eastAsia="宋体" w:cs="宋体"/>
          <w:color w:val="auto"/>
          <w:sz w:val="21"/>
          <w:szCs w:val="21"/>
          <w:highlight w:val="none"/>
        </w:rPr>
        <w:t>1.2.5.1 货物名称、品牌、规格型号、花色：</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3BEB85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1.2.5.2 货物数量：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1E27E5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1.2.5.3 货物质量：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160AC3">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价款</w:t>
      </w:r>
      <w:bookmarkEnd w:id="76"/>
      <w:bookmarkEnd w:id="77"/>
      <w:bookmarkEnd w:id="78"/>
      <w:bookmarkEnd w:id="79"/>
      <w:bookmarkEnd w:id="80"/>
    </w:p>
    <w:p w14:paraId="416ABD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1.3.1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条款规定的计价方式计价。</w:t>
      </w:r>
    </w:p>
    <w:p w14:paraId="116CA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167FD78E">
      <w:pPr>
        <w:spacing w:line="360" w:lineRule="auto"/>
        <w:ind w:firstLine="420" w:firstLineChars="200"/>
        <w:rPr>
          <w:rFonts w:hint="eastAsia" w:ascii="宋体" w:hAnsi="宋体" w:eastAsia="宋体" w:cs="宋体"/>
          <w:color w:val="auto"/>
          <w:sz w:val="21"/>
          <w:szCs w:val="21"/>
          <w:highlight w:val="none"/>
        </w:rPr>
      </w:pPr>
      <w:bookmarkStart w:id="81" w:name="_Toc3654"/>
      <w:bookmarkStart w:id="82" w:name="_Toc30506"/>
      <w:bookmarkStart w:id="83" w:name="_Toc26916"/>
      <w:bookmarkStart w:id="84" w:name="_Toc30158"/>
      <w:bookmarkStart w:id="85" w:name="_Toc14993"/>
      <w:r>
        <w:rPr>
          <w:rFonts w:hint="eastAsia" w:ascii="宋体" w:hAnsi="宋体" w:eastAsia="宋体" w:cs="宋体"/>
          <w:bCs/>
          <w:color w:val="auto"/>
          <w:sz w:val="21"/>
          <w:szCs w:val="21"/>
          <w:highlight w:val="none"/>
        </w:rPr>
        <w:t>1.3.2单价合同，本合同单价（含税）标准为：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。服务工作量的计量方式为：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color w:val="auto"/>
          <w:sz w:val="21"/>
          <w:szCs w:val="21"/>
          <w:highlight w:val="none"/>
          <w:u w:val="single"/>
        </w:rPr>
        <w:t>合同专用条款</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2D12C959">
      <w:pPr>
        <w:pStyle w:val="5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1.3.3其他计价方式：                   。</w:t>
      </w:r>
    </w:p>
    <w:bookmarkEnd w:id="81"/>
    <w:bookmarkEnd w:id="82"/>
    <w:bookmarkEnd w:id="83"/>
    <w:bookmarkEnd w:id="84"/>
    <w:bookmarkEnd w:id="85"/>
    <w:p w14:paraId="7EFB8DE8">
      <w:pPr>
        <w:pStyle w:val="52"/>
        <w:spacing w:before="0" w:beforeAutospacing="0" w:after="0" w:afterAutospacing="0" w:line="360" w:lineRule="auto"/>
        <w:ind w:firstLine="480"/>
        <w:rPr>
          <w:rFonts w:hint="eastAsia" w:ascii="宋体" w:hAnsi="宋体" w:eastAsia="宋体" w:cs="宋体"/>
          <w:b/>
          <w:color w:val="auto"/>
          <w:sz w:val="21"/>
          <w:szCs w:val="21"/>
          <w:highlight w:val="none"/>
        </w:rPr>
      </w:pPr>
      <w:bookmarkStart w:id="86" w:name="_Toc1814"/>
      <w:bookmarkStart w:id="87" w:name="_Toc10340"/>
      <w:bookmarkStart w:id="88" w:name="_Toc22618"/>
      <w:bookmarkStart w:id="89" w:name="_Toc11108"/>
      <w:bookmarkStart w:id="90" w:name="_Toc8772"/>
      <w:bookmarkStart w:id="91" w:name="_Toc31421"/>
      <w:bookmarkStart w:id="92" w:name="_Toc4760"/>
      <w:bookmarkStart w:id="93" w:name="_Toc3625"/>
      <w:r>
        <w:rPr>
          <w:rFonts w:hint="eastAsia" w:ascii="宋体" w:hAnsi="宋体" w:eastAsia="宋体" w:cs="宋体"/>
          <w:b/>
          <w:color w:val="auto"/>
          <w:sz w:val="21"/>
          <w:szCs w:val="21"/>
          <w:highlight w:val="none"/>
        </w:rPr>
        <w:t>1.4履约保证金</w:t>
      </w:r>
    </w:p>
    <w:p w14:paraId="080534A3">
      <w:pPr>
        <w:pStyle w:val="52"/>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14:paraId="1418B52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795C94">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443E807D">
      <w:pPr>
        <w:pStyle w:val="5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DF6CE8">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1"/>
          <w:szCs w:val="21"/>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1"/>
          <w:szCs w:val="21"/>
          <w14:textFill>
            <w14:solidFill>
              <w14:schemeClr w14:val="tx1"/>
            </w14:solidFill>
          </w14:textFill>
        </w:rPr>
        <w:t>%计算，最高限额为本合同履约保证金的</w:t>
      </w:r>
      <w:r>
        <w:rPr>
          <w:rFonts w:hint="eastAsia" w:ascii="宋体" w:hAnsi="宋体" w:eastAsia="宋体" w:cs="宋体"/>
          <w:color w:val="000000" w:themeColor="text1"/>
          <w:kern w:val="0"/>
          <w:sz w:val="21"/>
          <w:szCs w:val="21"/>
          <w:u w:val="single"/>
          <w14:textFill>
            <w14:solidFill>
              <w14:schemeClr w14:val="tx1"/>
            </w14:solidFill>
          </w14:textFill>
        </w:rPr>
        <w:t xml:space="preserve">  20  </w:t>
      </w:r>
      <w:r>
        <w:rPr>
          <w:rFonts w:hint="eastAsia" w:ascii="宋体" w:hAnsi="宋体" w:eastAsia="宋体" w:cs="宋体"/>
          <w:color w:val="000000" w:themeColor="text1"/>
          <w:kern w:val="0"/>
          <w:sz w:val="21"/>
          <w:szCs w:val="21"/>
          <w14:textFill>
            <w14:solidFill>
              <w14:schemeClr w14:val="tx1"/>
            </w14:solidFill>
          </w14:textFill>
        </w:rPr>
        <w:t xml:space="preserve"> %。</w:t>
      </w:r>
    </w:p>
    <w:p w14:paraId="3ECD980E">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1.5</w:t>
      </w:r>
      <w:bookmarkEnd w:id="86"/>
      <w:bookmarkEnd w:id="87"/>
      <w:bookmarkEnd w:id="88"/>
      <w:r>
        <w:rPr>
          <w:rFonts w:hint="eastAsia" w:ascii="宋体" w:hAnsi="宋体" w:eastAsia="宋体" w:cs="宋体"/>
          <w:b/>
          <w:color w:val="000000" w:themeColor="text1"/>
          <w:sz w:val="21"/>
          <w:szCs w:val="21"/>
          <w14:textFill>
            <w14:solidFill>
              <w14:schemeClr w14:val="tx1"/>
            </w14:solidFill>
          </w14:textFill>
        </w:rPr>
        <w:t>预付款</w:t>
      </w:r>
    </w:p>
    <w:p w14:paraId="45425817">
      <w:pPr>
        <w:pStyle w:val="52"/>
        <w:spacing w:before="0" w:beforeAutospacing="0" w:after="0" w:afterAutospacing="0"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否</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（是/否）需要支付预付款。若需要支付预付款的，则：</w:t>
      </w:r>
    </w:p>
    <w:p w14:paraId="38A9E7D6">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E076F6A">
      <w:pPr>
        <w:pStyle w:val="52"/>
        <w:spacing w:before="0" w:beforeAutospacing="0" w:after="0" w:afterAutospacing="0"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1.5.2预付款的扣回方式详见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63810AF">
      <w:pPr>
        <w:pStyle w:val="52"/>
        <w:spacing w:before="0" w:beforeAutospacing="0" w:after="0" w:afterAutospacing="0" w:line="360" w:lineRule="auto"/>
        <w:ind w:firstLine="48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1.5.3预付款的担保措施详见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b w:val="0"/>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58251055">
      <w:pPr>
        <w:pStyle w:val="52"/>
        <w:spacing w:before="0" w:beforeAutospacing="0" w:after="0" w:afterAutospacing="0" w:line="360" w:lineRule="auto"/>
        <w:ind w:firstLine="48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1.6资金支付</w:t>
      </w:r>
    </w:p>
    <w:p w14:paraId="20B90618">
      <w:pPr>
        <w:pStyle w:val="52"/>
        <w:spacing w:before="0" w:beforeAutospacing="0" w:after="0" w:afterAutospacing="0" w:line="360" w:lineRule="auto"/>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1.6.1甲方应严格履行合同，及时组织验收，验收合格后及时将合同款支付完毕。对于满足合同约定支付条件的，甲方自收到发票后</w:t>
      </w:r>
      <w:r>
        <w:rPr>
          <w:rFonts w:hint="eastAsia" w:ascii="宋体" w:hAnsi="宋体" w:eastAsia="宋体" w:cs="宋体"/>
          <w:color w:val="000000" w:themeColor="text1"/>
          <w:sz w:val="21"/>
          <w:szCs w:val="21"/>
          <w:highlight w:val="none"/>
          <w:lang w:val="en-US" w:eastAsia="zh-CN"/>
          <w14:textFill>
            <w14:solidFill>
              <w14:schemeClr w14:val="tx1"/>
            </w14:solidFill>
          </w14:textFill>
        </w:rPr>
        <w:t>60天</w:t>
      </w:r>
      <w:r>
        <w:rPr>
          <w:rFonts w:hint="eastAsia" w:ascii="宋体" w:hAnsi="宋体" w:eastAsia="宋体" w:cs="宋体"/>
          <w:color w:val="000000" w:themeColor="text1"/>
          <w:sz w:val="21"/>
          <w:szCs w:val="21"/>
          <w:highlight w:val="none"/>
          <w14:textFill>
            <w14:solidFill>
              <w14:schemeClr w14:val="tx1"/>
            </w14:solidFill>
          </w14:textFill>
        </w:rPr>
        <w:t>内将资金支付到合</w:t>
      </w:r>
      <w:r>
        <w:rPr>
          <w:rFonts w:hint="eastAsia" w:ascii="宋体" w:hAnsi="宋体" w:eastAsia="宋体" w:cs="宋体"/>
          <w:color w:val="000000" w:themeColor="text1"/>
          <w:sz w:val="21"/>
          <w:szCs w:val="21"/>
          <w14:textFill>
            <w14:solidFill>
              <w14:schemeClr w14:val="tx1"/>
            </w14:solidFill>
          </w14:textFill>
        </w:rPr>
        <w:t>同约定的乙方账户，有条件的甲方可以即时支付。甲方不得以机构变动、人员更替、政策调整、单位放假等为由延迟付款。</w:t>
      </w:r>
    </w:p>
    <w:p w14:paraId="63524CB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1.6.2资金支付的方式、时间和条件详见</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59C7CE41">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1.7 履行期限、地点和方式</w:t>
      </w:r>
      <w:bookmarkEnd w:id="89"/>
      <w:bookmarkEnd w:id="90"/>
      <w:bookmarkEnd w:id="91"/>
      <w:bookmarkEnd w:id="92"/>
      <w:bookmarkEnd w:id="93"/>
    </w:p>
    <w:p w14:paraId="67D97FC9">
      <w:pPr>
        <w:spacing w:line="360"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1.7.1 服务交付（实施）的时间（期限）：</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64A39ED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1.7.2 服务交付（实施）的地点（地域范围）：</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5B35024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1.7.3 服务交付（实施）的方式：</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23729B81">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bookmarkStart w:id="94" w:name="_Toc5698"/>
      <w:bookmarkStart w:id="95" w:name="_Toc3079"/>
      <w:bookmarkStart w:id="96" w:name="_Toc24662"/>
      <w:bookmarkStart w:id="97" w:name="_Toc8586"/>
      <w:bookmarkStart w:id="98" w:name="_Toc2375"/>
      <w:r>
        <w:rPr>
          <w:rFonts w:hint="eastAsia" w:ascii="宋体" w:hAnsi="宋体" w:eastAsia="宋体" w:cs="宋体"/>
          <w:bCs/>
          <w:color w:val="000000" w:themeColor="text1"/>
          <w:sz w:val="21"/>
          <w:szCs w:val="21"/>
          <w14:textFill>
            <w14:solidFill>
              <w14:schemeClr w14:val="tx1"/>
            </w14:solidFill>
          </w14:textFill>
        </w:rPr>
        <w:t>1.7.4若服务涉及货物的，则货物的：</w:t>
      </w:r>
    </w:p>
    <w:p w14:paraId="5D3E2DDB">
      <w:pPr>
        <w:spacing w:line="360"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1.7.4.1 交付期限：详见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766535B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1.7.4.2 交付地点：</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0C610724">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1.7.4.3 交付方式：</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34FB3FC3">
      <w:pPr>
        <w:spacing w:line="360" w:lineRule="auto"/>
        <w:ind w:firstLine="422"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1.8违约责任</w:t>
      </w:r>
      <w:bookmarkEnd w:id="94"/>
      <w:bookmarkEnd w:id="95"/>
      <w:bookmarkEnd w:id="96"/>
      <w:bookmarkEnd w:id="97"/>
      <w:bookmarkEnd w:id="98"/>
    </w:p>
    <w:p w14:paraId="381D957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1"/>
          <w:szCs w:val="21"/>
          <w:u w:val="single"/>
          <w14:textFill>
            <w14:solidFill>
              <w14:schemeClr w14:val="tx1"/>
            </w14:solidFill>
          </w14:textFill>
        </w:rPr>
        <w:t xml:space="preserve">0.05 </w:t>
      </w:r>
      <w:r>
        <w:rPr>
          <w:rFonts w:hint="eastAsia" w:ascii="宋体" w:hAnsi="宋体" w:eastAsia="宋体" w:cs="宋体"/>
          <w:color w:val="000000" w:themeColor="text1"/>
          <w:sz w:val="21"/>
          <w:szCs w:val="21"/>
          <w14:textFill>
            <w14:solidFill>
              <w14:schemeClr w14:val="tx1"/>
            </w14:solidFill>
          </w14:textFill>
        </w:rPr>
        <w:t>%计算，最高限额为本合同总价的</w:t>
      </w:r>
      <w:r>
        <w:rPr>
          <w:rFonts w:hint="eastAsia" w:ascii="宋体" w:hAnsi="宋体" w:eastAsia="宋体" w:cs="宋体"/>
          <w:color w:val="000000" w:themeColor="text1"/>
          <w:sz w:val="21"/>
          <w:szCs w:val="21"/>
          <w:u w:val="single"/>
          <w14:textFill>
            <w14:solidFill>
              <w14:schemeClr w14:val="tx1"/>
            </w14:solidFill>
          </w14:textFill>
        </w:rPr>
        <w:t xml:space="preserve">  20   </w:t>
      </w:r>
      <w:r>
        <w:rPr>
          <w:rFonts w:hint="eastAsia" w:ascii="宋体" w:hAnsi="宋体" w:eastAsia="宋体" w:cs="宋体"/>
          <w:color w:val="000000" w:themeColor="text1"/>
          <w:sz w:val="21"/>
          <w:szCs w:val="21"/>
          <w14:textFill>
            <w14:solidFill>
              <w14:schemeClr w14:val="tx1"/>
            </w14:solidFill>
          </w14:textFill>
        </w:rPr>
        <w:t>%；迟延履行的违约金计算数额达到前述最高限额之日起，甲方有权在要求乙方支付违约金的同时，书面通知乙方解除本合同；</w:t>
      </w:r>
    </w:p>
    <w:p w14:paraId="556706A3">
      <w:pPr>
        <w:pStyle w:val="53"/>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1"/>
          <w:szCs w:val="21"/>
          <w:u w:val="single"/>
          <w14:textFill>
            <w14:solidFill>
              <w14:schemeClr w14:val="tx1"/>
            </w14:solidFill>
          </w14:textFill>
        </w:rPr>
        <w:t xml:space="preserve">  0.0</w:t>
      </w:r>
      <w:r>
        <w:rPr>
          <w:rFonts w:hint="eastAsia" w:ascii="宋体" w:hAnsi="宋体" w:eastAsia="宋体" w:cs="宋体"/>
          <w:color w:val="000000" w:themeColor="text1"/>
          <w:sz w:val="21"/>
          <w:szCs w:val="21"/>
          <w14:textFill>
            <w14:solidFill>
              <w14:schemeClr w14:val="tx1"/>
            </w14:solidFill>
          </w14:textFill>
        </w:rPr>
        <w:t xml:space="preserve">5（可根据情况修改）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%计算，最高限额为本合同总价的</w:t>
      </w:r>
      <w:r>
        <w:rPr>
          <w:rFonts w:hint="eastAsia" w:ascii="宋体" w:hAnsi="宋体" w:eastAsia="宋体" w:cs="宋体"/>
          <w:color w:val="000000" w:themeColor="text1"/>
          <w:sz w:val="21"/>
          <w:szCs w:val="21"/>
          <w:u w:val="single"/>
          <w14:textFill>
            <w14:solidFill>
              <w14:schemeClr w14:val="tx1"/>
            </w14:solidFill>
          </w14:textFill>
        </w:rPr>
        <w:t xml:space="preserve">  20  </w:t>
      </w:r>
      <w:r>
        <w:rPr>
          <w:rFonts w:hint="eastAsia" w:ascii="宋体" w:hAnsi="宋体" w:eastAsia="宋体" w:cs="宋体"/>
          <w:color w:val="000000" w:themeColor="text1"/>
          <w:sz w:val="21"/>
          <w:szCs w:val="21"/>
          <w14:textFill>
            <w14:solidFill>
              <w14:schemeClr w14:val="tx1"/>
            </w14:solidFill>
          </w14:textFill>
        </w:rPr>
        <w:t>%；迟延交付货物的违约金计算数额达到前述最高限额之日起，甲方有权在要求乙方支付违约金的同时，书面通知乙方解除本合同；</w:t>
      </w:r>
    </w:p>
    <w:p w14:paraId="49DCF9E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1"/>
          <w:szCs w:val="21"/>
          <w:u w:val="single"/>
          <w14:textFill>
            <w14:solidFill>
              <w14:schemeClr w14:val="tx1"/>
            </w14:solidFill>
          </w14:textFill>
        </w:rPr>
        <w:t xml:space="preserve">   0.05   </w:t>
      </w:r>
      <w:r>
        <w:rPr>
          <w:rFonts w:hint="eastAsia" w:ascii="宋体" w:hAnsi="宋体" w:eastAsia="宋体" w:cs="宋体"/>
          <w:color w:val="000000" w:themeColor="text1"/>
          <w:sz w:val="21"/>
          <w:szCs w:val="21"/>
          <w14:textFill>
            <w14:solidFill>
              <w14:schemeClr w14:val="tx1"/>
            </w14:solidFill>
          </w14:textFill>
        </w:rPr>
        <w:t>%计算，最高限额为本合同总价的</w:t>
      </w:r>
      <w:r>
        <w:rPr>
          <w:rFonts w:hint="eastAsia" w:ascii="宋体" w:hAnsi="宋体" w:eastAsia="宋体" w:cs="宋体"/>
          <w:color w:val="000000" w:themeColor="text1"/>
          <w:sz w:val="21"/>
          <w:szCs w:val="21"/>
          <w:u w:val="single"/>
          <w14:textFill>
            <w14:solidFill>
              <w14:schemeClr w14:val="tx1"/>
            </w14:solidFill>
          </w14:textFill>
        </w:rPr>
        <w:t xml:space="preserve">   20</w:t>
      </w:r>
      <w:r>
        <w:rPr>
          <w:rFonts w:hint="eastAsia" w:ascii="宋体" w:hAnsi="宋体" w:eastAsia="宋体" w:cs="宋体"/>
          <w:color w:val="000000" w:themeColor="text1"/>
          <w:kern w:val="0"/>
          <w:sz w:val="21"/>
          <w:szCs w:val="21"/>
          <w:u w:val="single"/>
          <w14:textFill>
            <w14:solidFill>
              <w14:schemeClr w14:val="tx1"/>
            </w14:solidFill>
          </w14:textFill>
        </w:rPr>
        <w:t>（可根据情况修改）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%；迟延付款的违约金计算数额达到前述最高限额之日起，乙方有权在要求甲方支付违约金的同时，书面通知甲方解除本合同；</w:t>
      </w:r>
    </w:p>
    <w:p w14:paraId="01D03E6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bookmarkStart w:id="99" w:name="_Toc32454"/>
      <w:bookmarkStart w:id="100" w:name="_Toc30329"/>
      <w:bookmarkStart w:id="101" w:name="_Toc26807"/>
      <w:bookmarkStart w:id="102" w:name="_Toc18683"/>
      <w:bookmarkStart w:id="103" w:name="_Toc9497"/>
      <w:r>
        <w:rPr>
          <w:rFonts w:hint="eastAsia" w:ascii="宋体" w:hAnsi="宋体" w:eastAsia="宋体" w:cs="宋体"/>
          <w:color w:val="000000" w:themeColor="text1"/>
          <w:sz w:val="21"/>
          <w:szCs w:val="21"/>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2E11584">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DAC09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4E6DCAE1">
      <w:pPr>
        <w:spacing w:line="360" w:lineRule="auto"/>
        <w:ind w:right="-440" w:righ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1.8.7违约责任</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另有约定的，从其约定。</w:t>
      </w:r>
    </w:p>
    <w:bookmarkEnd w:id="99"/>
    <w:bookmarkEnd w:id="100"/>
    <w:bookmarkEnd w:id="101"/>
    <w:bookmarkEnd w:id="102"/>
    <w:bookmarkEnd w:id="103"/>
    <w:p w14:paraId="45D24957">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04" w:name="_Toc15583"/>
      <w:bookmarkStart w:id="105" w:name="_Toc28375"/>
      <w:bookmarkStart w:id="106" w:name="_Toc16021"/>
      <w:r>
        <w:rPr>
          <w:rFonts w:hint="eastAsia" w:ascii="宋体" w:hAnsi="宋体" w:eastAsia="宋体" w:cs="宋体"/>
          <w:b/>
          <w:color w:val="000000" w:themeColor="text1"/>
          <w:sz w:val="21"/>
          <w:szCs w:val="21"/>
          <w14:textFill>
            <w14:solidFill>
              <w14:schemeClr w14:val="tx1"/>
            </w14:solidFill>
          </w14:textFill>
        </w:rPr>
        <w:t>1.9合同争议的解决</w:t>
      </w:r>
      <w:bookmarkEnd w:id="104"/>
      <w:bookmarkEnd w:id="105"/>
      <w:bookmarkEnd w:id="106"/>
    </w:p>
    <w:p w14:paraId="7CFE8DF0">
      <w:pPr>
        <w:spacing w:line="360" w:lineRule="auto"/>
        <w:ind w:left="-64" w:leftChars="-29" w:right="-440" w:rightChars="-200" w:firstLine="210" w:firstLineChars="100"/>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 xml:space="preserve">  本合同履行过程中发生</w:t>
      </w:r>
      <w:r>
        <w:rPr>
          <w:rFonts w:hint="eastAsia" w:ascii="宋体" w:hAnsi="宋体" w:eastAsia="宋体" w:cs="宋体"/>
          <w:color w:val="auto"/>
          <w:sz w:val="21"/>
          <w:szCs w:val="21"/>
        </w:rPr>
        <w:t>的任何争议，双方当事人均可通过和解或者调解解决；不愿和解、调解或者和解、调解不成的，可以选择以下第</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lang w:val="en-US" w:eastAsia="zh-CN"/>
        </w:rPr>
        <w:t>1.9.2</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条款规定的方式解决：</w:t>
      </w:r>
    </w:p>
    <w:p w14:paraId="35760995">
      <w:pPr>
        <w:spacing w:line="360" w:lineRule="auto"/>
        <w:ind w:left="-440" w:leftChars="-200" w:right="-440" w:rightChars="-200"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1.9.1 将争议提交</w:t>
      </w:r>
      <w:r>
        <w:rPr>
          <w:rFonts w:hint="eastAsia" w:ascii="宋体" w:hAnsi="宋体" w:eastAsia="宋体" w:cs="宋体"/>
          <w:b/>
          <w:color w:val="auto"/>
          <w:sz w:val="21"/>
          <w:szCs w:val="21"/>
          <w:u w:val="single"/>
        </w:rPr>
        <w:t>合同专用条款</w:t>
      </w:r>
      <w:r>
        <w:rPr>
          <w:rFonts w:hint="eastAsia" w:ascii="宋体" w:hAnsi="宋体" w:eastAsia="宋体" w:cs="宋体"/>
          <w:color w:val="auto"/>
          <w:sz w:val="21"/>
          <w:szCs w:val="21"/>
        </w:rPr>
        <w:t>仲裁委员会依申请</w:t>
      </w:r>
      <w:r>
        <w:rPr>
          <w:rFonts w:hint="eastAsia" w:ascii="宋体" w:hAnsi="宋体" w:eastAsia="宋体" w:cs="宋体"/>
          <w:color w:val="000000" w:themeColor="text1"/>
          <w:sz w:val="21"/>
          <w:szCs w:val="21"/>
          <w14:textFill>
            <w14:solidFill>
              <w14:schemeClr w14:val="tx1"/>
            </w14:solidFill>
          </w14:textFill>
        </w:rPr>
        <w:t>仲裁时其现行有效的仲裁规则裁决；</w:t>
      </w:r>
    </w:p>
    <w:p w14:paraId="0E89DEB0">
      <w:pPr>
        <w:spacing w:line="360" w:lineRule="auto"/>
        <w:ind w:left="-440" w:leftChars="-200" w:right="-440" w:rightChars="-200" w:firstLine="525" w:firstLineChars="250"/>
        <w:rPr>
          <w:rFonts w:hint="eastAsia" w:ascii="宋体" w:hAnsi="宋体" w:eastAsia="宋体" w:cs="宋体"/>
          <w:color w:val="FF0000"/>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1.9.2 向</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人民法院起诉。</w:t>
      </w:r>
    </w:p>
    <w:p w14:paraId="5B066117">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07" w:name="_Toc15322"/>
      <w:bookmarkStart w:id="108" w:name="_Toc11173"/>
      <w:bookmarkStart w:id="109" w:name="_Toc7245"/>
      <w:r>
        <w:rPr>
          <w:rFonts w:hint="eastAsia" w:ascii="宋体" w:hAnsi="宋体" w:eastAsia="宋体" w:cs="宋体"/>
          <w:b/>
          <w:color w:val="000000" w:themeColor="text1"/>
          <w:sz w:val="21"/>
          <w:szCs w:val="21"/>
          <w14:textFill>
            <w14:solidFill>
              <w14:schemeClr w14:val="tx1"/>
            </w14:solidFill>
          </w14:textFill>
        </w:rPr>
        <w:t>2.</w:t>
      </w:r>
      <w:r>
        <w:rPr>
          <w:rFonts w:hint="eastAsia" w:ascii="宋体" w:hAnsi="宋体" w:eastAsia="宋体" w:cs="宋体"/>
          <w:b/>
          <w:color w:val="000000" w:themeColor="text1"/>
          <w:sz w:val="21"/>
          <w:szCs w:val="21"/>
          <w:lang w:val="en-US" w:eastAsia="zh-CN"/>
          <w14:textFill>
            <w14:solidFill>
              <w14:schemeClr w14:val="tx1"/>
            </w14:solidFill>
          </w14:textFill>
        </w:rPr>
        <w:t>0</w:t>
      </w:r>
      <w:r>
        <w:rPr>
          <w:rFonts w:hint="eastAsia" w:ascii="宋体" w:hAnsi="宋体" w:eastAsia="宋体" w:cs="宋体"/>
          <w:b/>
          <w:color w:val="000000" w:themeColor="text1"/>
          <w:sz w:val="21"/>
          <w:szCs w:val="21"/>
          <w14:textFill>
            <w14:solidFill>
              <w14:schemeClr w14:val="tx1"/>
            </w14:solidFill>
          </w14:textFill>
        </w:rPr>
        <w:t>合同生效</w:t>
      </w:r>
      <w:bookmarkEnd w:id="107"/>
      <w:bookmarkEnd w:id="108"/>
      <w:bookmarkEnd w:id="109"/>
    </w:p>
    <w:p w14:paraId="5B92F5AB">
      <w:pPr>
        <w:spacing w:line="360" w:lineRule="auto"/>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本合同自双方当事人盖章签字时生效。</w:t>
      </w:r>
    </w:p>
    <w:p w14:paraId="060700E7">
      <w:pPr>
        <w:autoSpaceDE w:val="0"/>
        <w:autoSpaceDN w:val="0"/>
        <w:spacing w:line="560" w:lineRule="exact"/>
        <w:rPr>
          <w:rFonts w:hint="eastAsia" w:ascii="宋体" w:hAnsi="宋体" w:eastAsia="宋体" w:cs="宋体"/>
          <w:color w:val="000000" w:themeColor="text1"/>
          <w:sz w:val="21"/>
          <w:szCs w:val="21"/>
          <w:lang w:val="zh-CN"/>
          <w14:textFill>
            <w14:solidFill>
              <w14:schemeClr w14:val="tx1"/>
            </w14:solidFill>
          </w14:textFill>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7"/>
        <w:gridCol w:w="2790"/>
        <w:gridCol w:w="2289"/>
        <w:gridCol w:w="2448"/>
      </w:tblGrid>
      <w:tr w14:paraId="0A501A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3D8F7BC">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3060EFB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乙方（供应商）</w:t>
            </w:r>
          </w:p>
        </w:tc>
      </w:tr>
      <w:tr w14:paraId="1B8842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02A6F4BA">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733C61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55F3C33">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22A0E9C1">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133A52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6F5ED7A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7D17C274">
            <w:pPr>
              <w:snapToGrid w:val="0"/>
              <w:spacing w:line="360" w:lineRule="auto"/>
              <w:ind w:firstLine="100" w:firstLineChars="4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0553FC8C">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90A702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36DE5DBC">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0A5102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4FDD7E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22F69222">
            <w:pPr>
              <w:widowControl/>
              <w:adjustRightInd/>
              <w:spacing w:line="360" w:lineRule="auto"/>
              <w:jc w:val="left"/>
              <w:rPr>
                <w:rFonts w:hint="eastAsia" w:ascii="宋体" w:hAnsi="宋体" w:eastAsia="宋体" w:cs="宋体"/>
                <w:color w:val="000000" w:themeColor="text1"/>
                <w:sz w:val="21"/>
                <w:szCs w:val="21"/>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21D66029">
            <w:pPr>
              <w:widowControl/>
              <w:adjustRightInd/>
              <w:spacing w:line="360" w:lineRule="auto"/>
              <w:jc w:val="left"/>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43643E1">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0669A394">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194D97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0BAF45C">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BD4286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7A090EB">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5806B278">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63562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A0F466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C1F1AFA">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6C32792">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2F6F19E6">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1F3C1A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06E968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8893F2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9856A3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47242C22">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0C7422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E11AAF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DAC7E9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7FF127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6F057FD">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1F97A7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CA8FCB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0B232A8">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14C56B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3FC639D5">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0DF03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E307C61">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4051AA8">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1E07E03">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DD7E46C">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6E344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A1E0F9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68AD811">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73B33C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341D6CC">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79762D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314DA14">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45615DD">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F62BCD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14F99682">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3D6E5B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232CE5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74E9A55">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51F790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479A454">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3B0CC1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08613C2">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52A5C89">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89B12F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E7D9C31">
            <w:pPr>
              <w:snapToGrid w:val="0"/>
              <w:spacing w:line="360" w:lineRule="auto"/>
              <w:jc w:val="center"/>
              <w:rPr>
                <w:rFonts w:hint="eastAsia" w:ascii="宋体" w:hAnsi="宋体" w:eastAsia="宋体" w:cs="宋体"/>
                <w:color w:val="000000" w:themeColor="text1"/>
                <w:spacing w:val="20"/>
                <w:sz w:val="21"/>
                <w:szCs w:val="21"/>
                <w14:textFill>
                  <w14:solidFill>
                    <w14:schemeClr w14:val="tx1"/>
                  </w14:solidFill>
                </w14:textFill>
              </w:rPr>
            </w:pPr>
          </w:p>
        </w:tc>
      </w:tr>
      <w:tr w14:paraId="1398E5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C246530">
            <w:pPr>
              <w:snapToGrid w:val="0"/>
              <w:spacing w:line="360" w:lineRule="auto"/>
              <w:jc w:val="left"/>
              <w:rPr>
                <w:rFonts w:hint="eastAsia" w:ascii="宋体" w:hAnsi="宋体" w:eastAsia="宋体" w:cs="宋体"/>
                <w:color w:val="000000" w:themeColor="text1"/>
                <w:spacing w:val="2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注：涉及联合体或其他合同主体的信息应按上表格式加列。</w:t>
            </w:r>
          </w:p>
        </w:tc>
      </w:tr>
    </w:tbl>
    <w:p w14:paraId="398492E5">
      <w:pPr>
        <w:widowControl/>
        <w:spacing w:line="560" w:lineRule="exact"/>
        <w:jc w:val="left"/>
        <w:rPr>
          <w:rFonts w:hint="eastAsia" w:ascii="宋体" w:hAnsi="宋体" w:eastAsia="宋体" w:cs="宋体"/>
          <w:b/>
          <w:color w:val="000000" w:themeColor="text1"/>
          <w:sz w:val="21"/>
          <w:szCs w:val="21"/>
          <w14:textFill>
            <w14:solidFill>
              <w14:schemeClr w14:val="tx1"/>
            </w14:solidFill>
          </w14:textFill>
        </w:rPr>
      </w:pPr>
    </w:p>
    <w:p w14:paraId="0D9DA923">
      <w:pPr>
        <w:widowControl/>
        <w:adjustRightInd/>
        <w:jc w:val="left"/>
        <w:rPr>
          <w:rFonts w:hint="eastAsia" w:ascii="宋体" w:hAnsi="宋体" w:eastAsia="宋体" w:cs="宋体"/>
          <w:b/>
          <w:color w:val="000000" w:themeColor="text1"/>
          <w:sz w:val="21"/>
          <w:szCs w:val="21"/>
          <w14:textFill>
            <w14:solidFill>
              <w14:schemeClr w14:val="tx1"/>
            </w14:solidFill>
          </w14:textFill>
        </w:rPr>
      </w:pPr>
    </w:p>
    <w:p w14:paraId="5B20EEE6">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6BBCD23B">
      <w:pPr>
        <w:rPr>
          <w:rFonts w:hint="eastAsia" w:ascii="宋体" w:hAnsi="宋体" w:eastAsia="宋体" w:cs="宋体"/>
          <w:b/>
          <w:color w:val="000000" w:themeColor="text1"/>
          <w:sz w:val="21"/>
          <w:szCs w:val="21"/>
          <w14:textFill>
            <w14:solidFill>
              <w14:schemeClr w14:val="tx1"/>
            </w14:solidFill>
          </w14:textFill>
        </w:rPr>
      </w:pPr>
    </w:p>
    <w:p w14:paraId="2EA21F7F">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2EB2D66C">
      <w:pPr>
        <w:rPr>
          <w:rFonts w:hint="eastAsia" w:ascii="宋体" w:hAnsi="宋体" w:eastAsia="宋体" w:cs="宋体"/>
          <w:b/>
          <w:color w:val="000000" w:themeColor="text1"/>
          <w:sz w:val="21"/>
          <w:szCs w:val="21"/>
          <w14:textFill>
            <w14:solidFill>
              <w14:schemeClr w14:val="tx1"/>
            </w14:solidFill>
          </w14:textFill>
        </w:rPr>
      </w:pPr>
    </w:p>
    <w:p w14:paraId="7924C3F8">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6C63B044">
      <w:pPr>
        <w:rPr>
          <w:rFonts w:hint="eastAsia" w:ascii="宋体" w:hAnsi="宋体" w:eastAsia="宋体" w:cs="宋体"/>
          <w:b/>
          <w:color w:val="000000" w:themeColor="text1"/>
          <w:sz w:val="21"/>
          <w:szCs w:val="21"/>
          <w14:textFill>
            <w14:solidFill>
              <w14:schemeClr w14:val="tx1"/>
            </w14:solidFill>
          </w14:textFill>
        </w:rPr>
      </w:pPr>
    </w:p>
    <w:p w14:paraId="2D96DF8B">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00C5365C">
      <w:pPr>
        <w:rPr>
          <w:rFonts w:hint="eastAsia" w:ascii="宋体" w:hAnsi="宋体" w:eastAsia="宋体" w:cs="宋体"/>
          <w:b/>
          <w:color w:val="000000" w:themeColor="text1"/>
          <w:sz w:val="21"/>
          <w:szCs w:val="21"/>
          <w14:textFill>
            <w14:solidFill>
              <w14:schemeClr w14:val="tx1"/>
            </w14:solidFill>
          </w14:textFill>
        </w:rPr>
      </w:pPr>
    </w:p>
    <w:p w14:paraId="197EB3A1">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5A3B75F8">
      <w:pPr>
        <w:rPr>
          <w:rFonts w:hint="eastAsia" w:ascii="宋体" w:hAnsi="宋体" w:eastAsia="宋体" w:cs="宋体"/>
          <w:b/>
          <w:color w:val="000000" w:themeColor="text1"/>
          <w:sz w:val="21"/>
          <w:szCs w:val="21"/>
          <w14:textFill>
            <w14:solidFill>
              <w14:schemeClr w14:val="tx1"/>
            </w14:solidFill>
          </w14:textFill>
        </w:rPr>
      </w:pPr>
    </w:p>
    <w:p w14:paraId="58CE15F2">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02DBB9E9">
      <w:pPr>
        <w:rPr>
          <w:rFonts w:hint="eastAsia" w:ascii="宋体" w:hAnsi="宋体" w:eastAsia="宋体" w:cs="宋体"/>
          <w:b/>
          <w:color w:val="000000" w:themeColor="text1"/>
          <w:sz w:val="21"/>
          <w:szCs w:val="21"/>
          <w14:textFill>
            <w14:solidFill>
              <w14:schemeClr w14:val="tx1"/>
            </w14:solidFill>
          </w14:textFill>
        </w:rPr>
      </w:pPr>
    </w:p>
    <w:p w14:paraId="617920E7">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1CEE5340">
      <w:pPr>
        <w:rPr>
          <w:rFonts w:hint="eastAsia" w:ascii="宋体" w:hAnsi="宋体" w:eastAsia="宋体" w:cs="宋体"/>
          <w:b/>
          <w:color w:val="000000" w:themeColor="text1"/>
          <w:sz w:val="21"/>
          <w:szCs w:val="21"/>
          <w14:textFill>
            <w14:solidFill>
              <w14:schemeClr w14:val="tx1"/>
            </w14:solidFill>
          </w14:textFill>
        </w:rPr>
      </w:pPr>
    </w:p>
    <w:p w14:paraId="254DC813">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5B301697">
      <w:pPr>
        <w:rPr>
          <w:rFonts w:hint="eastAsia" w:ascii="宋体" w:hAnsi="宋体" w:eastAsia="宋体" w:cs="宋体"/>
          <w:b/>
          <w:color w:val="000000" w:themeColor="text1"/>
          <w:sz w:val="21"/>
          <w:szCs w:val="21"/>
          <w14:textFill>
            <w14:solidFill>
              <w14:schemeClr w14:val="tx1"/>
            </w14:solidFill>
          </w14:textFill>
        </w:rPr>
      </w:pPr>
    </w:p>
    <w:p w14:paraId="4EA5A1D4">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1F4BA896">
      <w:pPr>
        <w:rPr>
          <w:rFonts w:hint="eastAsia" w:ascii="宋体" w:hAnsi="宋体" w:eastAsia="宋体" w:cs="宋体"/>
          <w:b/>
          <w:color w:val="000000" w:themeColor="text1"/>
          <w:sz w:val="21"/>
          <w:szCs w:val="21"/>
          <w14:textFill>
            <w14:solidFill>
              <w14:schemeClr w14:val="tx1"/>
            </w14:solidFill>
          </w14:textFill>
        </w:rPr>
      </w:pPr>
    </w:p>
    <w:p w14:paraId="4DA2187E">
      <w:pPr>
        <w:pStyle w:val="2"/>
        <w:tabs>
          <w:tab w:val="left" w:pos="432"/>
        </w:tabs>
        <w:rPr>
          <w:rFonts w:hint="eastAsia" w:ascii="宋体" w:hAnsi="宋体" w:eastAsia="宋体" w:cs="宋体"/>
          <w:b/>
          <w:color w:val="000000" w:themeColor="text1"/>
          <w:sz w:val="21"/>
          <w:szCs w:val="21"/>
          <w14:textFill>
            <w14:solidFill>
              <w14:schemeClr w14:val="tx1"/>
            </w14:solidFill>
          </w14:textFill>
        </w:rPr>
      </w:pPr>
    </w:p>
    <w:p w14:paraId="29CDA28B">
      <w:pPr>
        <w:rPr>
          <w:rFonts w:hint="eastAsia" w:ascii="宋体" w:hAnsi="宋体" w:eastAsia="宋体" w:cs="宋体"/>
          <w:b/>
          <w:color w:val="000000" w:themeColor="text1"/>
          <w:sz w:val="21"/>
          <w:szCs w:val="21"/>
          <w14:textFill>
            <w14:solidFill>
              <w14:schemeClr w14:val="tx1"/>
            </w14:solidFill>
          </w14:textFill>
        </w:rPr>
      </w:pPr>
    </w:p>
    <w:p w14:paraId="23AB0DA2">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01E343B7">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254E97F7">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7398C559">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2EE4A426">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432A9C43">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3E7DA5A0">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3EA4C482">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1681D6E3">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07E10576">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044ED73C">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2063A1AF">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76839894">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p>
    <w:p w14:paraId="76C4D698">
      <w:pPr>
        <w:pStyle w:val="51"/>
        <w:spacing w:after="0"/>
        <w:ind w:firstLine="482"/>
        <w:jc w:val="center"/>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第二节 政府采购合同通用条款</w:t>
      </w:r>
    </w:p>
    <w:p w14:paraId="6B8F93C6">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10" w:name="_Toc5228"/>
      <w:bookmarkStart w:id="111" w:name="_Toc31297"/>
      <w:bookmarkStart w:id="112" w:name="_Toc25079"/>
      <w:bookmarkStart w:id="113" w:name="_Toc14021"/>
      <w:bookmarkStart w:id="114" w:name="_Toc19680"/>
      <w:r>
        <w:rPr>
          <w:rFonts w:hint="eastAsia" w:ascii="宋体" w:hAnsi="宋体" w:eastAsia="宋体" w:cs="宋体"/>
          <w:b/>
          <w:color w:val="000000" w:themeColor="text1"/>
          <w:sz w:val="21"/>
          <w:szCs w:val="21"/>
          <w14:textFill>
            <w14:solidFill>
              <w14:schemeClr w14:val="tx1"/>
            </w14:solidFill>
          </w14:textFill>
        </w:rPr>
        <w:t>2.1 定义</w:t>
      </w:r>
      <w:bookmarkEnd w:id="110"/>
      <w:bookmarkEnd w:id="111"/>
      <w:bookmarkEnd w:id="112"/>
      <w:bookmarkEnd w:id="113"/>
      <w:bookmarkEnd w:id="114"/>
    </w:p>
    <w:p w14:paraId="2EEF100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本合同中的下列词语应按以下内容进行解释：</w:t>
      </w:r>
    </w:p>
    <w:p w14:paraId="563DD70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 “合同”系指采购人和中标或成交供应商签订的载明双方当事人所达成的协议，并包括所有的附件、附录和构成合同的其他文件。</w:t>
      </w:r>
    </w:p>
    <w:p w14:paraId="58910A2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 “合同价”系指根据合同约定，中标或成交供应商在完全履行合同义务后，采购人应支付给中标或成交供应商的价格。</w:t>
      </w:r>
    </w:p>
    <w:p w14:paraId="71F5C1C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6C87112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22251545">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0611B3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2.1.6 “现场”系指合同约定提供服务的地点。</w:t>
      </w:r>
    </w:p>
    <w:p w14:paraId="01670689">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15" w:name="_Toc3769"/>
      <w:bookmarkStart w:id="116" w:name="_Toc19539"/>
      <w:bookmarkStart w:id="117" w:name="_Toc31402"/>
      <w:bookmarkStart w:id="118" w:name="_Toc16752"/>
      <w:bookmarkStart w:id="119" w:name="_Toc23289"/>
      <w:r>
        <w:rPr>
          <w:rFonts w:hint="eastAsia" w:ascii="宋体" w:hAnsi="宋体" w:eastAsia="宋体" w:cs="宋体"/>
          <w:b/>
          <w:color w:val="000000" w:themeColor="text1"/>
          <w:sz w:val="21"/>
          <w:szCs w:val="21"/>
          <w14:textFill>
            <w14:solidFill>
              <w14:schemeClr w14:val="tx1"/>
            </w14:solidFill>
          </w14:textFill>
        </w:rPr>
        <w:t>2.2 技术规范</w:t>
      </w:r>
      <w:bookmarkEnd w:id="115"/>
      <w:bookmarkEnd w:id="116"/>
      <w:bookmarkEnd w:id="117"/>
      <w:bookmarkEnd w:id="118"/>
      <w:bookmarkEnd w:id="119"/>
    </w:p>
    <w:p w14:paraId="48DCF2FB">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C51DAB">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20" w:name="_Toc12412"/>
      <w:bookmarkStart w:id="121" w:name="_Toc9161"/>
      <w:bookmarkStart w:id="122" w:name="_Toc13673"/>
      <w:bookmarkStart w:id="123" w:name="_Toc4133"/>
      <w:bookmarkStart w:id="124" w:name="_Toc27945"/>
      <w:r>
        <w:rPr>
          <w:rFonts w:hint="eastAsia" w:ascii="宋体" w:hAnsi="宋体" w:eastAsia="宋体" w:cs="宋体"/>
          <w:b/>
          <w:color w:val="000000" w:themeColor="text1"/>
          <w:sz w:val="21"/>
          <w:szCs w:val="21"/>
          <w14:textFill>
            <w14:solidFill>
              <w14:schemeClr w14:val="tx1"/>
            </w14:solidFill>
          </w14:textFill>
        </w:rPr>
        <w:t>2.3 知识产权</w:t>
      </w:r>
      <w:bookmarkEnd w:id="120"/>
      <w:bookmarkEnd w:id="121"/>
      <w:bookmarkEnd w:id="122"/>
      <w:bookmarkEnd w:id="123"/>
      <w:bookmarkEnd w:id="124"/>
    </w:p>
    <w:p w14:paraId="0C73D6D4">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835391B">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2.3.2 合同涉及技术成果的归属和收益的分成办法的，详见</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3A9538CC">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2.4 履约检查和问题反馈</w:t>
      </w:r>
    </w:p>
    <w:p w14:paraId="0AD2001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1B2364">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2.4.2 合同履行期间，甲方有权将履行过程中出现的问题反馈给乙方，双方当事人应以书面形式约定需要完善和改进的内容。</w:t>
      </w:r>
    </w:p>
    <w:p w14:paraId="2821D578">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25" w:name="_Toc15447"/>
      <w:bookmarkStart w:id="126" w:name="_Toc26555"/>
      <w:bookmarkStart w:id="127" w:name="_Toc22011"/>
      <w:bookmarkStart w:id="128" w:name="_Toc32670"/>
      <w:bookmarkStart w:id="129" w:name="_Toc31233"/>
      <w:r>
        <w:rPr>
          <w:rFonts w:hint="eastAsia" w:ascii="宋体" w:hAnsi="宋体" w:eastAsia="宋体" w:cs="宋体"/>
          <w:b/>
          <w:color w:val="000000" w:themeColor="text1"/>
          <w:sz w:val="21"/>
          <w:szCs w:val="21"/>
          <w14:textFill>
            <w14:solidFill>
              <w14:schemeClr w14:val="tx1"/>
            </w14:solidFill>
          </w14:textFill>
        </w:rPr>
        <w:t>2.5 结算方式和付款条件</w:t>
      </w:r>
      <w:bookmarkEnd w:id="125"/>
      <w:bookmarkEnd w:id="126"/>
      <w:bookmarkEnd w:id="127"/>
      <w:bookmarkEnd w:id="128"/>
      <w:bookmarkEnd w:id="129"/>
    </w:p>
    <w:p w14:paraId="323DC75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详见</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083BB5F8">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30" w:name="_Toc16163"/>
      <w:bookmarkStart w:id="131" w:name="_Toc13467"/>
      <w:bookmarkStart w:id="132" w:name="_Toc18990"/>
      <w:bookmarkStart w:id="133" w:name="_Toc30507"/>
      <w:bookmarkStart w:id="134" w:name="_Toc13154"/>
      <w:r>
        <w:rPr>
          <w:rFonts w:hint="eastAsia" w:ascii="宋体" w:hAnsi="宋体" w:eastAsia="宋体" w:cs="宋体"/>
          <w:b/>
          <w:color w:val="000000" w:themeColor="text1"/>
          <w:sz w:val="21"/>
          <w:szCs w:val="21"/>
          <w14:textFill>
            <w14:solidFill>
              <w14:schemeClr w14:val="tx1"/>
            </w14:solidFill>
          </w14:textFill>
        </w:rPr>
        <w:t>2.6 技术资料和保密义务</w:t>
      </w:r>
      <w:bookmarkEnd w:id="130"/>
      <w:bookmarkEnd w:id="131"/>
      <w:bookmarkEnd w:id="132"/>
      <w:bookmarkEnd w:id="133"/>
      <w:bookmarkEnd w:id="134"/>
    </w:p>
    <w:p w14:paraId="1919A63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2.6.1 乙方有权依据合同约定和项目需要，向甲方了解有关情况，调阅有关资料等，甲方应予积极配合；</w:t>
      </w:r>
    </w:p>
    <w:p w14:paraId="0017742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2.6.2 乙方有义务妥善保管和保护由甲方提供的前款信息和资料等；</w:t>
      </w:r>
    </w:p>
    <w:p w14:paraId="2EBE379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414062">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35" w:name="_Toc19069"/>
      <w:r>
        <w:rPr>
          <w:rFonts w:hint="eastAsia" w:ascii="宋体" w:hAnsi="宋体" w:eastAsia="宋体" w:cs="宋体"/>
          <w:b/>
          <w:color w:val="000000" w:themeColor="text1"/>
          <w:sz w:val="21"/>
          <w:szCs w:val="21"/>
          <w14:textFill>
            <w14:solidFill>
              <w14:schemeClr w14:val="tx1"/>
            </w14:solidFill>
          </w14:textFill>
        </w:rPr>
        <w:t>2.7 质量保证</w:t>
      </w:r>
      <w:bookmarkEnd w:id="135"/>
    </w:p>
    <w:p w14:paraId="28E8AE0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2.7.1 乙方应建立和完善履行合同的内部质量保证体系，并提供相关内部规章制度给甲方，以便甲方进行监督检查；</w:t>
      </w:r>
    </w:p>
    <w:p w14:paraId="29E66E2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2.7.2 乙方应保证履行合同的人员数量和素质、软件和硬件设备的配置、场地、环境和设施等满足全面履行合同的要求，并应接受甲方的监督检查。</w:t>
      </w:r>
    </w:p>
    <w:p w14:paraId="36E96256">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36" w:name="_Toc22267"/>
      <w:r>
        <w:rPr>
          <w:rFonts w:hint="eastAsia" w:ascii="宋体" w:hAnsi="宋体" w:eastAsia="宋体" w:cs="宋体"/>
          <w:b/>
          <w:color w:val="000000" w:themeColor="text1"/>
          <w:sz w:val="21"/>
          <w:szCs w:val="21"/>
          <w14:textFill>
            <w14:solidFill>
              <w14:schemeClr w14:val="tx1"/>
            </w14:solidFill>
          </w14:textFill>
        </w:rPr>
        <w:t>2.8 延迟履行</w:t>
      </w:r>
      <w:bookmarkEnd w:id="136"/>
    </w:p>
    <w:p w14:paraId="7F0B1E7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B357C83">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37" w:name="_Toc10611"/>
      <w:r>
        <w:rPr>
          <w:rFonts w:hint="eastAsia" w:ascii="宋体" w:hAnsi="宋体" w:eastAsia="宋体" w:cs="宋体"/>
          <w:b/>
          <w:color w:val="000000" w:themeColor="text1"/>
          <w:sz w:val="21"/>
          <w:szCs w:val="21"/>
          <w14:textFill>
            <w14:solidFill>
              <w14:schemeClr w14:val="tx1"/>
            </w14:solidFill>
          </w14:textFill>
        </w:rPr>
        <w:t>2.9 合同变更</w:t>
      </w:r>
      <w:bookmarkEnd w:id="137"/>
    </w:p>
    <w:p w14:paraId="47B49654">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D804E55">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38" w:name="_Toc21830"/>
      <w:bookmarkStart w:id="139" w:name="_Toc10663"/>
      <w:bookmarkStart w:id="140" w:name="_Toc26689"/>
      <w:bookmarkStart w:id="141" w:name="_Toc42"/>
      <w:bookmarkStart w:id="142" w:name="_Toc23368"/>
      <w:r>
        <w:rPr>
          <w:rFonts w:hint="eastAsia" w:ascii="宋体" w:hAnsi="宋体" w:eastAsia="宋体" w:cs="宋体"/>
          <w:b/>
          <w:color w:val="000000" w:themeColor="text1"/>
          <w:sz w:val="21"/>
          <w:szCs w:val="21"/>
          <w14:textFill>
            <w14:solidFill>
              <w14:schemeClr w14:val="tx1"/>
            </w14:solidFill>
          </w14:textFill>
        </w:rPr>
        <w:t>2.10 合同转让和分包</w:t>
      </w:r>
      <w:bookmarkEnd w:id="138"/>
      <w:bookmarkEnd w:id="139"/>
      <w:bookmarkEnd w:id="140"/>
      <w:bookmarkEnd w:id="141"/>
      <w:bookmarkEnd w:id="142"/>
    </w:p>
    <w:p w14:paraId="6B8095D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263351">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43" w:name="_Toc4720"/>
      <w:bookmarkStart w:id="144" w:name="_Toc25571"/>
      <w:bookmarkStart w:id="145" w:name="_Toc14371"/>
      <w:bookmarkStart w:id="146" w:name="_Toc32494"/>
      <w:bookmarkStart w:id="147" w:name="_Toc26633"/>
      <w:r>
        <w:rPr>
          <w:rFonts w:hint="eastAsia" w:ascii="宋体" w:hAnsi="宋体" w:eastAsia="宋体" w:cs="宋体"/>
          <w:b/>
          <w:color w:val="000000" w:themeColor="text1"/>
          <w:sz w:val="21"/>
          <w:szCs w:val="21"/>
          <w14:textFill>
            <w14:solidFill>
              <w14:schemeClr w14:val="tx1"/>
            </w14:solidFill>
          </w14:textFill>
        </w:rPr>
        <w:t>2.11 不可抗力</w:t>
      </w:r>
      <w:bookmarkEnd w:id="143"/>
      <w:bookmarkEnd w:id="144"/>
      <w:bookmarkEnd w:id="145"/>
      <w:bookmarkEnd w:id="146"/>
      <w:bookmarkEnd w:id="147"/>
    </w:p>
    <w:p w14:paraId="7855E75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2.11.1如果任何一方遭遇法律规定的不可抗力，致使合同履行受阻时，履行合同的期限应予延长，延长的期限应相当于不可抗力所影响的时间；</w:t>
      </w:r>
    </w:p>
    <w:p w14:paraId="7555D47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2.11.2 因不可抗力致使不能实现合同目的的，当事人可以解除合同；</w:t>
      </w:r>
    </w:p>
    <w:p w14:paraId="30DB147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2.11.3 因不可抗力致使合同有变更必要的，双方当事人应在</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约定时间内以书面形式变更合同；</w:t>
      </w:r>
    </w:p>
    <w:p w14:paraId="2A4081B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2.11.4受不可抗力影响的一方在不可抗力发生后，应在</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约定时间内以书面形式通知对方当事人，并在</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约定时间内，将有关部门出具的证明文件送达对方当事人。</w:t>
      </w:r>
    </w:p>
    <w:p w14:paraId="3289DB98">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48" w:name="_Toc23854"/>
      <w:bookmarkStart w:id="149" w:name="_Toc25783"/>
      <w:bookmarkStart w:id="150" w:name="_Toc3638"/>
      <w:bookmarkStart w:id="151" w:name="_Toc14115"/>
      <w:bookmarkStart w:id="152" w:name="_Toc24465"/>
      <w:r>
        <w:rPr>
          <w:rFonts w:hint="eastAsia" w:ascii="宋体" w:hAnsi="宋体" w:eastAsia="宋体" w:cs="宋体"/>
          <w:b/>
          <w:color w:val="000000" w:themeColor="text1"/>
          <w:sz w:val="21"/>
          <w:szCs w:val="21"/>
          <w14:textFill>
            <w14:solidFill>
              <w14:schemeClr w14:val="tx1"/>
            </w14:solidFill>
          </w14:textFill>
        </w:rPr>
        <w:t>2.12 税费</w:t>
      </w:r>
      <w:bookmarkEnd w:id="148"/>
      <w:bookmarkEnd w:id="149"/>
      <w:bookmarkEnd w:id="150"/>
      <w:bookmarkEnd w:id="151"/>
      <w:bookmarkEnd w:id="152"/>
    </w:p>
    <w:p w14:paraId="176C55B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与合同有关的一切税费，均按照中华人民共和国法律的相关规定缴纳。</w:t>
      </w:r>
    </w:p>
    <w:p w14:paraId="11C9B3A1">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53" w:name="_Toc7315"/>
      <w:bookmarkStart w:id="154" w:name="_Toc26883"/>
      <w:bookmarkStart w:id="155" w:name="_Toc14814"/>
      <w:bookmarkStart w:id="156" w:name="_Toc30105"/>
      <w:bookmarkStart w:id="157" w:name="_Toc25525"/>
      <w:r>
        <w:rPr>
          <w:rFonts w:hint="eastAsia" w:ascii="宋体" w:hAnsi="宋体" w:eastAsia="宋体" w:cs="宋体"/>
          <w:b/>
          <w:color w:val="000000" w:themeColor="text1"/>
          <w:sz w:val="21"/>
          <w:szCs w:val="21"/>
          <w14:textFill>
            <w14:solidFill>
              <w14:schemeClr w14:val="tx1"/>
            </w14:solidFill>
          </w14:textFill>
        </w:rPr>
        <w:t>2.13 乙方破产</w:t>
      </w:r>
      <w:bookmarkEnd w:id="153"/>
      <w:bookmarkEnd w:id="154"/>
      <w:bookmarkEnd w:id="155"/>
      <w:bookmarkEnd w:id="156"/>
      <w:bookmarkEnd w:id="157"/>
    </w:p>
    <w:p w14:paraId="06BD217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F512D87">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58" w:name="_Toc2016"/>
      <w:bookmarkStart w:id="159" w:name="_Toc23323"/>
      <w:bookmarkStart w:id="160" w:name="_Toc1123"/>
      <w:r>
        <w:rPr>
          <w:rFonts w:hint="eastAsia" w:ascii="宋体" w:hAnsi="宋体" w:eastAsia="宋体" w:cs="宋体"/>
          <w:b/>
          <w:color w:val="000000" w:themeColor="text1"/>
          <w:sz w:val="21"/>
          <w:szCs w:val="21"/>
          <w14:textFill>
            <w14:solidFill>
              <w14:schemeClr w14:val="tx1"/>
            </w14:solidFill>
          </w14:textFill>
        </w:rPr>
        <w:t>2.14 合同中止、终止</w:t>
      </w:r>
      <w:bookmarkEnd w:id="158"/>
      <w:bookmarkEnd w:id="159"/>
      <w:bookmarkEnd w:id="160"/>
    </w:p>
    <w:p w14:paraId="452184C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2.14.1 双方当事人不得擅自中止或者终止合同；</w:t>
      </w:r>
    </w:p>
    <w:p w14:paraId="65E8571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5EAAC33">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bookmarkStart w:id="161" w:name="_Toc14525"/>
      <w:bookmarkStart w:id="162" w:name="_Toc17363"/>
      <w:bookmarkStart w:id="163" w:name="_Toc1969"/>
      <w:r>
        <w:rPr>
          <w:rFonts w:hint="eastAsia" w:ascii="宋体" w:hAnsi="宋体" w:eastAsia="宋体" w:cs="宋体"/>
          <w:b/>
          <w:color w:val="000000" w:themeColor="text1"/>
          <w:sz w:val="21"/>
          <w:szCs w:val="21"/>
          <w:highlight w:val="none"/>
          <w14:textFill>
            <w14:solidFill>
              <w14:schemeClr w14:val="tx1"/>
            </w14:solidFill>
          </w14:textFill>
        </w:rPr>
        <w:t>2.15 检验和验收</w:t>
      </w:r>
      <w:bookmarkEnd w:id="161"/>
      <w:bookmarkEnd w:id="162"/>
      <w:bookmarkEnd w:id="163"/>
    </w:p>
    <w:p w14:paraId="646387F4">
      <w:pPr>
        <w:tabs>
          <w:tab w:val="left" w:pos="360"/>
          <w:tab w:val="left" w:pos="540"/>
          <w:tab w:val="left" w:pos="1080"/>
        </w:tabs>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2.15.1 乙方按照</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的约定，定期提交服务报告，甲方按照</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的约定进行定期验收；</w:t>
      </w:r>
    </w:p>
    <w:p w14:paraId="47C3DC98">
      <w:pPr>
        <w:tabs>
          <w:tab w:val="left" w:pos="360"/>
          <w:tab w:val="left" w:pos="540"/>
          <w:tab w:val="left" w:pos="1080"/>
        </w:tabs>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3AE31B">
      <w:pPr>
        <w:tabs>
          <w:tab w:val="left" w:pos="360"/>
          <w:tab w:val="left" w:pos="540"/>
          <w:tab w:val="left" w:pos="1080"/>
        </w:tabs>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2.15.3 检验和验收标准、程序等具体内容以及前述验收书的效力详见</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w:t>
      </w:r>
    </w:p>
    <w:p w14:paraId="16B1CCC2">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64" w:name="_Toc12666"/>
      <w:bookmarkStart w:id="165" w:name="_Toc9808"/>
      <w:bookmarkStart w:id="166" w:name="_Toc25198"/>
      <w:bookmarkStart w:id="167" w:name="_Toc2308"/>
      <w:bookmarkStart w:id="168" w:name="_Toc31892"/>
      <w:r>
        <w:rPr>
          <w:rFonts w:hint="eastAsia" w:ascii="宋体" w:hAnsi="宋体" w:eastAsia="宋体" w:cs="宋体"/>
          <w:b/>
          <w:color w:val="000000" w:themeColor="text1"/>
          <w:sz w:val="21"/>
          <w:szCs w:val="21"/>
          <w14:textFill>
            <w14:solidFill>
              <w14:schemeClr w14:val="tx1"/>
            </w14:solidFill>
          </w14:textFill>
        </w:rPr>
        <w:t>2.16 通知和送达</w:t>
      </w:r>
      <w:bookmarkEnd w:id="164"/>
      <w:bookmarkEnd w:id="165"/>
      <w:bookmarkEnd w:id="166"/>
      <w:bookmarkEnd w:id="167"/>
      <w:bookmarkEnd w:id="168"/>
    </w:p>
    <w:p w14:paraId="4B818EA5">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bookmarkStart w:id="169" w:name="_Toc27674"/>
      <w:bookmarkStart w:id="170" w:name="_Toc18401"/>
      <w:r>
        <w:rPr>
          <w:rFonts w:hint="eastAsia" w:ascii="宋体" w:hAnsi="宋体" w:eastAsia="宋体" w:cs="宋体"/>
          <w:color w:val="000000" w:themeColor="text1"/>
          <w:sz w:val="21"/>
          <w:szCs w:val="21"/>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1"/>
          <w:szCs w:val="21"/>
          <w:u w:val="single"/>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个工作日内书面通知对方当事人，在对方当事人收到有关变更通知之前，变更前的约定送达方式或者地址仍视为有效。</w:t>
      </w:r>
    </w:p>
    <w:p w14:paraId="1360E83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14:paraId="0EEE6F41">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71" w:name="_Toc5063"/>
      <w:bookmarkStart w:id="172" w:name="_Toc28906"/>
      <w:bookmarkStart w:id="173" w:name="_Toc20808"/>
      <w:bookmarkStart w:id="174" w:name="_Toc27644"/>
      <w:bookmarkStart w:id="175" w:name="_Toc12254"/>
      <w:r>
        <w:rPr>
          <w:rFonts w:hint="eastAsia" w:ascii="宋体" w:hAnsi="宋体" w:eastAsia="宋体" w:cs="宋体"/>
          <w:b/>
          <w:color w:val="000000" w:themeColor="text1"/>
          <w:sz w:val="21"/>
          <w:szCs w:val="21"/>
          <w14:textFill>
            <w14:solidFill>
              <w14:schemeClr w14:val="tx1"/>
            </w14:solidFill>
          </w14:textFill>
        </w:rPr>
        <w:t>2.17 合同使用的文字和适用的法律</w:t>
      </w:r>
      <w:bookmarkEnd w:id="171"/>
      <w:bookmarkEnd w:id="172"/>
      <w:bookmarkEnd w:id="173"/>
      <w:bookmarkEnd w:id="174"/>
      <w:bookmarkEnd w:id="175"/>
    </w:p>
    <w:p w14:paraId="3F9C595B">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2.17.1 合同使用汉语书就、变更和解释；</w:t>
      </w:r>
    </w:p>
    <w:p w14:paraId="61FF2D45">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2.17.2 合同适用中华人民共和国法律。</w:t>
      </w:r>
    </w:p>
    <w:p w14:paraId="5B49ECCC">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76" w:name="_Toc18540"/>
      <w:bookmarkStart w:id="177" w:name="_Toc4355"/>
      <w:bookmarkStart w:id="178" w:name="_Toc30599"/>
      <w:r>
        <w:rPr>
          <w:rFonts w:hint="eastAsia" w:ascii="宋体" w:hAnsi="宋体" w:eastAsia="宋体" w:cs="宋体"/>
          <w:b/>
          <w:color w:val="000000" w:themeColor="text1"/>
          <w:sz w:val="21"/>
          <w:szCs w:val="21"/>
          <w14:textFill>
            <w14:solidFill>
              <w14:schemeClr w14:val="tx1"/>
            </w14:solidFill>
          </w14:textFill>
        </w:rPr>
        <w:t>2.18 计量单位</w:t>
      </w:r>
      <w:bookmarkEnd w:id="176"/>
      <w:bookmarkEnd w:id="177"/>
      <w:bookmarkEnd w:id="178"/>
    </w:p>
    <w:p w14:paraId="64F5B9AA">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除技术规范中另有规定外,合同的计量单位均使用国家法定计量单位。</w:t>
      </w:r>
    </w:p>
    <w:p w14:paraId="2B7295FC">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2.19合同份数</w:t>
      </w:r>
    </w:p>
    <w:p w14:paraId="14DF54B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合同份数按</w:t>
      </w:r>
      <w:r>
        <w:rPr>
          <w:rFonts w:hint="eastAsia" w:ascii="宋体" w:hAnsi="宋体" w:eastAsia="宋体" w:cs="宋体"/>
          <w:b/>
          <w:color w:val="000000" w:themeColor="text1"/>
          <w:sz w:val="21"/>
          <w:szCs w:val="21"/>
          <w:u w:val="single"/>
          <w14:textFill>
            <w14:solidFill>
              <w14:schemeClr w14:val="tx1"/>
            </w14:solidFill>
          </w14:textFill>
        </w:rPr>
        <w:t>合同专用条款</w:t>
      </w:r>
      <w:r>
        <w:rPr>
          <w:rFonts w:hint="eastAsia" w:ascii="宋体" w:hAnsi="宋体" w:eastAsia="宋体" w:cs="宋体"/>
          <w:color w:val="000000" w:themeColor="text1"/>
          <w:sz w:val="21"/>
          <w:szCs w:val="21"/>
          <w14:textFill>
            <w14:solidFill>
              <w14:schemeClr w14:val="tx1"/>
            </w14:solidFill>
          </w14:textFill>
        </w:rPr>
        <w:t>规定，每份均具有同等法律效力。</w:t>
      </w:r>
    </w:p>
    <w:p w14:paraId="0C20B640">
      <w:pPr>
        <w:pStyle w:val="2"/>
        <w:numPr>
          <w:ilvl w:val="0"/>
          <w:numId w:val="0"/>
        </w:numPr>
        <w:tabs>
          <w:tab w:val="left" w:pos="432"/>
        </w:tabs>
        <w:ind w:leftChars="0" w:firstLine="422" w:firstLineChars="200"/>
        <w:rPr>
          <w:rFonts w:hint="eastAsia" w:ascii="宋体" w:hAnsi="宋体" w:eastAsia="宋体" w:cs="宋体"/>
          <w:sz w:val="21"/>
          <w:szCs w:val="21"/>
          <w:highlight w:val="none"/>
          <w:lang w:val="en-US" w:eastAsia="zh-CN"/>
        </w:rPr>
      </w:pPr>
      <w:r>
        <w:rPr>
          <w:rFonts w:hint="eastAsia" w:ascii="宋体" w:hAnsi="宋体" w:eastAsia="宋体" w:cs="宋体"/>
          <w:b/>
          <w:bCs w:val="0"/>
          <w:kern w:val="2"/>
          <w:sz w:val="21"/>
          <w:szCs w:val="21"/>
          <w:highlight w:val="none"/>
          <w:lang w:val="en-US" w:eastAsia="zh-CN" w:bidi="ar-SA"/>
        </w:rPr>
        <w:t>2.20甲乙双方权利义务</w:t>
      </w:r>
    </w:p>
    <w:p w14:paraId="311E2974">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2.20.1乙方应严格按照磋商文件需求提供保安服务。</w:t>
      </w:r>
    </w:p>
    <w:p w14:paraId="1702E3E2">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2.20.2甲方有督促乙方按合同条款开展保安服务工作的权利。</w:t>
      </w:r>
    </w:p>
    <w:p w14:paraId="779DC8E4">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2.20.3甲方有对乙方的服务进行监督并要求乙方对其服务过程中存在的问题进行整改的权利。</w:t>
      </w:r>
    </w:p>
    <w:p w14:paraId="5C039B3F">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2.20.4乙方在进入甲方指定现场保安服务时，必须遵守甲方规定和制度。</w:t>
      </w:r>
    </w:p>
    <w:p w14:paraId="4E4FDD7F">
      <w:pPr>
        <w:spacing w:line="360" w:lineRule="auto"/>
        <w:jc w:val="center"/>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br w:type="page"/>
      </w:r>
      <w:r>
        <w:rPr>
          <w:rFonts w:hint="eastAsia" w:ascii="宋体" w:hAnsi="宋体" w:eastAsia="宋体" w:cs="宋体"/>
          <w:b/>
          <w:color w:val="000000" w:themeColor="text1"/>
          <w:sz w:val="21"/>
          <w:szCs w:val="21"/>
          <w14:textFill>
            <w14:solidFill>
              <w14:schemeClr w14:val="tx1"/>
            </w14:solidFill>
          </w14:textFill>
        </w:rPr>
        <w:t>第三节 政府采购合同专用条款</w:t>
      </w:r>
    </w:p>
    <w:p w14:paraId="03D806CB">
      <w:pPr>
        <w:spacing w:line="360" w:lineRule="auto"/>
        <w:ind w:left="-440" w:leftChars="-200" w:right="-440" w:righ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8"/>
        <w:gridCol w:w="8660"/>
      </w:tblGrid>
      <w:tr w14:paraId="60AF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667E084">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4464" w:type="pct"/>
            <w:vAlign w:val="center"/>
          </w:tcPr>
          <w:p w14:paraId="48AA76E0">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约定内容</w:t>
            </w:r>
          </w:p>
        </w:tc>
      </w:tr>
      <w:tr w14:paraId="1A99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F5D8B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w:t>
            </w:r>
          </w:p>
        </w:tc>
        <w:tc>
          <w:tcPr>
            <w:tcW w:w="4464" w:type="pct"/>
            <w:vAlign w:val="center"/>
          </w:tcPr>
          <w:p w14:paraId="3A8773C0">
            <w:pPr>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无</w:t>
            </w:r>
          </w:p>
        </w:tc>
      </w:tr>
      <w:tr w14:paraId="6B9D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28E65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w:t>
            </w:r>
          </w:p>
        </w:tc>
        <w:tc>
          <w:tcPr>
            <w:tcW w:w="4464" w:type="pct"/>
            <w:vAlign w:val="center"/>
          </w:tcPr>
          <w:p w14:paraId="585B0318">
            <w:pPr>
              <w:spacing w:line="360" w:lineRule="auto"/>
              <w:rPr>
                <w:rFonts w:hint="eastAsia" w:ascii="宋体" w:hAnsi="宋体" w:eastAsia="宋体" w:cs="宋体"/>
                <w:color w:val="000000" w:themeColor="text1"/>
                <w:sz w:val="21"/>
                <w:szCs w:val="21"/>
                <w14:textFill>
                  <w14:solidFill>
                    <w14:schemeClr w14:val="tx1"/>
                  </w14:solidFill>
                </w14:textFill>
              </w:rPr>
            </w:pPr>
          </w:p>
        </w:tc>
      </w:tr>
      <w:tr w14:paraId="1F9FC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15DC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1.5.1 </w:t>
            </w:r>
          </w:p>
        </w:tc>
        <w:tc>
          <w:tcPr>
            <w:tcW w:w="4464" w:type="pct"/>
            <w:vAlign w:val="center"/>
          </w:tcPr>
          <w:p w14:paraId="32913024">
            <w:pPr>
              <w:spacing w:line="360" w:lineRule="auto"/>
              <w:rPr>
                <w:rFonts w:hint="eastAsia" w:ascii="宋体" w:hAnsi="宋体" w:eastAsia="宋体" w:cs="宋体"/>
                <w:color w:val="000000" w:themeColor="text1"/>
                <w:sz w:val="21"/>
                <w:szCs w:val="21"/>
                <w14:textFill>
                  <w14:solidFill>
                    <w14:schemeClr w14:val="tx1"/>
                  </w14:solidFill>
                </w14:textFill>
              </w:rPr>
            </w:pPr>
          </w:p>
        </w:tc>
      </w:tr>
      <w:tr w14:paraId="453F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A66D8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1.5.2</w:t>
            </w:r>
          </w:p>
        </w:tc>
        <w:tc>
          <w:tcPr>
            <w:tcW w:w="4464" w:type="pct"/>
            <w:vAlign w:val="center"/>
          </w:tcPr>
          <w:p w14:paraId="03C195E8">
            <w:pPr>
              <w:spacing w:line="360" w:lineRule="auto"/>
              <w:rPr>
                <w:rFonts w:hint="eastAsia" w:ascii="宋体" w:hAnsi="宋体" w:eastAsia="宋体" w:cs="宋体"/>
                <w:color w:val="000000" w:themeColor="text1"/>
                <w:sz w:val="21"/>
                <w:szCs w:val="21"/>
                <w14:textFill>
                  <w14:solidFill>
                    <w14:schemeClr w14:val="tx1"/>
                  </w14:solidFill>
                </w14:textFill>
              </w:rPr>
            </w:pPr>
          </w:p>
        </w:tc>
      </w:tr>
      <w:tr w14:paraId="1F7BC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ED7D5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1.5.3 </w:t>
            </w:r>
          </w:p>
        </w:tc>
        <w:tc>
          <w:tcPr>
            <w:tcW w:w="4464" w:type="pct"/>
            <w:vAlign w:val="center"/>
          </w:tcPr>
          <w:p w14:paraId="28C95586">
            <w:pPr>
              <w:spacing w:line="360" w:lineRule="auto"/>
              <w:rPr>
                <w:rFonts w:hint="eastAsia" w:ascii="宋体" w:hAnsi="宋体" w:eastAsia="宋体" w:cs="宋体"/>
                <w:color w:val="000000" w:themeColor="text1"/>
                <w:sz w:val="21"/>
                <w:szCs w:val="21"/>
                <w14:textFill>
                  <w14:solidFill>
                    <w14:schemeClr w14:val="tx1"/>
                  </w14:solidFill>
                </w14:textFill>
              </w:rPr>
            </w:pPr>
          </w:p>
        </w:tc>
      </w:tr>
      <w:tr w14:paraId="5825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FAD57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1.6.2</w:t>
            </w:r>
          </w:p>
        </w:tc>
        <w:tc>
          <w:tcPr>
            <w:tcW w:w="4464" w:type="pct"/>
            <w:vAlign w:val="center"/>
          </w:tcPr>
          <w:p w14:paraId="2B94316F">
            <w:pPr>
              <w:pStyle w:val="2"/>
              <w:tabs>
                <w:tab w:val="left" w:pos="432"/>
              </w:tabs>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1.服务费按月支付，采购人每月开展服务质量考核，考核结果与服务费用支付挂钩，采购人收到发票60日内，审核确认后将上月的服务费转至供应商合同账户。</w:t>
            </w:r>
          </w:p>
          <w:p w14:paraId="5BCD359C">
            <w:pPr>
              <w:spacing w:line="36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eastAsia="zh-CN"/>
              </w:rPr>
              <w:t>2.每个月考核所扣罚的费用，应从当月的服务费用中扣除。即当月实际服务费＝合同每月应付服务费－扣罚费用</w:t>
            </w:r>
          </w:p>
        </w:tc>
      </w:tr>
      <w:tr w14:paraId="33342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7FBA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1.7.1</w:t>
            </w:r>
          </w:p>
        </w:tc>
        <w:tc>
          <w:tcPr>
            <w:tcW w:w="4464" w:type="pct"/>
            <w:vAlign w:val="center"/>
          </w:tcPr>
          <w:p w14:paraId="27BD4DB6">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壹年</w:t>
            </w:r>
          </w:p>
        </w:tc>
      </w:tr>
      <w:tr w14:paraId="42E7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10683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1.7.2</w:t>
            </w:r>
          </w:p>
        </w:tc>
        <w:tc>
          <w:tcPr>
            <w:tcW w:w="4464" w:type="pct"/>
            <w:vAlign w:val="center"/>
          </w:tcPr>
          <w:p w14:paraId="7B97AD9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北海市妇幼保健院（西南大道239号）</w:t>
            </w:r>
          </w:p>
        </w:tc>
      </w:tr>
      <w:tr w14:paraId="797A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774D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4464" w:type="pct"/>
            <w:vAlign w:val="center"/>
          </w:tcPr>
          <w:p w14:paraId="0309F511">
            <w:pPr>
              <w:spacing w:line="360" w:lineRule="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bidi="ar-SA"/>
              </w:rPr>
              <w:t>现场驻场服务</w:t>
            </w:r>
          </w:p>
        </w:tc>
      </w:tr>
      <w:tr w14:paraId="6BF9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E4B6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1.7.4.1</w:t>
            </w:r>
          </w:p>
        </w:tc>
        <w:tc>
          <w:tcPr>
            <w:tcW w:w="4464" w:type="pct"/>
            <w:vAlign w:val="center"/>
          </w:tcPr>
          <w:p w14:paraId="41779E18">
            <w:pPr>
              <w:spacing w:line="360" w:lineRule="auto"/>
              <w:rPr>
                <w:rFonts w:hint="eastAsia" w:ascii="宋体" w:hAnsi="宋体" w:eastAsia="宋体" w:cs="宋体"/>
                <w:color w:val="auto"/>
                <w:sz w:val="21"/>
                <w:szCs w:val="21"/>
              </w:rPr>
            </w:pPr>
          </w:p>
        </w:tc>
      </w:tr>
      <w:tr w14:paraId="52DB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F983A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1.7.4.2</w:t>
            </w:r>
          </w:p>
        </w:tc>
        <w:tc>
          <w:tcPr>
            <w:tcW w:w="4464" w:type="pct"/>
            <w:vAlign w:val="center"/>
          </w:tcPr>
          <w:p w14:paraId="3BBFAD86">
            <w:pPr>
              <w:spacing w:line="360" w:lineRule="auto"/>
              <w:rPr>
                <w:rFonts w:hint="eastAsia" w:ascii="宋体" w:hAnsi="宋体" w:eastAsia="宋体" w:cs="宋体"/>
                <w:color w:val="auto"/>
                <w:sz w:val="21"/>
                <w:szCs w:val="21"/>
              </w:rPr>
            </w:pPr>
          </w:p>
        </w:tc>
      </w:tr>
      <w:tr w14:paraId="3DD1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92CE1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1.7.4.3</w:t>
            </w:r>
          </w:p>
        </w:tc>
        <w:tc>
          <w:tcPr>
            <w:tcW w:w="4464" w:type="pct"/>
            <w:vAlign w:val="center"/>
          </w:tcPr>
          <w:p w14:paraId="24444FCD">
            <w:pPr>
              <w:spacing w:line="360" w:lineRule="auto"/>
              <w:rPr>
                <w:rFonts w:hint="eastAsia" w:ascii="宋体" w:hAnsi="宋体" w:eastAsia="宋体" w:cs="宋体"/>
                <w:color w:val="auto"/>
                <w:sz w:val="21"/>
                <w:szCs w:val="21"/>
              </w:rPr>
            </w:pPr>
          </w:p>
        </w:tc>
      </w:tr>
      <w:tr w14:paraId="5F3B3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E4A3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1.8.7</w:t>
            </w:r>
          </w:p>
        </w:tc>
        <w:tc>
          <w:tcPr>
            <w:tcW w:w="4464" w:type="pct"/>
            <w:vAlign w:val="center"/>
          </w:tcPr>
          <w:p w14:paraId="72A8B03C">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w:t>
            </w:r>
          </w:p>
        </w:tc>
      </w:tr>
      <w:tr w14:paraId="3078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0E2F7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1.9.1</w:t>
            </w:r>
          </w:p>
        </w:tc>
        <w:tc>
          <w:tcPr>
            <w:tcW w:w="4464" w:type="pct"/>
            <w:vAlign w:val="center"/>
          </w:tcPr>
          <w:p w14:paraId="0D25F54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采购人住所地</w:t>
            </w:r>
          </w:p>
        </w:tc>
      </w:tr>
      <w:tr w14:paraId="53A0C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231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1.9.2</w:t>
            </w:r>
          </w:p>
        </w:tc>
        <w:tc>
          <w:tcPr>
            <w:tcW w:w="4464" w:type="pct"/>
            <w:vAlign w:val="center"/>
          </w:tcPr>
          <w:p w14:paraId="01C8A18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向采购人住所地人民法院起诉。</w:t>
            </w:r>
          </w:p>
        </w:tc>
      </w:tr>
      <w:tr w14:paraId="71FE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9DC1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2.3.2</w:t>
            </w:r>
          </w:p>
        </w:tc>
        <w:tc>
          <w:tcPr>
            <w:tcW w:w="4464" w:type="pct"/>
            <w:vAlign w:val="center"/>
          </w:tcPr>
          <w:p w14:paraId="620AF188">
            <w:pPr>
              <w:spacing w:line="360" w:lineRule="auto"/>
              <w:ind w:left="-440" w:leftChars="-200" w:right="-44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合作成果归甲方所有，乙方享有署名权及合理报酬</w:t>
            </w:r>
          </w:p>
        </w:tc>
      </w:tr>
      <w:tr w14:paraId="0C1B1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86FAC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4464" w:type="pct"/>
            <w:vAlign w:val="center"/>
          </w:tcPr>
          <w:p w14:paraId="143953B5">
            <w:pPr>
              <w:pStyle w:val="2"/>
              <w:tabs>
                <w:tab w:val="left" w:pos="432"/>
              </w:tabs>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结算方式：银行转账，甲方应在结算确认后，将款项付至乙方指定账户。</w:t>
            </w:r>
            <w:r>
              <w:rPr>
                <w:rFonts w:hint="eastAsia" w:ascii="宋体" w:hAnsi="宋体" w:eastAsia="宋体" w:cs="宋体"/>
                <w:b w:val="0"/>
                <w:bCs w:val="0"/>
                <w:color w:val="auto"/>
                <w:sz w:val="21"/>
                <w:szCs w:val="21"/>
                <w:lang w:eastAsia="zh-CN"/>
              </w:rPr>
              <w:br w:type="textWrapping"/>
            </w:r>
            <w:r>
              <w:rPr>
                <w:rFonts w:hint="eastAsia" w:ascii="宋体" w:hAnsi="宋体" w:eastAsia="宋体" w:cs="宋体"/>
                <w:b w:val="0"/>
                <w:bCs w:val="0"/>
                <w:color w:val="auto"/>
                <w:sz w:val="21"/>
                <w:szCs w:val="21"/>
                <w:lang w:eastAsia="zh-CN"/>
              </w:rPr>
              <w:t>1.服务费按月支付，采购人每月开展服务质量考核，考核结果与服务费用支付挂钩，采购人收到发票60日内，审核确认后将上月的服务费转至供应商合同账户。</w:t>
            </w:r>
          </w:p>
          <w:p w14:paraId="1A0840CD">
            <w:pPr>
              <w:pStyle w:val="2"/>
              <w:tabs>
                <w:tab w:val="left" w:pos="432"/>
              </w:tabs>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2.每个月考核所扣罚的费用，应从当月的服务费用中扣除。即当月实际服务费＝合同每月应付服务费－扣罚费用</w:t>
            </w:r>
          </w:p>
        </w:tc>
      </w:tr>
      <w:tr w14:paraId="4A53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8745B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2.11.3</w:t>
            </w:r>
          </w:p>
        </w:tc>
        <w:tc>
          <w:tcPr>
            <w:tcW w:w="4464" w:type="pct"/>
            <w:vAlign w:val="center"/>
          </w:tcPr>
          <w:p w14:paraId="1FDEDC6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lang w:val="en-US" w:eastAsia="zh-CN"/>
              </w:rPr>
              <w:t>15个工作日内</w:t>
            </w:r>
          </w:p>
        </w:tc>
      </w:tr>
      <w:tr w14:paraId="0E9F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E6C100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2.11.4 </w:t>
            </w:r>
          </w:p>
        </w:tc>
        <w:tc>
          <w:tcPr>
            <w:tcW w:w="4464" w:type="pct"/>
          </w:tcPr>
          <w:p w14:paraId="4EC8E0C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lang w:val="en-US" w:eastAsia="zh-CN"/>
              </w:rPr>
              <w:t>受不可抗力影响的一方在不可抗力发生后，应在24小时以书面形式通知对方当事人，并在15天内，将有关部门出具的证明文件送达对方当事人。</w:t>
            </w:r>
          </w:p>
        </w:tc>
      </w:tr>
      <w:tr w14:paraId="53853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43288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2.15.1</w:t>
            </w:r>
          </w:p>
        </w:tc>
        <w:tc>
          <w:tcPr>
            <w:tcW w:w="4464" w:type="pct"/>
            <w:vAlign w:val="center"/>
          </w:tcPr>
          <w:p w14:paraId="1C701E8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甲方按照</w:t>
            </w:r>
            <w:r>
              <w:rPr>
                <w:rFonts w:hint="eastAsia" w:ascii="宋体" w:hAnsi="宋体" w:eastAsia="宋体" w:cs="宋体"/>
                <w:color w:val="000000" w:themeColor="text1"/>
                <w:sz w:val="21"/>
                <w:szCs w:val="21"/>
                <w:lang w:eastAsia="zh-CN"/>
                <w14:textFill>
                  <w14:solidFill>
                    <w14:schemeClr w14:val="tx1"/>
                  </w14:solidFill>
                </w14:textFill>
              </w:rPr>
              <w:t>需求</w:t>
            </w:r>
            <w:r>
              <w:rPr>
                <w:rFonts w:hint="eastAsia" w:ascii="宋体" w:hAnsi="宋体" w:eastAsia="宋体" w:cs="宋体"/>
                <w:color w:val="000000" w:themeColor="text1"/>
                <w:sz w:val="21"/>
                <w:szCs w:val="21"/>
                <w14:textFill>
                  <w14:solidFill>
                    <w14:schemeClr w14:val="tx1"/>
                  </w14:solidFill>
                </w14:textFill>
              </w:rPr>
              <w:t>服务达标及考核标准</w:t>
            </w:r>
            <w:r>
              <w:rPr>
                <w:rFonts w:hint="eastAsia" w:ascii="宋体" w:hAnsi="宋体" w:eastAsia="宋体" w:cs="宋体"/>
                <w:color w:val="000000" w:themeColor="text1"/>
                <w:sz w:val="21"/>
                <w:szCs w:val="21"/>
                <w:lang w:eastAsia="zh-CN"/>
                <w14:textFill>
                  <w14:solidFill>
                    <w14:schemeClr w14:val="tx1"/>
                  </w14:solidFill>
                </w14:textFill>
              </w:rPr>
              <w:t>对乙方进行定期考核</w:t>
            </w:r>
            <w:r>
              <w:rPr>
                <w:rFonts w:hint="eastAsia" w:ascii="宋体" w:hAnsi="宋体" w:eastAsia="宋体" w:cs="宋体"/>
                <w:color w:val="000000" w:themeColor="text1"/>
                <w:sz w:val="21"/>
                <w:szCs w:val="21"/>
                <w14:textFill>
                  <w14:solidFill>
                    <w14:schemeClr w14:val="tx1"/>
                  </w14:solidFill>
                </w14:textFill>
              </w:rPr>
              <w:t>；</w:t>
            </w:r>
          </w:p>
        </w:tc>
      </w:tr>
      <w:tr w14:paraId="435C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0D6A6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2.15.3</w:t>
            </w:r>
          </w:p>
        </w:tc>
        <w:tc>
          <w:tcPr>
            <w:tcW w:w="4464" w:type="pct"/>
            <w:vAlign w:val="center"/>
          </w:tcPr>
          <w:p w14:paraId="1F631AB7">
            <w:pPr>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无</w:t>
            </w:r>
          </w:p>
        </w:tc>
      </w:tr>
      <w:tr w14:paraId="6C78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8F6C31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2.19</w:t>
            </w:r>
          </w:p>
        </w:tc>
        <w:tc>
          <w:tcPr>
            <w:tcW w:w="4464" w:type="pct"/>
          </w:tcPr>
          <w:p w14:paraId="76773B7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本合同一式</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份，具有同等法律效力，采购人同级政府采购监督管理部门、采购代理机构各一份，甲方</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份，乙方一份(可根据需要另增加)。</w:t>
            </w:r>
          </w:p>
        </w:tc>
      </w:tr>
    </w:tbl>
    <w:p w14:paraId="1F15E15F">
      <w:pPr>
        <w:snapToGrid w:val="0"/>
        <w:spacing w:line="360" w:lineRule="auto"/>
        <w:jc w:val="center"/>
        <w:rPr>
          <w:rFonts w:hint="eastAsia" w:ascii="宋体" w:hAnsi="宋体" w:eastAsia="宋体" w:cs="宋体"/>
          <w:b/>
          <w:color w:val="FF0000"/>
          <w:sz w:val="21"/>
          <w:szCs w:val="21"/>
        </w:rPr>
      </w:pPr>
    </w:p>
    <w:p w14:paraId="6998B86F">
      <w:pPr>
        <w:snapToGrid w:val="0"/>
        <w:spacing w:line="36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合 同 附 件</w:t>
      </w:r>
    </w:p>
    <w:p w14:paraId="29B3E9DD">
      <w:pPr>
        <w:snapToGrid w:val="0"/>
        <w:spacing w:before="48" w:beforeLines="20"/>
        <w:rPr>
          <w:rFonts w:ascii="宋体" w:hAnsi="宋体" w:eastAsia="宋体" w:cs="宋体"/>
          <w:color w:val="auto"/>
          <w:sz w:val="21"/>
          <w:szCs w:val="21"/>
        </w:rPr>
      </w:pPr>
      <w:r>
        <w:rPr>
          <w:rFonts w:hint="eastAsia" w:ascii="宋体" w:hAnsi="宋体" w:eastAsia="宋体" w:cs="宋体"/>
          <w:color w:val="auto"/>
          <w:sz w:val="21"/>
          <w:szCs w:val="21"/>
        </w:rPr>
        <w:t xml:space="preserve">  保安执行合同情况考核表：</w:t>
      </w:r>
    </w:p>
    <w:tbl>
      <w:tblPr>
        <w:tblStyle w:val="22"/>
        <w:tblpPr w:leftFromText="180" w:rightFromText="180" w:vertAnchor="text" w:horzAnchor="page" w:tblpX="1151" w:tblpY="299"/>
        <w:tblOverlap w:val="never"/>
        <w:tblW w:w="5001"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0"/>
        <w:gridCol w:w="5009"/>
        <w:gridCol w:w="732"/>
        <w:gridCol w:w="732"/>
        <w:gridCol w:w="1098"/>
        <w:gridCol w:w="1619"/>
      </w:tblGrid>
      <w:tr w14:paraId="04D4EE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6" w:hRule="atLeast"/>
        </w:trPr>
        <w:tc>
          <w:tcPr>
            <w:tcW w:w="5000" w:type="pct"/>
            <w:gridSpan w:val="6"/>
            <w:tcBorders>
              <w:tl2br w:val="nil"/>
              <w:tr2bl w:val="nil"/>
            </w:tcBorders>
            <w:noWrap w:val="0"/>
            <w:vAlign w:val="center"/>
          </w:tcPr>
          <w:p w14:paraId="0E71983D">
            <w:pPr>
              <w:jc w:val="center"/>
              <w:rPr>
                <w:rFonts w:hint="eastAsia" w:ascii="宋体" w:hAnsi="宋体" w:cs="宋体"/>
                <w:b/>
                <w:bCs/>
                <w:color w:val="auto"/>
                <w:sz w:val="21"/>
                <w:szCs w:val="21"/>
                <w:lang w:eastAsia="zh-CN"/>
              </w:rPr>
            </w:pPr>
            <w:bookmarkStart w:id="179" w:name="_Toc29102_WPSOffice_Level1"/>
            <w:bookmarkStart w:id="180" w:name="_Toc20315"/>
            <w:bookmarkStart w:id="181" w:name="_Toc641_WPSOffice_Level1"/>
            <w:bookmarkStart w:id="182" w:name="_Toc23979_WPSOffice_Level1"/>
            <w:r>
              <w:rPr>
                <w:rFonts w:hint="eastAsia" w:ascii="宋体" w:hAnsi="宋体" w:cs="宋体"/>
                <w:b/>
                <w:bCs/>
                <w:color w:val="auto"/>
                <w:sz w:val="21"/>
                <w:szCs w:val="21"/>
                <w:lang w:eastAsia="zh-CN"/>
              </w:rPr>
              <w:t xml:space="preserve">北海市妇幼保健院驻勤保安服务考核表（ </w:t>
            </w:r>
            <w:r>
              <w:rPr>
                <w:rFonts w:hint="eastAsia" w:ascii="宋体" w:hAnsi="宋体" w:cs="宋体"/>
                <w:b/>
                <w:bCs/>
                <w:color w:val="auto"/>
                <w:sz w:val="21"/>
                <w:szCs w:val="21"/>
                <w:lang w:val="en-US" w:eastAsia="zh-CN"/>
              </w:rPr>
              <w:t xml:space="preserve"> 年</w:t>
            </w:r>
            <w:r>
              <w:rPr>
                <w:rFonts w:hint="eastAsia" w:ascii="宋体" w:hAnsi="宋体" w:cs="宋体"/>
                <w:b/>
                <w:bCs/>
                <w:color w:val="auto"/>
                <w:sz w:val="21"/>
                <w:szCs w:val="21"/>
                <w:lang w:eastAsia="zh-CN"/>
              </w:rPr>
              <w:t xml:space="preserve"> 月）</w:t>
            </w:r>
          </w:p>
        </w:tc>
      </w:tr>
      <w:tr w14:paraId="10FE4C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6" w:hRule="atLeast"/>
        </w:trPr>
        <w:tc>
          <w:tcPr>
            <w:tcW w:w="340" w:type="pct"/>
            <w:tcBorders>
              <w:tl2br w:val="nil"/>
              <w:tr2bl w:val="nil"/>
            </w:tcBorders>
            <w:noWrap w:val="0"/>
            <w:vAlign w:val="center"/>
          </w:tcPr>
          <w:p w14:paraId="01CF8987">
            <w:pPr>
              <w:tabs>
                <w:tab w:val="left" w:pos="428"/>
              </w:tabs>
              <w:jc w:val="center"/>
              <w:rPr>
                <w:rFonts w:hint="eastAsia" w:ascii="宋体" w:hAnsi="宋体" w:eastAsia="宋体" w:cs="宋体"/>
                <w:b/>
                <w:bCs/>
                <w:sz w:val="21"/>
                <w:szCs w:val="21"/>
                <w:lang w:eastAsia="zh-CN"/>
              </w:rPr>
            </w:pPr>
            <w:bookmarkStart w:id="183" w:name="第六章__评审方法"/>
            <w:bookmarkEnd w:id="183"/>
            <w:r>
              <w:rPr>
                <w:rFonts w:hint="eastAsia" w:ascii="宋体" w:hAnsi="宋体" w:eastAsia="宋体" w:cs="宋体"/>
                <w:b/>
                <w:bCs/>
                <w:sz w:val="21"/>
                <w:szCs w:val="21"/>
                <w:lang w:eastAsia="zh-CN"/>
              </w:rPr>
              <w:t>序号</w:t>
            </w:r>
          </w:p>
        </w:tc>
        <w:tc>
          <w:tcPr>
            <w:tcW w:w="2539" w:type="pct"/>
            <w:tcBorders>
              <w:tl2br w:val="nil"/>
              <w:tr2bl w:val="nil"/>
            </w:tcBorders>
            <w:noWrap w:val="0"/>
            <w:vAlign w:val="center"/>
          </w:tcPr>
          <w:p w14:paraId="0ABBF7BC">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考核</w:t>
            </w:r>
            <w:r>
              <w:rPr>
                <w:rFonts w:hint="eastAsia" w:ascii="宋体" w:hAnsi="宋体" w:eastAsia="宋体" w:cs="宋体"/>
                <w:b/>
                <w:bCs/>
                <w:sz w:val="21"/>
                <w:szCs w:val="21"/>
              </w:rPr>
              <w:t>标准</w:t>
            </w:r>
          </w:p>
        </w:tc>
        <w:tc>
          <w:tcPr>
            <w:tcW w:w="371" w:type="pct"/>
            <w:tcBorders>
              <w:tl2br w:val="nil"/>
              <w:tr2bl w:val="nil"/>
            </w:tcBorders>
            <w:noWrap w:val="0"/>
            <w:vAlign w:val="center"/>
          </w:tcPr>
          <w:p w14:paraId="74E926D8">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分值</w:t>
            </w:r>
          </w:p>
        </w:tc>
        <w:tc>
          <w:tcPr>
            <w:tcW w:w="371" w:type="pct"/>
            <w:tcBorders>
              <w:tl2br w:val="nil"/>
              <w:tr2bl w:val="nil"/>
            </w:tcBorders>
            <w:noWrap w:val="0"/>
            <w:vAlign w:val="center"/>
          </w:tcPr>
          <w:p w14:paraId="58ADA751">
            <w:pPr>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得分</w:t>
            </w:r>
          </w:p>
        </w:tc>
        <w:tc>
          <w:tcPr>
            <w:tcW w:w="557" w:type="pct"/>
            <w:tcBorders>
              <w:tl2br w:val="nil"/>
              <w:tr2bl w:val="nil"/>
            </w:tcBorders>
            <w:noWrap w:val="0"/>
            <w:vAlign w:val="center"/>
          </w:tcPr>
          <w:p w14:paraId="23E930B5">
            <w:pPr>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扣款情况</w:t>
            </w:r>
          </w:p>
        </w:tc>
        <w:tc>
          <w:tcPr>
            <w:tcW w:w="819" w:type="pct"/>
            <w:tcBorders>
              <w:tl2br w:val="nil"/>
              <w:tr2bl w:val="nil"/>
            </w:tcBorders>
            <w:noWrap w:val="0"/>
            <w:vAlign w:val="center"/>
          </w:tcPr>
          <w:p w14:paraId="22931426">
            <w:pPr>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扣分扣款原因</w:t>
            </w:r>
          </w:p>
        </w:tc>
      </w:tr>
      <w:tr w14:paraId="02D6DA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05468AE8">
            <w:pPr>
              <w:jc w:val="center"/>
              <w:rPr>
                <w:rFonts w:hint="eastAsia" w:ascii="宋体" w:hAnsi="宋体" w:eastAsia="宋体" w:cs="宋体"/>
                <w:b/>
                <w:bCs/>
                <w:spacing w:val="11"/>
                <w:sz w:val="21"/>
                <w:szCs w:val="21"/>
                <w:lang w:val="en-US" w:eastAsia="zh-CN"/>
              </w:rPr>
            </w:pPr>
            <w:r>
              <w:rPr>
                <w:rFonts w:hint="eastAsia" w:ascii="宋体" w:hAnsi="宋体" w:eastAsia="宋体" w:cs="宋体"/>
                <w:b/>
                <w:bCs/>
                <w:spacing w:val="11"/>
                <w:sz w:val="21"/>
                <w:szCs w:val="21"/>
                <w:lang w:val="en-US" w:eastAsia="zh-CN"/>
              </w:rPr>
              <w:t>1</w:t>
            </w:r>
          </w:p>
        </w:tc>
        <w:tc>
          <w:tcPr>
            <w:tcW w:w="2539" w:type="pct"/>
            <w:tcBorders>
              <w:tl2br w:val="nil"/>
              <w:tr2bl w:val="nil"/>
            </w:tcBorders>
            <w:noWrap w:val="0"/>
            <w:vAlign w:val="center"/>
          </w:tcPr>
          <w:p w14:paraId="566E53B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对值班保安要严加管理，发生空岗、缺岗、脱岗、睡岗、上岗前喝酒（以人为记录和电子记录为准）等行为的，每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0.5分并扣款50至100</w:t>
            </w:r>
            <w:r>
              <w:rPr>
                <w:rFonts w:hint="eastAsia" w:ascii="宋体" w:hAnsi="宋体" w:eastAsia="宋体" w:cs="宋体"/>
                <w:b/>
                <w:bCs/>
                <w:color w:val="000000"/>
                <w:sz w:val="21"/>
                <w:szCs w:val="21"/>
              </w:rPr>
              <w:t>元，严重行为即时更换并处理。</w:t>
            </w:r>
          </w:p>
        </w:tc>
        <w:tc>
          <w:tcPr>
            <w:tcW w:w="371" w:type="pct"/>
            <w:tcBorders>
              <w:tl2br w:val="nil"/>
              <w:tr2bl w:val="nil"/>
            </w:tcBorders>
            <w:noWrap w:val="0"/>
            <w:vAlign w:val="center"/>
          </w:tcPr>
          <w:p w14:paraId="7BFBCA8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FE4959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6BB7E5D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C27E03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FFAE5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45861175">
            <w:pPr>
              <w:jc w:val="center"/>
              <w:rPr>
                <w:rFonts w:hint="eastAsia" w:ascii="宋体" w:hAnsi="宋体" w:eastAsia="宋体" w:cs="宋体"/>
                <w:b/>
                <w:bCs/>
                <w:spacing w:val="11"/>
                <w:sz w:val="21"/>
                <w:szCs w:val="21"/>
                <w:lang w:val="en-US" w:eastAsia="zh-CN"/>
              </w:rPr>
            </w:pPr>
            <w:r>
              <w:rPr>
                <w:rFonts w:hint="eastAsia" w:ascii="宋体" w:hAnsi="宋体" w:eastAsia="宋体" w:cs="宋体"/>
                <w:b/>
                <w:bCs/>
                <w:spacing w:val="11"/>
                <w:sz w:val="21"/>
                <w:szCs w:val="21"/>
                <w:lang w:val="en-US" w:eastAsia="zh-CN"/>
              </w:rPr>
              <w:t>2</w:t>
            </w:r>
          </w:p>
        </w:tc>
        <w:tc>
          <w:tcPr>
            <w:tcW w:w="2539" w:type="pct"/>
            <w:tcBorders>
              <w:tl2br w:val="nil"/>
              <w:tr2bl w:val="nil"/>
            </w:tcBorders>
            <w:noWrap w:val="0"/>
            <w:vAlign w:val="center"/>
          </w:tcPr>
          <w:p w14:paraId="12FA03B3">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发生不法分子对医院的干扰，特别是医托、医闹、暴恐和盗窃事件不及时妥善处理（阻止、制止、控制）的，每次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1分并对</w:t>
            </w:r>
            <w:r>
              <w:rPr>
                <w:rFonts w:hint="eastAsia" w:ascii="宋体" w:hAnsi="宋体" w:eastAsia="宋体" w:cs="宋体"/>
                <w:b/>
                <w:bCs/>
                <w:color w:val="000000"/>
                <w:sz w:val="21"/>
                <w:szCs w:val="21"/>
              </w:rPr>
              <w:t>供应商</w:t>
            </w:r>
            <w:r>
              <w:rPr>
                <w:rFonts w:hint="eastAsia" w:ascii="宋体" w:hAnsi="宋体" w:cs="宋体"/>
                <w:b/>
                <w:bCs/>
                <w:color w:val="000000"/>
                <w:sz w:val="21"/>
                <w:szCs w:val="21"/>
                <w:lang w:eastAsia="zh-CN"/>
              </w:rPr>
              <w:t>扣款</w:t>
            </w:r>
            <w:r>
              <w:rPr>
                <w:rFonts w:hint="eastAsia" w:ascii="宋体" w:hAnsi="宋体" w:eastAsia="宋体" w:cs="宋体"/>
                <w:b/>
                <w:bCs/>
                <w:color w:val="000000"/>
                <w:sz w:val="21"/>
                <w:szCs w:val="21"/>
              </w:rPr>
              <w:t>1000—3000元。</w:t>
            </w:r>
          </w:p>
        </w:tc>
        <w:tc>
          <w:tcPr>
            <w:tcW w:w="371" w:type="pct"/>
            <w:tcBorders>
              <w:tl2br w:val="nil"/>
              <w:tr2bl w:val="nil"/>
            </w:tcBorders>
            <w:noWrap w:val="0"/>
            <w:vAlign w:val="center"/>
          </w:tcPr>
          <w:p w14:paraId="462EFC3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9411E9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34D87D4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8DBDFB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D10B0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2" w:hRule="atLeast"/>
        </w:trPr>
        <w:tc>
          <w:tcPr>
            <w:tcW w:w="340" w:type="pct"/>
            <w:tcBorders>
              <w:tl2br w:val="nil"/>
              <w:tr2bl w:val="nil"/>
            </w:tcBorders>
            <w:noWrap w:val="0"/>
            <w:vAlign w:val="center"/>
          </w:tcPr>
          <w:p w14:paraId="478DD07F">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3</w:t>
            </w:r>
          </w:p>
        </w:tc>
        <w:tc>
          <w:tcPr>
            <w:tcW w:w="2539" w:type="pct"/>
            <w:tcBorders>
              <w:tl2br w:val="nil"/>
              <w:tr2bl w:val="nil"/>
            </w:tcBorders>
            <w:noWrap w:val="0"/>
            <w:vAlign w:val="center"/>
          </w:tcPr>
          <w:p w14:paraId="6C5538CB">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000000"/>
                <w:sz w:val="21"/>
                <w:szCs w:val="21"/>
                <w:lang w:val="en-US"/>
              </w:rPr>
            </w:pPr>
            <w:r>
              <w:rPr>
                <w:rFonts w:hint="eastAsia" w:ascii="宋体" w:hAnsi="宋体" w:eastAsia="宋体" w:cs="宋体"/>
                <w:b/>
                <w:bCs w:val="0"/>
                <w:color w:val="000000"/>
                <w:sz w:val="21"/>
                <w:szCs w:val="21"/>
                <w:lang w:val="en-US" w:eastAsia="zh-CN"/>
              </w:rPr>
              <w:t>当班人员因责任心不强，巡查不到位导致公共设施被盗、被破坏的，供应商及当班保安人员应共同承担相应的法律及经济损失赔偿责任，责任的界定由甲、乙双方确定或由公安司法部门裁定。发生一起扣1分。</w:t>
            </w:r>
          </w:p>
        </w:tc>
        <w:tc>
          <w:tcPr>
            <w:tcW w:w="371" w:type="pct"/>
            <w:tcBorders>
              <w:tl2br w:val="nil"/>
              <w:tr2bl w:val="nil"/>
            </w:tcBorders>
            <w:noWrap w:val="0"/>
            <w:vAlign w:val="center"/>
          </w:tcPr>
          <w:p w14:paraId="50CFD1C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05E2693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5F173A6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6A1F681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0A03B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613CCE89">
            <w:pPr>
              <w:jc w:val="center"/>
              <w:rPr>
                <w:rFonts w:hint="default" w:ascii="宋体" w:hAnsi="宋体" w:eastAsia="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4</w:t>
            </w:r>
          </w:p>
        </w:tc>
        <w:tc>
          <w:tcPr>
            <w:tcW w:w="2539" w:type="pct"/>
            <w:tcBorders>
              <w:tl2br w:val="nil"/>
              <w:tr2bl w:val="nil"/>
            </w:tcBorders>
            <w:noWrap w:val="0"/>
            <w:vAlign w:val="center"/>
          </w:tcPr>
          <w:p w14:paraId="49528E57">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值班人员须着保安制服上班，不穿保安制服上班每人/次扣</w:t>
            </w:r>
            <w:r>
              <w:rPr>
                <w:rFonts w:hint="eastAsia" w:ascii="宋体" w:hAnsi="宋体" w:cs="宋体"/>
                <w:b/>
                <w:bCs/>
                <w:color w:val="auto"/>
                <w:sz w:val="21"/>
                <w:szCs w:val="21"/>
                <w:lang w:val="en-US" w:eastAsia="zh-CN"/>
              </w:rPr>
              <w:t>0.5分并扣款50至100</w:t>
            </w:r>
            <w:r>
              <w:rPr>
                <w:rFonts w:hint="eastAsia" w:ascii="宋体" w:hAnsi="宋体" w:eastAsia="宋体" w:cs="宋体"/>
                <w:b/>
                <w:bCs/>
                <w:color w:val="auto"/>
                <w:sz w:val="21"/>
                <w:szCs w:val="21"/>
              </w:rPr>
              <w:t>元。</w:t>
            </w:r>
          </w:p>
        </w:tc>
        <w:tc>
          <w:tcPr>
            <w:tcW w:w="371" w:type="pct"/>
            <w:tcBorders>
              <w:tl2br w:val="nil"/>
              <w:tr2bl w:val="nil"/>
            </w:tcBorders>
            <w:noWrap w:val="0"/>
            <w:vAlign w:val="center"/>
          </w:tcPr>
          <w:p w14:paraId="33BFF07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2.5</w:t>
            </w:r>
          </w:p>
        </w:tc>
        <w:tc>
          <w:tcPr>
            <w:tcW w:w="371" w:type="pct"/>
            <w:tcBorders>
              <w:tl2br w:val="nil"/>
              <w:tr2bl w:val="nil"/>
            </w:tcBorders>
            <w:noWrap w:val="0"/>
            <w:vAlign w:val="center"/>
          </w:tcPr>
          <w:p w14:paraId="3C081D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2B037B7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5176004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491F1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4" w:hRule="atLeast"/>
        </w:trPr>
        <w:tc>
          <w:tcPr>
            <w:tcW w:w="340" w:type="pct"/>
            <w:tcBorders>
              <w:tl2br w:val="nil"/>
              <w:tr2bl w:val="nil"/>
            </w:tcBorders>
            <w:noWrap w:val="0"/>
            <w:vAlign w:val="center"/>
          </w:tcPr>
          <w:p w14:paraId="7A80A8C8">
            <w:pPr>
              <w:jc w:val="center"/>
              <w:rPr>
                <w:rFonts w:hint="default" w:ascii="宋体" w:hAnsi="宋体" w:eastAsia="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5</w:t>
            </w:r>
          </w:p>
        </w:tc>
        <w:tc>
          <w:tcPr>
            <w:tcW w:w="2539" w:type="pct"/>
            <w:tcBorders>
              <w:tl2br w:val="nil"/>
              <w:tr2bl w:val="nil"/>
            </w:tcBorders>
            <w:noWrap w:val="0"/>
            <w:vAlign w:val="center"/>
          </w:tcPr>
          <w:p w14:paraId="0643697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shd w:val="clear" w:color="auto" w:fill="auto"/>
              </w:rPr>
              <w:t>在医院范围内开展（24小时）昼夜值班巡逻、守护，不迟到，不早退。保安提前10分钟到达交接地点，并认真做好交接班工作，检查所配装备是否完好有效，并填报《安保值班交接记录表》。</w:t>
            </w:r>
            <w:r>
              <w:rPr>
                <w:rFonts w:hint="eastAsia" w:ascii="宋体" w:hAnsi="宋体" w:eastAsia="宋体" w:cs="宋体"/>
                <w:b/>
                <w:bCs/>
                <w:color w:val="auto"/>
                <w:sz w:val="21"/>
                <w:szCs w:val="21"/>
              </w:rPr>
              <w:t>不开展交接班工作的，每人/次</w:t>
            </w:r>
            <w:r>
              <w:rPr>
                <w:rFonts w:hint="eastAsia" w:ascii="宋体" w:hAnsi="宋体" w:cs="宋体"/>
                <w:b/>
                <w:bCs/>
                <w:color w:val="auto"/>
                <w:sz w:val="21"/>
                <w:szCs w:val="21"/>
                <w:lang w:eastAsia="zh-CN"/>
              </w:rPr>
              <w:t>扣</w:t>
            </w:r>
            <w:r>
              <w:rPr>
                <w:rFonts w:hint="eastAsia" w:ascii="宋体" w:hAnsi="宋体" w:cs="宋体"/>
                <w:b/>
                <w:bCs/>
                <w:color w:val="auto"/>
                <w:sz w:val="21"/>
                <w:szCs w:val="21"/>
                <w:lang w:val="en-US" w:eastAsia="zh-CN"/>
              </w:rPr>
              <w:t>0.5分并</w:t>
            </w:r>
            <w:r>
              <w:rPr>
                <w:rFonts w:hint="eastAsia" w:ascii="宋体" w:hAnsi="宋体" w:eastAsia="宋体" w:cs="宋体"/>
                <w:b/>
                <w:bCs/>
                <w:color w:val="auto"/>
                <w:sz w:val="21"/>
                <w:szCs w:val="21"/>
                <w:lang w:eastAsia="zh-CN"/>
              </w:rPr>
              <w:t>扣</w:t>
            </w:r>
            <w:r>
              <w:rPr>
                <w:rFonts w:hint="eastAsia" w:ascii="宋体" w:hAnsi="宋体" w:cs="宋体"/>
                <w:b/>
                <w:bCs/>
                <w:color w:val="auto"/>
                <w:sz w:val="21"/>
                <w:szCs w:val="21"/>
                <w:lang w:eastAsia="zh-CN"/>
              </w:rPr>
              <w:t>款</w:t>
            </w:r>
            <w:r>
              <w:rPr>
                <w:rFonts w:hint="eastAsia" w:ascii="宋体" w:hAnsi="宋体" w:eastAsia="宋体" w:cs="宋体"/>
                <w:b/>
                <w:bCs/>
                <w:color w:val="auto"/>
                <w:sz w:val="21"/>
                <w:szCs w:val="21"/>
              </w:rPr>
              <w:t>50元。因交接班工作盘点财物不到位造成损失的由交接班双方共同承担。</w:t>
            </w:r>
          </w:p>
        </w:tc>
        <w:tc>
          <w:tcPr>
            <w:tcW w:w="371" w:type="pct"/>
            <w:tcBorders>
              <w:tl2br w:val="nil"/>
              <w:tr2bl w:val="nil"/>
            </w:tcBorders>
            <w:noWrap w:val="0"/>
            <w:vAlign w:val="center"/>
          </w:tcPr>
          <w:p w14:paraId="15A94CF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371" w:type="pct"/>
            <w:tcBorders>
              <w:tl2br w:val="nil"/>
              <w:tr2bl w:val="nil"/>
            </w:tcBorders>
            <w:noWrap w:val="0"/>
            <w:vAlign w:val="center"/>
          </w:tcPr>
          <w:p w14:paraId="2AFF6A0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3B245E8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DD1FA0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0FD1F0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21986B21">
            <w:pPr>
              <w:jc w:val="center"/>
              <w:rPr>
                <w:rFonts w:hint="default" w:ascii="宋体" w:hAnsi="宋体" w:eastAsia="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6</w:t>
            </w:r>
          </w:p>
        </w:tc>
        <w:tc>
          <w:tcPr>
            <w:tcW w:w="2539" w:type="pct"/>
            <w:tcBorders>
              <w:tl2br w:val="nil"/>
              <w:tr2bl w:val="nil"/>
            </w:tcBorders>
            <w:noWrap w:val="0"/>
            <w:vAlign w:val="center"/>
          </w:tcPr>
          <w:p w14:paraId="3D86E16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auto"/>
              </w:rPr>
              <w:t>上班迟到早退达到10分钟的每人/次扣20元</w:t>
            </w:r>
            <w:r>
              <w:rPr>
                <w:rFonts w:hint="eastAsia" w:ascii="宋体" w:hAnsi="宋体" w:cs="宋体"/>
                <w:b/>
                <w:bCs/>
                <w:color w:val="auto"/>
                <w:sz w:val="21"/>
                <w:szCs w:val="21"/>
                <w:shd w:val="clear" w:color="auto" w:fill="auto"/>
                <w:lang w:eastAsia="zh-CN"/>
              </w:rPr>
              <w:t>；</w:t>
            </w:r>
            <w:r>
              <w:rPr>
                <w:rFonts w:hint="eastAsia" w:ascii="宋体" w:hAnsi="宋体" w:eastAsia="宋体" w:cs="宋体"/>
                <w:b/>
                <w:bCs/>
                <w:color w:val="auto"/>
                <w:sz w:val="21"/>
                <w:szCs w:val="21"/>
                <w:shd w:val="clear" w:color="auto" w:fill="auto"/>
              </w:rPr>
              <w:t>迟到早退超过30分钟的算旷工</w:t>
            </w:r>
            <w:r>
              <w:rPr>
                <w:rFonts w:hint="eastAsia" w:ascii="宋体" w:hAnsi="宋体" w:eastAsia="宋体" w:cs="宋体"/>
                <w:b/>
                <w:bCs/>
                <w:color w:val="auto"/>
                <w:sz w:val="21"/>
                <w:szCs w:val="21"/>
                <w:shd w:val="clear" w:color="auto" w:fill="auto"/>
                <w:lang w:eastAsia="zh-CN"/>
              </w:rPr>
              <w:t>，扣除一天工资</w:t>
            </w:r>
            <w:r>
              <w:rPr>
                <w:rFonts w:hint="eastAsia" w:ascii="宋体" w:hAnsi="宋体" w:cs="宋体"/>
                <w:b/>
                <w:bCs/>
                <w:color w:val="auto"/>
                <w:sz w:val="21"/>
                <w:szCs w:val="21"/>
                <w:shd w:val="clear" w:color="auto" w:fill="auto"/>
                <w:lang w:eastAsia="zh-CN"/>
              </w:rPr>
              <w:t>，</w:t>
            </w:r>
            <w:r>
              <w:rPr>
                <w:rFonts w:hint="eastAsia" w:ascii="宋体" w:hAnsi="宋体" w:cs="宋体"/>
                <w:b/>
                <w:bCs/>
                <w:color w:val="auto"/>
                <w:sz w:val="21"/>
                <w:szCs w:val="21"/>
                <w:shd w:val="clear" w:color="auto" w:fill="auto"/>
                <w:lang w:val="en-US" w:eastAsia="zh-CN"/>
              </w:rPr>
              <w:t>每人次扣0.5分。除因台风、暴雨等恶劣天气外。</w:t>
            </w:r>
          </w:p>
        </w:tc>
        <w:tc>
          <w:tcPr>
            <w:tcW w:w="371" w:type="pct"/>
            <w:tcBorders>
              <w:tl2br w:val="nil"/>
              <w:tr2bl w:val="nil"/>
            </w:tcBorders>
            <w:noWrap w:val="0"/>
            <w:vAlign w:val="center"/>
          </w:tcPr>
          <w:p w14:paraId="19E9BF3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371" w:type="pct"/>
            <w:tcBorders>
              <w:tl2br w:val="nil"/>
              <w:tr2bl w:val="nil"/>
            </w:tcBorders>
            <w:noWrap w:val="0"/>
            <w:vAlign w:val="center"/>
          </w:tcPr>
          <w:p w14:paraId="4716965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70F1125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DE8FAD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0DD8F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6DA15B2C">
            <w:pPr>
              <w:jc w:val="center"/>
              <w:rPr>
                <w:rFonts w:hint="default" w:ascii="宋体" w:hAnsi="宋体" w:cs="宋体"/>
                <w:b/>
                <w:bCs/>
                <w:spacing w:val="11"/>
                <w:sz w:val="21"/>
                <w:szCs w:val="21"/>
                <w:lang w:val="en-US" w:eastAsia="zh-CN"/>
              </w:rPr>
            </w:pPr>
            <w:r>
              <w:rPr>
                <w:rFonts w:hint="eastAsia" w:ascii="宋体" w:hAnsi="宋体" w:cs="宋体"/>
                <w:b/>
                <w:bCs/>
                <w:spacing w:val="11"/>
                <w:sz w:val="21"/>
                <w:szCs w:val="21"/>
                <w:lang w:val="en-US" w:eastAsia="zh-CN"/>
              </w:rPr>
              <w:t>7</w:t>
            </w:r>
          </w:p>
        </w:tc>
        <w:tc>
          <w:tcPr>
            <w:tcW w:w="2539" w:type="pct"/>
            <w:tcBorders>
              <w:tl2br w:val="nil"/>
              <w:tr2bl w:val="nil"/>
            </w:tcBorders>
            <w:noWrap w:val="0"/>
            <w:vAlign w:val="center"/>
          </w:tcPr>
          <w:p w14:paraId="73D9BD1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sz w:val="21"/>
                <w:szCs w:val="21"/>
                <w:shd w:val="clear" w:color="auto" w:fill="auto"/>
              </w:rPr>
            </w:pPr>
            <w:r>
              <w:rPr>
                <w:rFonts w:hint="eastAsia" w:ascii="宋体" w:hAnsi="宋体" w:eastAsia="宋体" w:cs="宋体"/>
                <w:b/>
                <w:bCs/>
                <w:spacing w:val="11"/>
                <w:sz w:val="21"/>
                <w:szCs w:val="21"/>
              </w:rPr>
              <w:t>检查中发现有保安人员窜岗聊天或在岗位上看报纸（杂志或书等）、玩手机、睡岗或做与值班期间无关的事，</w:t>
            </w:r>
            <w:r>
              <w:rPr>
                <w:rFonts w:hint="eastAsia" w:ascii="宋体" w:hAnsi="宋体" w:eastAsia="宋体" w:cs="宋体"/>
                <w:b/>
                <w:bCs/>
                <w:color w:val="000000"/>
                <w:sz w:val="21"/>
                <w:szCs w:val="21"/>
              </w:rPr>
              <w:t>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w:t>
            </w:r>
            <w:r>
              <w:rPr>
                <w:rFonts w:hint="eastAsia" w:ascii="宋体" w:hAnsi="宋体" w:eastAsia="宋体" w:cs="宋体"/>
                <w:b/>
                <w:bCs/>
                <w:spacing w:val="11"/>
                <w:sz w:val="21"/>
                <w:szCs w:val="21"/>
              </w:rPr>
              <w:t>扣</w:t>
            </w:r>
            <w:r>
              <w:rPr>
                <w:rFonts w:hint="eastAsia" w:ascii="宋体" w:hAnsi="宋体" w:cs="宋体"/>
                <w:b/>
                <w:bCs/>
                <w:spacing w:val="11"/>
                <w:sz w:val="21"/>
                <w:szCs w:val="21"/>
                <w:lang w:eastAsia="zh-CN"/>
              </w:rPr>
              <w:t>款</w:t>
            </w:r>
            <w:r>
              <w:rPr>
                <w:rFonts w:hint="eastAsia" w:ascii="宋体" w:hAnsi="宋体" w:eastAsia="宋体" w:cs="宋体"/>
                <w:b/>
                <w:bCs/>
                <w:spacing w:val="11"/>
                <w:sz w:val="21"/>
                <w:szCs w:val="21"/>
                <w:lang w:val="en-US" w:eastAsia="zh-CN"/>
              </w:rPr>
              <w:t>5</w:t>
            </w:r>
            <w:r>
              <w:rPr>
                <w:rFonts w:hint="eastAsia" w:ascii="宋体" w:hAnsi="宋体" w:eastAsia="宋体" w:cs="宋体"/>
                <w:b/>
                <w:bCs/>
                <w:spacing w:val="11"/>
                <w:sz w:val="21"/>
                <w:szCs w:val="21"/>
              </w:rPr>
              <w:t>0元/次。</w:t>
            </w:r>
          </w:p>
        </w:tc>
        <w:tc>
          <w:tcPr>
            <w:tcW w:w="371" w:type="pct"/>
            <w:tcBorders>
              <w:tl2br w:val="nil"/>
              <w:tr2bl w:val="nil"/>
            </w:tcBorders>
            <w:noWrap w:val="0"/>
            <w:vAlign w:val="center"/>
          </w:tcPr>
          <w:p w14:paraId="1BB8A0A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52115A0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C65C5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3D6A86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0127BA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49467FC8">
            <w:pPr>
              <w:jc w:val="center"/>
              <w:rPr>
                <w:rFonts w:hint="default" w:ascii="宋体" w:hAnsi="宋体" w:cs="宋体"/>
                <w:b/>
                <w:bCs/>
                <w:spacing w:val="11"/>
                <w:sz w:val="21"/>
                <w:szCs w:val="21"/>
                <w:lang w:val="en-US" w:eastAsia="zh-CN"/>
              </w:rPr>
            </w:pPr>
            <w:r>
              <w:rPr>
                <w:rFonts w:hint="eastAsia" w:ascii="宋体" w:hAnsi="宋体" w:cs="宋体"/>
                <w:b/>
                <w:bCs/>
                <w:spacing w:val="11"/>
                <w:sz w:val="21"/>
                <w:szCs w:val="21"/>
                <w:lang w:val="en-US" w:eastAsia="zh-CN"/>
              </w:rPr>
              <w:t>8</w:t>
            </w:r>
          </w:p>
        </w:tc>
        <w:tc>
          <w:tcPr>
            <w:tcW w:w="2539" w:type="pct"/>
            <w:tcBorders>
              <w:tl2br w:val="nil"/>
              <w:tr2bl w:val="nil"/>
            </w:tcBorders>
            <w:noWrap w:val="0"/>
            <w:vAlign w:val="center"/>
          </w:tcPr>
          <w:p w14:paraId="005FAC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pacing w:val="11"/>
                <w:sz w:val="21"/>
                <w:szCs w:val="21"/>
              </w:rPr>
            </w:pPr>
            <w:r>
              <w:rPr>
                <w:rFonts w:hint="eastAsia" w:ascii="宋体" w:hAnsi="宋体" w:eastAsia="宋体" w:cs="宋体"/>
                <w:b/>
                <w:bCs/>
                <w:color w:val="000000"/>
                <w:sz w:val="21"/>
                <w:szCs w:val="21"/>
              </w:rPr>
              <w:t>保安人员必须</w:t>
            </w:r>
            <w:r>
              <w:rPr>
                <w:rFonts w:hint="eastAsia" w:ascii="宋体" w:hAnsi="宋体" w:cs="宋体"/>
                <w:b/>
                <w:bCs/>
                <w:color w:val="000000"/>
                <w:sz w:val="21"/>
                <w:szCs w:val="21"/>
                <w:lang w:eastAsia="zh-CN"/>
              </w:rPr>
              <w:t>持证上岗</w:t>
            </w:r>
            <w:r>
              <w:rPr>
                <w:rFonts w:hint="eastAsia" w:ascii="宋体" w:hAnsi="宋体" w:eastAsia="宋体" w:cs="宋体"/>
                <w:b/>
                <w:bCs/>
                <w:color w:val="000000"/>
                <w:sz w:val="21"/>
                <w:szCs w:val="21"/>
                <w:lang w:eastAsia="zh-CN"/>
              </w:rPr>
              <w:t>，无证上岗发现一人</w:t>
            </w:r>
            <w:r>
              <w:rPr>
                <w:rFonts w:hint="eastAsia" w:ascii="宋体" w:hAnsi="宋体" w:cs="宋体"/>
                <w:b/>
                <w:bCs/>
                <w:color w:val="000000"/>
                <w:sz w:val="21"/>
                <w:szCs w:val="21"/>
                <w:lang w:eastAsia="zh-CN"/>
              </w:rPr>
              <w:t>次扣</w:t>
            </w:r>
            <w:r>
              <w:rPr>
                <w:rFonts w:hint="eastAsia" w:ascii="宋体" w:hAnsi="宋体" w:cs="宋体"/>
                <w:b/>
                <w:bCs/>
                <w:color w:val="000000"/>
                <w:sz w:val="21"/>
                <w:szCs w:val="21"/>
                <w:lang w:val="en-US" w:eastAsia="zh-CN"/>
              </w:rPr>
              <w:t>0.5分并</w:t>
            </w:r>
            <w:r>
              <w:rPr>
                <w:rFonts w:hint="eastAsia" w:ascii="宋体" w:hAnsi="宋体" w:eastAsia="宋体" w:cs="宋体"/>
                <w:b/>
                <w:bCs/>
                <w:color w:val="000000"/>
                <w:sz w:val="21"/>
                <w:szCs w:val="21"/>
                <w:lang w:eastAsia="zh-CN"/>
              </w:rPr>
              <w:t>扣</w:t>
            </w:r>
            <w:r>
              <w:rPr>
                <w:rFonts w:hint="eastAsia" w:ascii="宋体" w:hAnsi="宋体" w:cs="宋体"/>
                <w:b/>
                <w:bCs/>
                <w:color w:val="000000"/>
                <w:sz w:val="21"/>
                <w:szCs w:val="21"/>
                <w:lang w:eastAsia="zh-CN"/>
              </w:rPr>
              <w:t>款</w:t>
            </w:r>
            <w:r>
              <w:rPr>
                <w:rFonts w:hint="eastAsia" w:ascii="宋体" w:hAnsi="宋体" w:cs="宋体"/>
                <w:b/>
                <w:bCs/>
                <w:color w:val="000000"/>
                <w:sz w:val="21"/>
                <w:szCs w:val="21"/>
                <w:lang w:val="en-US" w:eastAsia="zh-CN"/>
              </w:rPr>
              <w:t>50</w:t>
            </w:r>
            <w:r>
              <w:rPr>
                <w:rFonts w:hint="eastAsia" w:ascii="宋体" w:hAnsi="宋体" w:eastAsia="宋体" w:cs="宋体"/>
                <w:b/>
                <w:bCs/>
                <w:color w:val="000000"/>
                <w:sz w:val="21"/>
                <w:szCs w:val="21"/>
                <w:lang w:val="en-US" w:eastAsia="zh-CN"/>
              </w:rPr>
              <w:t>元</w:t>
            </w:r>
            <w:r>
              <w:rPr>
                <w:rFonts w:hint="eastAsia" w:ascii="宋体" w:hAnsi="宋体" w:cs="宋体"/>
                <w:b/>
                <w:bCs/>
                <w:color w:val="000000"/>
                <w:sz w:val="21"/>
                <w:szCs w:val="21"/>
                <w:lang w:val="en-US" w:eastAsia="zh-CN"/>
              </w:rPr>
              <w:t>；</w:t>
            </w:r>
            <w:r>
              <w:rPr>
                <w:rFonts w:hint="eastAsia" w:ascii="宋体" w:hAnsi="宋体" w:cs="宋体"/>
                <w:b/>
                <w:bCs/>
                <w:color w:val="000000"/>
                <w:sz w:val="21"/>
                <w:szCs w:val="21"/>
                <w:lang w:eastAsia="zh-CN"/>
              </w:rPr>
              <w:t>保安</w:t>
            </w:r>
            <w:r>
              <w:rPr>
                <w:rFonts w:hint="eastAsia" w:ascii="宋体" w:hAnsi="宋体" w:eastAsia="宋体" w:cs="宋体"/>
                <w:b/>
                <w:bCs/>
                <w:color w:val="000000"/>
                <w:sz w:val="21"/>
                <w:szCs w:val="21"/>
              </w:rPr>
              <w:t>年龄结构合理，数量</w:t>
            </w:r>
            <w:r>
              <w:rPr>
                <w:rFonts w:hint="eastAsia" w:ascii="宋体" w:hAnsi="宋体" w:cs="宋体"/>
                <w:b/>
                <w:bCs/>
                <w:color w:val="000000"/>
                <w:sz w:val="21"/>
                <w:szCs w:val="21"/>
                <w:lang w:eastAsia="zh-CN"/>
              </w:rPr>
              <w:t>符合合同要求。不符合要求</w:t>
            </w:r>
            <w:r>
              <w:rPr>
                <w:rFonts w:hint="eastAsia" w:ascii="宋体" w:hAnsi="宋体" w:eastAsia="宋体" w:cs="宋体"/>
                <w:b/>
                <w:bCs/>
                <w:color w:val="000000"/>
                <w:sz w:val="21"/>
                <w:szCs w:val="21"/>
              </w:rPr>
              <w:t>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w:t>
            </w:r>
          </w:p>
        </w:tc>
        <w:tc>
          <w:tcPr>
            <w:tcW w:w="371" w:type="pct"/>
            <w:tcBorders>
              <w:tl2br w:val="nil"/>
              <w:tr2bl w:val="nil"/>
            </w:tcBorders>
            <w:noWrap w:val="0"/>
            <w:vAlign w:val="center"/>
          </w:tcPr>
          <w:p w14:paraId="05284DC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01C8367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959034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0F31B68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B7CB2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340" w:type="pct"/>
            <w:tcBorders>
              <w:tl2br w:val="nil"/>
              <w:tr2bl w:val="nil"/>
            </w:tcBorders>
            <w:noWrap w:val="0"/>
            <w:vAlign w:val="center"/>
          </w:tcPr>
          <w:p w14:paraId="0C1ACCAC">
            <w:pPr>
              <w:jc w:val="center"/>
              <w:rPr>
                <w:rFonts w:hint="default" w:ascii="宋体" w:hAnsi="宋体" w:cs="宋体"/>
                <w:b/>
                <w:bCs/>
                <w:spacing w:val="11"/>
                <w:sz w:val="21"/>
                <w:szCs w:val="21"/>
                <w:lang w:val="en-US" w:eastAsia="zh-CN"/>
              </w:rPr>
            </w:pPr>
            <w:r>
              <w:rPr>
                <w:rFonts w:hint="eastAsia" w:ascii="宋体" w:hAnsi="宋体" w:cs="宋体"/>
                <w:b/>
                <w:bCs/>
                <w:spacing w:val="11"/>
                <w:sz w:val="21"/>
                <w:szCs w:val="21"/>
                <w:lang w:val="en-US" w:eastAsia="zh-CN"/>
              </w:rPr>
              <w:t>9</w:t>
            </w:r>
          </w:p>
        </w:tc>
        <w:tc>
          <w:tcPr>
            <w:tcW w:w="2539" w:type="pct"/>
            <w:tcBorders>
              <w:tl2br w:val="nil"/>
              <w:tr2bl w:val="nil"/>
            </w:tcBorders>
            <w:noWrap w:val="0"/>
            <w:vAlign w:val="center"/>
          </w:tcPr>
          <w:p w14:paraId="2114CE1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pacing w:val="11"/>
                <w:sz w:val="21"/>
                <w:szCs w:val="21"/>
              </w:rPr>
            </w:pPr>
            <w:r>
              <w:rPr>
                <w:rFonts w:hint="eastAsia" w:ascii="宋体" w:hAnsi="宋体" w:eastAsia="宋体" w:cs="宋体"/>
                <w:b/>
                <w:bCs w:val="0"/>
                <w:color w:val="000000"/>
                <w:sz w:val="21"/>
                <w:szCs w:val="21"/>
                <w:lang w:val="en-US" w:eastAsia="zh-CN"/>
              </w:rPr>
              <w:t>维护好院内的就诊秩序，必要时提醒医患人员注意财产、人身安全，及时制止一切危害就诊秩序及安全的行为。未及时制止一起扣0.5分并扣款100元。</w:t>
            </w:r>
          </w:p>
        </w:tc>
        <w:tc>
          <w:tcPr>
            <w:tcW w:w="371" w:type="pct"/>
            <w:tcBorders>
              <w:tl2br w:val="nil"/>
              <w:tr2bl w:val="nil"/>
            </w:tcBorders>
            <w:noWrap w:val="0"/>
            <w:vAlign w:val="center"/>
          </w:tcPr>
          <w:p w14:paraId="0E936B0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4A7E19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5288008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10635D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7A07D5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0AA81EBA">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10</w:t>
            </w:r>
          </w:p>
        </w:tc>
        <w:tc>
          <w:tcPr>
            <w:tcW w:w="2539" w:type="pct"/>
            <w:tcBorders>
              <w:tl2br w:val="nil"/>
              <w:tr2bl w:val="nil"/>
            </w:tcBorders>
            <w:noWrap w:val="0"/>
            <w:vAlign w:val="center"/>
          </w:tcPr>
          <w:p w14:paraId="191B0CF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sz w:val="21"/>
                <w:szCs w:val="21"/>
                <w:lang w:val="en-US"/>
              </w:rPr>
            </w:pPr>
            <w:r>
              <w:rPr>
                <w:rFonts w:hint="eastAsia" w:ascii="宋体" w:hAnsi="宋体" w:eastAsia="宋体" w:cs="宋体"/>
                <w:b/>
                <w:bCs w:val="0"/>
                <w:color w:val="000000"/>
                <w:sz w:val="21"/>
                <w:szCs w:val="21"/>
                <w:lang w:val="en-US" w:eastAsia="zh-CN"/>
              </w:rPr>
              <w:t>协助做好医院内违法犯罪行为等突发事件的处理工作，对制止无效的犯罪行为应立即报警，保护好现场，并协助公安机关查办案件。未做好一起扣0.5分并扣款50元。</w:t>
            </w:r>
          </w:p>
        </w:tc>
        <w:tc>
          <w:tcPr>
            <w:tcW w:w="371" w:type="pct"/>
            <w:tcBorders>
              <w:tl2br w:val="nil"/>
              <w:tr2bl w:val="nil"/>
            </w:tcBorders>
            <w:noWrap w:val="0"/>
            <w:vAlign w:val="center"/>
          </w:tcPr>
          <w:p w14:paraId="04196EF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00EE2C5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4F28EFD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694ADEA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5CA0C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6ABBBB36">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11</w:t>
            </w:r>
          </w:p>
        </w:tc>
        <w:tc>
          <w:tcPr>
            <w:tcW w:w="2539" w:type="pct"/>
            <w:tcBorders>
              <w:tl2br w:val="nil"/>
              <w:tr2bl w:val="nil"/>
            </w:tcBorders>
            <w:noWrap w:val="0"/>
            <w:vAlign w:val="center"/>
          </w:tcPr>
          <w:p w14:paraId="42ACE043">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sz w:val="21"/>
                <w:szCs w:val="21"/>
                <w:lang w:val="en-US"/>
              </w:rPr>
            </w:pPr>
            <w:r>
              <w:rPr>
                <w:rFonts w:hint="eastAsia" w:ascii="宋体" w:hAnsi="宋体" w:eastAsia="宋体" w:cs="宋体"/>
                <w:b/>
                <w:bCs w:val="0"/>
                <w:color w:val="000000"/>
                <w:sz w:val="21"/>
                <w:szCs w:val="21"/>
                <w:lang w:val="en-US" w:eastAsia="zh-CN"/>
              </w:rPr>
              <w:t>巡查时及时发现并上报安全用电、消防等隐患问题。未发现或上报一起扣0.5分并扣款50元。</w:t>
            </w:r>
          </w:p>
        </w:tc>
        <w:tc>
          <w:tcPr>
            <w:tcW w:w="371" w:type="pct"/>
            <w:tcBorders>
              <w:tl2br w:val="nil"/>
              <w:tr2bl w:val="nil"/>
            </w:tcBorders>
            <w:noWrap w:val="0"/>
            <w:vAlign w:val="center"/>
          </w:tcPr>
          <w:p w14:paraId="438A6D1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31B58D6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647DB9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37168D2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0959DA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2A2990EC">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12</w:t>
            </w:r>
          </w:p>
        </w:tc>
        <w:tc>
          <w:tcPr>
            <w:tcW w:w="2539" w:type="pct"/>
            <w:tcBorders>
              <w:tl2br w:val="nil"/>
              <w:tr2bl w:val="nil"/>
            </w:tcBorders>
            <w:noWrap w:val="0"/>
            <w:vAlign w:val="center"/>
          </w:tcPr>
          <w:p w14:paraId="183E19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值班期间应联防联守，与各岗位保持联系，对值班期间发现的问题，要进行沟通及时妥善处理。</w:t>
            </w:r>
            <w:r>
              <w:rPr>
                <w:rFonts w:hint="eastAsia" w:ascii="宋体" w:hAnsi="宋体" w:cs="宋体"/>
                <w:b/>
                <w:bCs/>
                <w:color w:val="000000"/>
                <w:sz w:val="21"/>
                <w:szCs w:val="21"/>
                <w:lang w:eastAsia="zh-CN"/>
              </w:rPr>
              <w:t>未妥善处置</w:t>
            </w:r>
            <w:r>
              <w:rPr>
                <w:rFonts w:hint="eastAsia" w:ascii="宋体" w:hAnsi="宋体" w:eastAsia="宋体" w:cs="宋体"/>
                <w:b/>
                <w:bCs/>
                <w:color w:val="000000"/>
                <w:sz w:val="21"/>
                <w:szCs w:val="21"/>
              </w:rPr>
              <w:t>每</w:t>
            </w:r>
            <w:r>
              <w:rPr>
                <w:rFonts w:hint="eastAsia" w:ascii="宋体" w:hAnsi="宋体" w:cs="宋体"/>
                <w:b/>
                <w:bCs/>
                <w:color w:val="000000"/>
                <w:sz w:val="21"/>
                <w:szCs w:val="21"/>
                <w:lang w:eastAsia="zh-CN"/>
              </w:rPr>
              <w:t>人</w:t>
            </w:r>
            <w:r>
              <w:rPr>
                <w:rFonts w:hint="eastAsia" w:ascii="宋体" w:hAnsi="宋体" w:eastAsia="宋体" w:cs="宋体"/>
                <w:b/>
                <w:bCs/>
                <w:color w:val="000000"/>
                <w:sz w:val="21"/>
                <w:szCs w:val="21"/>
              </w:rPr>
              <w:t>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0.5分并扣款50元。</w:t>
            </w:r>
          </w:p>
        </w:tc>
        <w:tc>
          <w:tcPr>
            <w:tcW w:w="371" w:type="pct"/>
            <w:tcBorders>
              <w:tl2br w:val="nil"/>
              <w:tr2bl w:val="nil"/>
            </w:tcBorders>
            <w:noWrap w:val="0"/>
            <w:vAlign w:val="center"/>
          </w:tcPr>
          <w:p w14:paraId="791CF5B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E4E23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ECD49E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0806DD29">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r>
      <w:tr w14:paraId="6A07C5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7CD7E297">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13</w:t>
            </w:r>
          </w:p>
        </w:tc>
        <w:tc>
          <w:tcPr>
            <w:tcW w:w="2539" w:type="pct"/>
            <w:tcBorders>
              <w:tl2br w:val="nil"/>
              <w:tr2bl w:val="nil"/>
            </w:tcBorders>
            <w:noWrap w:val="0"/>
            <w:vAlign w:val="center"/>
          </w:tcPr>
          <w:p w14:paraId="6941E1A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Times New Roman"/>
                <w:b/>
                <w:bCs/>
                <w:color w:val="auto"/>
                <w:spacing w:val="11"/>
                <w:kern w:val="2"/>
                <w:sz w:val="21"/>
                <w:szCs w:val="21"/>
                <w:lang w:val="en-US" w:eastAsia="zh-CN" w:bidi="ar-SA"/>
              </w:rPr>
            </w:pPr>
            <w:r>
              <w:rPr>
                <w:rFonts w:hint="eastAsia" w:ascii="宋体" w:hAnsi="宋体" w:eastAsia="宋体" w:cs="宋体"/>
                <w:b/>
                <w:bCs/>
                <w:color w:val="000000"/>
                <w:sz w:val="21"/>
                <w:szCs w:val="21"/>
              </w:rPr>
              <w:t>满足保护医务人员的生命安全为第一需求，维护医院的正常秩序，打击“医托”、“医闹”和散发非法医疗广告人员；协助公安机关打击不法分子对医院的干扰，特别是对“医托”、“医闹”、散发非法医疗广告、暴恐、盗窃分子的打击。</w:t>
            </w:r>
            <w:r>
              <w:rPr>
                <w:rFonts w:hint="eastAsia" w:ascii="宋体" w:hAnsi="宋体" w:cs="宋体"/>
                <w:b/>
                <w:bCs/>
                <w:color w:val="000000"/>
                <w:sz w:val="21"/>
                <w:szCs w:val="21"/>
                <w:lang w:eastAsia="zh-CN"/>
              </w:rPr>
              <w:t>未妥善处置</w:t>
            </w:r>
            <w:r>
              <w:rPr>
                <w:rFonts w:hint="eastAsia" w:ascii="宋体" w:hAnsi="宋体" w:eastAsia="宋体" w:cs="宋体"/>
                <w:b/>
                <w:bCs/>
                <w:color w:val="000000"/>
                <w:sz w:val="21"/>
                <w:szCs w:val="21"/>
              </w:rPr>
              <w:t>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1分并扣款100元。</w:t>
            </w:r>
          </w:p>
        </w:tc>
        <w:tc>
          <w:tcPr>
            <w:tcW w:w="371" w:type="pct"/>
            <w:tcBorders>
              <w:tl2br w:val="nil"/>
              <w:tr2bl w:val="nil"/>
            </w:tcBorders>
            <w:noWrap w:val="0"/>
            <w:vAlign w:val="center"/>
          </w:tcPr>
          <w:p w14:paraId="6E0BC2B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kern w:val="2"/>
                <w:sz w:val="21"/>
                <w:szCs w:val="21"/>
                <w:lang w:val="en-US" w:eastAsia="zh-CN" w:bidi="ar-SA"/>
              </w:rPr>
            </w:pPr>
            <w:r>
              <w:rPr>
                <w:rFonts w:hint="eastAsia" w:ascii="宋体" w:hAnsi="宋体" w:cs="Times New Roman"/>
                <w:b/>
                <w:bCs/>
                <w:color w:val="auto"/>
                <w:szCs w:val="21"/>
                <w:lang w:val="en-US" w:eastAsia="zh-CN"/>
              </w:rPr>
              <w:t>5</w:t>
            </w:r>
          </w:p>
        </w:tc>
        <w:tc>
          <w:tcPr>
            <w:tcW w:w="371" w:type="pct"/>
            <w:tcBorders>
              <w:tl2br w:val="nil"/>
              <w:tr2bl w:val="nil"/>
            </w:tcBorders>
            <w:noWrap w:val="0"/>
            <w:vAlign w:val="center"/>
          </w:tcPr>
          <w:p w14:paraId="17434D1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7467D41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A0695F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3121B4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7EF4787A">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14</w:t>
            </w:r>
          </w:p>
        </w:tc>
        <w:tc>
          <w:tcPr>
            <w:tcW w:w="2539" w:type="pct"/>
            <w:tcBorders>
              <w:tl2br w:val="nil"/>
              <w:tr2bl w:val="nil"/>
            </w:tcBorders>
            <w:noWrap w:val="0"/>
            <w:vAlign w:val="center"/>
          </w:tcPr>
          <w:p w14:paraId="37BFD2B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val="0"/>
                <w:color w:val="000000"/>
                <w:sz w:val="21"/>
                <w:szCs w:val="21"/>
                <w:lang w:val="en-US" w:eastAsia="zh-CN"/>
              </w:rPr>
              <w:t>对重点部位（门急诊大厅、导诊台、住院部、配电房、消防水泵房、氧气站、药品库房、收款处、食堂、中控室等）加强定时巡查，监控室实时24小时监控。未按时巡查发现一起扣0.5分并扣款50元。</w:t>
            </w:r>
          </w:p>
        </w:tc>
        <w:tc>
          <w:tcPr>
            <w:tcW w:w="371" w:type="pct"/>
            <w:tcBorders>
              <w:tl2br w:val="nil"/>
              <w:tr2bl w:val="nil"/>
            </w:tcBorders>
            <w:noWrap w:val="0"/>
            <w:vAlign w:val="center"/>
          </w:tcPr>
          <w:p w14:paraId="4288F0D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725C00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0094202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0FF81FA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kern w:val="2"/>
                <w:sz w:val="21"/>
                <w:szCs w:val="21"/>
                <w:lang w:val="en-US" w:eastAsia="zh-CN" w:bidi="ar-SA"/>
              </w:rPr>
            </w:pPr>
          </w:p>
        </w:tc>
      </w:tr>
      <w:tr w14:paraId="2889A8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15D9A3EA">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15</w:t>
            </w:r>
          </w:p>
        </w:tc>
        <w:tc>
          <w:tcPr>
            <w:tcW w:w="2539" w:type="pct"/>
            <w:tcBorders>
              <w:tl2br w:val="nil"/>
              <w:tr2bl w:val="nil"/>
            </w:tcBorders>
            <w:noWrap w:val="0"/>
            <w:vAlign w:val="center"/>
          </w:tcPr>
          <w:p w14:paraId="2E51AD3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color w:val="000000"/>
                <w:sz w:val="21"/>
                <w:szCs w:val="21"/>
              </w:rPr>
              <w:t>定期做好全院范围内的消防安全设施和消防器材的检查工作，并做好相关检查记录，发现火灾或其它事故要及时扑救和处理，确保医院的安全。</w:t>
            </w:r>
            <w:r>
              <w:rPr>
                <w:rFonts w:hint="eastAsia" w:ascii="宋体" w:hAnsi="宋体" w:cs="宋体"/>
                <w:b/>
                <w:bCs/>
                <w:color w:val="000000"/>
                <w:sz w:val="21"/>
                <w:szCs w:val="21"/>
                <w:lang w:eastAsia="zh-CN"/>
              </w:rPr>
              <w:t>未履职</w:t>
            </w:r>
            <w:r>
              <w:rPr>
                <w:rFonts w:hint="eastAsia" w:ascii="宋体" w:hAnsi="宋体" w:eastAsia="宋体" w:cs="宋体"/>
                <w:b/>
                <w:bCs/>
                <w:color w:val="000000"/>
                <w:sz w:val="21"/>
                <w:szCs w:val="21"/>
              </w:rPr>
              <w:t>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0.5分并扣款50元。</w:t>
            </w:r>
          </w:p>
        </w:tc>
        <w:tc>
          <w:tcPr>
            <w:tcW w:w="371" w:type="pct"/>
            <w:tcBorders>
              <w:tl2br w:val="nil"/>
              <w:tr2bl w:val="nil"/>
            </w:tcBorders>
            <w:noWrap w:val="0"/>
            <w:vAlign w:val="center"/>
          </w:tcPr>
          <w:p w14:paraId="5EB8129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5E539B5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5C1C097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534895D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kern w:val="2"/>
                <w:sz w:val="21"/>
                <w:szCs w:val="21"/>
                <w:lang w:val="en-US" w:eastAsia="zh-CN" w:bidi="ar-SA"/>
              </w:rPr>
            </w:pPr>
          </w:p>
        </w:tc>
      </w:tr>
      <w:tr w14:paraId="34E056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277BBC90">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16</w:t>
            </w:r>
          </w:p>
        </w:tc>
        <w:tc>
          <w:tcPr>
            <w:tcW w:w="2539" w:type="pct"/>
            <w:tcBorders>
              <w:tl2br w:val="nil"/>
              <w:tr2bl w:val="nil"/>
            </w:tcBorders>
            <w:noWrap w:val="0"/>
            <w:vAlign w:val="center"/>
          </w:tcPr>
          <w:p w14:paraId="4280AD4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bCs/>
                <w:sz w:val="21"/>
                <w:szCs w:val="21"/>
                <w:lang w:val="en-US"/>
              </w:rPr>
            </w:pPr>
            <w:r>
              <w:rPr>
                <w:rFonts w:hint="eastAsia" w:ascii="宋体" w:hAnsi="宋体" w:eastAsia="宋体" w:cs="宋体"/>
                <w:b/>
                <w:bCs w:val="0"/>
                <w:color w:val="000000"/>
                <w:sz w:val="21"/>
                <w:szCs w:val="21"/>
                <w:lang w:val="en-US" w:eastAsia="zh-CN"/>
              </w:rPr>
              <w:t>保安负责人不服从院方管理，执行力不强，结合当月管理表现，一次扣0.5分并扣款100元，如多次发生，院方有权建议公司进行更换。若存在其他过激行为，予以每次扣0.5分并扣减当月安保服务费50元-100元。</w:t>
            </w:r>
          </w:p>
        </w:tc>
        <w:tc>
          <w:tcPr>
            <w:tcW w:w="371" w:type="pct"/>
            <w:tcBorders>
              <w:tl2br w:val="nil"/>
              <w:tr2bl w:val="nil"/>
            </w:tcBorders>
            <w:noWrap w:val="0"/>
            <w:vAlign w:val="center"/>
          </w:tcPr>
          <w:p w14:paraId="284BFA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1D5FE93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567B0BA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1539B5D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0254C1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30075305">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17</w:t>
            </w:r>
          </w:p>
        </w:tc>
        <w:tc>
          <w:tcPr>
            <w:tcW w:w="2539" w:type="pct"/>
            <w:tcBorders>
              <w:tl2br w:val="nil"/>
              <w:tr2bl w:val="nil"/>
            </w:tcBorders>
            <w:noWrap w:val="0"/>
            <w:vAlign w:val="center"/>
          </w:tcPr>
          <w:p w14:paraId="1E166A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val="0"/>
                <w:color w:val="000000"/>
                <w:sz w:val="21"/>
                <w:szCs w:val="21"/>
                <w:lang w:val="en-US" w:eastAsia="zh-CN"/>
              </w:rPr>
            </w:pPr>
            <w:r>
              <w:rPr>
                <w:rFonts w:hint="eastAsia" w:ascii="宋体" w:hAnsi="宋体" w:cs="宋体"/>
                <w:b/>
                <w:bCs/>
                <w:color w:val="000000"/>
                <w:sz w:val="21"/>
                <w:szCs w:val="21"/>
                <w:lang w:eastAsia="zh-CN"/>
              </w:rPr>
              <w:t>做好</w:t>
            </w:r>
            <w:r>
              <w:rPr>
                <w:rFonts w:hint="eastAsia" w:ascii="宋体" w:hAnsi="宋体" w:eastAsia="宋体" w:cs="宋体"/>
                <w:b/>
                <w:bCs/>
                <w:color w:val="000000"/>
                <w:sz w:val="21"/>
                <w:szCs w:val="21"/>
              </w:rPr>
              <w:t>停车场区域以外的交通</w:t>
            </w:r>
            <w:r>
              <w:rPr>
                <w:rFonts w:hint="eastAsia" w:ascii="宋体" w:hAnsi="宋体" w:cs="宋体"/>
                <w:b/>
                <w:bCs/>
                <w:color w:val="000000"/>
                <w:sz w:val="21"/>
                <w:szCs w:val="21"/>
                <w:lang w:eastAsia="zh-CN"/>
              </w:rPr>
              <w:t>、车辆</w:t>
            </w:r>
            <w:r>
              <w:rPr>
                <w:rFonts w:hint="eastAsia" w:ascii="宋体" w:hAnsi="宋体" w:eastAsia="宋体" w:cs="宋体"/>
                <w:b/>
                <w:bCs/>
                <w:color w:val="000000"/>
                <w:sz w:val="21"/>
                <w:szCs w:val="21"/>
              </w:rPr>
              <w:t>管理</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lang w:eastAsia="zh-CN"/>
              </w:rPr>
              <w:t>保持院区主要通道通畅、</w:t>
            </w:r>
            <w:r>
              <w:rPr>
                <w:rFonts w:hint="eastAsia" w:ascii="宋体" w:hAnsi="宋体" w:cs="宋体"/>
                <w:b/>
                <w:bCs/>
                <w:color w:val="000000"/>
                <w:sz w:val="21"/>
                <w:szCs w:val="21"/>
                <w:lang w:eastAsia="zh-CN"/>
              </w:rPr>
              <w:t>禁止</w:t>
            </w:r>
            <w:r>
              <w:rPr>
                <w:rFonts w:hint="eastAsia" w:ascii="宋体" w:hAnsi="宋体" w:eastAsia="宋体" w:cs="宋体"/>
                <w:b/>
                <w:bCs/>
                <w:color w:val="000000"/>
                <w:sz w:val="21"/>
                <w:szCs w:val="21"/>
                <w:lang w:eastAsia="zh-CN"/>
              </w:rPr>
              <w:t>车辆乱停乱放</w:t>
            </w:r>
            <w:r>
              <w:rPr>
                <w:rFonts w:hint="eastAsia" w:ascii="宋体" w:hAnsi="宋体" w:cs="宋体"/>
                <w:b/>
                <w:bCs/>
                <w:color w:val="000000"/>
                <w:sz w:val="21"/>
                <w:szCs w:val="21"/>
                <w:lang w:eastAsia="zh-CN"/>
              </w:rPr>
              <w:t>（新周期停车场服务进驻前）。落</w:t>
            </w:r>
            <w:r>
              <w:rPr>
                <w:rFonts w:hint="eastAsia" w:ascii="宋体" w:hAnsi="宋体" w:eastAsia="宋体" w:cs="宋体"/>
                <w:b/>
                <w:bCs/>
                <w:color w:val="000000"/>
                <w:sz w:val="21"/>
                <w:szCs w:val="21"/>
              </w:rPr>
              <w:t>实做好“门前三包”工作。</w:t>
            </w:r>
            <w:r>
              <w:rPr>
                <w:rFonts w:hint="eastAsia" w:ascii="宋体" w:hAnsi="宋体" w:cs="宋体"/>
                <w:b/>
                <w:bCs/>
                <w:color w:val="000000"/>
                <w:sz w:val="21"/>
                <w:szCs w:val="21"/>
                <w:lang w:eastAsia="zh-CN"/>
              </w:rPr>
              <w:t>落实安</w:t>
            </w:r>
            <w:r>
              <w:rPr>
                <w:rFonts w:hint="eastAsia" w:ascii="宋体" w:hAnsi="宋体" w:eastAsia="宋体" w:cs="宋体"/>
                <w:b/>
                <w:bCs/>
                <w:color w:val="000000"/>
                <w:sz w:val="21"/>
                <w:szCs w:val="21"/>
              </w:rPr>
              <w:t>检</w:t>
            </w:r>
            <w:r>
              <w:rPr>
                <w:rFonts w:hint="eastAsia" w:ascii="宋体" w:hAnsi="宋体" w:cs="宋体"/>
                <w:b/>
                <w:bCs/>
                <w:color w:val="000000"/>
                <w:sz w:val="21"/>
                <w:szCs w:val="21"/>
                <w:lang w:eastAsia="zh-CN"/>
              </w:rPr>
              <w:t>制度</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做到应检尽检，</w:t>
            </w:r>
            <w:r>
              <w:rPr>
                <w:rFonts w:hint="eastAsia" w:ascii="宋体" w:hAnsi="宋体" w:eastAsia="宋体" w:cs="宋体"/>
                <w:b/>
                <w:bCs/>
                <w:color w:val="000000"/>
                <w:sz w:val="21"/>
                <w:szCs w:val="21"/>
              </w:rPr>
              <w:t>防止违禁品进入院内。</w:t>
            </w:r>
            <w:r>
              <w:rPr>
                <w:rFonts w:hint="eastAsia" w:ascii="宋体" w:hAnsi="宋体" w:cs="宋体"/>
                <w:b/>
                <w:bCs/>
                <w:color w:val="000000"/>
                <w:sz w:val="21"/>
                <w:szCs w:val="21"/>
                <w:lang w:eastAsia="zh-CN"/>
              </w:rPr>
              <w:t>每发生一起违规</w:t>
            </w:r>
            <w:r>
              <w:rPr>
                <w:rFonts w:hint="eastAsia" w:ascii="宋体" w:hAnsi="宋体" w:eastAsia="宋体" w:cs="宋体"/>
                <w:b/>
                <w:bCs/>
                <w:color w:val="000000"/>
                <w:sz w:val="21"/>
                <w:szCs w:val="21"/>
              </w:rPr>
              <w:t>每次</w:t>
            </w:r>
            <w:r>
              <w:rPr>
                <w:rFonts w:hint="eastAsia" w:ascii="宋体" w:hAnsi="宋体" w:cs="宋体"/>
                <w:b/>
                <w:bCs/>
                <w:color w:val="000000"/>
                <w:sz w:val="21"/>
                <w:szCs w:val="21"/>
                <w:lang w:eastAsia="zh-CN"/>
              </w:rPr>
              <w:t>扣</w:t>
            </w:r>
            <w:r>
              <w:rPr>
                <w:rFonts w:hint="eastAsia" w:ascii="宋体" w:hAnsi="宋体" w:cs="宋体"/>
                <w:b/>
                <w:bCs/>
                <w:color w:val="000000"/>
                <w:sz w:val="21"/>
                <w:szCs w:val="21"/>
                <w:lang w:val="en-US" w:eastAsia="zh-CN"/>
              </w:rPr>
              <w:t>0.5分并扣款50元。</w:t>
            </w:r>
          </w:p>
        </w:tc>
        <w:tc>
          <w:tcPr>
            <w:tcW w:w="371" w:type="pct"/>
            <w:tcBorders>
              <w:tl2br w:val="nil"/>
              <w:tr2bl w:val="nil"/>
            </w:tcBorders>
            <w:noWrap w:val="0"/>
            <w:vAlign w:val="center"/>
          </w:tcPr>
          <w:p w14:paraId="1491E70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5CEF1D3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10304AA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496E709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14:paraId="28F5DD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5CCD0A6B">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18</w:t>
            </w:r>
          </w:p>
        </w:tc>
        <w:tc>
          <w:tcPr>
            <w:tcW w:w="2539" w:type="pct"/>
            <w:tcBorders>
              <w:tl2br w:val="nil"/>
              <w:tr2bl w:val="nil"/>
            </w:tcBorders>
            <w:noWrap w:val="0"/>
            <w:vAlign w:val="center"/>
          </w:tcPr>
          <w:p w14:paraId="542A3F9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建立服务（态度、质量、出勤速度等）投诉处罚机制，一般性质有效投诉，首次发生，对涉事保安扣1分处以50元罚款；累计出现2起及以上，后续每起扣2分并罚款100元。性质恶劣且影响坏的投诉，</w:t>
            </w:r>
            <w:r>
              <w:rPr>
                <w:rFonts w:hint="eastAsia" w:ascii="宋体" w:hAnsi="宋体" w:eastAsia="宋体" w:cs="宋体"/>
                <w:b/>
                <w:bCs w:val="0"/>
                <w:color w:val="auto"/>
                <w:sz w:val="21"/>
                <w:szCs w:val="21"/>
                <w:highlight w:val="none"/>
                <w:lang w:val="en-US" w:eastAsia="zh-CN"/>
              </w:rPr>
              <w:t>经核实存在辱骂他人、玩忽职守等严重失职行为，并造成不良影响的扣4分，每起处以200元罚款。</w:t>
            </w:r>
            <w:r>
              <w:rPr>
                <w:rFonts w:hint="eastAsia" w:ascii="宋体" w:hAnsi="宋体" w:eastAsia="宋体" w:cs="宋体"/>
                <w:b/>
                <w:bCs w:val="0"/>
                <w:color w:val="auto"/>
                <w:sz w:val="21"/>
                <w:szCs w:val="21"/>
                <w:highlight w:val="none"/>
                <w:lang w:val="en-US" w:eastAsia="zh-CN"/>
              </w:rPr>
              <w:t>12345平台投诉，经核查因保安自身原因引发的，在对应性质罚款基础上，额外扣5分并追加100元罚款。同一问题重复投诉同一保安人员因相同服务问题被投诉3次及以上扣10分，院方有权要求供应商立即更换涉事人员，并可对保安公司处以1000元/人的管理连带责任罚款。</w:t>
            </w:r>
          </w:p>
        </w:tc>
        <w:tc>
          <w:tcPr>
            <w:tcW w:w="371" w:type="pct"/>
            <w:tcBorders>
              <w:tl2br w:val="nil"/>
              <w:tr2bl w:val="nil"/>
            </w:tcBorders>
            <w:noWrap w:val="0"/>
            <w:vAlign w:val="center"/>
          </w:tcPr>
          <w:p w14:paraId="02BA9EB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10</w:t>
            </w:r>
          </w:p>
        </w:tc>
        <w:tc>
          <w:tcPr>
            <w:tcW w:w="371" w:type="pct"/>
            <w:tcBorders>
              <w:tl2br w:val="nil"/>
              <w:tr2bl w:val="nil"/>
            </w:tcBorders>
            <w:noWrap w:val="0"/>
            <w:vAlign w:val="center"/>
          </w:tcPr>
          <w:p w14:paraId="2B25EB6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1C2C74F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02B49030">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r>
      <w:tr w14:paraId="1C8D8D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2A4303E0">
            <w:pPr>
              <w:jc w:val="center"/>
              <w:rPr>
                <w:rFonts w:hint="default" w:ascii="宋体" w:hAnsi="宋体" w:eastAsia="宋体" w:cs="宋体"/>
                <w:b/>
                <w:bCs/>
                <w:spacing w:val="11"/>
                <w:sz w:val="21"/>
                <w:szCs w:val="21"/>
                <w:lang w:val="en-US" w:eastAsia="zh-CN"/>
              </w:rPr>
            </w:pPr>
            <w:r>
              <w:rPr>
                <w:rFonts w:hint="eastAsia" w:ascii="宋体" w:hAnsi="宋体" w:cs="宋体"/>
                <w:b/>
                <w:bCs/>
                <w:spacing w:val="11"/>
                <w:sz w:val="21"/>
                <w:szCs w:val="21"/>
                <w:lang w:val="en-US" w:eastAsia="zh-CN"/>
              </w:rPr>
              <w:t>19</w:t>
            </w:r>
          </w:p>
        </w:tc>
        <w:tc>
          <w:tcPr>
            <w:tcW w:w="2539" w:type="pct"/>
            <w:tcBorders>
              <w:tl2br w:val="nil"/>
              <w:tr2bl w:val="nil"/>
            </w:tcBorders>
            <w:noWrap w:val="0"/>
            <w:vAlign w:val="center"/>
          </w:tcPr>
          <w:p w14:paraId="3DBA542E">
            <w:pPr>
              <w:keepNext w:val="0"/>
              <w:keepLines w:val="0"/>
              <w:pageBreakBefore w:val="0"/>
              <w:widowControl/>
              <w:shd w:val="clear" w:color="auto" w:fill="FFFFFF"/>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rPr>
            </w:pPr>
            <w:r>
              <w:rPr>
                <w:rFonts w:hint="eastAsia" w:ascii="宋体" w:hAnsi="宋体" w:eastAsia="宋体" w:cs="宋体"/>
                <w:b/>
                <w:bCs w:val="0"/>
                <w:color w:val="auto"/>
                <w:sz w:val="21"/>
                <w:szCs w:val="21"/>
                <w:lang w:val="en-US" w:eastAsia="zh-CN"/>
              </w:rPr>
              <w:t>处理问题响应时间：接到处理问题通知后按规定时间到达采购人指定现场。未按响应时间内到达每次扣0.5分并扣款50元。</w:t>
            </w:r>
          </w:p>
        </w:tc>
        <w:tc>
          <w:tcPr>
            <w:tcW w:w="371" w:type="pct"/>
            <w:tcBorders>
              <w:tl2br w:val="nil"/>
              <w:tr2bl w:val="nil"/>
            </w:tcBorders>
            <w:noWrap w:val="0"/>
            <w:vAlign w:val="center"/>
          </w:tcPr>
          <w:p w14:paraId="5156E9B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5</w:t>
            </w:r>
          </w:p>
        </w:tc>
        <w:tc>
          <w:tcPr>
            <w:tcW w:w="371" w:type="pct"/>
            <w:tcBorders>
              <w:tl2br w:val="nil"/>
              <w:tr2bl w:val="nil"/>
            </w:tcBorders>
            <w:noWrap w:val="0"/>
            <w:vAlign w:val="center"/>
          </w:tcPr>
          <w:p w14:paraId="4100EAA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557" w:type="pct"/>
            <w:tcBorders>
              <w:tl2br w:val="nil"/>
              <w:tr2bl w:val="nil"/>
            </w:tcBorders>
            <w:noWrap w:val="0"/>
            <w:vAlign w:val="center"/>
          </w:tcPr>
          <w:p w14:paraId="65B2121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c>
          <w:tcPr>
            <w:tcW w:w="819" w:type="pct"/>
            <w:tcBorders>
              <w:tl2br w:val="nil"/>
              <w:tr2bl w:val="nil"/>
            </w:tcBorders>
            <w:noWrap w:val="0"/>
            <w:vAlign w:val="center"/>
          </w:tcPr>
          <w:p w14:paraId="5DB87205">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r>
      <w:tr w14:paraId="4B2360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 w:type="pct"/>
            <w:tcBorders>
              <w:tl2br w:val="nil"/>
              <w:tr2bl w:val="nil"/>
            </w:tcBorders>
            <w:noWrap w:val="0"/>
            <w:vAlign w:val="center"/>
          </w:tcPr>
          <w:p w14:paraId="52AD9913">
            <w:pPr>
              <w:jc w:val="center"/>
              <w:rPr>
                <w:rFonts w:hint="default" w:ascii="宋体" w:hAnsi="宋体" w:cs="宋体"/>
                <w:b/>
                <w:bCs/>
                <w:color w:val="auto"/>
                <w:spacing w:val="11"/>
                <w:sz w:val="21"/>
                <w:szCs w:val="21"/>
                <w:lang w:val="en-US" w:eastAsia="zh-CN"/>
              </w:rPr>
            </w:pPr>
            <w:r>
              <w:rPr>
                <w:rFonts w:hint="eastAsia" w:ascii="宋体" w:hAnsi="宋体" w:cs="宋体"/>
                <w:b/>
                <w:bCs/>
                <w:color w:val="auto"/>
                <w:spacing w:val="11"/>
                <w:sz w:val="21"/>
                <w:szCs w:val="21"/>
                <w:lang w:val="en-US" w:eastAsia="zh-CN"/>
              </w:rPr>
              <w:t>20</w:t>
            </w:r>
          </w:p>
        </w:tc>
        <w:tc>
          <w:tcPr>
            <w:tcW w:w="2539" w:type="pct"/>
            <w:tcBorders>
              <w:tl2br w:val="nil"/>
              <w:tr2bl w:val="nil"/>
            </w:tcBorders>
            <w:noWrap w:val="0"/>
            <w:vAlign w:val="center"/>
          </w:tcPr>
          <w:p w14:paraId="353A14E6">
            <w:pPr>
              <w:keepNext w:val="0"/>
              <w:keepLines w:val="0"/>
              <w:pageBreakBefore w:val="0"/>
              <w:widowControl/>
              <w:shd w:val="clear" w:color="auto" w:fill="FFFFFF"/>
              <w:kinsoku/>
              <w:wordWrap/>
              <w:overflowPunct/>
              <w:topLinePunct w:val="0"/>
              <w:autoSpaceDE/>
              <w:autoSpaceDN/>
              <w:bidi w:val="0"/>
              <w:adjustRightInd/>
              <w:snapToGrid/>
              <w:spacing w:line="280" w:lineRule="exact"/>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值班保安人员各方面条件需符合合同要求;保安数量要满足医院安保要求;年龄结构合理，超龄保安需经院方和保安公司双方认可并提供工作考核鉴定，人数适当。凡当月出现顶班现象扣2.5分并扣款50元。</w:t>
            </w:r>
          </w:p>
        </w:tc>
        <w:tc>
          <w:tcPr>
            <w:tcW w:w="371" w:type="pct"/>
            <w:tcBorders>
              <w:tl2br w:val="nil"/>
              <w:tr2bl w:val="nil"/>
            </w:tcBorders>
            <w:noWrap w:val="0"/>
            <w:vAlign w:val="center"/>
          </w:tcPr>
          <w:p w14:paraId="562E255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2.5</w:t>
            </w:r>
          </w:p>
        </w:tc>
        <w:tc>
          <w:tcPr>
            <w:tcW w:w="371" w:type="pct"/>
            <w:tcBorders>
              <w:tl2br w:val="nil"/>
              <w:tr2bl w:val="nil"/>
            </w:tcBorders>
            <w:noWrap w:val="0"/>
            <w:vAlign w:val="center"/>
          </w:tcPr>
          <w:p w14:paraId="227E2F6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557" w:type="pct"/>
            <w:tcBorders>
              <w:tl2br w:val="nil"/>
              <w:tr2bl w:val="nil"/>
            </w:tcBorders>
            <w:noWrap w:val="0"/>
            <w:vAlign w:val="center"/>
          </w:tcPr>
          <w:p w14:paraId="7EC7A7D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rPr>
            </w:pPr>
          </w:p>
        </w:tc>
        <w:tc>
          <w:tcPr>
            <w:tcW w:w="819" w:type="pct"/>
            <w:tcBorders>
              <w:tl2br w:val="nil"/>
              <w:tr2bl w:val="nil"/>
            </w:tcBorders>
            <w:noWrap w:val="0"/>
            <w:vAlign w:val="center"/>
          </w:tcPr>
          <w:p w14:paraId="79D8FE17">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rPr>
            </w:pPr>
          </w:p>
        </w:tc>
      </w:tr>
      <w:tr w14:paraId="5280CE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5" w:hRule="atLeast"/>
        </w:trPr>
        <w:tc>
          <w:tcPr>
            <w:tcW w:w="340" w:type="pct"/>
            <w:tcBorders>
              <w:tl2br w:val="nil"/>
              <w:tr2bl w:val="nil"/>
            </w:tcBorders>
            <w:noWrap w:val="0"/>
            <w:vAlign w:val="center"/>
          </w:tcPr>
          <w:p w14:paraId="1517C705">
            <w:pPr>
              <w:widowControl/>
              <w:jc w:val="center"/>
              <w:rPr>
                <w:rFonts w:hint="eastAsia" w:ascii="宋体" w:hAnsi="宋体" w:cs="Times New Roman"/>
                <w:b/>
                <w:bCs/>
                <w:kern w:val="0"/>
                <w:szCs w:val="21"/>
                <w:lang w:val="en-US" w:eastAsia="zh-CN"/>
              </w:rPr>
            </w:pPr>
            <w:r>
              <w:rPr>
                <w:rFonts w:hint="eastAsia" w:ascii="宋体" w:hAnsi="宋体" w:cs="Times New Roman"/>
                <w:b/>
                <w:bCs/>
                <w:kern w:val="0"/>
                <w:szCs w:val="21"/>
                <w:lang w:val="en-US" w:eastAsia="zh-CN"/>
              </w:rPr>
              <w:t>合计</w:t>
            </w:r>
          </w:p>
        </w:tc>
        <w:tc>
          <w:tcPr>
            <w:tcW w:w="2539" w:type="pct"/>
            <w:tcBorders>
              <w:tl2br w:val="nil"/>
              <w:tr2bl w:val="nil"/>
            </w:tcBorders>
            <w:noWrap w:val="0"/>
            <w:vAlign w:val="center"/>
          </w:tcPr>
          <w:p w14:paraId="2D8E5BD1">
            <w:pPr>
              <w:keepNext w:val="0"/>
              <w:keepLines w:val="0"/>
              <w:pageBreakBefore w:val="0"/>
              <w:widowControl/>
              <w:tabs>
                <w:tab w:val="left" w:pos="491"/>
              </w:tabs>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当月实际服务费＝合同每月应付服务费－扣罚费用</w:t>
            </w:r>
          </w:p>
        </w:tc>
        <w:tc>
          <w:tcPr>
            <w:tcW w:w="371" w:type="pct"/>
            <w:tcBorders>
              <w:tl2br w:val="nil"/>
              <w:tr2bl w:val="nil"/>
            </w:tcBorders>
            <w:noWrap w:val="0"/>
            <w:vAlign w:val="center"/>
          </w:tcPr>
          <w:p w14:paraId="6074931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szCs w:val="21"/>
                <w:lang w:val="en-US" w:eastAsia="zh-CN"/>
              </w:rPr>
            </w:pPr>
            <w:r>
              <w:rPr>
                <w:rFonts w:hint="eastAsia" w:ascii="宋体" w:hAnsi="宋体" w:cs="Times New Roman"/>
                <w:b/>
                <w:bCs/>
                <w:color w:val="auto"/>
                <w:szCs w:val="21"/>
                <w:lang w:val="en-US" w:eastAsia="zh-CN"/>
              </w:rPr>
              <w:t xml:space="preserve">  </w:t>
            </w:r>
          </w:p>
        </w:tc>
        <w:tc>
          <w:tcPr>
            <w:tcW w:w="371" w:type="pct"/>
            <w:tcBorders>
              <w:tl2br w:val="nil"/>
              <w:tr2bl w:val="nil"/>
            </w:tcBorders>
            <w:noWrap w:val="0"/>
            <w:vAlign w:val="center"/>
          </w:tcPr>
          <w:p w14:paraId="1534C3C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szCs w:val="21"/>
                <w:lang w:val="en-US" w:eastAsia="zh-CN"/>
              </w:rPr>
            </w:pPr>
          </w:p>
        </w:tc>
        <w:tc>
          <w:tcPr>
            <w:tcW w:w="557" w:type="pct"/>
            <w:tcBorders>
              <w:tl2br w:val="nil"/>
              <w:tr2bl w:val="nil"/>
            </w:tcBorders>
            <w:noWrap w:val="0"/>
            <w:vAlign w:val="center"/>
          </w:tcPr>
          <w:p w14:paraId="4DECC21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
                <w:bCs/>
                <w:color w:val="auto"/>
                <w:szCs w:val="21"/>
                <w:lang w:val="en-US" w:eastAsia="zh-CN"/>
              </w:rPr>
            </w:pPr>
          </w:p>
        </w:tc>
        <w:tc>
          <w:tcPr>
            <w:tcW w:w="819" w:type="pct"/>
            <w:tcBorders>
              <w:tl2br w:val="nil"/>
              <w:tr2bl w:val="nil"/>
            </w:tcBorders>
            <w:noWrap w:val="0"/>
            <w:vAlign w:val="center"/>
          </w:tcPr>
          <w:p w14:paraId="7CAF1656">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color w:val="auto"/>
                <w:szCs w:val="21"/>
                <w:lang w:eastAsia="zh-CN"/>
              </w:rPr>
            </w:pPr>
          </w:p>
        </w:tc>
      </w:tr>
      <w:tr w14:paraId="7CED3B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trPr>
        <w:tc>
          <w:tcPr>
            <w:tcW w:w="340" w:type="pct"/>
            <w:tcBorders>
              <w:tl2br w:val="nil"/>
              <w:tr2bl w:val="nil"/>
            </w:tcBorders>
            <w:noWrap w:val="0"/>
            <w:vAlign w:val="center"/>
          </w:tcPr>
          <w:p w14:paraId="3B8E1C45">
            <w:pPr>
              <w:widowControl/>
              <w:jc w:val="center"/>
              <w:rPr>
                <w:rFonts w:hint="default" w:ascii="宋体" w:hAnsi="宋体" w:eastAsia="宋体" w:cs="Times New Roman"/>
                <w:b/>
                <w:bCs/>
                <w:kern w:val="0"/>
                <w:szCs w:val="21"/>
                <w:lang w:val="en-US" w:eastAsia="zh-CN"/>
              </w:rPr>
            </w:pPr>
            <w:r>
              <w:rPr>
                <w:rFonts w:hint="eastAsia" w:ascii="宋体" w:hAnsi="宋体" w:cs="Times New Roman"/>
                <w:b/>
                <w:bCs/>
                <w:kern w:val="0"/>
                <w:szCs w:val="21"/>
                <w:lang w:val="en-US" w:eastAsia="zh-CN"/>
              </w:rPr>
              <w:t>说明</w:t>
            </w:r>
          </w:p>
        </w:tc>
        <w:tc>
          <w:tcPr>
            <w:tcW w:w="4659" w:type="pct"/>
            <w:gridSpan w:val="5"/>
            <w:tcBorders>
              <w:tl2br w:val="nil"/>
              <w:tr2bl w:val="nil"/>
            </w:tcBorders>
            <w:noWrap w:val="0"/>
            <w:vAlign w:val="center"/>
          </w:tcPr>
          <w:p w14:paraId="49E52949">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b/>
                <w:bCs w:val="0"/>
                <w:color w:val="000000"/>
                <w:lang w:val="en-US" w:eastAsia="zh-CN"/>
              </w:rPr>
            </w:pPr>
            <w:r>
              <w:rPr>
                <w:rFonts w:hint="eastAsia"/>
                <w:b/>
                <w:bCs w:val="0"/>
                <w:color w:val="000000"/>
                <w:lang w:val="en-US" w:eastAsia="zh-CN"/>
              </w:rPr>
              <w:t>1.考核分总分为100分，实际得分90分以上为优秀，80分至90分为良好，60分至80分为合格，60分以下为不合格；当月考核合格，采购人则按合同月服务费扣除合计扣款后按实际金额支付服务费，如有一次不合格，采购人将对成交人进行约谈，在合计扣款的基础上同时扣500元服务费；如一年出现3次（含）以上不合格，采购人有权单方面终止合同。</w:t>
            </w:r>
          </w:p>
          <w:p w14:paraId="5D93754E">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2.保卫科于每月月初（五个工作日内）对上月的安保服务工作进行考核，考核结果经保安公司负责人确认后生效；</w:t>
            </w:r>
          </w:p>
          <w:p w14:paraId="5569E7E0">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3.</w:t>
            </w:r>
            <w:r>
              <w:rPr>
                <w:rFonts w:ascii="宋体" w:hAnsi="宋体" w:eastAsia="宋体" w:cs="宋体"/>
                <w:b/>
                <w:bCs/>
                <w:color w:val="auto"/>
                <w:sz w:val="21"/>
                <w:szCs w:val="21"/>
              </w:rPr>
              <w:t>每个月考核所扣罚的费用，应从当月的服务费用中扣除。</w:t>
            </w:r>
            <w:r>
              <w:rPr>
                <w:rFonts w:hint="eastAsia" w:ascii="宋体" w:hAnsi="宋体" w:cs="宋体"/>
                <w:b/>
                <w:bCs/>
                <w:color w:val="auto"/>
                <w:sz w:val="21"/>
                <w:szCs w:val="21"/>
                <w:lang w:eastAsia="zh-CN"/>
              </w:rPr>
              <w:t>即当月实际服务费＝合同每月应付服务费－扣罚费用；财务科按当月实际服务费支付。</w:t>
            </w:r>
          </w:p>
        </w:tc>
      </w:tr>
      <w:tr w14:paraId="100BA5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trPr>
        <w:tc>
          <w:tcPr>
            <w:tcW w:w="2880" w:type="pct"/>
            <w:gridSpan w:val="2"/>
            <w:tcBorders>
              <w:tl2br w:val="nil"/>
              <w:tr2bl w:val="nil"/>
            </w:tcBorders>
            <w:noWrap w:val="0"/>
            <w:vAlign w:val="center"/>
          </w:tcPr>
          <w:p w14:paraId="37832C06">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医院考核方签名：</w:t>
            </w:r>
          </w:p>
          <w:p w14:paraId="117319D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szCs w:val="21"/>
                <w:u w:val="none"/>
                <w:lang w:eastAsia="zh-CN"/>
              </w:rPr>
            </w:pPr>
          </w:p>
          <w:p w14:paraId="04886DAB">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　　　　　　　　　　　　　　　　　　年　月　日</w:t>
            </w:r>
          </w:p>
        </w:tc>
        <w:tc>
          <w:tcPr>
            <w:tcW w:w="2119" w:type="pct"/>
            <w:gridSpan w:val="4"/>
            <w:tcBorders>
              <w:tl2br w:val="nil"/>
              <w:tr2bl w:val="nil"/>
            </w:tcBorders>
            <w:noWrap w:val="0"/>
            <w:vAlign w:val="center"/>
          </w:tcPr>
          <w:p w14:paraId="7A7C88C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保安公司意见：</w:t>
            </w:r>
          </w:p>
          <w:p w14:paraId="561C640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Times New Roman"/>
                <w:b/>
                <w:bCs/>
                <w:szCs w:val="21"/>
                <w:u w:val="none"/>
                <w:lang w:eastAsia="zh-CN"/>
              </w:rPr>
            </w:pPr>
          </w:p>
          <w:p w14:paraId="51B73B9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Times New Roman"/>
                <w:b/>
                <w:bCs/>
                <w:szCs w:val="21"/>
                <w:u w:val="none"/>
                <w:lang w:eastAsia="zh-CN"/>
              </w:rPr>
            </w:pPr>
            <w:r>
              <w:rPr>
                <w:rFonts w:hint="eastAsia" w:ascii="宋体" w:hAnsi="宋体" w:cs="Times New Roman"/>
                <w:b/>
                <w:bCs/>
                <w:szCs w:val="21"/>
                <w:u w:val="none"/>
                <w:lang w:eastAsia="zh-CN"/>
              </w:rPr>
              <w:t>　　　　　　　　　　年　　月　　日</w:t>
            </w:r>
          </w:p>
        </w:tc>
      </w:tr>
    </w:tbl>
    <w:p w14:paraId="6FC3ACAE">
      <w:pPr>
        <w:tabs>
          <w:tab w:val="left" w:pos="1286"/>
        </w:tabs>
        <w:spacing w:before="50"/>
        <w:ind w:right="573"/>
        <w:jc w:val="both"/>
        <w:outlineLvl w:val="0"/>
        <w:rPr>
          <w:rFonts w:hint="eastAsia" w:ascii="宋体" w:hAnsi="宋体" w:eastAsia="宋体" w:cs="宋体"/>
          <w:b/>
          <w:color w:val="FF0000"/>
          <w:sz w:val="36"/>
          <w:szCs w:val="36"/>
        </w:rPr>
      </w:pPr>
    </w:p>
    <w:p w14:paraId="241A49AC">
      <w:pPr>
        <w:tabs>
          <w:tab w:val="left" w:pos="1286"/>
        </w:tabs>
        <w:spacing w:before="50"/>
        <w:ind w:right="573"/>
        <w:jc w:val="both"/>
        <w:outlineLvl w:val="0"/>
        <w:rPr>
          <w:rFonts w:hint="eastAsia" w:ascii="宋体" w:hAnsi="宋体" w:eastAsia="宋体" w:cs="宋体"/>
          <w:b/>
          <w:color w:val="FF0000"/>
          <w:sz w:val="36"/>
          <w:szCs w:val="36"/>
        </w:rPr>
      </w:pPr>
    </w:p>
    <w:p w14:paraId="7E682840">
      <w:pPr>
        <w:tabs>
          <w:tab w:val="left" w:pos="1286"/>
        </w:tabs>
        <w:spacing w:before="50"/>
        <w:ind w:right="573"/>
        <w:jc w:val="center"/>
        <w:outlineLvl w:val="0"/>
        <w:rPr>
          <w:rFonts w:hint="eastAsia" w:ascii="宋体" w:hAnsi="宋体" w:eastAsia="宋体" w:cs="宋体"/>
          <w:b/>
          <w:color w:val="FF0000"/>
          <w:sz w:val="36"/>
          <w:szCs w:val="36"/>
        </w:rPr>
      </w:pPr>
    </w:p>
    <w:p w14:paraId="68CE21B4">
      <w:pPr>
        <w:tabs>
          <w:tab w:val="left" w:pos="1286"/>
        </w:tabs>
        <w:spacing w:before="50"/>
        <w:ind w:right="573"/>
        <w:jc w:val="center"/>
        <w:outlineLvl w:val="0"/>
        <w:rPr>
          <w:rFonts w:hint="eastAsia" w:ascii="宋体" w:hAnsi="宋体" w:eastAsia="宋体" w:cs="宋体"/>
          <w:b/>
          <w:color w:val="FF0000"/>
          <w:sz w:val="36"/>
          <w:szCs w:val="36"/>
        </w:rPr>
      </w:pPr>
    </w:p>
    <w:p w14:paraId="23F914B3">
      <w:pPr>
        <w:tabs>
          <w:tab w:val="left" w:pos="1286"/>
        </w:tabs>
        <w:spacing w:before="50"/>
        <w:ind w:right="573"/>
        <w:jc w:val="center"/>
        <w:outlineLvl w:val="0"/>
        <w:rPr>
          <w:rFonts w:hint="eastAsia" w:ascii="宋体" w:hAnsi="宋体" w:eastAsia="宋体" w:cs="宋体"/>
          <w:b/>
          <w:color w:val="FF0000"/>
          <w:sz w:val="36"/>
          <w:szCs w:val="36"/>
        </w:rPr>
      </w:pPr>
    </w:p>
    <w:p w14:paraId="6A041C20">
      <w:pPr>
        <w:tabs>
          <w:tab w:val="left" w:pos="1286"/>
        </w:tabs>
        <w:spacing w:before="50"/>
        <w:ind w:right="573"/>
        <w:jc w:val="center"/>
        <w:outlineLvl w:val="0"/>
        <w:rPr>
          <w:rFonts w:hint="eastAsia" w:ascii="宋体" w:hAnsi="宋体" w:eastAsia="宋体" w:cs="宋体"/>
          <w:b/>
          <w:color w:val="FF0000"/>
          <w:sz w:val="36"/>
          <w:szCs w:val="36"/>
        </w:rPr>
      </w:pPr>
    </w:p>
    <w:p w14:paraId="6C9C4B54">
      <w:pPr>
        <w:tabs>
          <w:tab w:val="left" w:pos="1286"/>
        </w:tabs>
        <w:spacing w:before="50"/>
        <w:ind w:right="573"/>
        <w:jc w:val="center"/>
        <w:outlineLvl w:val="0"/>
        <w:rPr>
          <w:rFonts w:hint="eastAsia" w:ascii="宋体" w:hAnsi="宋体" w:eastAsia="宋体" w:cs="宋体"/>
          <w:b/>
          <w:color w:val="FF0000"/>
          <w:sz w:val="36"/>
          <w:szCs w:val="36"/>
        </w:rPr>
      </w:pPr>
    </w:p>
    <w:p w14:paraId="7005502C">
      <w:pPr>
        <w:tabs>
          <w:tab w:val="left" w:pos="1286"/>
        </w:tabs>
        <w:spacing w:before="50"/>
        <w:ind w:right="573"/>
        <w:jc w:val="center"/>
        <w:outlineLvl w:val="0"/>
        <w:rPr>
          <w:rFonts w:hint="eastAsia" w:ascii="宋体" w:hAnsi="宋体" w:eastAsia="宋体" w:cs="宋体"/>
          <w:b/>
          <w:color w:val="FF0000"/>
          <w:sz w:val="36"/>
          <w:szCs w:val="36"/>
        </w:rPr>
      </w:pPr>
    </w:p>
    <w:p w14:paraId="19DBEE67">
      <w:pPr>
        <w:tabs>
          <w:tab w:val="left" w:pos="1286"/>
        </w:tabs>
        <w:spacing w:before="50"/>
        <w:ind w:right="573"/>
        <w:jc w:val="center"/>
        <w:outlineLvl w:val="0"/>
        <w:rPr>
          <w:rFonts w:hint="eastAsia" w:ascii="宋体" w:hAnsi="宋体" w:eastAsia="宋体" w:cs="宋体"/>
          <w:b/>
          <w:color w:val="FF0000"/>
          <w:sz w:val="36"/>
          <w:szCs w:val="36"/>
        </w:rPr>
      </w:pPr>
    </w:p>
    <w:p w14:paraId="51464B3C">
      <w:pPr>
        <w:tabs>
          <w:tab w:val="left" w:pos="1286"/>
        </w:tabs>
        <w:spacing w:before="50"/>
        <w:ind w:right="573"/>
        <w:jc w:val="center"/>
        <w:outlineLvl w:val="0"/>
        <w:rPr>
          <w:rFonts w:hint="eastAsia" w:ascii="宋体" w:hAnsi="宋体" w:eastAsia="宋体" w:cs="宋体"/>
          <w:b/>
          <w:color w:val="FF0000"/>
          <w:sz w:val="36"/>
          <w:szCs w:val="36"/>
        </w:rPr>
      </w:pPr>
    </w:p>
    <w:p w14:paraId="68828ADB">
      <w:pPr>
        <w:tabs>
          <w:tab w:val="left" w:pos="1286"/>
        </w:tabs>
        <w:spacing w:before="50"/>
        <w:ind w:right="573"/>
        <w:jc w:val="center"/>
        <w:outlineLvl w:val="0"/>
        <w:rPr>
          <w:rFonts w:hint="eastAsia" w:ascii="宋体" w:hAnsi="宋体" w:eastAsia="宋体" w:cs="宋体"/>
          <w:b/>
          <w:color w:val="FF0000"/>
          <w:sz w:val="36"/>
          <w:szCs w:val="36"/>
        </w:rPr>
      </w:pPr>
    </w:p>
    <w:p w14:paraId="06F44684">
      <w:pPr>
        <w:tabs>
          <w:tab w:val="left" w:pos="1286"/>
        </w:tabs>
        <w:spacing w:before="50"/>
        <w:ind w:right="573"/>
        <w:jc w:val="center"/>
        <w:outlineLvl w:val="0"/>
        <w:rPr>
          <w:rFonts w:hint="eastAsia" w:ascii="宋体" w:hAnsi="宋体" w:eastAsia="宋体" w:cs="宋体"/>
          <w:b/>
          <w:color w:val="FF0000"/>
          <w:sz w:val="36"/>
          <w:szCs w:val="36"/>
        </w:rPr>
      </w:pPr>
    </w:p>
    <w:p w14:paraId="0E9C765B">
      <w:pPr>
        <w:tabs>
          <w:tab w:val="left" w:pos="1286"/>
        </w:tabs>
        <w:spacing w:before="50"/>
        <w:ind w:right="573"/>
        <w:jc w:val="center"/>
        <w:outlineLvl w:val="0"/>
        <w:rPr>
          <w:rFonts w:hint="eastAsia" w:ascii="宋体" w:hAnsi="宋体" w:eastAsia="宋体" w:cs="宋体"/>
          <w:b/>
          <w:color w:val="FF0000"/>
          <w:sz w:val="36"/>
          <w:szCs w:val="36"/>
        </w:rPr>
      </w:pPr>
    </w:p>
    <w:p w14:paraId="3A598F54">
      <w:pPr>
        <w:tabs>
          <w:tab w:val="left" w:pos="1286"/>
        </w:tabs>
        <w:spacing w:before="50"/>
        <w:ind w:right="573"/>
        <w:jc w:val="center"/>
        <w:outlineLvl w:val="0"/>
        <w:rPr>
          <w:rFonts w:hint="eastAsia" w:ascii="宋体" w:hAnsi="宋体" w:eastAsia="宋体" w:cs="宋体"/>
          <w:b/>
          <w:color w:val="FF0000"/>
          <w:sz w:val="36"/>
          <w:szCs w:val="36"/>
        </w:rPr>
      </w:pPr>
    </w:p>
    <w:p w14:paraId="316DD463">
      <w:pPr>
        <w:tabs>
          <w:tab w:val="left" w:pos="1286"/>
        </w:tabs>
        <w:spacing w:before="50"/>
        <w:ind w:right="573"/>
        <w:jc w:val="center"/>
        <w:outlineLvl w:val="0"/>
        <w:rPr>
          <w:rFonts w:hint="eastAsia" w:ascii="宋体" w:hAnsi="宋体" w:eastAsia="宋体" w:cs="宋体"/>
          <w:b/>
          <w:color w:val="FF0000"/>
          <w:sz w:val="36"/>
          <w:szCs w:val="36"/>
        </w:rPr>
      </w:pPr>
    </w:p>
    <w:p w14:paraId="6FB038BA">
      <w:pPr>
        <w:tabs>
          <w:tab w:val="left" w:pos="1286"/>
        </w:tabs>
        <w:spacing w:before="50"/>
        <w:ind w:right="573"/>
        <w:jc w:val="center"/>
        <w:outlineLvl w:val="0"/>
        <w:rPr>
          <w:rFonts w:hint="eastAsia" w:ascii="宋体" w:hAnsi="宋体" w:eastAsia="宋体" w:cs="宋体"/>
          <w:b/>
          <w:color w:val="FF0000"/>
          <w:sz w:val="36"/>
          <w:szCs w:val="36"/>
        </w:rPr>
      </w:pPr>
    </w:p>
    <w:p w14:paraId="4AA14CEA">
      <w:pPr>
        <w:tabs>
          <w:tab w:val="left" w:pos="1286"/>
        </w:tabs>
        <w:spacing w:before="50"/>
        <w:ind w:right="573"/>
        <w:jc w:val="center"/>
        <w:outlineLvl w:val="0"/>
        <w:rPr>
          <w:rFonts w:hint="eastAsia" w:ascii="宋体" w:hAnsi="宋体" w:eastAsia="宋体" w:cs="宋体"/>
          <w:b/>
          <w:color w:val="FF0000"/>
          <w:sz w:val="36"/>
          <w:szCs w:val="36"/>
        </w:rPr>
      </w:pPr>
    </w:p>
    <w:p w14:paraId="3DAC60C9">
      <w:pPr>
        <w:tabs>
          <w:tab w:val="left" w:pos="1286"/>
        </w:tabs>
        <w:spacing w:before="50"/>
        <w:ind w:right="573"/>
        <w:jc w:val="center"/>
        <w:outlineLvl w:val="0"/>
        <w:rPr>
          <w:rFonts w:hint="eastAsia" w:ascii="宋体" w:hAnsi="宋体" w:eastAsia="宋体" w:cs="宋体"/>
          <w:b/>
          <w:color w:val="FF0000"/>
          <w:sz w:val="36"/>
          <w:szCs w:val="36"/>
        </w:rPr>
      </w:pPr>
    </w:p>
    <w:p w14:paraId="036EFE0C">
      <w:pPr>
        <w:tabs>
          <w:tab w:val="left" w:pos="1286"/>
        </w:tabs>
        <w:spacing w:before="50"/>
        <w:ind w:right="573"/>
        <w:jc w:val="center"/>
        <w:outlineLvl w:val="0"/>
        <w:rPr>
          <w:rFonts w:hint="eastAsia" w:ascii="宋体" w:hAnsi="宋体" w:eastAsia="宋体" w:cs="宋体"/>
          <w:b/>
          <w:color w:val="FF0000"/>
          <w:sz w:val="36"/>
          <w:szCs w:val="36"/>
        </w:rPr>
      </w:pPr>
    </w:p>
    <w:p w14:paraId="75E68FF5">
      <w:pPr>
        <w:tabs>
          <w:tab w:val="left" w:pos="1286"/>
        </w:tabs>
        <w:spacing w:before="50"/>
        <w:ind w:right="573"/>
        <w:jc w:val="center"/>
        <w:outlineLvl w:val="0"/>
        <w:rPr>
          <w:rFonts w:hint="eastAsia" w:ascii="宋体" w:hAnsi="宋体" w:eastAsia="宋体" w:cs="宋体"/>
          <w:b/>
          <w:color w:val="FF0000"/>
          <w:sz w:val="36"/>
          <w:szCs w:val="36"/>
        </w:rPr>
      </w:pPr>
    </w:p>
    <w:p w14:paraId="47F21492">
      <w:pPr>
        <w:tabs>
          <w:tab w:val="left" w:pos="1286"/>
        </w:tabs>
        <w:spacing w:before="50"/>
        <w:ind w:right="573"/>
        <w:jc w:val="center"/>
        <w:outlineLvl w:val="0"/>
        <w:rPr>
          <w:rFonts w:hint="eastAsia" w:ascii="宋体" w:hAnsi="宋体" w:eastAsia="宋体" w:cs="宋体"/>
          <w:b/>
          <w:color w:val="FF0000"/>
          <w:sz w:val="36"/>
          <w:szCs w:val="36"/>
        </w:rPr>
      </w:pPr>
    </w:p>
    <w:p w14:paraId="531DB3C4">
      <w:pPr>
        <w:tabs>
          <w:tab w:val="left" w:pos="1286"/>
        </w:tabs>
        <w:spacing w:before="50"/>
        <w:ind w:right="573"/>
        <w:jc w:val="center"/>
        <w:outlineLvl w:val="0"/>
        <w:rPr>
          <w:rFonts w:hint="eastAsia" w:ascii="宋体" w:hAnsi="宋体" w:eastAsia="宋体" w:cs="宋体"/>
          <w:b/>
          <w:color w:val="FF0000"/>
          <w:sz w:val="36"/>
          <w:szCs w:val="36"/>
        </w:rPr>
      </w:pPr>
    </w:p>
    <w:p w14:paraId="33013B2A">
      <w:pPr>
        <w:tabs>
          <w:tab w:val="left" w:pos="1286"/>
        </w:tabs>
        <w:spacing w:before="50"/>
        <w:ind w:right="573"/>
        <w:jc w:val="center"/>
        <w:outlineLvl w:val="0"/>
        <w:rPr>
          <w:rFonts w:hint="eastAsia" w:ascii="宋体" w:hAnsi="宋体" w:eastAsia="宋体" w:cs="宋体"/>
          <w:b/>
          <w:color w:val="FF0000"/>
          <w:sz w:val="36"/>
          <w:szCs w:val="36"/>
        </w:rPr>
      </w:pPr>
    </w:p>
    <w:p w14:paraId="2283DDD2">
      <w:pPr>
        <w:tabs>
          <w:tab w:val="left" w:pos="1286"/>
        </w:tabs>
        <w:spacing w:before="50"/>
        <w:ind w:right="573"/>
        <w:jc w:val="center"/>
        <w:outlineLvl w:val="0"/>
        <w:rPr>
          <w:rFonts w:hint="eastAsia" w:ascii="宋体" w:hAnsi="宋体" w:eastAsia="宋体" w:cs="宋体"/>
          <w:b/>
          <w:color w:val="FF0000"/>
          <w:sz w:val="36"/>
          <w:szCs w:val="36"/>
        </w:rPr>
      </w:pPr>
    </w:p>
    <w:p w14:paraId="043BBDBF">
      <w:pPr>
        <w:tabs>
          <w:tab w:val="left" w:pos="1286"/>
        </w:tabs>
        <w:spacing w:before="50"/>
        <w:ind w:right="573"/>
        <w:jc w:val="center"/>
        <w:outlineLvl w:val="0"/>
        <w:rPr>
          <w:rFonts w:ascii="宋体" w:hAnsi="宋体" w:eastAsia="宋体" w:cs="宋体"/>
          <w:color w:val="auto"/>
          <w:sz w:val="24"/>
          <w:szCs w:val="24"/>
        </w:rPr>
      </w:pPr>
      <w:r>
        <w:rPr>
          <w:rFonts w:hint="eastAsia" w:ascii="宋体" w:hAnsi="宋体" w:eastAsia="宋体" w:cs="宋体"/>
          <w:b/>
          <w:color w:val="auto"/>
          <w:sz w:val="36"/>
          <w:szCs w:val="36"/>
        </w:rPr>
        <w:t>第六章</w:t>
      </w:r>
      <w:bookmarkStart w:id="184" w:name="_bookmark5"/>
      <w:bookmarkEnd w:id="184"/>
      <w:r>
        <w:rPr>
          <w:rFonts w:hint="eastAsia" w:ascii="宋体" w:hAnsi="宋体" w:eastAsia="宋体" w:cs="宋体"/>
          <w:b/>
          <w:color w:val="auto"/>
          <w:sz w:val="36"/>
          <w:szCs w:val="36"/>
          <w:lang w:val="en-US"/>
        </w:rPr>
        <w:t xml:space="preserve">  </w:t>
      </w:r>
      <w:r>
        <w:rPr>
          <w:rFonts w:hint="eastAsia" w:ascii="宋体" w:hAnsi="宋体" w:eastAsia="宋体" w:cs="宋体"/>
          <w:b/>
          <w:color w:val="auto"/>
          <w:sz w:val="36"/>
          <w:szCs w:val="36"/>
        </w:rPr>
        <w:t>评审方法</w:t>
      </w:r>
      <w:bookmarkEnd w:id="179"/>
      <w:bookmarkEnd w:id="180"/>
      <w:bookmarkEnd w:id="181"/>
      <w:bookmarkEnd w:id="182"/>
    </w:p>
    <w:p w14:paraId="26FE8338">
      <w:pPr>
        <w:adjustRightInd w:val="0"/>
        <w:snapToGrid w:val="0"/>
        <w:spacing w:line="360" w:lineRule="exact"/>
        <w:rPr>
          <w:rFonts w:ascii="宋体" w:hAnsi="宋体" w:eastAsia="宋体" w:cs="宋体"/>
          <w:b/>
          <w:bCs/>
          <w:color w:val="auto"/>
          <w:sz w:val="21"/>
          <w:szCs w:val="21"/>
        </w:rPr>
      </w:pPr>
      <w:r>
        <w:rPr>
          <w:rFonts w:hint="eastAsia" w:ascii="宋体" w:hAnsi="宋体" w:eastAsia="宋体" w:cs="宋体"/>
          <w:b/>
          <w:bCs/>
          <w:color w:val="auto"/>
          <w:sz w:val="21"/>
          <w:szCs w:val="21"/>
        </w:rPr>
        <w:t>一、磋商原则</w:t>
      </w:r>
    </w:p>
    <w:p w14:paraId="77A8700C">
      <w:pPr>
        <w:pStyle w:val="9"/>
        <w:keepNext w:val="0"/>
        <w:keepLines w:val="0"/>
        <w:pageBreakBefore w:val="0"/>
        <w:widowControl w:val="0"/>
        <w:kinsoku/>
        <w:wordWrap/>
        <w:overflowPunct/>
        <w:topLinePunct w:val="0"/>
        <w:autoSpaceDE/>
        <w:autoSpaceDN/>
        <w:bidi w:val="0"/>
        <w:adjustRightInd/>
        <w:snapToGrid/>
        <w:spacing w:before="1"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一、评标原则</w:t>
      </w:r>
    </w:p>
    <w:p w14:paraId="6B9B50E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（一）评委构成：本采购项目的评委分别由依法组成的评审专家、采购单位代表共三人以上单数构成，其中专家人数不少于成员总数的三分之二。</w:t>
      </w:r>
    </w:p>
    <w:p w14:paraId="1218547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（二）评标方式：以封闭方式进行。</w:t>
      </w:r>
    </w:p>
    <w:p w14:paraId="1183A98C">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二、评审程序</w:t>
      </w:r>
    </w:p>
    <w:p w14:paraId="2A53CDF4">
      <w:pPr>
        <w:pStyle w:val="13"/>
        <w:keepNext w:val="0"/>
        <w:keepLines w:val="0"/>
        <w:pageBreakBefore w:val="0"/>
        <w:widowControl w:val="0"/>
        <w:kinsoku/>
        <w:wordWrap/>
        <w:overflowPunct/>
        <w:topLinePunct w:val="0"/>
        <w:autoSpaceDE/>
        <w:autoSpaceDN/>
        <w:bidi w:val="0"/>
        <w:adjustRightInd/>
        <w:snapToGrid/>
        <w:spacing w:line="400" w:lineRule="exact"/>
        <w:ind w:firstLine="43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对响应文件的</w:t>
      </w:r>
      <w:r>
        <w:rPr>
          <w:rFonts w:hint="eastAsia" w:ascii="宋体" w:hAnsi="宋体" w:eastAsia="宋体" w:cs="宋体"/>
          <w:bCs/>
          <w:color w:val="auto"/>
          <w:highlight w:val="none"/>
          <w:lang w:val="en-US" w:eastAsia="zh-CN"/>
        </w:rPr>
        <w:t>价格文件、</w:t>
      </w:r>
      <w:r>
        <w:rPr>
          <w:rFonts w:hint="eastAsia" w:ascii="宋体" w:hAnsi="宋体" w:eastAsia="宋体" w:cs="宋体"/>
          <w:bCs/>
          <w:color w:val="auto"/>
          <w:highlight w:val="none"/>
        </w:rPr>
        <w:t>资格商务技术文件进行审查评议。</w:t>
      </w:r>
    </w:p>
    <w:p w14:paraId="30D22733">
      <w:pPr>
        <w:pStyle w:val="13"/>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小组各成员应当独立对每个有效响应的文件进行评价、打分，然后汇总每个服务商每项评分因素的得分。</w:t>
      </w:r>
    </w:p>
    <w:p w14:paraId="3468D36B">
      <w:pPr>
        <w:pStyle w:val="13"/>
        <w:keepNext w:val="0"/>
        <w:keepLines w:val="0"/>
        <w:pageBreakBefore w:val="0"/>
        <w:widowControl w:val="0"/>
        <w:kinsoku/>
        <w:wordWrap/>
        <w:overflowPunct/>
        <w:topLinePunct w:val="0"/>
        <w:autoSpaceDE/>
        <w:autoSpaceDN/>
        <w:bidi w:val="0"/>
        <w:adjustRightInd/>
        <w:snapToGrid/>
        <w:spacing w:line="400" w:lineRule="exact"/>
        <w:ind w:firstLine="43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对评审过程进行复核，计算并汇总得分。</w:t>
      </w:r>
    </w:p>
    <w:p w14:paraId="1DF0945C">
      <w:pPr>
        <w:pStyle w:val="13"/>
        <w:keepNext w:val="0"/>
        <w:keepLines w:val="0"/>
        <w:pageBreakBefore w:val="0"/>
        <w:widowControl w:val="0"/>
        <w:kinsoku/>
        <w:wordWrap/>
        <w:overflowPunct/>
        <w:topLinePunct w:val="0"/>
        <w:autoSpaceDE/>
        <w:autoSpaceDN/>
        <w:bidi w:val="0"/>
        <w:adjustRightInd/>
        <w:snapToGrid/>
        <w:spacing w:line="400" w:lineRule="exact"/>
        <w:ind w:firstLine="43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推荐成交候选人和编写评审报告</w:t>
      </w:r>
    </w:p>
    <w:p w14:paraId="29DA2F1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三、评审方法和标准</w:t>
      </w:r>
    </w:p>
    <w:p w14:paraId="4CCC627B">
      <w:pPr>
        <w:pStyle w:val="13"/>
        <w:keepNext w:val="0"/>
        <w:keepLines w:val="0"/>
        <w:pageBreakBefore w:val="0"/>
        <w:widowControl w:val="0"/>
        <w:kinsoku/>
        <w:wordWrap/>
        <w:overflowPunct/>
        <w:topLinePunct w:val="0"/>
        <w:autoSpaceDE/>
        <w:autoSpaceDN/>
        <w:bidi w:val="0"/>
        <w:adjustRightInd/>
        <w:snapToGrid/>
        <w:spacing w:line="400" w:lineRule="exact"/>
        <w:ind w:firstLine="43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（一）对进入详评的，采用百分制综合评分法。</w:t>
      </w:r>
    </w:p>
    <w:p w14:paraId="0BBE4404">
      <w:pPr>
        <w:pStyle w:val="13"/>
        <w:keepNext w:val="0"/>
        <w:keepLines w:val="0"/>
        <w:pageBreakBefore w:val="0"/>
        <w:widowControl w:val="0"/>
        <w:kinsoku/>
        <w:wordWrap/>
        <w:overflowPunct/>
        <w:topLinePunct w:val="0"/>
        <w:autoSpaceDE/>
        <w:autoSpaceDN/>
        <w:bidi w:val="0"/>
        <w:adjustRightInd/>
        <w:snapToGrid/>
        <w:spacing w:line="400" w:lineRule="exact"/>
        <w:ind w:firstLine="43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（二）计分办法（按四舍五入取至百分位）：</w:t>
      </w:r>
    </w:p>
    <w:tbl>
      <w:tblPr>
        <w:tblStyle w:val="22"/>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99"/>
        <w:gridCol w:w="5724"/>
        <w:gridCol w:w="1366"/>
      </w:tblGrid>
      <w:tr w14:paraId="0DF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5" w:type="dxa"/>
            <w:noWrap w:val="0"/>
            <w:vAlign w:val="center"/>
          </w:tcPr>
          <w:p w14:paraId="1667F9E6">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99" w:type="dxa"/>
            <w:noWrap w:val="0"/>
            <w:vAlign w:val="center"/>
          </w:tcPr>
          <w:p w14:paraId="3E52570D">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评标因素及分值</w:t>
            </w:r>
          </w:p>
        </w:tc>
        <w:tc>
          <w:tcPr>
            <w:tcW w:w="7090" w:type="dxa"/>
            <w:gridSpan w:val="2"/>
            <w:noWrap w:val="0"/>
            <w:vAlign w:val="center"/>
          </w:tcPr>
          <w:p w14:paraId="6369D193">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5C9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1930ABCC">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799" w:type="dxa"/>
            <w:noWrap w:val="0"/>
            <w:vAlign w:val="center"/>
          </w:tcPr>
          <w:p w14:paraId="36A97C6F">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p>
          <w:p w14:paraId="4367C6A9">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tc>
        <w:tc>
          <w:tcPr>
            <w:tcW w:w="7090" w:type="dxa"/>
            <w:gridSpan w:val="2"/>
            <w:noWrap w:val="0"/>
            <w:vAlign w:val="center"/>
          </w:tcPr>
          <w:p w14:paraId="2790711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（1）在服务采购项目中，服务由小微企业承接</w:t>
            </w:r>
            <w:r>
              <w:rPr>
                <w:rFonts w:hint="eastAsia" w:ascii="宋体" w:hAnsi="宋体" w:eastAsia="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对符合要求的</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报价给予20%的扣除，扣除后的价格为</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eastAsia="zh-CN"/>
              </w:rPr>
              <w:t>价</w:t>
            </w:r>
            <w:r>
              <w:rPr>
                <w:rFonts w:hint="eastAsia" w:ascii="宋体" w:hAnsi="宋体" w:eastAsia="宋体" w:cs="宋体"/>
                <w:b w:val="0"/>
                <w:bCs/>
                <w:color w:val="auto"/>
                <w:sz w:val="21"/>
                <w:szCs w:val="21"/>
                <w:highlight w:val="none"/>
              </w:rPr>
              <w:t>，即</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eastAsia="zh-CN"/>
              </w:rPr>
              <w:t>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报价×（1-20%）。</w:t>
            </w:r>
            <w:r>
              <w:rPr>
                <w:rFonts w:hint="eastAsia" w:ascii="宋体" w:hAnsi="宋体" w:eastAsia="宋体" w:cs="宋体"/>
                <w:b w:val="0"/>
                <w:bCs/>
                <w:color w:val="auto"/>
                <w:sz w:val="21"/>
                <w:szCs w:val="21"/>
                <w:highlight w:val="none"/>
                <w:lang w:eastAsia="zh-CN"/>
              </w:rPr>
              <w:t>注：本项目专门面向中小企业，不再享受政采扣除。</w:t>
            </w:r>
          </w:p>
          <w:p w14:paraId="1DE9C3F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eastAsia="zh-CN"/>
              </w:rPr>
              <w:t>价</w:t>
            </w:r>
            <w:r>
              <w:rPr>
                <w:rFonts w:hint="eastAsia" w:ascii="宋体" w:hAnsi="宋体" w:eastAsia="宋体" w:cs="宋体"/>
                <w:b w:val="0"/>
                <w:bCs/>
                <w:color w:val="auto"/>
                <w:sz w:val="21"/>
                <w:szCs w:val="21"/>
                <w:highlight w:val="none"/>
              </w:rPr>
              <w:t>为</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val="en-US" w:eastAsia="zh-CN"/>
              </w:rPr>
              <w:t>最终报价</w:t>
            </w:r>
            <w:r>
              <w:rPr>
                <w:rFonts w:hint="eastAsia" w:ascii="宋体" w:hAnsi="宋体" w:eastAsia="宋体" w:cs="宋体"/>
                <w:b w:val="0"/>
                <w:bCs/>
                <w:color w:val="auto"/>
                <w:sz w:val="21"/>
                <w:szCs w:val="21"/>
                <w:highlight w:val="none"/>
              </w:rPr>
              <w:t>进行政策性扣除后的价格，</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eastAsia="zh-CN"/>
              </w:rPr>
              <w:t>价</w:t>
            </w:r>
            <w:r>
              <w:rPr>
                <w:rFonts w:hint="eastAsia" w:ascii="宋体" w:hAnsi="宋体" w:eastAsia="宋体" w:cs="宋体"/>
                <w:b w:val="0"/>
                <w:bCs/>
                <w:color w:val="auto"/>
                <w:sz w:val="21"/>
                <w:szCs w:val="21"/>
                <w:highlight w:val="none"/>
              </w:rPr>
              <w:t>只是作为评标时使用。最终</w:t>
            </w:r>
            <w:r>
              <w:rPr>
                <w:rFonts w:hint="eastAsia" w:ascii="宋体" w:hAnsi="宋体" w:eastAsia="宋体" w:cs="宋体"/>
                <w:b w:val="0"/>
                <w:bCs/>
                <w:color w:val="auto"/>
                <w:sz w:val="21"/>
                <w:szCs w:val="21"/>
                <w:highlight w:val="none"/>
                <w:lang w:eastAsia="zh-CN"/>
              </w:rPr>
              <w:t>成交供应商</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金额等于</w:t>
            </w:r>
            <w:r>
              <w:rPr>
                <w:rFonts w:hint="eastAsia" w:ascii="宋体" w:hAnsi="宋体" w:eastAsia="宋体" w:cs="宋体"/>
                <w:b w:val="0"/>
                <w:bCs/>
                <w:color w:val="auto"/>
                <w:sz w:val="21"/>
                <w:szCs w:val="21"/>
                <w:highlight w:val="none"/>
                <w:lang w:val="en-US" w:eastAsia="zh-CN"/>
              </w:rPr>
              <w:t>最终报价</w:t>
            </w:r>
            <w:r>
              <w:rPr>
                <w:rFonts w:hint="eastAsia" w:ascii="宋体" w:hAnsi="宋体" w:eastAsia="宋体" w:cs="宋体"/>
                <w:b w:val="0"/>
                <w:bCs/>
                <w:color w:val="auto"/>
                <w:sz w:val="21"/>
                <w:szCs w:val="21"/>
                <w:highlight w:val="none"/>
                <w:lang w:eastAsia="zh-CN"/>
              </w:rPr>
              <w:t>。</w:t>
            </w:r>
          </w:p>
          <w:p w14:paraId="60799B6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）满足</w:t>
            </w:r>
            <w:r>
              <w:rPr>
                <w:rFonts w:hint="eastAsia" w:ascii="宋体" w:hAnsi="宋体" w:eastAsia="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rPr>
              <w:t>文件要求且</w:t>
            </w:r>
            <w:r>
              <w:rPr>
                <w:rFonts w:hint="eastAsia" w:ascii="宋体" w:hAnsi="宋体" w:eastAsia="宋体" w:cs="宋体"/>
                <w:b w:val="0"/>
                <w:bCs/>
                <w:color w:val="auto"/>
                <w:sz w:val="21"/>
                <w:szCs w:val="21"/>
                <w:highlight w:val="none"/>
                <w:lang w:val="en-US" w:eastAsia="zh-CN"/>
              </w:rPr>
              <w:t>评审价</w:t>
            </w:r>
            <w:r>
              <w:rPr>
                <w:rFonts w:hint="eastAsia" w:ascii="宋体" w:hAnsi="宋体" w:eastAsia="宋体" w:cs="宋体"/>
                <w:b w:val="0"/>
                <w:bCs/>
                <w:color w:val="auto"/>
                <w:sz w:val="21"/>
                <w:szCs w:val="21"/>
                <w:highlight w:val="none"/>
              </w:rPr>
              <w:t>最低的</w:t>
            </w:r>
            <w:r>
              <w:rPr>
                <w:rFonts w:hint="eastAsia" w:ascii="宋体" w:hAnsi="宋体" w:eastAsia="宋体" w:cs="宋体"/>
                <w:b w:val="0"/>
                <w:bCs/>
                <w:color w:val="auto"/>
                <w:sz w:val="21"/>
                <w:szCs w:val="21"/>
                <w:highlight w:val="none"/>
                <w:lang w:val="en-US" w:eastAsia="zh-CN"/>
              </w:rPr>
              <w:t>评审价</w:t>
            </w:r>
            <w:r>
              <w:rPr>
                <w:rFonts w:hint="eastAsia" w:ascii="宋体" w:hAnsi="宋体" w:eastAsia="宋体" w:cs="宋体"/>
                <w:b w:val="0"/>
                <w:bCs/>
                <w:color w:val="auto"/>
                <w:sz w:val="21"/>
                <w:szCs w:val="21"/>
                <w:highlight w:val="none"/>
              </w:rPr>
              <w:t>为</w:t>
            </w:r>
            <w:r>
              <w:rPr>
                <w:rFonts w:hint="eastAsia" w:ascii="宋体" w:hAnsi="宋体" w:eastAsia="宋体" w:cs="宋体"/>
                <w:b w:val="0"/>
                <w:bCs/>
                <w:color w:val="auto"/>
                <w:sz w:val="21"/>
                <w:szCs w:val="21"/>
                <w:highlight w:val="none"/>
                <w:lang w:val="en-US" w:eastAsia="zh-CN"/>
              </w:rPr>
              <w:t>评标</w:t>
            </w:r>
            <w:r>
              <w:rPr>
                <w:rFonts w:hint="eastAsia" w:ascii="宋体" w:hAnsi="宋体" w:eastAsia="宋体" w:cs="宋体"/>
                <w:b w:val="0"/>
                <w:bCs/>
                <w:color w:val="auto"/>
                <w:sz w:val="21"/>
                <w:szCs w:val="21"/>
                <w:highlight w:val="none"/>
              </w:rPr>
              <w:t>基准价，基准价得分为</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p w14:paraId="57D737D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b/>
                <w:bCs/>
                <w:color w:val="auto"/>
                <w:kern w:val="0"/>
                <w:sz w:val="21"/>
                <w:szCs w:val="21"/>
                <w:highlight w:val="none"/>
                <w:lang w:eastAsia="zh-CN"/>
              </w:rPr>
              <w:t>某磋商供应商价格得分 =（</w:t>
            </w:r>
            <w:r>
              <w:rPr>
                <w:rFonts w:hint="eastAsia" w:ascii="宋体" w:hAnsi="宋体" w:eastAsia="宋体" w:cs="宋体"/>
                <w:b/>
                <w:bCs/>
                <w:color w:val="auto"/>
                <w:kern w:val="0"/>
                <w:sz w:val="21"/>
                <w:szCs w:val="21"/>
                <w:highlight w:val="none"/>
                <w:lang w:val="en-US" w:eastAsia="zh-CN"/>
              </w:rPr>
              <w:t>基准价</w:t>
            </w:r>
            <w:r>
              <w:rPr>
                <w:rFonts w:hint="eastAsia" w:ascii="宋体" w:hAnsi="宋体" w:eastAsia="宋体" w:cs="宋体"/>
                <w:b/>
                <w:bCs/>
                <w:color w:val="auto"/>
                <w:kern w:val="0"/>
                <w:sz w:val="21"/>
                <w:szCs w:val="21"/>
                <w:highlight w:val="none"/>
                <w:lang w:eastAsia="zh-CN"/>
              </w:rPr>
              <w:t>÷某供应商评审价）×</w:t>
            </w:r>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lang w:eastAsia="zh-CN"/>
              </w:rPr>
              <w:t>分</w:t>
            </w:r>
          </w:p>
        </w:tc>
      </w:tr>
      <w:tr w14:paraId="12C6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5CC51F6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799" w:type="dxa"/>
            <w:noWrap w:val="0"/>
            <w:vAlign w:val="center"/>
          </w:tcPr>
          <w:p w14:paraId="790E7E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default" w:ascii="Times New Roman" w:hAnsi="Times New Roman" w:eastAsia="宋体" w:cs="Times New Roman"/>
                <w:b w:val="0"/>
                <w:bCs/>
                <w:color w:val="auto"/>
                <w:sz w:val="21"/>
                <w:szCs w:val="21"/>
                <w:lang w:val="en-US" w:eastAsia="zh-CN"/>
              </w:rPr>
              <w:t>人员培训分</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p w14:paraId="035E7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p>
        </w:tc>
        <w:tc>
          <w:tcPr>
            <w:tcW w:w="7090" w:type="dxa"/>
            <w:gridSpan w:val="2"/>
            <w:noWrap w:val="0"/>
            <w:vAlign w:val="center"/>
          </w:tcPr>
          <w:p w14:paraId="1BBB1E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bookmarkStart w:id="185" w:name="OLE_LINK1"/>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分）：人员培训（包括对各类人员的培训计划、考核方式、目标及言行规范、仪表仪容、公众形象、基本技能等）内容简单。</w:t>
            </w:r>
          </w:p>
          <w:p w14:paraId="0E7870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分）：人员培训（包括对各类人员的培训计划、考核方式、目标及言行规范、仪表仪容、公众形象、基本技能等）相对完整详细，可行性一般。</w:t>
            </w:r>
          </w:p>
          <w:p w14:paraId="1B246C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分）：人员培训（包括对各类人员的培训计划、考核方式、目标及言行规范、仪表仪容、公众形象、基本技能等）内容详细、科学，有一定的可行性。</w:t>
            </w:r>
          </w:p>
          <w:p w14:paraId="5C3976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分）：人员培训（包括对各类人员的培训计划、考核方式、目标及言行规范、仪表仪容、公众形象、基本技能等）内容详细、科学、细致、合理，可行性相对较高。</w:t>
            </w:r>
          </w:p>
          <w:p w14:paraId="692ECD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五档（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分）：人员培训（包括对各类人员的培训计划、考核方式、目标及言行规范、仪表仪容、公众形象、基本技能等）内容详细、科学、细致、合理，具备强有力的可行性。</w:t>
            </w:r>
            <w:bookmarkEnd w:id="185"/>
          </w:p>
        </w:tc>
      </w:tr>
      <w:tr w14:paraId="2FD9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5FDE0A1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3</w:t>
            </w:r>
          </w:p>
        </w:tc>
        <w:tc>
          <w:tcPr>
            <w:tcW w:w="1799" w:type="dxa"/>
            <w:noWrap w:val="0"/>
            <w:vAlign w:val="center"/>
          </w:tcPr>
          <w:p w14:paraId="34C9FC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rPr>
            </w:pPr>
            <w:r>
              <w:rPr>
                <w:rFonts w:hint="default" w:ascii="Times New Roman" w:hAnsi="Times New Roman" w:eastAsia="宋体" w:cs="Times New Roman"/>
                <w:b w:val="0"/>
                <w:bCs/>
                <w:color w:val="auto"/>
                <w:sz w:val="21"/>
                <w:szCs w:val="21"/>
              </w:rPr>
              <w:t>管理规章制度、操作规程、应急处置方案预案分</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p w14:paraId="7A7D3EA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val="0"/>
                <w:color w:val="auto"/>
                <w:kern w:val="2"/>
                <w:sz w:val="21"/>
                <w:szCs w:val="21"/>
                <w:highlight w:val="none"/>
                <w:lang w:val="en-US" w:eastAsia="zh-CN" w:bidi="ar-SA"/>
              </w:rPr>
            </w:pPr>
          </w:p>
        </w:tc>
        <w:tc>
          <w:tcPr>
            <w:tcW w:w="7090" w:type="dxa"/>
            <w:gridSpan w:val="2"/>
            <w:noWrap w:val="0"/>
            <w:vAlign w:val="center"/>
          </w:tcPr>
          <w:p w14:paraId="085554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分）：提供的管理规章制度、操作规程、应急处置方案预案内容简单。</w:t>
            </w:r>
          </w:p>
          <w:p w14:paraId="78A83D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分）：提供的管理规章制度、操作规程、应急处置方案预案内容相对完整，可行性一般。</w:t>
            </w:r>
          </w:p>
          <w:p w14:paraId="1F5A6D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分）：提供的管理规章制度、操作规程、应急处置方案预案内容细致完整，有一定的可行性。</w:t>
            </w:r>
          </w:p>
          <w:p w14:paraId="43E8E8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分）：提供的管理规章制度、操作规程、应急处置方案预案内容细致、合理、可行、严密，有一定的保障措施。</w:t>
            </w:r>
          </w:p>
          <w:p w14:paraId="385DCA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五档（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5分）：提供的管理规章制度、操作规程、应急处置方案预案内容更加细致、合理、可行、严密，具备强有力的保障措施。</w:t>
            </w:r>
          </w:p>
        </w:tc>
      </w:tr>
      <w:tr w14:paraId="18E3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25" w:type="dxa"/>
            <w:noWrap w:val="0"/>
            <w:vAlign w:val="center"/>
          </w:tcPr>
          <w:p w14:paraId="177B854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p>
        </w:tc>
        <w:tc>
          <w:tcPr>
            <w:tcW w:w="1799" w:type="dxa"/>
            <w:noWrap w:val="0"/>
            <w:vAlign w:val="center"/>
          </w:tcPr>
          <w:p w14:paraId="623E5DAF">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default" w:ascii="Times New Roman" w:hAnsi="Times New Roman" w:eastAsia="宋体" w:cs="Times New Roman"/>
                <w:b w:val="0"/>
                <w:bCs/>
                <w:color w:val="auto"/>
                <w:sz w:val="21"/>
                <w:szCs w:val="21"/>
              </w:rPr>
              <w:t>服务承诺</w:t>
            </w:r>
            <w:r>
              <w:rPr>
                <w:rFonts w:hint="default" w:ascii="Times New Roman" w:hAnsi="Times New Roman" w:eastAsia="宋体" w:cs="Times New Roman"/>
                <w:b w:val="0"/>
                <w:bCs/>
                <w:color w:val="auto"/>
                <w:sz w:val="21"/>
                <w:szCs w:val="21"/>
                <w:lang w:val="en-US" w:eastAsia="zh-CN"/>
              </w:rPr>
              <w:t>分</w:t>
            </w:r>
            <w:r>
              <w:rPr>
                <w:rFonts w:hint="default" w:ascii="Times New Roman" w:hAnsi="Times New Roman" w:eastAsia="宋体" w:cs="Times New Roman"/>
                <w:b w:val="0"/>
                <w:bCs/>
                <w:color w:val="auto"/>
                <w:sz w:val="21"/>
                <w:szCs w:val="21"/>
                <w:lang w:val="en-US" w:eastAsia="zh-CN"/>
              </w:rPr>
              <w:br w:type="textWrapping"/>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满分</w:t>
            </w:r>
            <w:r>
              <w:rPr>
                <w:rFonts w:hint="eastAsia"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14:paraId="5D2FA1C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trike w:val="0"/>
                <w:dstrike w:val="0"/>
                <w:color w:val="auto"/>
                <w:kern w:val="2"/>
                <w:sz w:val="21"/>
                <w:szCs w:val="21"/>
                <w:highlight w:val="none"/>
                <w:lang w:val="en-US" w:eastAsia="zh-CN" w:bidi="ar-SA"/>
              </w:rPr>
            </w:pPr>
          </w:p>
        </w:tc>
        <w:tc>
          <w:tcPr>
            <w:tcW w:w="7090" w:type="dxa"/>
            <w:gridSpan w:val="2"/>
            <w:noWrap w:val="0"/>
            <w:vAlign w:val="center"/>
          </w:tcPr>
          <w:p w14:paraId="13B9691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一档（4分）：投标人提供的服务承诺的内容简单，尚能满足服务需求，实施效率一般、措施不详尽；</w:t>
            </w:r>
          </w:p>
          <w:p w14:paraId="7C97ED7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二档（8分）：投标人提供的服务承诺的内容细致，基本满足服务需求，实施效率基本满足需求，有服务计划、措施；</w:t>
            </w:r>
          </w:p>
          <w:p w14:paraId="1DFAA26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三档（12分）：投标人提供的服务承诺的内容细致、详尽，基本满足服务需求，实施效率满足需求，服务计划、措施合理；</w:t>
            </w:r>
          </w:p>
          <w:p w14:paraId="03B69EB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四档（16分）：投标人提供的服务承诺的内容细致、详尽，满足服务需求，实施效率高，服务计划、措施详尽，具有很强针对性和可行性。</w:t>
            </w:r>
          </w:p>
          <w:p w14:paraId="309E0F6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档（20分）：投标人提供的服务承诺的内容细致、详尽，满足服务需求，能应对突发紧急事件，实施效率高，服务计划、措施详尽，切合招标人单位特点，符合招标人需求，考虑全面，具有很强针对性和可行性。</w:t>
            </w:r>
          </w:p>
        </w:tc>
      </w:tr>
      <w:tr w14:paraId="7A75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25" w:type="dxa"/>
            <w:noWrap w:val="0"/>
            <w:vAlign w:val="center"/>
          </w:tcPr>
          <w:p w14:paraId="37746384">
            <w:pPr>
              <w:keepNext w:val="0"/>
              <w:keepLines w:val="0"/>
              <w:pageBreakBefore w:val="0"/>
              <w:kinsoku/>
              <w:wordWrap/>
              <w:overflowPunct/>
              <w:topLinePunct w:val="0"/>
              <w:autoSpaceDE/>
              <w:autoSpaceDN/>
              <w:bidi w:val="0"/>
              <w:snapToGrid/>
              <w:spacing w:line="360" w:lineRule="auto"/>
              <w:jc w:val="center"/>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799" w:type="dxa"/>
            <w:noWrap w:val="0"/>
            <w:vAlign w:val="center"/>
          </w:tcPr>
          <w:p w14:paraId="1059379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val="0"/>
                <w:strike w:val="0"/>
                <w:dstrike w:val="0"/>
                <w:color w:val="auto"/>
                <w:kern w:val="2"/>
                <w:sz w:val="21"/>
                <w:szCs w:val="21"/>
                <w:highlight w:val="none"/>
                <w:lang w:val="en-US" w:eastAsia="zh-CN" w:bidi="ar-SA"/>
              </w:rPr>
            </w:pPr>
            <w:r>
              <w:rPr>
                <w:rFonts w:hint="eastAsia" w:ascii="宋体" w:hAnsi="宋体" w:eastAsia="宋体" w:cs="宋体"/>
                <w:b/>
                <w:bCs w:val="0"/>
                <w:strike w:val="0"/>
                <w:dstrike w:val="0"/>
                <w:color w:val="auto"/>
                <w:kern w:val="2"/>
                <w:sz w:val="21"/>
                <w:szCs w:val="21"/>
                <w:highlight w:val="none"/>
                <w:lang w:val="en-US" w:eastAsia="zh-CN" w:bidi="ar-SA"/>
              </w:rPr>
              <w:t>人员配置分</w:t>
            </w:r>
            <w:r>
              <w:rPr>
                <w:rFonts w:hint="eastAsia" w:ascii="宋体" w:hAnsi="宋体" w:eastAsia="宋体" w:cs="宋体"/>
                <w:b/>
                <w:bCs w:val="0"/>
                <w:strike w:val="0"/>
                <w:dstrike w:val="0"/>
                <w:color w:val="auto"/>
                <w:kern w:val="2"/>
                <w:sz w:val="21"/>
                <w:szCs w:val="21"/>
                <w:highlight w:val="none"/>
                <w:lang w:val="en-US" w:eastAsia="zh-CN" w:bidi="ar-SA"/>
              </w:rPr>
              <w:br w:type="textWrapping"/>
            </w:r>
            <w:r>
              <w:rPr>
                <w:rFonts w:hint="eastAsia" w:ascii="宋体" w:hAnsi="宋体" w:eastAsia="宋体" w:cs="宋体"/>
                <w:b/>
                <w:bCs w:val="0"/>
                <w:strike w:val="0"/>
                <w:dstrike w:val="0"/>
                <w:color w:val="auto"/>
                <w:kern w:val="2"/>
                <w:sz w:val="21"/>
                <w:szCs w:val="21"/>
                <w:highlight w:val="none"/>
                <w:lang w:val="en-US" w:eastAsia="zh-CN" w:bidi="ar-SA"/>
              </w:rPr>
              <w:t>（满分10分）</w:t>
            </w:r>
          </w:p>
        </w:tc>
        <w:tc>
          <w:tcPr>
            <w:tcW w:w="7090" w:type="dxa"/>
            <w:gridSpan w:val="2"/>
            <w:noWrap w:val="0"/>
            <w:vAlign w:val="center"/>
          </w:tcPr>
          <w:p w14:paraId="1159DEF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拟投入的保安人员中，每有一名为退伍军人的，得2分，做多得10分。</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（提供有效退的伍军人证，否则不计分）</w:t>
            </w:r>
          </w:p>
        </w:tc>
      </w:tr>
      <w:tr w14:paraId="346F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25" w:type="dxa"/>
            <w:noWrap w:val="0"/>
            <w:vAlign w:val="center"/>
          </w:tcPr>
          <w:p w14:paraId="799F038C">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799" w:type="dxa"/>
            <w:noWrap w:val="0"/>
            <w:vAlign w:val="center"/>
          </w:tcPr>
          <w:p w14:paraId="24B64A73">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val="0"/>
                <w:strike w:val="0"/>
                <w:dstrike w:val="0"/>
                <w:color w:val="auto"/>
                <w:kern w:val="2"/>
                <w:sz w:val="21"/>
                <w:szCs w:val="21"/>
                <w:highlight w:val="none"/>
                <w:lang w:val="en-US" w:eastAsia="zh-CN" w:bidi="ar-SA"/>
              </w:rPr>
            </w:pPr>
            <w:r>
              <w:rPr>
                <w:rFonts w:hint="eastAsia" w:ascii="宋体" w:hAnsi="宋体" w:eastAsia="宋体" w:cs="宋体"/>
                <w:b/>
                <w:bCs w:val="0"/>
                <w:strike w:val="0"/>
                <w:dstrike w:val="0"/>
                <w:color w:val="auto"/>
                <w:kern w:val="2"/>
                <w:sz w:val="21"/>
                <w:szCs w:val="21"/>
                <w:highlight w:val="none"/>
                <w:lang w:val="en-US" w:eastAsia="zh-CN" w:bidi="ar-SA"/>
              </w:rPr>
              <w:t>业绩分</w:t>
            </w:r>
          </w:p>
          <w:p w14:paraId="51195ADF">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val="0"/>
                <w:strike w:val="0"/>
                <w:dstrike w:val="0"/>
                <w:color w:val="auto"/>
                <w:kern w:val="2"/>
                <w:sz w:val="21"/>
                <w:szCs w:val="21"/>
                <w:highlight w:val="none"/>
                <w:lang w:val="en-US" w:eastAsia="zh-CN" w:bidi="ar-SA"/>
              </w:rPr>
            </w:pPr>
            <w:r>
              <w:rPr>
                <w:rFonts w:hint="eastAsia" w:ascii="宋体" w:hAnsi="宋体" w:eastAsia="宋体" w:cs="宋体"/>
                <w:b/>
                <w:bCs w:val="0"/>
                <w:strike w:val="0"/>
                <w:dstrike w:val="0"/>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满分</w:t>
            </w:r>
            <w:r>
              <w:rPr>
                <w:rFonts w:hint="eastAsia" w:hAnsi="宋体" w:eastAsia="宋体" w:cs="宋体"/>
                <w:b/>
                <w:bCs w:val="0"/>
                <w:strike w:val="0"/>
                <w:dstrike w:val="0"/>
                <w:color w:val="auto"/>
                <w:kern w:val="2"/>
                <w:sz w:val="21"/>
                <w:szCs w:val="21"/>
                <w:highlight w:val="none"/>
                <w:lang w:val="en-US" w:eastAsia="zh-CN" w:bidi="ar-SA"/>
              </w:rPr>
              <w:t>10</w:t>
            </w:r>
            <w:r>
              <w:rPr>
                <w:rFonts w:hint="eastAsia" w:ascii="宋体" w:hAnsi="宋体" w:eastAsia="宋体" w:cs="宋体"/>
                <w:b/>
                <w:bCs w:val="0"/>
                <w:strike w:val="0"/>
                <w:dstrike w:val="0"/>
                <w:color w:val="auto"/>
                <w:kern w:val="2"/>
                <w:sz w:val="21"/>
                <w:szCs w:val="21"/>
                <w:highlight w:val="none"/>
                <w:lang w:val="en-US" w:eastAsia="zh-CN" w:bidi="ar-SA"/>
              </w:rPr>
              <w:t>分）</w:t>
            </w:r>
          </w:p>
        </w:tc>
        <w:tc>
          <w:tcPr>
            <w:tcW w:w="7090" w:type="dxa"/>
            <w:gridSpan w:val="2"/>
            <w:noWrap w:val="0"/>
            <w:vAlign w:val="center"/>
          </w:tcPr>
          <w:p w14:paraId="6620828E">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val="0"/>
                <w:bCs w:val="0"/>
                <w:color w:val="auto"/>
                <w:kern w:val="0"/>
                <w:sz w:val="21"/>
                <w:szCs w:val="21"/>
                <w:highlight w:val="none"/>
                <w:lang w:val="en-US" w:eastAsia="zh-CN" w:bidi="ar"/>
              </w:rPr>
            </w:pPr>
            <w:bookmarkStart w:id="186" w:name="OLE_LINK4"/>
            <w:r>
              <w:rPr>
                <w:rFonts w:hint="eastAsia" w:ascii="宋体" w:hAnsi="宋体" w:eastAsia="宋体" w:cs="宋体"/>
                <w:b w:val="0"/>
                <w:bCs w:val="0"/>
                <w:color w:val="auto"/>
                <w:kern w:val="0"/>
                <w:sz w:val="21"/>
                <w:szCs w:val="21"/>
                <w:highlight w:val="none"/>
                <w:lang w:val="en-US" w:eastAsia="zh-CN" w:bidi="ar"/>
              </w:rPr>
              <w:t>供应商202</w:t>
            </w:r>
            <w:r>
              <w:rPr>
                <w:rFonts w:hint="eastAsia"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年1月1日以来至响应文件递交截止时间前</w:t>
            </w:r>
            <w:r>
              <w:rPr>
                <w:rFonts w:hint="eastAsia" w:hAnsi="宋体" w:eastAsia="宋体" w:cs="宋体"/>
                <w:b w:val="0"/>
                <w:bCs w:val="0"/>
                <w:color w:val="auto"/>
                <w:kern w:val="0"/>
                <w:sz w:val="21"/>
                <w:szCs w:val="21"/>
                <w:highlight w:val="none"/>
                <w:lang w:val="en-US" w:eastAsia="zh-CN" w:bidi="ar"/>
              </w:rPr>
              <w:t>承接过</w:t>
            </w:r>
            <w:r>
              <w:rPr>
                <w:rFonts w:hint="eastAsia" w:ascii="宋体" w:hAnsi="宋体" w:eastAsia="宋体" w:cs="宋体"/>
                <w:b w:val="0"/>
                <w:bCs w:val="0"/>
                <w:color w:val="auto"/>
                <w:kern w:val="0"/>
                <w:sz w:val="21"/>
                <w:szCs w:val="21"/>
                <w:highlight w:val="none"/>
                <w:lang w:val="en-US" w:eastAsia="zh-CN" w:bidi="ar"/>
              </w:rPr>
              <w:t>关于本次采购内容相关的类似项目业绩，每有一个得</w:t>
            </w:r>
            <w:r>
              <w:rPr>
                <w:rFonts w:hint="eastAsia" w:hAnsi="宋体" w:eastAsia="宋体" w:cs="宋体"/>
                <w:b w:val="0"/>
                <w:bCs w:val="0"/>
                <w:color w:val="auto"/>
                <w:kern w:val="0"/>
                <w:sz w:val="21"/>
                <w:szCs w:val="21"/>
                <w:highlight w:val="none"/>
                <w:lang w:val="en-US" w:eastAsia="zh-CN" w:bidi="ar"/>
              </w:rPr>
              <w:t>2.5</w:t>
            </w:r>
            <w:r>
              <w:rPr>
                <w:rFonts w:hint="eastAsia" w:ascii="宋体" w:hAnsi="宋体" w:eastAsia="宋体" w:cs="宋体"/>
                <w:b w:val="0"/>
                <w:bCs w:val="0"/>
                <w:color w:val="auto"/>
                <w:kern w:val="0"/>
                <w:sz w:val="21"/>
                <w:szCs w:val="21"/>
                <w:highlight w:val="none"/>
                <w:lang w:val="en-US" w:eastAsia="zh-CN" w:bidi="ar"/>
              </w:rPr>
              <w:t>分，满分</w:t>
            </w:r>
            <w:r>
              <w:rPr>
                <w:rFonts w:hint="eastAsia" w:hAnsi="宋体" w:eastAsia="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分。</w:t>
            </w:r>
          </w:p>
          <w:p w14:paraId="2D349E51">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（响应文件中须提供有效的合同或中标（成交）通知书复印件，加盖供应商</w:t>
            </w:r>
            <w:r>
              <w:rPr>
                <w:rFonts w:hint="eastAsia" w:ascii="宋体" w:hAnsi="宋体" w:eastAsia="宋体" w:cs="宋体"/>
                <w:b/>
                <w:bCs/>
                <w:color w:val="auto"/>
                <w:kern w:val="0"/>
                <w:sz w:val="21"/>
                <w:szCs w:val="21"/>
                <w:highlight w:val="none"/>
                <w:lang w:val="en-US" w:eastAsia="zh-CN"/>
              </w:rPr>
              <w:t>电子印章</w:t>
            </w:r>
            <w:r>
              <w:rPr>
                <w:rFonts w:hint="eastAsia" w:ascii="宋体" w:hAnsi="宋体" w:eastAsia="宋体" w:cs="宋体"/>
                <w:b/>
                <w:bCs/>
                <w:color w:val="auto"/>
                <w:kern w:val="0"/>
                <w:sz w:val="21"/>
                <w:szCs w:val="21"/>
                <w:highlight w:val="none"/>
                <w:lang w:val="en-US" w:eastAsia="zh-CN" w:bidi="ar"/>
              </w:rPr>
              <w:t>。）</w:t>
            </w:r>
            <w:bookmarkEnd w:id="186"/>
          </w:p>
        </w:tc>
      </w:tr>
      <w:tr w14:paraId="686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5" w:type="dxa"/>
            <w:noWrap w:val="0"/>
            <w:vAlign w:val="center"/>
          </w:tcPr>
          <w:p w14:paraId="6CF3E7C0">
            <w:pPr>
              <w:keepNext w:val="0"/>
              <w:keepLines w:val="0"/>
              <w:pageBreakBefore w:val="0"/>
              <w:kinsoku/>
              <w:wordWrap/>
              <w:overflowPunct/>
              <w:topLinePunct w:val="0"/>
              <w:autoSpaceDE/>
              <w:autoSpaceDN/>
              <w:bidi w:val="0"/>
              <w:snapToGrid/>
              <w:spacing w:line="24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7523" w:type="dxa"/>
            <w:gridSpan w:val="2"/>
            <w:noWrap w:val="0"/>
            <w:vAlign w:val="center"/>
          </w:tcPr>
          <w:p w14:paraId="7D8F9CB0">
            <w:pPr>
              <w:pStyle w:val="13"/>
              <w:keepNext w:val="0"/>
              <w:keepLines w:val="0"/>
              <w:pageBreakBefore w:val="0"/>
              <w:kinsoku/>
              <w:wordWrap/>
              <w:overflowPunct/>
              <w:topLinePunct w:val="0"/>
              <w:autoSpaceDE/>
              <w:autoSpaceDN/>
              <w:bidi w:val="0"/>
              <w:snapToGrid/>
              <w:spacing w:line="240" w:lineRule="auto"/>
              <w:jc w:val="both"/>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bidi="ar"/>
              </w:rPr>
              <w:t>总得分=1+2+3+4</w:t>
            </w:r>
            <w:r>
              <w:rPr>
                <w:rFonts w:hint="eastAsia" w:ascii="宋体" w:hAnsi="宋体" w:eastAsia="宋体" w:cs="宋体"/>
                <w:b/>
                <w:bCs/>
                <w:color w:val="auto"/>
                <w:kern w:val="0"/>
                <w:sz w:val="21"/>
                <w:szCs w:val="21"/>
                <w:highlight w:val="none"/>
                <w:lang w:val="en-US" w:eastAsia="zh-CN" w:bidi="ar"/>
              </w:rPr>
              <w:t>+5</w:t>
            </w:r>
            <w:r>
              <w:rPr>
                <w:rFonts w:hint="eastAsia" w:hAnsi="宋体" w:eastAsia="宋体" w:cs="宋体"/>
                <w:b/>
                <w:bCs/>
                <w:color w:val="auto"/>
                <w:kern w:val="0"/>
                <w:sz w:val="21"/>
                <w:szCs w:val="21"/>
                <w:highlight w:val="none"/>
                <w:lang w:val="en-US" w:eastAsia="zh-CN" w:bidi="ar"/>
              </w:rPr>
              <w:t>+6</w:t>
            </w:r>
          </w:p>
        </w:tc>
        <w:tc>
          <w:tcPr>
            <w:tcW w:w="1366" w:type="dxa"/>
            <w:noWrap w:val="0"/>
            <w:vAlign w:val="center"/>
          </w:tcPr>
          <w:p w14:paraId="57F8CADB">
            <w:pPr>
              <w:pStyle w:val="13"/>
              <w:keepNext w:val="0"/>
              <w:keepLines w:val="0"/>
              <w:pageBreakBefore w:val="0"/>
              <w:kinsoku/>
              <w:wordWrap/>
              <w:overflowPunct/>
              <w:topLinePunct w:val="0"/>
              <w:autoSpaceDE/>
              <w:autoSpaceDN/>
              <w:bidi w:val="0"/>
              <w:snapToGrid/>
              <w:spacing w:line="240" w:lineRule="auto"/>
              <w:jc w:val="center"/>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100分</w:t>
            </w:r>
          </w:p>
        </w:tc>
      </w:tr>
    </w:tbl>
    <w:p w14:paraId="1CC0B17D">
      <w:pPr>
        <w:pStyle w:val="13"/>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四、成交候选人推荐原则</w:t>
      </w:r>
    </w:p>
    <w:p w14:paraId="311808F2">
      <w:pPr>
        <w:pStyle w:val="13"/>
        <w:keepNext w:val="0"/>
        <w:keepLines w:val="0"/>
        <w:pageBreakBefore w:val="0"/>
        <w:kinsoku/>
        <w:wordWrap/>
        <w:overflowPunct/>
        <w:topLinePunct w:val="0"/>
        <w:autoSpaceDE/>
        <w:autoSpaceDN/>
        <w:bidi w:val="0"/>
        <w:adjustRightInd/>
        <w:snapToGrid/>
        <w:spacing w:line="324" w:lineRule="auto"/>
        <w:ind w:firstLine="440" w:firstLineChars="200"/>
        <w:jc w:val="left"/>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磋商小组</w:t>
      </w:r>
      <w:r>
        <w:rPr>
          <w:rFonts w:hint="eastAsia" w:ascii="宋体" w:hAnsi="宋体" w:eastAsia="宋体" w:cs="宋体"/>
          <w:bCs/>
          <w:color w:val="auto"/>
          <w:highlight w:val="none"/>
        </w:rPr>
        <w:t>将根据得分由高到低排列次序（得分相同时，</w:t>
      </w:r>
      <w:r>
        <w:rPr>
          <w:rFonts w:hint="eastAsia" w:ascii="宋体" w:hAnsi="宋体" w:eastAsia="宋体" w:cs="宋体"/>
          <w:bCs/>
          <w:color w:val="auto"/>
          <w:highlight w:val="none"/>
          <w:lang w:eastAsia="zh-CN"/>
        </w:rPr>
        <w:t>以评标价低优先；</w:t>
      </w:r>
      <w:r>
        <w:rPr>
          <w:rFonts w:hint="eastAsia" w:ascii="宋体" w:hAnsi="宋体" w:eastAsia="宋体" w:cs="宋体"/>
          <w:color w:val="auto"/>
          <w:sz w:val="21"/>
          <w:szCs w:val="21"/>
          <w:highlight w:val="none"/>
        </w:rPr>
        <w:t>评标价相同时，依次以最终报价最低优先；最终报价相同时，以技术、商务综合指标优劣顺序排列</w:t>
      </w:r>
      <w:r>
        <w:rPr>
          <w:rFonts w:hint="eastAsia" w:ascii="宋体" w:hAnsi="宋体" w:eastAsia="宋体" w:cs="宋体"/>
          <w:bCs/>
          <w:color w:val="auto"/>
          <w:highlight w:val="none"/>
        </w:rPr>
        <w:t>）并推荐</w:t>
      </w:r>
      <w:r>
        <w:rPr>
          <w:rFonts w:hint="eastAsia" w:ascii="宋体" w:hAnsi="宋体" w:eastAsia="宋体" w:cs="宋体"/>
          <w:bCs/>
          <w:color w:val="auto"/>
          <w:highlight w:val="none"/>
          <w:lang w:eastAsia="zh-CN"/>
        </w:rPr>
        <w:t>成交</w:t>
      </w:r>
      <w:r>
        <w:rPr>
          <w:rFonts w:hint="eastAsia" w:ascii="宋体" w:hAnsi="宋体" w:eastAsia="宋体" w:cs="宋体"/>
          <w:bCs/>
          <w:color w:val="auto"/>
          <w:highlight w:val="none"/>
        </w:rPr>
        <w:t>候选供应商。采购人应当确定评审委员会推荐排名第一的</w:t>
      </w:r>
      <w:r>
        <w:rPr>
          <w:rFonts w:hint="eastAsia" w:ascii="宋体" w:hAnsi="宋体" w:eastAsia="宋体" w:cs="宋体"/>
          <w:bCs/>
          <w:color w:val="auto"/>
          <w:highlight w:val="none"/>
          <w:lang w:eastAsia="zh-CN"/>
        </w:rPr>
        <w:t>成交</w:t>
      </w:r>
      <w:r>
        <w:rPr>
          <w:rFonts w:hint="eastAsia" w:ascii="宋体" w:hAnsi="宋体" w:eastAsia="宋体" w:cs="宋体"/>
          <w:bCs/>
          <w:color w:val="auto"/>
          <w:highlight w:val="none"/>
        </w:rPr>
        <w:t>候选人为</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。排名第一的</w:t>
      </w:r>
      <w:r>
        <w:rPr>
          <w:rFonts w:hint="eastAsia" w:ascii="宋体" w:hAnsi="宋体" w:eastAsia="宋体" w:cs="宋体"/>
          <w:bCs/>
          <w:color w:val="auto"/>
          <w:highlight w:val="none"/>
          <w:lang w:eastAsia="zh-CN"/>
        </w:rPr>
        <w:t>成交</w:t>
      </w:r>
      <w:r>
        <w:rPr>
          <w:rFonts w:hint="eastAsia" w:ascii="宋体" w:hAnsi="宋体" w:eastAsia="宋体" w:cs="宋体"/>
          <w:bCs/>
          <w:color w:val="auto"/>
          <w:highlight w:val="none"/>
        </w:rPr>
        <w:t>候选人放弃</w:t>
      </w:r>
      <w:r>
        <w:rPr>
          <w:rFonts w:hint="eastAsia" w:ascii="宋体" w:hAnsi="宋体" w:eastAsia="宋体" w:cs="宋体"/>
          <w:bCs/>
          <w:color w:val="auto"/>
          <w:highlight w:val="none"/>
          <w:lang w:eastAsia="zh-CN"/>
        </w:rPr>
        <w:t>成交</w:t>
      </w:r>
      <w:r>
        <w:rPr>
          <w:rFonts w:hint="eastAsia" w:hAnsi="宋体" w:eastAsia="宋体" w:cs="宋体"/>
          <w:bCs/>
          <w:color w:val="auto"/>
          <w:highlight w:val="none"/>
          <w:lang w:val="en-US" w:eastAsia="zh-CN"/>
        </w:rPr>
        <w:t>或</w:t>
      </w:r>
      <w:r>
        <w:rPr>
          <w:rFonts w:hint="eastAsia" w:ascii="宋体" w:hAnsi="宋体" w:eastAsia="宋体" w:cs="宋体"/>
          <w:bCs/>
          <w:color w:val="auto"/>
          <w:highlight w:val="none"/>
        </w:rPr>
        <w:t>因不可抗力提出不能履行合同，采购人可以按照评审报告推荐的</w:t>
      </w:r>
      <w:r>
        <w:rPr>
          <w:rFonts w:hint="eastAsia" w:ascii="宋体" w:hAnsi="宋体" w:eastAsia="宋体" w:cs="宋体"/>
          <w:bCs/>
          <w:color w:val="auto"/>
          <w:highlight w:val="none"/>
          <w:lang w:eastAsia="zh-CN"/>
        </w:rPr>
        <w:t>成交</w:t>
      </w:r>
      <w:r>
        <w:rPr>
          <w:rFonts w:hint="eastAsia" w:ascii="宋体" w:hAnsi="宋体" w:eastAsia="宋体" w:cs="宋体"/>
          <w:bCs/>
          <w:color w:val="auto"/>
          <w:highlight w:val="none"/>
        </w:rPr>
        <w:t>候选人名单排序，依法</w:t>
      </w:r>
    </w:p>
    <w:p w14:paraId="7796E484">
      <w:pPr>
        <w:pStyle w:val="13"/>
        <w:keepNext w:val="0"/>
        <w:keepLines w:val="0"/>
        <w:pageBreakBefore w:val="0"/>
        <w:kinsoku/>
        <w:wordWrap/>
        <w:overflowPunct/>
        <w:topLinePunct w:val="0"/>
        <w:autoSpaceDE/>
        <w:autoSpaceDN/>
        <w:bidi w:val="0"/>
        <w:adjustRightInd/>
        <w:snapToGrid/>
        <w:spacing w:line="324" w:lineRule="auto"/>
        <w:jc w:val="left"/>
        <w:textAlignment w:val="auto"/>
        <w:outlineLvl w:val="9"/>
        <w:rPr>
          <w:rFonts w:hint="eastAsia" w:ascii="宋体" w:hAnsi="宋体" w:eastAsia="宋体" w:cs="宋体"/>
          <w:color w:val="FF0000"/>
          <w:highlight w:val="none"/>
          <w:lang w:eastAsia="zh-CN"/>
        </w:rPr>
      </w:pPr>
      <w:r>
        <w:rPr>
          <w:rFonts w:hint="eastAsia" w:ascii="宋体" w:hAnsi="宋体" w:eastAsia="宋体" w:cs="宋体"/>
          <w:bCs/>
          <w:color w:val="auto"/>
          <w:highlight w:val="none"/>
        </w:rPr>
        <w:t>确定下一候选人为</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，也可以重新开展采购活动</w:t>
      </w:r>
      <w:r>
        <w:rPr>
          <w:rFonts w:hint="eastAsia" w:ascii="宋体" w:hAnsi="宋体" w:eastAsia="宋体" w:cs="宋体"/>
          <w:color w:val="auto"/>
          <w:highlight w:val="none"/>
        </w:rPr>
        <w:t>。</w:t>
      </w:r>
    </w:p>
    <w:sectPr>
      <w:headerReference r:id="rId16" w:type="default"/>
      <w:footerReference r:id="rId17" w:type="default"/>
      <w:pgSz w:w="11910" w:h="16840"/>
      <w:pgMar w:top="1134" w:right="1134" w:bottom="1134" w:left="1134" w:header="610" w:footer="5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2A5F">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77D2">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2404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7C2404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9FD1">
    <w:pPr>
      <w:pStyle w:val="9"/>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6DAD3">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E06DAD3">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5F4B">
    <w:pPr>
      <w:pStyle w:val="9"/>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6BA1E">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FD6BA1E">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4794">
    <w:pPr>
      <w:pStyle w:val="1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CF8BA">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60DCF8BA">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0070">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A4C53">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FAA4C53">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260C">
    <w:pPr>
      <w:pStyle w:val="17"/>
    </w:pPr>
    <w:r>
      <w:rPr>
        <w:rFonts w:hint="eastAsia" w:ascii="宋体" w:hAnsi="宋体"/>
        <w:szCs w:val="21"/>
      </w:rPr>
      <w:t>2019年行政教学设备及生活设施采购及安装公开招标采购</w:t>
    </w:r>
    <w:r>
      <w:rPr>
        <w:rFonts w:hint="eastAsia"/>
      </w:rPr>
      <w:t>（项目编号：</w:t>
    </w:r>
    <w:r>
      <w:rPr>
        <w:rFonts w:hint="eastAsia" w:ascii="宋体" w:hAnsi="宋体"/>
        <w:szCs w:val="21"/>
      </w:rPr>
      <w:t>G-BZCG017-20190326</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FD45">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B14F">
    <w:pPr>
      <w:pStyle w:val="9"/>
      <w:spacing w:line="14" w:lineRule="auto"/>
      <w:rPr>
        <w:sz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3829">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706120</wp:posOffset>
              </wp:positionH>
              <wp:positionV relativeFrom="page">
                <wp:posOffset>374650</wp:posOffset>
              </wp:positionV>
              <wp:extent cx="4558030" cy="429260"/>
              <wp:effectExtent l="0" t="0" r="0" b="0"/>
              <wp:wrapNone/>
              <wp:docPr id="5" name="文本框 2"/>
              <wp:cNvGraphicFramePr/>
              <a:graphic xmlns:a="http://schemas.openxmlformats.org/drawingml/2006/main">
                <a:graphicData uri="http://schemas.microsoft.com/office/word/2010/wordprocessingShape">
                  <wps:wsp>
                    <wps:cNvSpPr txBox="1"/>
                    <wps:spPr>
                      <a:xfrm>
                        <a:off x="0" y="0"/>
                        <a:ext cx="4558030" cy="429260"/>
                      </a:xfrm>
                      <a:prstGeom prst="rect">
                        <a:avLst/>
                      </a:prstGeom>
                      <a:noFill/>
                      <a:ln>
                        <a:noFill/>
                      </a:ln>
                      <a:effectLst/>
                    </wps:spPr>
                    <wps:txbx>
                      <w:txbxContent>
                        <w:p w14:paraId="2F7D440C">
                          <w:pPr>
                            <w:spacing w:line="338" w:lineRule="exact"/>
                            <w:rPr>
                              <w:rFonts w:ascii="微软雅黑" w:eastAsia="微软雅黑"/>
                              <w:sz w:val="21"/>
                            </w:rPr>
                          </w:pPr>
                        </w:p>
                      </w:txbxContent>
                    </wps:txbx>
                    <wps:bodyPr lIns="0" tIns="0" rIns="0" bIns="0" upright="1"/>
                  </wps:wsp>
                </a:graphicData>
              </a:graphic>
            </wp:anchor>
          </w:drawing>
        </mc:Choice>
        <mc:Fallback>
          <w:pict>
            <v:shape id="文本框 2" o:spid="_x0000_s1026" o:spt="202" type="#_x0000_t202" style="position:absolute;left:0pt;margin-left:55.6pt;margin-top:29.5pt;height:33.8pt;width:358.9pt;mso-position-horizontal-relative:page;mso-position-vertical-relative:page;z-index:-251656192;mso-width-relative:page;mso-height-relative:page;" filled="f" stroked="f" coordsize="21600,21600" o:gfxdata="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KH39cAAAAKAQAADwAAAAAAAAABACAAAAAiAAAAZHJzL2Rvd25yZXYueG1s&#10;UEsBAhQAFAAAAAgAh07iQIXKBY7AAQAAgAMAAA4AAAAAAAAAAQAgAAAAJgEAAGRycy9lMm9Eb2Mu&#10;eG1sUEsFBgAAAAAGAAYAWQEAAFgFAAAAAA==&#10;">
              <v:fill on="f" focussize="0,0"/>
              <v:stroke on="f"/>
              <v:imagedata o:title=""/>
              <o:lock v:ext="edit" aspectratio="f"/>
              <v:textbox inset="0mm,0mm,0mm,0mm">
                <w:txbxContent>
                  <w:p w14:paraId="2F7D440C">
                    <w:pPr>
                      <w:spacing w:line="338" w:lineRule="exact"/>
                      <w:rPr>
                        <w:rFonts w:ascii="微软雅黑" w:eastAsia="微软雅黑"/>
                        <w:sz w:val="21"/>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0838">
    <w:pPr>
      <w:pStyle w:val="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696595</wp:posOffset>
              </wp:positionH>
              <wp:positionV relativeFrom="page">
                <wp:posOffset>412750</wp:posOffset>
              </wp:positionV>
              <wp:extent cx="4558030" cy="429260"/>
              <wp:effectExtent l="0" t="0" r="0" b="0"/>
              <wp:wrapNone/>
              <wp:docPr id="9" name="文本框 6"/>
              <wp:cNvGraphicFramePr/>
              <a:graphic xmlns:a="http://schemas.openxmlformats.org/drawingml/2006/main">
                <a:graphicData uri="http://schemas.microsoft.com/office/word/2010/wordprocessingShape">
                  <wps:wsp>
                    <wps:cNvSpPr txBox="1"/>
                    <wps:spPr>
                      <a:xfrm>
                        <a:off x="0" y="0"/>
                        <a:ext cx="4558030" cy="429260"/>
                      </a:xfrm>
                      <a:prstGeom prst="rect">
                        <a:avLst/>
                      </a:prstGeom>
                      <a:noFill/>
                      <a:ln>
                        <a:noFill/>
                      </a:ln>
                      <a:effectLst/>
                    </wps:spPr>
                    <wps:txbx>
                      <w:txbxContent>
                        <w:p w14:paraId="07C098F9">
                          <w:pPr>
                            <w:spacing w:line="338" w:lineRule="exact"/>
                            <w:ind w:left="20"/>
                            <w:rPr>
                              <w:rFonts w:ascii="微软雅黑" w:eastAsia="微软雅黑"/>
                              <w:sz w:val="21"/>
                            </w:rPr>
                          </w:pPr>
                        </w:p>
                      </w:txbxContent>
                    </wps:txbx>
                    <wps:bodyPr lIns="0" tIns="0" rIns="0" bIns="0" upright="1"/>
                  </wps:wsp>
                </a:graphicData>
              </a:graphic>
            </wp:anchor>
          </w:drawing>
        </mc:Choice>
        <mc:Fallback>
          <w:pict>
            <v:shape id="文本框 6" o:spid="_x0000_s1026" o:spt="202" type="#_x0000_t202" style="position:absolute;left:0pt;margin-left:54.85pt;margin-top:32.5pt;height:33.8pt;width:358.9pt;mso-position-horizontal-relative:page;mso-position-vertical-relative:page;z-index:-251652096;mso-width-relative:page;mso-height-relative:page;" filled="f" stroked="f" coordsize="21600,21600" o:gfxdata="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61a9o2AAAAAoBAAAPAAAAAAAAAAEAIAAAACIAAABkcnMvZG93bnJldi54&#10;bWxQSwECFAAUAAAACACHTuJAouWppcEBAACAAwAADgAAAAAAAAABACAAAAAnAQAAZHJzL2Uyb0Rv&#10;Yy54bWxQSwUGAAAAAAYABgBZAQAAWgUAAAAA&#10;">
              <v:fill on="f" focussize="0,0"/>
              <v:stroke on="f"/>
              <v:imagedata o:title=""/>
              <o:lock v:ext="edit" aspectratio="f"/>
              <v:textbox inset="0mm,0mm,0mm,0mm">
                <w:txbxContent>
                  <w:p w14:paraId="07C098F9">
                    <w:pPr>
                      <w:spacing w:line="338" w:lineRule="exact"/>
                      <w:ind w:left="20"/>
                      <w:rPr>
                        <w:rFonts w:ascii="微软雅黑" w:eastAsia="微软雅黑"/>
                        <w:sz w:val="21"/>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B7F4">
    <w:pPr>
      <w:pStyle w:val="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706120</wp:posOffset>
              </wp:positionH>
              <wp:positionV relativeFrom="page">
                <wp:posOffset>346075</wp:posOffset>
              </wp:positionV>
              <wp:extent cx="4558030" cy="429260"/>
              <wp:effectExtent l="0" t="0" r="0" b="0"/>
              <wp:wrapNone/>
              <wp:docPr id="28" name="文本框 25"/>
              <wp:cNvGraphicFramePr/>
              <a:graphic xmlns:a="http://schemas.openxmlformats.org/drawingml/2006/main">
                <a:graphicData uri="http://schemas.microsoft.com/office/word/2010/wordprocessingShape">
                  <wps:wsp>
                    <wps:cNvSpPr txBox="1"/>
                    <wps:spPr>
                      <a:xfrm>
                        <a:off x="0" y="0"/>
                        <a:ext cx="4558030" cy="429260"/>
                      </a:xfrm>
                      <a:prstGeom prst="rect">
                        <a:avLst/>
                      </a:prstGeom>
                      <a:noFill/>
                      <a:ln>
                        <a:noFill/>
                      </a:ln>
                      <a:effectLst/>
                    </wps:spPr>
                    <wps:txbx>
                      <w:txbxContent>
                        <w:p w14:paraId="351D3C87">
                          <w:pPr>
                            <w:spacing w:line="338" w:lineRule="exact"/>
                            <w:rPr>
                              <w:rFonts w:ascii="微软雅黑" w:eastAsia="微软雅黑"/>
                              <w:sz w:val="21"/>
                            </w:rPr>
                          </w:pPr>
                        </w:p>
                      </w:txbxContent>
                    </wps:txbx>
                    <wps:bodyPr lIns="0" tIns="0" rIns="0" bIns="0" upright="1"/>
                  </wps:wsp>
                </a:graphicData>
              </a:graphic>
            </wp:anchor>
          </w:drawing>
        </mc:Choice>
        <mc:Fallback>
          <w:pict>
            <v:shape id="文本框 25" o:spid="_x0000_s1026" o:spt="202" type="#_x0000_t202" style="position:absolute;left:0pt;margin-left:55.6pt;margin-top:27.25pt;height:33.8pt;width:358.9pt;mso-position-horizontal-relative:page;mso-position-vertical-relative:page;z-index:-251651072;mso-width-relative:page;mso-height-relative:page;" filled="f" stroked="f" coordsize="21600,21600" o:gfxdata="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Oa5U1wAAAAoBAAAPAAAAAAAAAAEAIAAAACIAAABkcnMvZG93bnJldi54&#10;bWxQSwECFAAUAAAACACHTuJAz3D0kMIBAACCAwAADgAAAAAAAAABACAAAAAmAQAAZHJzL2Uyb0Rv&#10;Yy54bWxQSwUGAAAAAAYABgBZAQAAWgUAAAAA&#10;">
              <v:fill on="f" focussize="0,0"/>
              <v:stroke on="f"/>
              <v:imagedata o:title=""/>
              <o:lock v:ext="edit" aspectratio="f"/>
              <v:textbox inset="0mm,0mm,0mm,0mm">
                <w:txbxContent>
                  <w:p w14:paraId="351D3C87">
                    <w:pPr>
                      <w:spacing w:line="338" w:lineRule="exact"/>
                      <w:rPr>
                        <w:rFonts w:ascii="微软雅黑" w:eastAsia="微软雅黑"/>
                        <w:sz w:val="21"/>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0BC5">
    <w:pPr>
      <w:pStyle w:val="9"/>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706120</wp:posOffset>
              </wp:positionH>
              <wp:positionV relativeFrom="page">
                <wp:posOffset>374650</wp:posOffset>
              </wp:positionV>
              <wp:extent cx="4558030" cy="4292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558030" cy="429260"/>
                      </a:xfrm>
                      <a:prstGeom prst="rect">
                        <a:avLst/>
                      </a:prstGeom>
                      <a:noFill/>
                      <a:ln>
                        <a:noFill/>
                      </a:ln>
                      <a:effectLst/>
                    </wps:spPr>
                    <wps:txbx>
                      <w:txbxContent>
                        <w:p w14:paraId="7002627A"/>
                      </w:txbxContent>
                    </wps:txbx>
                    <wps:bodyPr lIns="0" tIns="0" rIns="0" bIns="0" upright="1"/>
                  </wps:wsp>
                </a:graphicData>
              </a:graphic>
            </wp:anchor>
          </w:drawing>
        </mc:Choice>
        <mc:Fallback>
          <w:pict>
            <v:shape id="_x0000_s1026" o:spid="_x0000_s1026" o:spt="202" type="#_x0000_t202" style="position:absolute;left:0pt;margin-left:55.6pt;margin-top:29.5pt;height:33.8pt;width:358.9pt;mso-position-horizontal-relative:page;mso-position-vertical-relative:page;z-index:-251650048;mso-width-relative:page;mso-height-relative:page;" filled="f" stroked="f" coordsize="21600,21600" o:gfxdata="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KH39cAAAAKAQAADwAAAAAAAAABACAAAAAiAAAAZHJzL2Rvd25yZXYueG1s&#10;UEsBAhQAFAAAAAgAh07iQH8PIPDAAQAAggMAAA4AAAAAAAAAAQAgAAAAJgEAAGRycy9lMm9Eb2Mu&#10;eG1sUEsFBgAAAAAGAAYAWQEAAFgFAAAAAA==&#10;">
              <v:fill on="f" focussize="0,0"/>
              <v:stroke on="f"/>
              <v:imagedata o:title=""/>
              <o:lock v:ext="edit" aspectratio="f"/>
              <v:textbox inset="0mm,0mm,0mm,0mm">
                <w:txbxContent>
                  <w:p w14:paraId="7002627A"/>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019D">
    <w:pPr>
      <w:pStyle w:val="17"/>
      <w:pBdr>
        <w:bottom w:val="none" w:color="auto" w:sz="0" w:space="4"/>
      </w:pBdr>
      <w:jc w:val="right"/>
    </w:pPr>
    <w:r>
      <w:t></w:t>
    </w:r>
    <w:r>
      <w:rPr>
        <w:rFonts w:hint="eastAsia"/>
      </w:rPr>
      <w:t xml:space="preserve">        </w:t>
    </w:r>
    <w:r>
      <w:rPr>
        <w:rFonts w:hint="eastAsia"/>
        <w:sz w:val="21"/>
        <w:szCs w:val="21"/>
      </w:rPr>
      <w:t xml:space="preserve"> </w:t>
    </w:r>
  </w:p>
  <w:p w14:paraId="7AADB069">
    <w:pPr>
      <w:pStyle w:val="2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C975">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706120</wp:posOffset>
              </wp:positionH>
              <wp:positionV relativeFrom="page">
                <wp:posOffset>374650</wp:posOffset>
              </wp:positionV>
              <wp:extent cx="4558030" cy="429260"/>
              <wp:effectExtent l="0" t="0" r="0" b="0"/>
              <wp:wrapNone/>
              <wp:docPr id="11" name="文本框 16"/>
              <wp:cNvGraphicFramePr/>
              <a:graphic xmlns:a="http://schemas.openxmlformats.org/drawingml/2006/main">
                <a:graphicData uri="http://schemas.microsoft.com/office/word/2010/wordprocessingShape">
                  <wps:wsp>
                    <wps:cNvSpPr txBox="1"/>
                    <wps:spPr>
                      <a:xfrm>
                        <a:off x="0" y="0"/>
                        <a:ext cx="4558030" cy="429260"/>
                      </a:xfrm>
                      <a:prstGeom prst="rect">
                        <a:avLst/>
                      </a:prstGeom>
                      <a:noFill/>
                      <a:ln>
                        <a:noFill/>
                      </a:ln>
                      <a:effectLst/>
                    </wps:spPr>
                    <wps:txbx>
                      <w:txbxContent>
                        <w:p w14:paraId="1523454A">
                          <w:pPr>
                            <w:spacing w:line="338" w:lineRule="exact"/>
                            <w:rPr>
                              <w:rFonts w:ascii="微软雅黑" w:eastAsia="微软雅黑"/>
                              <w:sz w:val="21"/>
                            </w:rPr>
                          </w:pPr>
                        </w:p>
                      </w:txbxContent>
                    </wps:txbx>
                    <wps:bodyPr lIns="0" tIns="0" rIns="0" bIns="0" upright="1"/>
                  </wps:wsp>
                </a:graphicData>
              </a:graphic>
            </wp:anchor>
          </w:drawing>
        </mc:Choice>
        <mc:Fallback>
          <w:pict>
            <v:shape id="文本框 16" o:spid="_x0000_s1026" o:spt="202" type="#_x0000_t202" style="position:absolute;left:0pt;margin-left:55.6pt;margin-top:29.5pt;height:33.8pt;width:358.9pt;mso-position-horizontal-relative:page;mso-position-vertical-relative:page;z-index:-251655168;mso-width-relative:page;mso-height-relative:page;" filled="f" stroked="f" coordsize="21600,21600" o:gfxdata="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nih9/XAAAACgEAAA8AAAAAAAAAAQAgAAAAIgAAAGRycy9kb3ducmV2Lnht&#10;bFBLAQIUABQAAAAIAIdO4kBhe/5iwQEAAIIDAAAOAAAAAAAAAAEAIAAAACYBAABkcnMvZTJvRG9j&#10;LnhtbFBLBQYAAAAABgAGAFkBAABZBQAAAAA=&#10;">
              <v:fill on="f" focussize="0,0"/>
              <v:stroke on="f"/>
              <v:imagedata o:title=""/>
              <o:lock v:ext="edit" aspectratio="f"/>
              <v:textbox inset="0mm,0mm,0mm,0mm">
                <w:txbxContent>
                  <w:p w14:paraId="1523454A">
                    <w:pPr>
                      <w:spacing w:line="338" w:lineRule="exact"/>
                      <w:rPr>
                        <w:rFonts w:ascii="微软雅黑" w:eastAsia="微软雅黑"/>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145A6"/>
    <w:multiLevelType w:val="singleLevel"/>
    <w:tmpl w:val="0BB145A6"/>
    <w:lvl w:ilvl="0" w:tentative="0">
      <w:start w:val="1"/>
      <w:numFmt w:val="decimal"/>
      <w:suff w:val="space"/>
      <w:lvlText w:val="%1."/>
      <w:lvlJc w:val="left"/>
    </w:lvl>
  </w:abstractNum>
  <w:abstractNum w:abstractNumId="1">
    <w:nsid w:val="0D7EA1F2"/>
    <w:multiLevelType w:val="multilevel"/>
    <w:tmpl w:val="0D7EA1F2"/>
    <w:lvl w:ilvl="0" w:tentative="0">
      <w:start w:val="1"/>
      <w:numFmt w:val="chineseCountingThousand"/>
      <w:suff w:val="nothing"/>
      <w:lvlText w:val="第%1章  "/>
      <w:lvlJc w:val="left"/>
      <w:pPr>
        <w:ind w:left="3686" w:firstLine="0"/>
      </w:pPr>
      <w:rPr>
        <w:rFonts w:hint="eastAsia"/>
        <w:sz w:val="44"/>
        <w:szCs w:val="44"/>
        <w:lang w:val="en-US"/>
      </w:rPr>
    </w:lvl>
    <w:lvl w:ilvl="1" w:tentative="0">
      <w:start w:val="1"/>
      <w:numFmt w:val="none"/>
      <w:suff w:val="nothing"/>
      <w:lvlText w:val=""/>
      <w:lvlJc w:val="left"/>
      <w:pPr>
        <w:ind w:left="3686" w:firstLine="0"/>
      </w:pPr>
      <w:rPr>
        <w:rFonts w:hint="eastAsia"/>
      </w:rPr>
    </w:lvl>
    <w:lvl w:ilvl="2" w:tentative="0">
      <w:start w:val="1"/>
      <w:numFmt w:val="none"/>
      <w:suff w:val="nothing"/>
      <w:lvlText w:val=""/>
      <w:lvlJc w:val="left"/>
      <w:pPr>
        <w:ind w:left="3686" w:firstLine="0"/>
      </w:pPr>
      <w:rPr>
        <w:rFonts w:hint="eastAsia"/>
      </w:rPr>
    </w:lvl>
    <w:lvl w:ilvl="3" w:tentative="0">
      <w:start w:val="1"/>
      <w:numFmt w:val="none"/>
      <w:suff w:val="nothing"/>
      <w:lvlText w:val=""/>
      <w:lvlJc w:val="left"/>
      <w:pPr>
        <w:ind w:left="3686" w:firstLine="0"/>
      </w:pPr>
      <w:rPr>
        <w:rFonts w:hint="eastAsia"/>
      </w:rPr>
    </w:lvl>
    <w:lvl w:ilvl="4" w:tentative="0">
      <w:start w:val="1"/>
      <w:numFmt w:val="none"/>
      <w:pStyle w:val="6"/>
      <w:suff w:val="nothing"/>
      <w:lvlText w:val=""/>
      <w:lvlJc w:val="left"/>
      <w:pPr>
        <w:ind w:left="3686" w:firstLine="0"/>
      </w:pPr>
      <w:rPr>
        <w:rFonts w:hint="eastAsia"/>
      </w:rPr>
    </w:lvl>
    <w:lvl w:ilvl="5" w:tentative="0">
      <w:start w:val="1"/>
      <w:numFmt w:val="none"/>
      <w:suff w:val="nothing"/>
      <w:lvlText w:val=""/>
      <w:lvlJc w:val="left"/>
      <w:pPr>
        <w:ind w:left="3686" w:firstLine="0"/>
      </w:pPr>
      <w:rPr>
        <w:rFonts w:hint="eastAsia"/>
      </w:rPr>
    </w:lvl>
    <w:lvl w:ilvl="6" w:tentative="0">
      <w:start w:val="1"/>
      <w:numFmt w:val="none"/>
      <w:suff w:val="nothing"/>
      <w:lvlText w:val=""/>
      <w:lvlJc w:val="left"/>
      <w:pPr>
        <w:ind w:left="3686" w:firstLine="0"/>
      </w:pPr>
      <w:rPr>
        <w:rFonts w:hint="eastAsia"/>
      </w:rPr>
    </w:lvl>
    <w:lvl w:ilvl="7" w:tentative="0">
      <w:start w:val="1"/>
      <w:numFmt w:val="none"/>
      <w:suff w:val="nothing"/>
      <w:lvlText w:val=""/>
      <w:lvlJc w:val="left"/>
      <w:pPr>
        <w:ind w:left="3686" w:firstLine="0"/>
      </w:pPr>
      <w:rPr>
        <w:rFonts w:hint="eastAsia"/>
      </w:rPr>
    </w:lvl>
    <w:lvl w:ilvl="8" w:tentative="0">
      <w:start w:val="1"/>
      <w:numFmt w:val="none"/>
      <w:suff w:val="nothing"/>
      <w:lvlText w:val=""/>
      <w:lvlJc w:val="left"/>
      <w:pPr>
        <w:ind w:left="3686" w:firstLine="0"/>
      </w:pPr>
      <w:rPr>
        <w:rFonts w:hint="eastAsia"/>
      </w:rPr>
    </w:lvl>
  </w:abstractNum>
  <w:abstractNum w:abstractNumId="2">
    <w:nsid w:val="71510556"/>
    <w:multiLevelType w:val="multilevel"/>
    <w:tmpl w:val="7151055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yZGIwMWRhNjAzYzdmNjdiZjNmZDQ5NzU5ZTBhZTcifQ=="/>
  </w:docVars>
  <w:rsids>
    <w:rsidRoot w:val="00172A27"/>
    <w:rsid w:val="00081EBB"/>
    <w:rsid w:val="00146D53"/>
    <w:rsid w:val="001727D4"/>
    <w:rsid w:val="00172A27"/>
    <w:rsid w:val="0018212C"/>
    <w:rsid w:val="001C406D"/>
    <w:rsid w:val="00264CFE"/>
    <w:rsid w:val="00267342"/>
    <w:rsid w:val="002D6879"/>
    <w:rsid w:val="00345884"/>
    <w:rsid w:val="00440BBE"/>
    <w:rsid w:val="0047493C"/>
    <w:rsid w:val="00556FCF"/>
    <w:rsid w:val="005B627D"/>
    <w:rsid w:val="00673075"/>
    <w:rsid w:val="00682620"/>
    <w:rsid w:val="006A0E6D"/>
    <w:rsid w:val="006F179E"/>
    <w:rsid w:val="00782572"/>
    <w:rsid w:val="007E0F1A"/>
    <w:rsid w:val="008C6386"/>
    <w:rsid w:val="00961061"/>
    <w:rsid w:val="009A7BAC"/>
    <w:rsid w:val="00AC648D"/>
    <w:rsid w:val="00AE350B"/>
    <w:rsid w:val="00BA3407"/>
    <w:rsid w:val="00C51E1E"/>
    <w:rsid w:val="00D3158E"/>
    <w:rsid w:val="00D76D70"/>
    <w:rsid w:val="00D826CF"/>
    <w:rsid w:val="00E17AA0"/>
    <w:rsid w:val="00E36412"/>
    <w:rsid w:val="00E81719"/>
    <w:rsid w:val="00E8615C"/>
    <w:rsid w:val="00FD38ED"/>
    <w:rsid w:val="00FE0C7B"/>
    <w:rsid w:val="01451ACA"/>
    <w:rsid w:val="01655C65"/>
    <w:rsid w:val="01875DDB"/>
    <w:rsid w:val="01947E0A"/>
    <w:rsid w:val="01C37176"/>
    <w:rsid w:val="01CC083F"/>
    <w:rsid w:val="01E66A74"/>
    <w:rsid w:val="020E4DF5"/>
    <w:rsid w:val="02163F63"/>
    <w:rsid w:val="025344F0"/>
    <w:rsid w:val="028642E4"/>
    <w:rsid w:val="02C24781"/>
    <w:rsid w:val="031775DE"/>
    <w:rsid w:val="036238C0"/>
    <w:rsid w:val="03C95E69"/>
    <w:rsid w:val="03F22BEA"/>
    <w:rsid w:val="04653935"/>
    <w:rsid w:val="049D0488"/>
    <w:rsid w:val="049F476E"/>
    <w:rsid w:val="04CB0EE3"/>
    <w:rsid w:val="04F47B07"/>
    <w:rsid w:val="053A3164"/>
    <w:rsid w:val="055661F0"/>
    <w:rsid w:val="0575743C"/>
    <w:rsid w:val="05C864AD"/>
    <w:rsid w:val="05DA3DE7"/>
    <w:rsid w:val="05F76EF7"/>
    <w:rsid w:val="06200159"/>
    <w:rsid w:val="063B1BC3"/>
    <w:rsid w:val="06541877"/>
    <w:rsid w:val="065453EB"/>
    <w:rsid w:val="06574870"/>
    <w:rsid w:val="069655B3"/>
    <w:rsid w:val="06AD5419"/>
    <w:rsid w:val="06B1469F"/>
    <w:rsid w:val="06C31CA6"/>
    <w:rsid w:val="06C66286"/>
    <w:rsid w:val="06C93E53"/>
    <w:rsid w:val="06FA20F9"/>
    <w:rsid w:val="07132DFC"/>
    <w:rsid w:val="07133C6D"/>
    <w:rsid w:val="071471BE"/>
    <w:rsid w:val="072E38A4"/>
    <w:rsid w:val="07345E0B"/>
    <w:rsid w:val="0744651C"/>
    <w:rsid w:val="07AB7376"/>
    <w:rsid w:val="07C33199"/>
    <w:rsid w:val="07D74AC7"/>
    <w:rsid w:val="08604A52"/>
    <w:rsid w:val="08836BD0"/>
    <w:rsid w:val="08C41329"/>
    <w:rsid w:val="08D37E14"/>
    <w:rsid w:val="091E3898"/>
    <w:rsid w:val="09351FB4"/>
    <w:rsid w:val="09473085"/>
    <w:rsid w:val="09814C4A"/>
    <w:rsid w:val="09A3273A"/>
    <w:rsid w:val="09B0607C"/>
    <w:rsid w:val="09D7261B"/>
    <w:rsid w:val="09DD5040"/>
    <w:rsid w:val="09E2798D"/>
    <w:rsid w:val="0A516996"/>
    <w:rsid w:val="0A580A7B"/>
    <w:rsid w:val="0A6D6452"/>
    <w:rsid w:val="0A6F75BD"/>
    <w:rsid w:val="0A9F4BE1"/>
    <w:rsid w:val="0AAA276B"/>
    <w:rsid w:val="0AC54D55"/>
    <w:rsid w:val="0B002B65"/>
    <w:rsid w:val="0B8B64C8"/>
    <w:rsid w:val="0B8C75FF"/>
    <w:rsid w:val="0BA146E2"/>
    <w:rsid w:val="0BE43A18"/>
    <w:rsid w:val="0BF128F4"/>
    <w:rsid w:val="0BFC0E40"/>
    <w:rsid w:val="0C7104DB"/>
    <w:rsid w:val="0D27422D"/>
    <w:rsid w:val="0D7C7576"/>
    <w:rsid w:val="0D7D4536"/>
    <w:rsid w:val="0E241850"/>
    <w:rsid w:val="0E29276F"/>
    <w:rsid w:val="0E2A12D1"/>
    <w:rsid w:val="0E4768C0"/>
    <w:rsid w:val="0E477844"/>
    <w:rsid w:val="0E67045A"/>
    <w:rsid w:val="0EB84C8D"/>
    <w:rsid w:val="0ED60D32"/>
    <w:rsid w:val="0ED62150"/>
    <w:rsid w:val="0EF37874"/>
    <w:rsid w:val="0F0A7584"/>
    <w:rsid w:val="0F647DA7"/>
    <w:rsid w:val="0FDF319C"/>
    <w:rsid w:val="0FEE3A67"/>
    <w:rsid w:val="1020344C"/>
    <w:rsid w:val="102C3816"/>
    <w:rsid w:val="103E566D"/>
    <w:rsid w:val="10810B6E"/>
    <w:rsid w:val="10D13C6A"/>
    <w:rsid w:val="11011872"/>
    <w:rsid w:val="111730D3"/>
    <w:rsid w:val="116E2152"/>
    <w:rsid w:val="11BD1891"/>
    <w:rsid w:val="11C444E1"/>
    <w:rsid w:val="11FB2CEE"/>
    <w:rsid w:val="121C7215"/>
    <w:rsid w:val="12831E76"/>
    <w:rsid w:val="12C650C7"/>
    <w:rsid w:val="130E0B75"/>
    <w:rsid w:val="13221E23"/>
    <w:rsid w:val="13274D28"/>
    <w:rsid w:val="132D60B6"/>
    <w:rsid w:val="13707FEC"/>
    <w:rsid w:val="13780C7B"/>
    <w:rsid w:val="139D2F38"/>
    <w:rsid w:val="13A236CB"/>
    <w:rsid w:val="13DB63A7"/>
    <w:rsid w:val="140D446F"/>
    <w:rsid w:val="144853D4"/>
    <w:rsid w:val="14504154"/>
    <w:rsid w:val="146D5804"/>
    <w:rsid w:val="14894C1C"/>
    <w:rsid w:val="14904D2F"/>
    <w:rsid w:val="14C3220D"/>
    <w:rsid w:val="14C35091"/>
    <w:rsid w:val="14F646A1"/>
    <w:rsid w:val="15486660"/>
    <w:rsid w:val="157767A5"/>
    <w:rsid w:val="15943419"/>
    <w:rsid w:val="1594660A"/>
    <w:rsid w:val="15A42941"/>
    <w:rsid w:val="160A5FA1"/>
    <w:rsid w:val="16395ADC"/>
    <w:rsid w:val="166908D0"/>
    <w:rsid w:val="1695644C"/>
    <w:rsid w:val="172C45A9"/>
    <w:rsid w:val="175173A3"/>
    <w:rsid w:val="1763192A"/>
    <w:rsid w:val="17812024"/>
    <w:rsid w:val="178B0218"/>
    <w:rsid w:val="179E54C0"/>
    <w:rsid w:val="17A134F7"/>
    <w:rsid w:val="17A65C84"/>
    <w:rsid w:val="17B71075"/>
    <w:rsid w:val="17D33BF4"/>
    <w:rsid w:val="180E03D6"/>
    <w:rsid w:val="182F2E27"/>
    <w:rsid w:val="18502F73"/>
    <w:rsid w:val="185145F5"/>
    <w:rsid w:val="18F31027"/>
    <w:rsid w:val="18FB68D2"/>
    <w:rsid w:val="191356A0"/>
    <w:rsid w:val="19170110"/>
    <w:rsid w:val="196B16AD"/>
    <w:rsid w:val="197F1689"/>
    <w:rsid w:val="197F63E8"/>
    <w:rsid w:val="19D810CA"/>
    <w:rsid w:val="19F621AC"/>
    <w:rsid w:val="1A062192"/>
    <w:rsid w:val="1A4148D7"/>
    <w:rsid w:val="1A7E5A5A"/>
    <w:rsid w:val="1A886C86"/>
    <w:rsid w:val="1A924770"/>
    <w:rsid w:val="1AB25622"/>
    <w:rsid w:val="1B1053EB"/>
    <w:rsid w:val="1B213295"/>
    <w:rsid w:val="1B49479C"/>
    <w:rsid w:val="1B5E368A"/>
    <w:rsid w:val="1B623566"/>
    <w:rsid w:val="1B906D86"/>
    <w:rsid w:val="1BD406A4"/>
    <w:rsid w:val="1BDD056B"/>
    <w:rsid w:val="1C310D31"/>
    <w:rsid w:val="1C7D4E8B"/>
    <w:rsid w:val="1C81018A"/>
    <w:rsid w:val="1C8C71DE"/>
    <w:rsid w:val="1C907F25"/>
    <w:rsid w:val="1C9B767C"/>
    <w:rsid w:val="1CAC4ADD"/>
    <w:rsid w:val="1D4D5C98"/>
    <w:rsid w:val="1D5875C9"/>
    <w:rsid w:val="1D6C702A"/>
    <w:rsid w:val="1DB5535A"/>
    <w:rsid w:val="1DD97567"/>
    <w:rsid w:val="1DFF3885"/>
    <w:rsid w:val="1E1042BF"/>
    <w:rsid w:val="1E2C582F"/>
    <w:rsid w:val="1E311151"/>
    <w:rsid w:val="1E3A6A73"/>
    <w:rsid w:val="1E5045E2"/>
    <w:rsid w:val="1E884A46"/>
    <w:rsid w:val="1E9C72D2"/>
    <w:rsid w:val="1EF80207"/>
    <w:rsid w:val="1F241F41"/>
    <w:rsid w:val="1F772B16"/>
    <w:rsid w:val="1FA87DBE"/>
    <w:rsid w:val="1FBB74AB"/>
    <w:rsid w:val="1FBF5D1E"/>
    <w:rsid w:val="1FE346CD"/>
    <w:rsid w:val="1FF50021"/>
    <w:rsid w:val="2006760B"/>
    <w:rsid w:val="2029496D"/>
    <w:rsid w:val="20490A39"/>
    <w:rsid w:val="209267FE"/>
    <w:rsid w:val="20A42EEF"/>
    <w:rsid w:val="20D57352"/>
    <w:rsid w:val="20DD4F20"/>
    <w:rsid w:val="20E61C8F"/>
    <w:rsid w:val="2111023C"/>
    <w:rsid w:val="21365382"/>
    <w:rsid w:val="215130C7"/>
    <w:rsid w:val="215C43E0"/>
    <w:rsid w:val="218D35CC"/>
    <w:rsid w:val="219B7857"/>
    <w:rsid w:val="21A82844"/>
    <w:rsid w:val="21C0211F"/>
    <w:rsid w:val="21C20B4B"/>
    <w:rsid w:val="21C32CE8"/>
    <w:rsid w:val="22333B6B"/>
    <w:rsid w:val="226338A3"/>
    <w:rsid w:val="22934881"/>
    <w:rsid w:val="22AE1B75"/>
    <w:rsid w:val="22B33CB5"/>
    <w:rsid w:val="23007D3F"/>
    <w:rsid w:val="2307131F"/>
    <w:rsid w:val="23083C9B"/>
    <w:rsid w:val="23BE2835"/>
    <w:rsid w:val="243F491E"/>
    <w:rsid w:val="247B1ACE"/>
    <w:rsid w:val="247E50B6"/>
    <w:rsid w:val="24873F4A"/>
    <w:rsid w:val="24A11C8A"/>
    <w:rsid w:val="24A53E69"/>
    <w:rsid w:val="24AB7DB8"/>
    <w:rsid w:val="24B16B47"/>
    <w:rsid w:val="251B2C6F"/>
    <w:rsid w:val="25235B5F"/>
    <w:rsid w:val="252C0BE4"/>
    <w:rsid w:val="253358EB"/>
    <w:rsid w:val="25520B02"/>
    <w:rsid w:val="25A56075"/>
    <w:rsid w:val="25AD61AE"/>
    <w:rsid w:val="25B31A01"/>
    <w:rsid w:val="25D7757F"/>
    <w:rsid w:val="26084316"/>
    <w:rsid w:val="26C30B37"/>
    <w:rsid w:val="26DE1CF2"/>
    <w:rsid w:val="26F32A70"/>
    <w:rsid w:val="26FC33D5"/>
    <w:rsid w:val="271354AF"/>
    <w:rsid w:val="273A72C8"/>
    <w:rsid w:val="274676B1"/>
    <w:rsid w:val="274C2176"/>
    <w:rsid w:val="276721E6"/>
    <w:rsid w:val="279A330A"/>
    <w:rsid w:val="27A149FE"/>
    <w:rsid w:val="27A253DA"/>
    <w:rsid w:val="286A598B"/>
    <w:rsid w:val="286B7F75"/>
    <w:rsid w:val="28884063"/>
    <w:rsid w:val="28C85C0F"/>
    <w:rsid w:val="28FB7313"/>
    <w:rsid w:val="2906550B"/>
    <w:rsid w:val="291C2B3C"/>
    <w:rsid w:val="293B3237"/>
    <w:rsid w:val="294769AE"/>
    <w:rsid w:val="294B62B5"/>
    <w:rsid w:val="29945572"/>
    <w:rsid w:val="29C267AC"/>
    <w:rsid w:val="29CE0207"/>
    <w:rsid w:val="29FD7FD9"/>
    <w:rsid w:val="2A0306E3"/>
    <w:rsid w:val="2A0E7C61"/>
    <w:rsid w:val="2A224B8F"/>
    <w:rsid w:val="2A3F4D5C"/>
    <w:rsid w:val="2A5C7DA9"/>
    <w:rsid w:val="2A9215FF"/>
    <w:rsid w:val="2AA779F3"/>
    <w:rsid w:val="2AEA4B61"/>
    <w:rsid w:val="2B430715"/>
    <w:rsid w:val="2B7517CC"/>
    <w:rsid w:val="2BCC49C2"/>
    <w:rsid w:val="2BDB094E"/>
    <w:rsid w:val="2BDD0237"/>
    <w:rsid w:val="2BEA0D75"/>
    <w:rsid w:val="2BEC5530"/>
    <w:rsid w:val="2C520515"/>
    <w:rsid w:val="2C806722"/>
    <w:rsid w:val="2C861686"/>
    <w:rsid w:val="2CC52CEE"/>
    <w:rsid w:val="2CDF446E"/>
    <w:rsid w:val="2CE32039"/>
    <w:rsid w:val="2D093CF2"/>
    <w:rsid w:val="2D2B2FB4"/>
    <w:rsid w:val="2D457CA8"/>
    <w:rsid w:val="2D721D67"/>
    <w:rsid w:val="2D7601A9"/>
    <w:rsid w:val="2D8A382E"/>
    <w:rsid w:val="2DCE2B88"/>
    <w:rsid w:val="2E336372"/>
    <w:rsid w:val="2E3734C4"/>
    <w:rsid w:val="2EEC7848"/>
    <w:rsid w:val="2F0307C4"/>
    <w:rsid w:val="2F032695"/>
    <w:rsid w:val="2F0D1DC7"/>
    <w:rsid w:val="2F455E47"/>
    <w:rsid w:val="2F566BB9"/>
    <w:rsid w:val="2F5B7B2A"/>
    <w:rsid w:val="2F6A4E68"/>
    <w:rsid w:val="302229DC"/>
    <w:rsid w:val="306C30D3"/>
    <w:rsid w:val="306D1607"/>
    <w:rsid w:val="307A6202"/>
    <w:rsid w:val="30830D10"/>
    <w:rsid w:val="309F1E05"/>
    <w:rsid w:val="30A45D0C"/>
    <w:rsid w:val="30B22DCE"/>
    <w:rsid w:val="30C37312"/>
    <w:rsid w:val="30F9561E"/>
    <w:rsid w:val="31821455"/>
    <w:rsid w:val="319475D5"/>
    <w:rsid w:val="31DE2156"/>
    <w:rsid w:val="32A34BB5"/>
    <w:rsid w:val="32AA5D24"/>
    <w:rsid w:val="32CA2987"/>
    <w:rsid w:val="32EB3BB4"/>
    <w:rsid w:val="33037030"/>
    <w:rsid w:val="330A0548"/>
    <w:rsid w:val="33405D9A"/>
    <w:rsid w:val="338D6120"/>
    <w:rsid w:val="33AD7767"/>
    <w:rsid w:val="33BA4889"/>
    <w:rsid w:val="33BC1189"/>
    <w:rsid w:val="34134F1C"/>
    <w:rsid w:val="343334B9"/>
    <w:rsid w:val="347003CF"/>
    <w:rsid w:val="347E1D07"/>
    <w:rsid w:val="34875398"/>
    <w:rsid w:val="349352B3"/>
    <w:rsid w:val="34D86A07"/>
    <w:rsid w:val="34D91FA2"/>
    <w:rsid w:val="35194A26"/>
    <w:rsid w:val="351C27B0"/>
    <w:rsid w:val="35217C36"/>
    <w:rsid w:val="355C48AD"/>
    <w:rsid w:val="356D28CC"/>
    <w:rsid w:val="35AF235D"/>
    <w:rsid w:val="35ED055A"/>
    <w:rsid w:val="35F46002"/>
    <w:rsid w:val="360E3318"/>
    <w:rsid w:val="36740DF2"/>
    <w:rsid w:val="369328A7"/>
    <w:rsid w:val="36B077F1"/>
    <w:rsid w:val="37006181"/>
    <w:rsid w:val="374D4170"/>
    <w:rsid w:val="37556DA1"/>
    <w:rsid w:val="37767C43"/>
    <w:rsid w:val="3793186D"/>
    <w:rsid w:val="37A77AD2"/>
    <w:rsid w:val="37F63BE9"/>
    <w:rsid w:val="383C2BCE"/>
    <w:rsid w:val="384B5E17"/>
    <w:rsid w:val="388D4B91"/>
    <w:rsid w:val="38A56072"/>
    <w:rsid w:val="38B90DF6"/>
    <w:rsid w:val="38E00E0F"/>
    <w:rsid w:val="3925145A"/>
    <w:rsid w:val="394F0B0E"/>
    <w:rsid w:val="395A7DB7"/>
    <w:rsid w:val="39710A7F"/>
    <w:rsid w:val="39923DB0"/>
    <w:rsid w:val="39A03E48"/>
    <w:rsid w:val="39A27AE5"/>
    <w:rsid w:val="39C75433"/>
    <w:rsid w:val="39CE42A0"/>
    <w:rsid w:val="3A225144"/>
    <w:rsid w:val="3A3116A5"/>
    <w:rsid w:val="3A3B59BB"/>
    <w:rsid w:val="3A44788B"/>
    <w:rsid w:val="3A63223A"/>
    <w:rsid w:val="3A752462"/>
    <w:rsid w:val="3A9575CA"/>
    <w:rsid w:val="3A9D618B"/>
    <w:rsid w:val="3AA12058"/>
    <w:rsid w:val="3ACC3649"/>
    <w:rsid w:val="3B523213"/>
    <w:rsid w:val="3B711E30"/>
    <w:rsid w:val="3B8E1539"/>
    <w:rsid w:val="3BB57318"/>
    <w:rsid w:val="3BF42163"/>
    <w:rsid w:val="3BFB7BD3"/>
    <w:rsid w:val="3CBE7CAC"/>
    <w:rsid w:val="3D6965E2"/>
    <w:rsid w:val="3D894C29"/>
    <w:rsid w:val="3DC927AA"/>
    <w:rsid w:val="3E037ECF"/>
    <w:rsid w:val="3E1330FC"/>
    <w:rsid w:val="3E566686"/>
    <w:rsid w:val="3E58548E"/>
    <w:rsid w:val="3E6C5964"/>
    <w:rsid w:val="3E8F7AA2"/>
    <w:rsid w:val="3EA71AF4"/>
    <w:rsid w:val="3ECF30E4"/>
    <w:rsid w:val="3ED21A14"/>
    <w:rsid w:val="3EF155A2"/>
    <w:rsid w:val="3FBE1789"/>
    <w:rsid w:val="40381EDB"/>
    <w:rsid w:val="40442471"/>
    <w:rsid w:val="408A24A1"/>
    <w:rsid w:val="41262142"/>
    <w:rsid w:val="413B3FB5"/>
    <w:rsid w:val="414100B8"/>
    <w:rsid w:val="414C7A83"/>
    <w:rsid w:val="41667310"/>
    <w:rsid w:val="41735C71"/>
    <w:rsid w:val="41906CA9"/>
    <w:rsid w:val="419C3765"/>
    <w:rsid w:val="41A86727"/>
    <w:rsid w:val="41AB59A4"/>
    <w:rsid w:val="41BC4B81"/>
    <w:rsid w:val="426D5F6E"/>
    <w:rsid w:val="42876037"/>
    <w:rsid w:val="42C92468"/>
    <w:rsid w:val="42DC5B38"/>
    <w:rsid w:val="42EB54C2"/>
    <w:rsid w:val="42F806D4"/>
    <w:rsid w:val="4302354D"/>
    <w:rsid w:val="43173816"/>
    <w:rsid w:val="431D5DA1"/>
    <w:rsid w:val="43680642"/>
    <w:rsid w:val="439F6551"/>
    <w:rsid w:val="43AD421C"/>
    <w:rsid w:val="43DE4A62"/>
    <w:rsid w:val="4405614C"/>
    <w:rsid w:val="4448706F"/>
    <w:rsid w:val="445C7BAD"/>
    <w:rsid w:val="4465604F"/>
    <w:rsid w:val="446C4305"/>
    <w:rsid w:val="44941A5C"/>
    <w:rsid w:val="44BB237C"/>
    <w:rsid w:val="44FD3AFD"/>
    <w:rsid w:val="45027F43"/>
    <w:rsid w:val="457B653C"/>
    <w:rsid w:val="45B13783"/>
    <w:rsid w:val="460F7C60"/>
    <w:rsid w:val="468C14DE"/>
    <w:rsid w:val="46AF6E33"/>
    <w:rsid w:val="46BB7BAD"/>
    <w:rsid w:val="46DF6B55"/>
    <w:rsid w:val="46EB464E"/>
    <w:rsid w:val="46FA610C"/>
    <w:rsid w:val="471B1111"/>
    <w:rsid w:val="471E37CC"/>
    <w:rsid w:val="47295C52"/>
    <w:rsid w:val="47731C1D"/>
    <w:rsid w:val="477F0F31"/>
    <w:rsid w:val="47A63D83"/>
    <w:rsid w:val="47C45067"/>
    <w:rsid w:val="47E62B65"/>
    <w:rsid w:val="48464ADE"/>
    <w:rsid w:val="48A2691A"/>
    <w:rsid w:val="48DF1465"/>
    <w:rsid w:val="49090A80"/>
    <w:rsid w:val="492B486B"/>
    <w:rsid w:val="49B331AA"/>
    <w:rsid w:val="49CB67B1"/>
    <w:rsid w:val="49FA52C1"/>
    <w:rsid w:val="4A4B2692"/>
    <w:rsid w:val="4A852E58"/>
    <w:rsid w:val="4A8D0437"/>
    <w:rsid w:val="4B023BD3"/>
    <w:rsid w:val="4B3726A0"/>
    <w:rsid w:val="4B535E8B"/>
    <w:rsid w:val="4B83440F"/>
    <w:rsid w:val="4BA34293"/>
    <w:rsid w:val="4BAA5BDD"/>
    <w:rsid w:val="4BEE44A6"/>
    <w:rsid w:val="4BFF214D"/>
    <w:rsid w:val="4C0970D8"/>
    <w:rsid w:val="4CA42662"/>
    <w:rsid w:val="4DFD7989"/>
    <w:rsid w:val="4E030224"/>
    <w:rsid w:val="4E130EEC"/>
    <w:rsid w:val="4E3526AF"/>
    <w:rsid w:val="4E4169E4"/>
    <w:rsid w:val="4E4C4D02"/>
    <w:rsid w:val="4E745718"/>
    <w:rsid w:val="4E796860"/>
    <w:rsid w:val="4E8567CB"/>
    <w:rsid w:val="4E960B07"/>
    <w:rsid w:val="4ECD611D"/>
    <w:rsid w:val="4EE93C71"/>
    <w:rsid w:val="4EFC1205"/>
    <w:rsid w:val="4F1D5310"/>
    <w:rsid w:val="4F6447EA"/>
    <w:rsid w:val="4F674379"/>
    <w:rsid w:val="4F90367A"/>
    <w:rsid w:val="4FEA4278"/>
    <w:rsid w:val="501A73BD"/>
    <w:rsid w:val="501C5840"/>
    <w:rsid w:val="50657293"/>
    <w:rsid w:val="50790800"/>
    <w:rsid w:val="508500E5"/>
    <w:rsid w:val="508501AB"/>
    <w:rsid w:val="50EE7B58"/>
    <w:rsid w:val="5119769F"/>
    <w:rsid w:val="511E3B6D"/>
    <w:rsid w:val="514B330D"/>
    <w:rsid w:val="51773716"/>
    <w:rsid w:val="518D1B9E"/>
    <w:rsid w:val="520E5250"/>
    <w:rsid w:val="52403C85"/>
    <w:rsid w:val="52541459"/>
    <w:rsid w:val="52A52C73"/>
    <w:rsid w:val="52CA24FA"/>
    <w:rsid w:val="530F2F98"/>
    <w:rsid w:val="532C03AB"/>
    <w:rsid w:val="533433DF"/>
    <w:rsid w:val="533672B4"/>
    <w:rsid w:val="533A4090"/>
    <w:rsid w:val="53450899"/>
    <w:rsid w:val="53641925"/>
    <w:rsid w:val="54037548"/>
    <w:rsid w:val="54332135"/>
    <w:rsid w:val="54383754"/>
    <w:rsid w:val="54525C99"/>
    <w:rsid w:val="548A6D90"/>
    <w:rsid w:val="54B742AB"/>
    <w:rsid w:val="54D53B43"/>
    <w:rsid w:val="54E84F00"/>
    <w:rsid w:val="54EF14FD"/>
    <w:rsid w:val="54F31F9E"/>
    <w:rsid w:val="54F7708A"/>
    <w:rsid w:val="551273D6"/>
    <w:rsid w:val="554A3E58"/>
    <w:rsid w:val="55594DF6"/>
    <w:rsid w:val="555C2880"/>
    <w:rsid w:val="555F3AA9"/>
    <w:rsid w:val="558D6992"/>
    <w:rsid w:val="559501FE"/>
    <w:rsid w:val="55A21098"/>
    <w:rsid w:val="55A57E51"/>
    <w:rsid w:val="55D43280"/>
    <w:rsid w:val="563E45C8"/>
    <w:rsid w:val="564E773E"/>
    <w:rsid w:val="565A2CCF"/>
    <w:rsid w:val="566352DA"/>
    <w:rsid w:val="566E1BBF"/>
    <w:rsid w:val="56746ECB"/>
    <w:rsid w:val="56AF52EF"/>
    <w:rsid w:val="56F402C5"/>
    <w:rsid w:val="57017CCB"/>
    <w:rsid w:val="57045B57"/>
    <w:rsid w:val="5721105B"/>
    <w:rsid w:val="572826FA"/>
    <w:rsid w:val="57397928"/>
    <w:rsid w:val="57404C82"/>
    <w:rsid w:val="57452F9B"/>
    <w:rsid w:val="5771575A"/>
    <w:rsid w:val="577E6A63"/>
    <w:rsid w:val="57891F28"/>
    <w:rsid w:val="579332A0"/>
    <w:rsid w:val="580A450F"/>
    <w:rsid w:val="582E1C77"/>
    <w:rsid w:val="5843627C"/>
    <w:rsid w:val="58446D2E"/>
    <w:rsid w:val="584E5E80"/>
    <w:rsid w:val="586E2991"/>
    <w:rsid w:val="586E7B84"/>
    <w:rsid w:val="588F0276"/>
    <w:rsid w:val="58A47CEB"/>
    <w:rsid w:val="58CC4A8C"/>
    <w:rsid w:val="58E82911"/>
    <w:rsid w:val="58EE4DF0"/>
    <w:rsid w:val="590572F3"/>
    <w:rsid w:val="59365D46"/>
    <w:rsid w:val="595B4954"/>
    <w:rsid w:val="59811A0B"/>
    <w:rsid w:val="599D0D47"/>
    <w:rsid w:val="59AD2145"/>
    <w:rsid w:val="59CD1026"/>
    <w:rsid w:val="59CD6EC0"/>
    <w:rsid w:val="59E53AFA"/>
    <w:rsid w:val="59F25A48"/>
    <w:rsid w:val="5A184385"/>
    <w:rsid w:val="5A1A73D8"/>
    <w:rsid w:val="5A1F4020"/>
    <w:rsid w:val="5A7F63C9"/>
    <w:rsid w:val="5A8E0445"/>
    <w:rsid w:val="5A8E080E"/>
    <w:rsid w:val="5AD0568D"/>
    <w:rsid w:val="5AE10B4A"/>
    <w:rsid w:val="5B044624"/>
    <w:rsid w:val="5B0B2327"/>
    <w:rsid w:val="5B1B094C"/>
    <w:rsid w:val="5B7247DA"/>
    <w:rsid w:val="5BA33274"/>
    <w:rsid w:val="5C151773"/>
    <w:rsid w:val="5C205D85"/>
    <w:rsid w:val="5C57705C"/>
    <w:rsid w:val="5C866511"/>
    <w:rsid w:val="5CA11AC7"/>
    <w:rsid w:val="5CB169DD"/>
    <w:rsid w:val="5CFB5718"/>
    <w:rsid w:val="5D66775B"/>
    <w:rsid w:val="5D683A36"/>
    <w:rsid w:val="5D764A94"/>
    <w:rsid w:val="5D90619D"/>
    <w:rsid w:val="5D986F9B"/>
    <w:rsid w:val="5DB364C8"/>
    <w:rsid w:val="5E3772C8"/>
    <w:rsid w:val="5E5C537D"/>
    <w:rsid w:val="5E74684D"/>
    <w:rsid w:val="5E7D75E0"/>
    <w:rsid w:val="5E800A0B"/>
    <w:rsid w:val="5EDB5F55"/>
    <w:rsid w:val="5F053010"/>
    <w:rsid w:val="5F5B56AF"/>
    <w:rsid w:val="5F6214EB"/>
    <w:rsid w:val="5F69359F"/>
    <w:rsid w:val="5F8E42F7"/>
    <w:rsid w:val="5FE725D3"/>
    <w:rsid w:val="5FED03D7"/>
    <w:rsid w:val="5FF16F67"/>
    <w:rsid w:val="6069427F"/>
    <w:rsid w:val="60AC5C93"/>
    <w:rsid w:val="60C06E48"/>
    <w:rsid w:val="60DE5457"/>
    <w:rsid w:val="61000BC7"/>
    <w:rsid w:val="6121516A"/>
    <w:rsid w:val="616C243F"/>
    <w:rsid w:val="61D83FE7"/>
    <w:rsid w:val="620718EE"/>
    <w:rsid w:val="62086564"/>
    <w:rsid w:val="6218248C"/>
    <w:rsid w:val="621904B0"/>
    <w:rsid w:val="626D52DF"/>
    <w:rsid w:val="62E740CB"/>
    <w:rsid w:val="631373B6"/>
    <w:rsid w:val="63151491"/>
    <w:rsid w:val="631C7149"/>
    <w:rsid w:val="638220DE"/>
    <w:rsid w:val="63AE625C"/>
    <w:rsid w:val="63B8206E"/>
    <w:rsid w:val="63E851F4"/>
    <w:rsid w:val="63FB3EC2"/>
    <w:rsid w:val="63FF2FDC"/>
    <w:rsid w:val="640721AA"/>
    <w:rsid w:val="64892576"/>
    <w:rsid w:val="649B6589"/>
    <w:rsid w:val="64D92A95"/>
    <w:rsid w:val="65230D92"/>
    <w:rsid w:val="653062A7"/>
    <w:rsid w:val="653D0520"/>
    <w:rsid w:val="65680839"/>
    <w:rsid w:val="65B97972"/>
    <w:rsid w:val="65CD5B49"/>
    <w:rsid w:val="661B02C2"/>
    <w:rsid w:val="66530B7C"/>
    <w:rsid w:val="6663771F"/>
    <w:rsid w:val="666C6604"/>
    <w:rsid w:val="66737DE9"/>
    <w:rsid w:val="66853BC6"/>
    <w:rsid w:val="6686712D"/>
    <w:rsid w:val="668E750A"/>
    <w:rsid w:val="66AA4D53"/>
    <w:rsid w:val="670F6E00"/>
    <w:rsid w:val="67390E71"/>
    <w:rsid w:val="674354A9"/>
    <w:rsid w:val="67465592"/>
    <w:rsid w:val="674E4B5A"/>
    <w:rsid w:val="675E79F5"/>
    <w:rsid w:val="676663B4"/>
    <w:rsid w:val="67884CE0"/>
    <w:rsid w:val="67BC2C95"/>
    <w:rsid w:val="67D363A2"/>
    <w:rsid w:val="68A0082E"/>
    <w:rsid w:val="68BC6174"/>
    <w:rsid w:val="68D70DEA"/>
    <w:rsid w:val="68DD645A"/>
    <w:rsid w:val="693B1005"/>
    <w:rsid w:val="69C81643"/>
    <w:rsid w:val="69E408CA"/>
    <w:rsid w:val="69EA7D52"/>
    <w:rsid w:val="69FB6375"/>
    <w:rsid w:val="6A12361B"/>
    <w:rsid w:val="6A3247EB"/>
    <w:rsid w:val="6A4B21EA"/>
    <w:rsid w:val="6B061AB8"/>
    <w:rsid w:val="6B3C7DBA"/>
    <w:rsid w:val="6B637A3C"/>
    <w:rsid w:val="6B856E2D"/>
    <w:rsid w:val="6B94788A"/>
    <w:rsid w:val="6BE63FA4"/>
    <w:rsid w:val="6BE91F71"/>
    <w:rsid w:val="6C1739CA"/>
    <w:rsid w:val="6C2544BB"/>
    <w:rsid w:val="6C587073"/>
    <w:rsid w:val="6C9402CB"/>
    <w:rsid w:val="6C947CE6"/>
    <w:rsid w:val="6C974BC0"/>
    <w:rsid w:val="6CC77259"/>
    <w:rsid w:val="6CE03A96"/>
    <w:rsid w:val="6D07099E"/>
    <w:rsid w:val="6D775AAF"/>
    <w:rsid w:val="6DFA01F4"/>
    <w:rsid w:val="6DFA25ED"/>
    <w:rsid w:val="6E222A24"/>
    <w:rsid w:val="6E4C341C"/>
    <w:rsid w:val="6E4F7FF6"/>
    <w:rsid w:val="6E6E08DC"/>
    <w:rsid w:val="6E856B1B"/>
    <w:rsid w:val="6EDD4411"/>
    <w:rsid w:val="6EE6425B"/>
    <w:rsid w:val="6EEF0CDE"/>
    <w:rsid w:val="6EEF2648"/>
    <w:rsid w:val="6F295D21"/>
    <w:rsid w:val="6F3C49CD"/>
    <w:rsid w:val="6F7637EB"/>
    <w:rsid w:val="6F7A2ADD"/>
    <w:rsid w:val="6F963F3C"/>
    <w:rsid w:val="6F997875"/>
    <w:rsid w:val="6FA62F34"/>
    <w:rsid w:val="6FAD3595"/>
    <w:rsid w:val="6FEF5FDF"/>
    <w:rsid w:val="70313F1E"/>
    <w:rsid w:val="7044685F"/>
    <w:rsid w:val="704A1812"/>
    <w:rsid w:val="70626515"/>
    <w:rsid w:val="708701E7"/>
    <w:rsid w:val="70917D3B"/>
    <w:rsid w:val="70CB15D1"/>
    <w:rsid w:val="70EF467C"/>
    <w:rsid w:val="70FD6F61"/>
    <w:rsid w:val="70FF258A"/>
    <w:rsid w:val="71543A25"/>
    <w:rsid w:val="71676B48"/>
    <w:rsid w:val="716E7060"/>
    <w:rsid w:val="717D733F"/>
    <w:rsid w:val="71827223"/>
    <w:rsid w:val="71864D87"/>
    <w:rsid w:val="718A5D23"/>
    <w:rsid w:val="71A04099"/>
    <w:rsid w:val="71AB2687"/>
    <w:rsid w:val="72383F7F"/>
    <w:rsid w:val="72403F99"/>
    <w:rsid w:val="72412CEB"/>
    <w:rsid w:val="727C62DE"/>
    <w:rsid w:val="72821D69"/>
    <w:rsid w:val="72885124"/>
    <w:rsid w:val="72910B78"/>
    <w:rsid w:val="72EC21B1"/>
    <w:rsid w:val="72FA37E1"/>
    <w:rsid w:val="730575B1"/>
    <w:rsid w:val="73331428"/>
    <w:rsid w:val="73564263"/>
    <w:rsid w:val="736418DA"/>
    <w:rsid w:val="73C92A32"/>
    <w:rsid w:val="73F64359"/>
    <w:rsid w:val="7408701A"/>
    <w:rsid w:val="742D4A6E"/>
    <w:rsid w:val="74461453"/>
    <w:rsid w:val="74597C2E"/>
    <w:rsid w:val="745E40C0"/>
    <w:rsid w:val="74AB118F"/>
    <w:rsid w:val="74D13A75"/>
    <w:rsid w:val="74EE1669"/>
    <w:rsid w:val="754A035E"/>
    <w:rsid w:val="757D0571"/>
    <w:rsid w:val="75812C33"/>
    <w:rsid w:val="75926EEC"/>
    <w:rsid w:val="75A43F96"/>
    <w:rsid w:val="75B91601"/>
    <w:rsid w:val="75C630A2"/>
    <w:rsid w:val="75D851F4"/>
    <w:rsid w:val="75FB3A2B"/>
    <w:rsid w:val="761665D0"/>
    <w:rsid w:val="76486DE7"/>
    <w:rsid w:val="76647CC9"/>
    <w:rsid w:val="76A809F9"/>
    <w:rsid w:val="770C018D"/>
    <w:rsid w:val="7711697C"/>
    <w:rsid w:val="774115A8"/>
    <w:rsid w:val="775A4DDB"/>
    <w:rsid w:val="775C08B2"/>
    <w:rsid w:val="776F1164"/>
    <w:rsid w:val="77935BCE"/>
    <w:rsid w:val="77B55C9B"/>
    <w:rsid w:val="78277DC0"/>
    <w:rsid w:val="783A0BEE"/>
    <w:rsid w:val="785F280C"/>
    <w:rsid w:val="787D038F"/>
    <w:rsid w:val="788247AF"/>
    <w:rsid w:val="78A91105"/>
    <w:rsid w:val="78EB75F0"/>
    <w:rsid w:val="79174C41"/>
    <w:rsid w:val="79406268"/>
    <w:rsid w:val="79420961"/>
    <w:rsid w:val="798206C4"/>
    <w:rsid w:val="79E00606"/>
    <w:rsid w:val="7A074245"/>
    <w:rsid w:val="7A1F6632"/>
    <w:rsid w:val="7A20759B"/>
    <w:rsid w:val="7A7770D9"/>
    <w:rsid w:val="7A8F3BB5"/>
    <w:rsid w:val="7AA4755D"/>
    <w:rsid w:val="7AB0564D"/>
    <w:rsid w:val="7AD541F9"/>
    <w:rsid w:val="7AE01681"/>
    <w:rsid w:val="7AEB39BF"/>
    <w:rsid w:val="7AFC3DC6"/>
    <w:rsid w:val="7AFE67D8"/>
    <w:rsid w:val="7B1B6F14"/>
    <w:rsid w:val="7B2E4E52"/>
    <w:rsid w:val="7B4060CF"/>
    <w:rsid w:val="7B7B3C4D"/>
    <w:rsid w:val="7B7D5E82"/>
    <w:rsid w:val="7B9163BB"/>
    <w:rsid w:val="7B9E049B"/>
    <w:rsid w:val="7BAC5A12"/>
    <w:rsid w:val="7BD823A4"/>
    <w:rsid w:val="7BE2552D"/>
    <w:rsid w:val="7C100022"/>
    <w:rsid w:val="7C176405"/>
    <w:rsid w:val="7C513B2F"/>
    <w:rsid w:val="7C5474B1"/>
    <w:rsid w:val="7C683CF1"/>
    <w:rsid w:val="7D0A64D1"/>
    <w:rsid w:val="7D464221"/>
    <w:rsid w:val="7D580E32"/>
    <w:rsid w:val="7D7A3E76"/>
    <w:rsid w:val="7DB979D8"/>
    <w:rsid w:val="7DE93DD1"/>
    <w:rsid w:val="7E173CC4"/>
    <w:rsid w:val="7E1F11C5"/>
    <w:rsid w:val="7E2B7A47"/>
    <w:rsid w:val="7E457BA4"/>
    <w:rsid w:val="7E46631A"/>
    <w:rsid w:val="7E82458A"/>
    <w:rsid w:val="7EA543D5"/>
    <w:rsid w:val="7EB353A9"/>
    <w:rsid w:val="7EEB56BF"/>
    <w:rsid w:val="7F2376BD"/>
    <w:rsid w:val="7F3B122C"/>
    <w:rsid w:val="7F3E3882"/>
    <w:rsid w:val="7F453289"/>
    <w:rsid w:val="7F525E02"/>
    <w:rsid w:val="7F582482"/>
    <w:rsid w:val="7FAA7590"/>
    <w:rsid w:val="7FE63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ocked="1"/>
    <w:lsdException w:qFormat="1" w:unhideWhenUsed="0" w:uiPriority="1"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1"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qFormat="1" w:unhideWhenUsed="0" w:uiPriority="99"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qFormat="1"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ocked="1"/>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locked/>
    <w:uiPriority w:val="1"/>
    <w:pPr>
      <w:ind w:right="578"/>
      <w:jc w:val="center"/>
      <w:outlineLvl w:val="0"/>
    </w:pPr>
    <w:rPr>
      <w:b/>
      <w:bCs/>
      <w:sz w:val="44"/>
      <w:szCs w:val="44"/>
    </w:rPr>
  </w:style>
  <w:style w:type="paragraph" w:styleId="2">
    <w:name w:val="heading 2"/>
    <w:basedOn w:val="1"/>
    <w:next w:val="1"/>
    <w:qFormat/>
    <w:locked/>
    <w:uiPriority w:val="1"/>
    <w:pPr>
      <w:outlineLvl w:val="1"/>
    </w:pPr>
    <w:rPr>
      <w:b/>
      <w:bCs/>
      <w:sz w:val="32"/>
      <w:szCs w:val="32"/>
    </w:rPr>
  </w:style>
  <w:style w:type="paragraph" w:styleId="4">
    <w:name w:val="heading 3"/>
    <w:basedOn w:val="1"/>
    <w:next w:val="1"/>
    <w:qFormat/>
    <w:locked/>
    <w:uiPriority w:val="1"/>
    <w:pPr>
      <w:ind w:left="934"/>
      <w:outlineLvl w:val="2"/>
    </w:pPr>
    <w:rPr>
      <w:b/>
      <w:bCs/>
      <w:sz w:val="28"/>
      <w:szCs w:val="28"/>
    </w:rPr>
  </w:style>
  <w:style w:type="paragraph" w:styleId="5">
    <w:name w:val="heading 4"/>
    <w:basedOn w:val="1"/>
    <w:next w:val="1"/>
    <w:qFormat/>
    <w:locked/>
    <w:uiPriority w:val="0"/>
    <w:pPr>
      <w:keepNext/>
      <w:keepLines/>
      <w:spacing w:before="280" w:after="290" w:line="376" w:lineRule="auto"/>
      <w:outlineLvl w:val="3"/>
    </w:pPr>
    <w:rPr>
      <w:rFonts w:ascii="Arial" w:hAnsi="Arial" w:eastAsia="宋体"/>
      <w:b/>
      <w:bCs/>
      <w:sz w:val="32"/>
      <w:szCs w:val="28"/>
    </w:rPr>
  </w:style>
  <w:style w:type="paragraph" w:styleId="6">
    <w:name w:val="heading 5"/>
    <w:basedOn w:val="1"/>
    <w:next w:val="7"/>
    <w:semiHidden/>
    <w:unhideWhenUsed/>
    <w:qFormat/>
    <w:locked/>
    <w:uiPriority w:val="0"/>
    <w:pPr>
      <w:keepNext/>
      <w:keepLines/>
      <w:numPr>
        <w:ilvl w:val="4"/>
        <w:numId w:val="1"/>
      </w:numPr>
      <w:spacing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locked/>
    <w:uiPriority w:val="0"/>
    <w:pPr>
      <w:ind w:firstLine="420"/>
    </w:pPr>
    <w:rPr>
      <w:szCs w:val="20"/>
    </w:rPr>
  </w:style>
  <w:style w:type="paragraph" w:styleId="8">
    <w:name w:val="annotation text"/>
    <w:basedOn w:val="1"/>
    <w:qFormat/>
    <w:locked/>
    <w:uiPriority w:val="0"/>
  </w:style>
  <w:style w:type="paragraph" w:styleId="9">
    <w:name w:val="Body Text"/>
    <w:basedOn w:val="1"/>
    <w:next w:val="10"/>
    <w:qFormat/>
    <w:locked/>
    <w:uiPriority w:val="1"/>
    <w:rPr>
      <w:sz w:val="28"/>
      <w:szCs w:val="28"/>
    </w:rPr>
  </w:style>
  <w:style w:type="paragraph" w:styleId="10">
    <w:name w:val="Body Text First Indent"/>
    <w:basedOn w:val="9"/>
    <w:qFormat/>
    <w:locked/>
    <w:uiPriority w:val="99"/>
    <w:pPr>
      <w:spacing w:after="120"/>
      <w:ind w:firstLine="420" w:firstLineChars="100"/>
    </w:pPr>
  </w:style>
  <w:style w:type="paragraph" w:styleId="11">
    <w:name w:val="Body Text Indent"/>
    <w:basedOn w:val="1"/>
    <w:qFormat/>
    <w:locked/>
    <w:uiPriority w:val="0"/>
    <w:pPr>
      <w:ind w:firstLine="830" w:firstLineChars="352"/>
    </w:pPr>
    <w:rPr>
      <w:rFonts w:ascii="仿宋_GB2312" w:eastAsia="仿宋_GB2312"/>
      <w:sz w:val="32"/>
      <w:szCs w:val="20"/>
    </w:rPr>
  </w:style>
  <w:style w:type="paragraph" w:styleId="12">
    <w:name w:val="Block Text"/>
    <w:basedOn w:val="1"/>
    <w:qFormat/>
    <w:locked/>
    <w:uiPriority w:val="0"/>
    <w:pPr>
      <w:adjustRightInd w:val="0"/>
      <w:ind w:left="420" w:right="33"/>
      <w:textAlignment w:val="baseline"/>
    </w:pPr>
    <w:rPr>
      <w:sz w:val="24"/>
      <w:szCs w:val="20"/>
    </w:rPr>
  </w:style>
  <w:style w:type="paragraph" w:styleId="13">
    <w:name w:val="Plain Text"/>
    <w:basedOn w:val="1"/>
    <w:next w:val="5"/>
    <w:qFormat/>
    <w:locked/>
    <w:uiPriority w:val="0"/>
    <w:rPr>
      <w:rFonts w:ascii="宋体" w:hAnsi="Courier New"/>
      <w:szCs w:val="20"/>
    </w:rPr>
  </w:style>
  <w:style w:type="paragraph" w:styleId="14">
    <w:name w:val="Balloon Text"/>
    <w:basedOn w:val="1"/>
    <w:link w:val="40"/>
    <w:qFormat/>
    <w:locked/>
    <w:uiPriority w:val="0"/>
    <w:rPr>
      <w:sz w:val="18"/>
      <w:szCs w:val="18"/>
    </w:rPr>
  </w:style>
  <w:style w:type="paragraph" w:styleId="15">
    <w:name w:val="footer"/>
    <w:basedOn w:val="1"/>
    <w:qFormat/>
    <w:locked/>
    <w:uiPriority w:val="0"/>
    <w:pPr>
      <w:tabs>
        <w:tab w:val="center" w:pos="4153"/>
        <w:tab w:val="right" w:pos="8306"/>
      </w:tabs>
      <w:snapToGrid w:val="0"/>
    </w:pPr>
    <w:rPr>
      <w:sz w:val="18"/>
    </w:rPr>
  </w:style>
  <w:style w:type="paragraph" w:styleId="16">
    <w:name w:val="envelope return"/>
    <w:basedOn w:val="1"/>
    <w:qFormat/>
    <w:locked/>
    <w:uiPriority w:val="0"/>
    <w:pPr>
      <w:snapToGrid w:val="0"/>
    </w:pPr>
    <w:rPr>
      <w:rFonts w:ascii="Arial" w:hAnsi="Arial"/>
    </w:rPr>
  </w:style>
  <w:style w:type="paragraph" w:styleId="17">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locked/>
    <w:uiPriority w:val="0"/>
  </w:style>
  <w:style w:type="paragraph" w:styleId="19">
    <w:name w:val="Normal (Web)"/>
    <w:basedOn w:val="1"/>
    <w:qFormat/>
    <w:locked/>
    <w:uiPriority w:val="0"/>
    <w:pPr>
      <w:widowControl/>
      <w:spacing w:before="100" w:beforeAutospacing="1" w:after="100" w:afterAutospacing="1"/>
    </w:pPr>
    <w:rPr>
      <w:rFonts w:ascii="宋体" w:hAnsi="宋体"/>
      <w:sz w:val="24"/>
    </w:rPr>
  </w:style>
  <w:style w:type="paragraph" w:styleId="20">
    <w:name w:val="Title"/>
    <w:basedOn w:val="1"/>
    <w:qFormat/>
    <w:locked/>
    <w:uiPriority w:val="0"/>
    <w:pPr>
      <w:spacing w:before="240" w:after="60"/>
      <w:jc w:val="center"/>
      <w:outlineLvl w:val="0"/>
    </w:pPr>
    <w:rPr>
      <w:rFonts w:ascii="Cambria" w:hAnsi="Cambria" w:eastAsia="宋体" w:cs="Times New Roman"/>
      <w:b/>
      <w:bCs/>
      <w:kern w:val="28"/>
      <w:sz w:val="32"/>
      <w:szCs w:val="32"/>
    </w:rPr>
  </w:style>
  <w:style w:type="paragraph" w:styleId="21">
    <w:name w:val="Body Text First Indent 2"/>
    <w:basedOn w:val="11"/>
    <w:next w:val="1"/>
    <w:unhideWhenUsed/>
    <w:qFormat/>
    <w:locked/>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locked/>
    <w:uiPriority w:val="0"/>
    <w:rPr>
      <w:b/>
      <w:bCs/>
    </w:rPr>
  </w:style>
  <w:style w:type="character" w:styleId="26">
    <w:name w:val="page number"/>
    <w:basedOn w:val="24"/>
    <w:qFormat/>
    <w:locked/>
    <w:uiPriority w:val="0"/>
  </w:style>
  <w:style w:type="character" w:styleId="27">
    <w:name w:val="FollowedHyperlink"/>
    <w:basedOn w:val="24"/>
    <w:qFormat/>
    <w:locked/>
    <w:uiPriority w:val="0"/>
    <w:rPr>
      <w:color w:val="000000"/>
      <w:sz w:val="24"/>
      <w:szCs w:val="24"/>
      <w:u w:val="none"/>
    </w:rPr>
  </w:style>
  <w:style w:type="character" w:styleId="28">
    <w:name w:val="Emphasis"/>
    <w:basedOn w:val="24"/>
    <w:qFormat/>
    <w:locked/>
    <w:uiPriority w:val="0"/>
    <w:rPr>
      <w:i/>
      <w:sz w:val="24"/>
      <w:szCs w:val="24"/>
      <w:u w:val="none"/>
    </w:rPr>
  </w:style>
  <w:style w:type="character" w:styleId="29">
    <w:name w:val="Hyperlink"/>
    <w:basedOn w:val="24"/>
    <w:qFormat/>
    <w:locked/>
    <w:uiPriority w:val="0"/>
    <w:rPr>
      <w:color w:val="000000"/>
      <w:sz w:val="24"/>
      <w:szCs w:val="24"/>
      <w:u w:val="none"/>
    </w:rPr>
  </w:style>
  <w:style w:type="character" w:styleId="30">
    <w:name w:val="HTML Code"/>
    <w:basedOn w:val="24"/>
    <w:qFormat/>
    <w:locked/>
    <w:uiPriority w:val="0"/>
    <w:rPr>
      <w:rFonts w:ascii="Courier New" w:hAnsi="Courier New"/>
      <w:sz w:val="24"/>
      <w:szCs w:val="24"/>
      <w:u w:val="none"/>
    </w:rPr>
  </w:style>
  <w:style w:type="character" w:styleId="31">
    <w:name w:val="HTML Sample"/>
    <w:basedOn w:val="24"/>
    <w:qFormat/>
    <w:locked/>
    <w:uiPriority w:val="0"/>
    <w:rPr>
      <w:rFonts w:ascii="Courier New" w:hAnsi="Courier New"/>
    </w:rPr>
  </w:style>
  <w:style w:type="paragraph" w:customStyle="1" w:styleId="3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3">
    <w:name w:val="表格文字"/>
    <w:basedOn w:val="1"/>
    <w:qFormat/>
    <w:uiPriority w:val="99"/>
    <w:pPr>
      <w:adjustRightInd w:val="0"/>
      <w:spacing w:line="420" w:lineRule="atLeast"/>
      <w:textAlignment w:val="baseline"/>
    </w:pPr>
    <w:rPr>
      <w:szCs w:val="20"/>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locked/>
    <w:uiPriority w:val="1"/>
    <w:pPr>
      <w:ind w:left="372" w:firstLine="561"/>
    </w:pPr>
  </w:style>
  <w:style w:type="paragraph" w:customStyle="1" w:styleId="36">
    <w:name w:val="Table Paragraph"/>
    <w:basedOn w:val="1"/>
    <w:qFormat/>
    <w:uiPriority w:val="1"/>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reader-word-layer"/>
    <w:basedOn w:val="1"/>
    <w:qFormat/>
    <w:uiPriority w:val="0"/>
    <w:pPr>
      <w:widowControl/>
      <w:spacing w:before="100" w:beforeAutospacing="1" w:after="100" w:afterAutospacing="1"/>
    </w:pPr>
    <w:rPr>
      <w:rFonts w:ascii="宋体" w:hAnsi="宋体" w:eastAsia="宋体" w:cs="宋体"/>
      <w:sz w:val="24"/>
      <w:szCs w:val="24"/>
    </w:rPr>
  </w:style>
  <w:style w:type="character" w:customStyle="1" w:styleId="39">
    <w:name w:val="font01"/>
    <w:basedOn w:val="24"/>
    <w:qFormat/>
    <w:uiPriority w:val="0"/>
    <w:rPr>
      <w:rFonts w:hint="eastAsia" w:ascii="宋体" w:hAnsi="宋体" w:eastAsia="宋体" w:cs="宋体"/>
      <w:color w:val="000000"/>
      <w:sz w:val="28"/>
      <w:szCs w:val="28"/>
      <w:u w:val="none"/>
    </w:rPr>
  </w:style>
  <w:style w:type="character" w:customStyle="1" w:styleId="40">
    <w:name w:val="批注框文本 字符"/>
    <w:basedOn w:val="24"/>
    <w:link w:val="14"/>
    <w:qFormat/>
    <w:uiPriority w:val="0"/>
    <w:rPr>
      <w:rFonts w:ascii="仿宋" w:hAnsi="仿宋" w:eastAsia="仿宋" w:cs="仿宋"/>
      <w:sz w:val="18"/>
      <w:szCs w:val="18"/>
      <w:lang w:val="zh-CN" w:bidi="zh-CN"/>
    </w:rPr>
  </w:style>
  <w:style w:type="paragraph" w:customStyle="1" w:styleId="41">
    <w:name w:val="p20"/>
    <w:basedOn w:val="1"/>
    <w:qFormat/>
    <w:uiPriority w:val="99"/>
    <w:pPr>
      <w:widowControl/>
    </w:pPr>
    <w:rPr>
      <w:rFonts w:ascii="宋体" w:hAnsi="Calibri" w:cs="宋体"/>
      <w:szCs w:val="21"/>
    </w:rPr>
  </w:style>
  <w:style w:type="character" w:customStyle="1" w:styleId="42">
    <w:name w:val="font61"/>
    <w:basedOn w:val="24"/>
    <w:qFormat/>
    <w:uiPriority w:val="0"/>
    <w:rPr>
      <w:rFonts w:hint="eastAsia" w:ascii="宋体" w:hAnsi="宋体" w:eastAsia="宋体" w:cs="宋体"/>
      <w:color w:val="000000"/>
      <w:sz w:val="20"/>
      <w:szCs w:val="20"/>
      <w:u w:val="none"/>
    </w:rPr>
  </w:style>
  <w:style w:type="character" w:customStyle="1" w:styleId="43">
    <w:name w:val="font81"/>
    <w:basedOn w:val="24"/>
    <w:qFormat/>
    <w:uiPriority w:val="0"/>
    <w:rPr>
      <w:rFonts w:hint="eastAsia" w:ascii="宋体" w:hAnsi="宋体" w:eastAsia="宋体" w:cs="宋体"/>
      <w:color w:val="000000"/>
      <w:sz w:val="20"/>
      <w:szCs w:val="20"/>
      <w:u w:val="none"/>
      <w:vertAlign w:val="superscript"/>
    </w:rPr>
  </w:style>
  <w:style w:type="character" w:customStyle="1" w:styleId="44">
    <w:name w:val="font41"/>
    <w:basedOn w:val="24"/>
    <w:qFormat/>
    <w:uiPriority w:val="0"/>
    <w:rPr>
      <w:rFonts w:hint="eastAsia" w:ascii="宋体" w:hAnsi="宋体" w:eastAsia="宋体" w:cs="宋体"/>
      <w:color w:val="000000"/>
      <w:sz w:val="20"/>
      <w:szCs w:val="20"/>
      <w:u w:val="none"/>
    </w:rPr>
  </w:style>
  <w:style w:type="character" w:customStyle="1" w:styleId="45">
    <w:name w:val="font31"/>
    <w:basedOn w:val="24"/>
    <w:qFormat/>
    <w:uiPriority w:val="0"/>
    <w:rPr>
      <w:rFonts w:hint="eastAsia" w:ascii="宋体" w:hAnsi="宋体" w:eastAsia="宋体" w:cs="宋体"/>
      <w:color w:val="000000"/>
      <w:sz w:val="20"/>
      <w:szCs w:val="20"/>
      <w:u w:val="none"/>
      <w:vertAlign w:val="superscript"/>
    </w:rPr>
  </w:style>
  <w:style w:type="paragraph" w:customStyle="1" w:styleId="46">
    <w:name w:val="p0"/>
    <w:basedOn w:val="1"/>
    <w:qFormat/>
    <w:uiPriority w:val="0"/>
    <w:pPr>
      <w:widowControl/>
    </w:pPr>
    <w:rPr>
      <w:rFonts w:ascii="Calibri" w:hAnsi="Calibri" w:cs="宋体"/>
      <w:szCs w:val="21"/>
    </w:rPr>
  </w:style>
  <w:style w:type="paragraph" w:customStyle="1" w:styleId="47">
    <w:name w:val="Other|1"/>
    <w:basedOn w:val="1"/>
    <w:qFormat/>
    <w:uiPriority w:val="0"/>
    <w:pPr>
      <w:spacing w:line="208" w:lineRule="exact"/>
    </w:pPr>
    <w:rPr>
      <w:rFonts w:ascii="宋体" w:hAnsi="宋体" w:eastAsia="宋体" w:cs="宋体"/>
      <w:sz w:val="17"/>
      <w:szCs w:val="17"/>
      <w:lang w:val="zh-TW" w:eastAsia="zh-TW" w:bidi="zh-TW"/>
    </w:rPr>
  </w:style>
  <w:style w:type="paragraph" w:customStyle="1" w:styleId="48">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49">
    <w:name w:val="PlainText"/>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50">
    <w:name w:val="NormalCharacter"/>
    <w:qFormat/>
    <w:uiPriority w:val="0"/>
  </w:style>
  <w:style w:type="paragraph" w:customStyle="1" w:styleId="51">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3">
    <w:name w:val="*正文"/>
    <w:basedOn w:val="1"/>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17111</Words>
  <Characters>18257</Characters>
  <Lines>190</Lines>
  <Paragraphs>53</Paragraphs>
  <TotalTime>4</TotalTime>
  <ScaleCrop>false</ScaleCrop>
  <LinksUpToDate>false</LinksUpToDate>
  <CharactersWithSpaces>18473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2022-02-12T08:07:00Z</dcterms:created>
  <dc:creator>User</dc:creator>
  <cp:lastModifiedBy>admin</cp:lastModifiedBy>
  <cp:lastPrinted>2024-10-16T07:52:00Z</cp:lastPrinted>
  <dcterms:modified xsi:type="dcterms:W3CDTF">2025-07-10T10:16:19Z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WPS 文字</vt:lpwstr>
  </property>
  <property fmtid="{D5CDD505-2E9C-101B-9397-08002B2CF9AE}" pid="4" name="LastSaved">
    <vt:filetime>2019-06-24T00:00:00Z</vt:filetime>
  </property>
  <property fmtid="{D5CDD505-2E9C-101B-9397-08002B2CF9AE}" pid="5" name="KSOProductBuildVer">
    <vt:lpwstr>2052-12.1.0.21915</vt:lpwstr>
  </property>
  <property fmtid="{D5CDD505-2E9C-101B-9397-08002B2CF9AE}" pid="6" name="ICV">
    <vt:lpwstr>5751691A031E4D4FA1BA391A336C6E38_13</vt:lpwstr>
  </property>
  <property fmtid="{D5CDD505-2E9C-101B-9397-08002B2CF9AE}" pid="7" name="KSOTemplateDocerSaveRecord">
    <vt:lpwstr>eyJoZGlkIjoiN2YyZGIwMWRhNjAzYzdmNjdiZjNmZDQ5NzU5ZTBhZTciLCJ1c2VySWQiOiIyMTg5MDg5MDAifQ==</vt:lpwstr>
  </property>
</Properties>
</file>