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28ADB">
      <w:pPr>
        <w:adjustRightInd/>
        <w:spacing w:line="360" w:lineRule="auto"/>
        <w:jc w:val="center"/>
        <w:rPr>
          <w:rFonts w:hint="eastAsia" w:cs="仿宋_GB2312" w:asciiTheme="minorEastAsia" w:hAnsiTheme="minorEastAsia" w:eastAsiaTheme="minorEastAsia"/>
          <w:b/>
          <w:bCs/>
          <w:color w:val="auto"/>
          <w:w w:val="95"/>
          <w:sz w:val="44"/>
          <w:szCs w:val="44"/>
          <w:highlight w:val="none"/>
          <w:lang w:val="zh-CN" w:eastAsia="zh-CN"/>
        </w:rPr>
      </w:pPr>
    </w:p>
    <w:p w14:paraId="2CC1B616">
      <w:pPr>
        <w:adjustRightInd/>
        <w:spacing w:line="360" w:lineRule="auto"/>
        <w:jc w:val="center"/>
        <w:rPr>
          <w:rFonts w:hint="eastAsia" w:cs="仿宋_GB2312" w:asciiTheme="minorEastAsia" w:hAnsiTheme="minorEastAsia" w:eastAsiaTheme="minorEastAsia"/>
          <w:b/>
          <w:bCs/>
          <w:color w:val="auto"/>
          <w:w w:val="95"/>
          <w:sz w:val="44"/>
          <w:szCs w:val="44"/>
          <w:highlight w:val="none"/>
          <w:lang w:val="zh-CN"/>
        </w:rPr>
      </w:pPr>
      <w:r>
        <w:rPr>
          <w:rFonts w:hint="eastAsia" w:cs="仿宋_GB2312" w:asciiTheme="minorEastAsia" w:hAnsiTheme="minorEastAsia" w:eastAsiaTheme="minorEastAsia"/>
          <w:b/>
          <w:bCs/>
          <w:color w:val="auto"/>
          <w:w w:val="95"/>
          <w:sz w:val="44"/>
          <w:szCs w:val="44"/>
          <w:highlight w:val="none"/>
          <w:lang w:val="zh-CN" w:eastAsia="zh-CN"/>
        </w:rPr>
        <w:t>北海市涠洲实验学校2025-2026学年度营养餐配送服务</w:t>
      </w:r>
    </w:p>
    <w:p w14:paraId="17F77E17">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25CF71F1">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44FA793A">
      <w:pPr>
        <w:adjustRightInd/>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b/>
          <w:color w:val="auto"/>
          <w:sz w:val="44"/>
          <w:szCs w:val="44"/>
          <w:highlight w:val="none"/>
        </w:rPr>
        <w:t>（电子交易）</w:t>
      </w:r>
    </w:p>
    <w:p w14:paraId="2D09F8F1">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项目编号:BHZC2025-C3-990189-BBWH</w:t>
      </w:r>
    </w:p>
    <w:p w14:paraId="6480E09E">
      <w:pPr>
        <w:adjustRightInd/>
        <w:spacing w:line="360" w:lineRule="auto"/>
        <w:rPr>
          <w:rFonts w:cs="仿宋_GB2312" w:asciiTheme="minorEastAsia" w:hAnsiTheme="minorEastAsia" w:eastAsiaTheme="minorEastAsia"/>
          <w:color w:val="auto"/>
          <w:sz w:val="28"/>
          <w:szCs w:val="20"/>
          <w:highlight w:val="none"/>
        </w:rPr>
      </w:pP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lang w:eastAsia="zh-CN"/>
        </w:rPr>
        <w:drawing>
          <wp:inline distT="0" distB="0" distL="114300" distR="114300">
            <wp:extent cx="2514600" cy="1973580"/>
            <wp:effectExtent l="0" t="0" r="0" b="0"/>
            <wp:docPr id="20" name="图片 2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公司LOGO"/>
                    <pic:cNvPicPr>
                      <a:picLocks noChangeAspect="1"/>
                    </pic:cNvPicPr>
                  </pic:nvPicPr>
                  <pic:blipFill>
                    <a:blip r:embed="rId7"/>
                    <a:srcRect t="10331" b="8583"/>
                    <a:stretch>
                      <a:fillRect/>
                    </a:stretch>
                  </pic:blipFill>
                  <pic:spPr>
                    <a:xfrm>
                      <a:off x="0" y="0"/>
                      <a:ext cx="2514600" cy="1973580"/>
                    </a:xfrm>
                    <a:prstGeom prst="rect">
                      <a:avLst/>
                    </a:prstGeom>
                  </pic:spPr>
                </pic:pic>
              </a:graphicData>
            </a:graphic>
          </wp:inline>
        </w:drawing>
      </w:r>
    </w:p>
    <w:p w14:paraId="617009B7">
      <w:pPr>
        <w:snapToGrid w:val="0"/>
        <w:spacing w:line="360" w:lineRule="auto"/>
        <w:jc w:val="center"/>
        <w:rPr>
          <w:rFonts w:cs="仿宋_GB2312" w:asciiTheme="minorEastAsia" w:hAnsiTheme="minorEastAsia" w:eastAsiaTheme="minorEastAsia"/>
          <w:color w:val="auto"/>
          <w:sz w:val="32"/>
          <w:szCs w:val="32"/>
          <w:highlight w:val="none"/>
        </w:rPr>
      </w:pPr>
    </w:p>
    <w:p w14:paraId="279C934A">
      <w:pPr>
        <w:snapToGrid w:val="0"/>
        <w:spacing w:line="360" w:lineRule="auto"/>
        <w:jc w:val="center"/>
        <w:rPr>
          <w:rFonts w:cs="仿宋_GB2312" w:asciiTheme="minorEastAsia" w:hAnsiTheme="minorEastAsia" w:eastAsiaTheme="minorEastAsia"/>
          <w:color w:val="auto"/>
          <w:sz w:val="32"/>
          <w:szCs w:val="32"/>
          <w:highlight w:val="none"/>
        </w:rPr>
      </w:pPr>
    </w:p>
    <w:p w14:paraId="5E341674">
      <w:pPr>
        <w:snapToGrid w:val="0"/>
        <w:spacing w:line="360" w:lineRule="auto"/>
        <w:jc w:val="center"/>
        <w:rPr>
          <w:rFonts w:hint="eastAsia" w:eastAsia="宋体" w:cs="仿宋_GB2312" w:asciiTheme="minorEastAsia" w:hAnsiTheme="minorEastAsia"/>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北海市涠洲实验学校</w:t>
      </w:r>
    </w:p>
    <w:p w14:paraId="2C61FDE2">
      <w:pPr>
        <w:spacing w:line="360" w:lineRule="auto"/>
        <w:jc w:val="center"/>
        <w:rPr>
          <w:rFonts w:hint="eastAsia" w:eastAsia="宋体" w:cs="仿宋_GB2312" w:asciiTheme="minorEastAsia" w:hAnsiTheme="minorEastAsia"/>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：广西北部湾宏亚建设管理有限公司</w:t>
      </w:r>
    </w:p>
    <w:p w14:paraId="13E658D4">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八</w:t>
      </w:r>
      <w:r>
        <w:rPr>
          <w:rFonts w:hint="eastAsia" w:cs="仿宋_GB2312" w:asciiTheme="minorEastAsia" w:hAnsiTheme="minorEastAsia" w:eastAsiaTheme="minorEastAsia"/>
          <w:bCs/>
          <w:color w:val="auto"/>
          <w:sz w:val="32"/>
          <w:szCs w:val="32"/>
          <w:highlight w:val="none"/>
        </w:rPr>
        <w:t>月</w:t>
      </w:r>
    </w:p>
    <w:p w14:paraId="7A02368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74B26DD9">
      <w:pPr>
        <w:tabs>
          <w:tab w:val="left" w:pos="2268"/>
        </w:tabs>
        <w:spacing w:line="360" w:lineRule="auto"/>
        <w:jc w:val="center"/>
        <w:rPr>
          <w:rFonts w:cs="仿宋_GB2312" w:asciiTheme="minorEastAsia" w:hAnsiTheme="minorEastAsia" w:eastAsiaTheme="minorEastAsia"/>
          <w:color w:val="auto"/>
          <w:sz w:val="24"/>
          <w:highlight w:val="none"/>
        </w:rPr>
      </w:pPr>
    </w:p>
    <w:p w14:paraId="12639CC0">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4"/>
          <w:szCs w:val="44"/>
          <w:highlight w:val="none"/>
        </w:rPr>
        <w:t>目  录</w:t>
      </w:r>
    </w:p>
    <w:p w14:paraId="2A6B80EF">
      <w:pPr>
        <w:spacing w:line="360" w:lineRule="auto"/>
        <w:rPr>
          <w:rFonts w:cs="仿宋_GB2312" w:asciiTheme="minorEastAsia" w:hAnsiTheme="minorEastAsia" w:eastAsiaTheme="minorEastAsia"/>
          <w:color w:val="auto"/>
          <w:sz w:val="32"/>
          <w:szCs w:val="32"/>
          <w:highlight w:val="none"/>
        </w:rPr>
      </w:pPr>
    </w:p>
    <w:p w14:paraId="2C20494F">
      <w:pPr>
        <w:pStyle w:val="40"/>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bookmarkStart w:id="1" w:name="_Hlt91233176"/>
      <w:bookmarkEnd w:id="1"/>
      <w:bookmarkStart w:id="2" w:name="_Toc91899869"/>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 </w:instrText>
      </w:r>
      <w:r>
        <w:rPr>
          <w:rFonts w:hint="eastAsia" w:cs="仿宋_GB2312" w:asciiTheme="minorEastAsia" w:hAnsiTheme="minorEastAsia" w:eastAsiaTheme="minorEastAsia"/>
          <w:color w:val="auto"/>
          <w:sz w:val="32"/>
          <w:szCs w:val="32"/>
          <w:highlight w:val="none"/>
        </w:rPr>
        <w:instrText xml:space="preserve">TOC \o "1-1" \h \z \u</w:instrText>
      </w:r>
      <w:r>
        <w:rPr>
          <w:rFonts w:cs="仿宋_GB2312" w:asciiTheme="minorEastAsia" w:hAnsiTheme="minorEastAsia" w:eastAsiaTheme="minorEastAsia"/>
          <w:color w:val="auto"/>
          <w:sz w:val="32"/>
          <w:szCs w:val="32"/>
          <w:highlight w:val="none"/>
        </w:rPr>
        <w:instrText xml:space="preserve"> </w:instrText>
      </w:r>
      <w:r>
        <w:rPr>
          <w:rFonts w:cs="仿宋_GB2312" w:asciiTheme="minorEastAsia" w:hAnsiTheme="minorEastAsia" w:eastAsiaTheme="minorEastAsia"/>
          <w:color w:val="auto"/>
          <w:sz w:val="32"/>
          <w:szCs w:val="32"/>
          <w:highlight w:val="none"/>
        </w:rPr>
        <w:fldChar w:fldCharType="separate"/>
      </w: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_Toc7896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第一部分  邀请供应商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_Toc7896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04CAD966">
      <w:pPr>
        <w:pStyle w:val="40"/>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_Toc4467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第二部分  竞争性磋商流程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_Toc4467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1369E87A">
      <w:pPr>
        <w:pStyle w:val="40"/>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_Toc13519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第三部分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_Toc13519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05D6B17B">
      <w:pPr>
        <w:pStyle w:val="40"/>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_Toc12584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第四部分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_Toc12584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36EE4E65">
      <w:pPr>
        <w:pStyle w:val="40"/>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_Toc30095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第五部分  评审方法及评审标准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_Toc30095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1BF8F0E2">
      <w:pPr>
        <w:pStyle w:val="40"/>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_Toc12434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第六部分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_Toc12434 \h </w:instrText>
      </w:r>
      <w:r>
        <w:rPr>
          <w:color w:val="auto"/>
          <w:sz w:val="28"/>
          <w:szCs w:val="28"/>
          <w:highlight w:val="none"/>
        </w:rPr>
        <w:fldChar w:fldCharType="separate"/>
      </w:r>
      <w:r>
        <w:rPr>
          <w:color w:val="auto"/>
          <w:sz w:val="28"/>
          <w:szCs w:val="28"/>
          <w:highlight w:val="none"/>
        </w:rPr>
        <w:t>49</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2E0D350F">
      <w:pPr>
        <w:pStyle w:val="40"/>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_Toc23505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第七部分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_Toc23505 \h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232C0B34">
      <w:pPr>
        <w:pStyle w:val="40"/>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_Toc9840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第八部分  最后报价格式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_Toc9840 \h </w:instrText>
      </w:r>
      <w:r>
        <w:rPr>
          <w:color w:val="auto"/>
          <w:sz w:val="28"/>
          <w:szCs w:val="28"/>
          <w:highlight w:val="none"/>
        </w:rPr>
        <w:fldChar w:fldCharType="separate"/>
      </w:r>
      <w:r>
        <w:rPr>
          <w:color w:val="auto"/>
          <w:sz w:val="28"/>
          <w:szCs w:val="28"/>
          <w:highlight w:val="none"/>
        </w:rPr>
        <w:t>77</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5ECDE54F">
      <w:pPr>
        <w:spacing w:line="360" w:lineRule="auto"/>
        <w:ind w:firstLine="480" w:firstLineChars="229"/>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Cs w:val="32"/>
          <w:highlight w:val="none"/>
        </w:rPr>
        <w:fldChar w:fldCharType="end"/>
      </w:r>
    </w:p>
    <w:p w14:paraId="50D3FFAF">
      <w:pPr>
        <w:spacing w:line="360" w:lineRule="auto"/>
        <w:ind w:firstLine="549" w:firstLineChars="229"/>
        <w:rPr>
          <w:rFonts w:cs="仿宋_GB2312" w:asciiTheme="minorEastAsia" w:hAnsiTheme="minorEastAsia" w:eastAsiaTheme="minorEastAsia"/>
          <w:color w:val="auto"/>
          <w:sz w:val="24"/>
          <w:highlight w:val="none"/>
        </w:rPr>
      </w:pPr>
    </w:p>
    <w:p w14:paraId="08799045">
      <w:pPr>
        <w:spacing w:line="360" w:lineRule="auto"/>
        <w:ind w:firstLine="549" w:firstLineChars="229"/>
        <w:rPr>
          <w:rFonts w:cs="仿宋_GB2312" w:asciiTheme="minorEastAsia" w:hAnsiTheme="minorEastAsia" w:eastAsiaTheme="minorEastAsia"/>
          <w:color w:val="auto"/>
          <w:sz w:val="24"/>
          <w:highlight w:val="none"/>
        </w:rPr>
      </w:pPr>
    </w:p>
    <w:p w14:paraId="67CD5359">
      <w:pPr>
        <w:spacing w:line="360" w:lineRule="auto"/>
        <w:ind w:firstLine="549" w:firstLineChars="229"/>
        <w:rPr>
          <w:rFonts w:cs="仿宋_GB2312" w:asciiTheme="minorEastAsia" w:hAnsiTheme="minorEastAsia" w:eastAsiaTheme="minorEastAsia"/>
          <w:color w:val="auto"/>
          <w:sz w:val="24"/>
          <w:highlight w:val="none"/>
        </w:rPr>
      </w:pPr>
    </w:p>
    <w:p w14:paraId="61DC8C9B">
      <w:pPr>
        <w:spacing w:line="360" w:lineRule="auto"/>
        <w:ind w:firstLine="549" w:firstLineChars="229"/>
        <w:rPr>
          <w:rFonts w:cs="仿宋_GB2312" w:asciiTheme="minorEastAsia" w:hAnsiTheme="minorEastAsia" w:eastAsiaTheme="minorEastAsia"/>
          <w:color w:val="auto"/>
          <w:sz w:val="24"/>
          <w:highlight w:val="none"/>
        </w:rPr>
      </w:pPr>
    </w:p>
    <w:p w14:paraId="138154BC">
      <w:pPr>
        <w:spacing w:line="360" w:lineRule="auto"/>
        <w:ind w:firstLine="549" w:firstLineChars="229"/>
        <w:rPr>
          <w:rFonts w:cs="仿宋_GB2312" w:asciiTheme="minorEastAsia" w:hAnsiTheme="minorEastAsia" w:eastAsiaTheme="minorEastAsia"/>
          <w:color w:val="auto"/>
          <w:sz w:val="24"/>
          <w:highlight w:val="none"/>
        </w:rPr>
      </w:pPr>
    </w:p>
    <w:p w14:paraId="73693CDC">
      <w:pPr>
        <w:spacing w:line="360" w:lineRule="auto"/>
        <w:ind w:firstLine="549" w:firstLineChars="229"/>
        <w:rPr>
          <w:rFonts w:cs="仿宋_GB2312" w:asciiTheme="minorEastAsia" w:hAnsiTheme="minorEastAsia" w:eastAsiaTheme="minorEastAsia"/>
          <w:color w:val="auto"/>
          <w:sz w:val="24"/>
          <w:highlight w:val="none"/>
        </w:rPr>
      </w:pPr>
    </w:p>
    <w:p w14:paraId="73B0F0EA">
      <w:pPr>
        <w:spacing w:line="360" w:lineRule="auto"/>
        <w:ind w:firstLine="549" w:firstLineChars="229"/>
        <w:rPr>
          <w:rFonts w:cs="仿宋_GB2312" w:asciiTheme="minorEastAsia" w:hAnsiTheme="minorEastAsia" w:eastAsiaTheme="minorEastAsia"/>
          <w:color w:val="auto"/>
          <w:sz w:val="24"/>
          <w:highlight w:val="none"/>
        </w:rPr>
      </w:pPr>
    </w:p>
    <w:p w14:paraId="693DC02C">
      <w:pPr>
        <w:spacing w:line="360" w:lineRule="auto"/>
        <w:ind w:firstLine="549" w:firstLineChars="229"/>
        <w:rPr>
          <w:rFonts w:cs="仿宋_GB2312" w:asciiTheme="minorEastAsia" w:hAnsiTheme="minorEastAsia" w:eastAsiaTheme="minorEastAsia"/>
          <w:color w:val="auto"/>
          <w:sz w:val="24"/>
          <w:highlight w:val="none"/>
        </w:rPr>
      </w:pPr>
    </w:p>
    <w:p w14:paraId="51B4081D">
      <w:pPr>
        <w:spacing w:line="360" w:lineRule="auto"/>
        <w:ind w:firstLine="549" w:firstLineChars="229"/>
        <w:rPr>
          <w:rFonts w:cs="仿宋_GB2312" w:asciiTheme="minorEastAsia" w:hAnsiTheme="minorEastAsia" w:eastAsiaTheme="minorEastAsia"/>
          <w:color w:val="auto"/>
          <w:sz w:val="24"/>
          <w:highlight w:val="none"/>
        </w:rPr>
      </w:pPr>
    </w:p>
    <w:p w14:paraId="48D9E5ED">
      <w:pPr>
        <w:spacing w:line="360" w:lineRule="auto"/>
        <w:ind w:firstLine="549" w:firstLineChars="229"/>
        <w:rPr>
          <w:rFonts w:cs="仿宋_GB2312" w:asciiTheme="minorEastAsia" w:hAnsiTheme="minorEastAsia" w:eastAsiaTheme="minorEastAsia"/>
          <w:color w:val="auto"/>
          <w:sz w:val="24"/>
          <w:highlight w:val="none"/>
        </w:rPr>
      </w:pPr>
    </w:p>
    <w:p w14:paraId="448B5D29">
      <w:pPr>
        <w:spacing w:line="360" w:lineRule="auto"/>
        <w:ind w:firstLine="549" w:firstLineChars="229"/>
        <w:rPr>
          <w:rFonts w:cs="仿宋_GB2312" w:asciiTheme="minorEastAsia" w:hAnsiTheme="minorEastAsia" w:eastAsiaTheme="minorEastAsia"/>
          <w:color w:val="auto"/>
          <w:sz w:val="24"/>
          <w:highlight w:val="none"/>
        </w:rPr>
      </w:pPr>
    </w:p>
    <w:p w14:paraId="39F0E06A">
      <w:pPr>
        <w:spacing w:line="360" w:lineRule="auto"/>
        <w:ind w:firstLine="549" w:firstLineChars="229"/>
        <w:rPr>
          <w:rFonts w:cs="仿宋_GB2312" w:asciiTheme="minorEastAsia" w:hAnsiTheme="minorEastAsia" w:eastAsiaTheme="minorEastAsia"/>
          <w:color w:val="auto"/>
          <w:sz w:val="24"/>
          <w:highlight w:val="none"/>
        </w:rPr>
      </w:pPr>
    </w:p>
    <w:bookmarkEnd w:id="2"/>
    <w:p w14:paraId="20C5156F">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headerReference r:id="rId3" w:type="default"/>
          <w:pgSz w:w="11906" w:h="16838"/>
          <w:pgMar w:top="1417" w:right="1417" w:bottom="1417" w:left="1417" w:header="851" w:footer="992" w:gutter="0"/>
          <w:cols w:space="0" w:num="1"/>
          <w:titlePg/>
          <w:rtlGutter w:val="0"/>
          <w:docGrid w:linePitch="312" w:charSpace="0"/>
        </w:sect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14:paraId="13F32F0B">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10" w:name="_Toc7896"/>
      <w:r>
        <w:rPr>
          <w:rFonts w:hint="eastAsia" w:cs="仿宋_GB2312" w:asciiTheme="minorEastAsia" w:hAnsiTheme="minorEastAsia" w:eastAsiaTheme="minorEastAsia"/>
          <w:b/>
          <w:color w:val="auto"/>
          <w:sz w:val="36"/>
          <w:szCs w:val="20"/>
          <w:highlight w:val="none"/>
        </w:rPr>
        <w:t>第一部分  邀请供应商</w:t>
      </w:r>
      <w:bookmarkEnd w:id="10"/>
    </w:p>
    <w:p w14:paraId="688C815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eastAsia="zh-CN"/>
        </w:rPr>
        <w:t>广西北部湾宏亚建设管理有限公司</w:t>
      </w:r>
      <w:r>
        <w:rPr>
          <w:rFonts w:hint="eastAsia" w:cs="仿宋_GB2312" w:asciiTheme="minorEastAsia" w:hAnsiTheme="minorEastAsia" w:eastAsiaTheme="minorEastAsia"/>
          <w:b/>
          <w:color w:val="auto"/>
          <w:sz w:val="32"/>
          <w:szCs w:val="32"/>
          <w:highlight w:val="none"/>
          <w:lang w:val="en-US" w:eastAsia="zh-CN"/>
        </w:rPr>
        <w:t>关于北海市涠洲实验学校2025-2026学年度营养餐配送服务（项目编号：BHZC2025-C3-990189-BBWH）</w:t>
      </w:r>
      <w:r>
        <w:rPr>
          <w:rFonts w:hint="eastAsia" w:cs="仿宋_GB2312" w:asciiTheme="minorEastAsia" w:hAnsiTheme="minorEastAsia" w:eastAsiaTheme="minorEastAsia"/>
          <w:b/>
          <w:color w:val="auto"/>
          <w:sz w:val="32"/>
          <w:szCs w:val="32"/>
          <w:highlight w:val="none"/>
        </w:rPr>
        <w:t>竞争性磋商公告</w:t>
      </w:r>
      <w:r>
        <w:rPr>
          <w:rFonts w:hint="eastAsia" w:cs="仿宋_GB2312" w:asciiTheme="minorEastAsia" w:hAnsiTheme="minorEastAsia" w:eastAsiaTheme="minorEastAsia"/>
          <w:b/>
          <w:color w:val="auto"/>
          <w:sz w:val="32"/>
          <w:szCs w:val="32"/>
          <w:highlight w:val="none"/>
          <w:lang w:eastAsia="zh-CN"/>
        </w:rPr>
        <w:t>（</w:t>
      </w:r>
      <w:r>
        <w:rPr>
          <w:rFonts w:hint="eastAsia" w:cs="仿宋_GB2312" w:asciiTheme="minorEastAsia" w:hAnsiTheme="minorEastAsia" w:eastAsiaTheme="minorEastAsia"/>
          <w:b/>
          <w:color w:val="auto"/>
          <w:sz w:val="32"/>
          <w:szCs w:val="32"/>
          <w:highlight w:val="none"/>
          <w:lang w:val="en-US" w:eastAsia="zh-CN"/>
        </w:rPr>
        <w:t>远程异地评标）</w:t>
      </w:r>
    </w:p>
    <w:p w14:paraId="0E6701FE">
      <w:pPr>
        <w:spacing w:line="360" w:lineRule="auto"/>
        <w:rPr>
          <w:rFonts w:asciiTheme="minorEastAsia" w:hAnsiTheme="minorEastAsia" w:eastAsiaTheme="minorEastAsia"/>
          <w:color w:val="auto"/>
          <w:sz w:val="24"/>
          <w:highlight w:val="none"/>
        </w:rPr>
      </w:pPr>
    </w:p>
    <w:p w14:paraId="40C326F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CFABD6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lang w:val="en-US" w:eastAsia="zh-CN"/>
        </w:rPr>
        <w:t>北海市涠洲实验学校2025-2026学年度营养餐配送服务</w:t>
      </w:r>
      <w:r>
        <w:rPr>
          <w:rFonts w:hint="eastAsia" w:asciiTheme="minorEastAsia" w:hAnsiTheme="minorEastAsia" w:eastAsiaTheme="minorEastAsia"/>
          <w:color w:val="auto"/>
          <w:sz w:val="24"/>
          <w:highlight w:val="none"/>
        </w:rPr>
        <w:t>采购项目的潜在供应商应在</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none"/>
        </w:rPr>
        <w:t>202</w:t>
      </w:r>
      <w:r>
        <w:rPr>
          <w:rFonts w:hint="eastAsia" w:asciiTheme="minorEastAsia" w:hAnsiTheme="minorEastAsia" w:eastAsiaTheme="minorEastAsia"/>
          <w:color w:val="auto"/>
          <w:sz w:val="24"/>
          <w:highlight w:val="none"/>
          <w:u w:val="none"/>
          <w:lang w:val="en-US" w:eastAsia="zh-CN"/>
        </w:rPr>
        <w:t>5</w:t>
      </w:r>
      <w:r>
        <w:rPr>
          <w:rFonts w:hint="eastAsia" w:asciiTheme="minorEastAsia" w:hAnsiTheme="minorEastAsia" w:eastAsiaTheme="minorEastAsia"/>
          <w:bCs/>
          <w:color w:val="auto"/>
          <w:sz w:val="24"/>
          <w:highlight w:val="none"/>
          <w:u w:val="none"/>
        </w:rPr>
        <w:t>年</w:t>
      </w:r>
      <w:r>
        <w:rPr>
          <w:rFonts w:hint="eastAsia" w:asciiTheme="minorEastAsia" w:hAnsiTheme="minorEastAsia" w:eastAsiaTheme="minorEastAsia"/>
          <w:bCs/>
          <w:color w:val="auto"/>
          <w:sz w:val="24"/>
          <w:highlight w:val="none"/>
          <w:u w:val="none"/>
          <w:lang w:val="en-US" w:eastAsia="zh-CN"/>
        </w:rPr>
        <w:t>8</w:t>
      </w:r>
      <w:r>
        <w:rPr>
          <w:rFonts w:hint="eastAsia" w:asciiTheme="minorEastAsia" w:hAnsiTheme="minorEastAsia" w:eastAsiaTheme="minorEastAsia"/>
          <w:bCs/>
          <w:color w:val="auto"/>
          <w:sz w:val="24"/>
          <w:highlight w:val="none"/>
          <w:u w:val="none"/>
        </w:rPr>
        <w:t>月</w:t>
      </w:r>
      <w:r>
        <w:rPr>
          <w:rFonts w:hint="eastAsia" w:asciiTheme="minorEastAsia" w:hAnsiTheme="minorEastAsia" w:eastAsiaTheme="minorEastAsia"/>
          <w:bCs/>
          <w:color w:val="auto"/>
          <w:sz w:val="24"/>
          <w:highlight w:val="none"/>
          <w:u w:val="none"/>
          <w:lang w:val="en-US" w:eastAsia="zh-CN"/>
        </w:rPr>
        <w:t>25</w:t>
      </w:r>
      <w:r>
        <w:rPr>
          <w:rFonts w:hint="eastAsia" w:asciiTheme="minorEastAsia" w:hAnsiTheme="minorEastAsia" w:eastAsiaTheme="minorEastAsia"/>
          <w:bCs/>
          <w:color w:val="auto"/>
          <w:sz w:val="24"/>
          <w:highlight w:val="none"/>
          <w:u w:val="none"/>
        </w:rPr>
        <w:t>日</w:t>
      </w:r>
      <w:r>
        <w:rPr>
          <w:rFonts w:hint="eastAsia" w:asciiTheme="minorEastAsia" w:hAnsiTheme="minorEastAsia" w:eastAsiaTheme="minorEastAsia"/>
          <w:bCs/>
          <w:color w:val="auto"/>
          <w:sz w:val="24"/>
          <w:highlight w:val="none"/>
          <w:u w:val="none"/>
          <w:lang w:val="en-US" w:eastAsia="zh-CN"/>
        </w:rPr>
        <w:t>9时00</w:t>
      </w:r>
      <w:r>
        <w:rPr>
          <w:rFonts w:hint="eastAsia" w:asciiTheme="minorEastAsia" w:hAnsiTheme="minorEastAsia" w:eastAsiaTheme="minorEastAsia"/>
          <w:bCs/>
          <w:color w:val="auto"/>
          <w:sz w:val="24"/>
          <w:highlight w:val="none"/>
          <w:u w:val="none"/>
        </w:rPr>
        <w:t>分</w:t>
      </w:r>
      <w:r>
        <w:rPr>
          <w:rFonts w:hint="eastAsia" w:asciiTheme="minorEastAsia" w:hAnsiTheme="minorEastAsia" w:eastAsiaTheme="minorEastAsia"/>
          <w:bCs/>
          <w:color w:val="auto"/>
          <w:sz w:val="24"/>
          <w:highlight w:val="none"/>
          <w:u w:val="none"/>
        </w:rPr>
        <w:t>（北京时间）前提交响应文件</w:t>
      </w:r>
      <w:r>
        <w:rPr>
          <w:rFonts w:hint="eastAsia" w:asciiTheme="minorEastAsia" w:hAnsiTheme="minorEastAsia" w:eastAsiaTheme="minorEastAsia"/>
          <w:color w:val="auto"/>
          <w:sz w:val="24"/>
          <w:highlight w:val="none"/>
          <w:u w:val="none"/>
        </w:rPr>
        <w:t>。</w:t>
      </w:r>
    </w:p>
    <w:p w14:paraId="5486CD70">
      <w:pPr>
        <w:spacing w:line="360" w:lineRule="auto"/>
        <w:rPr>
          <w:rFonts w:asciiTheme="minorEastAsia" w:hAnsiTheme="minorEastAsia" w:eastAsiaTheme="minorEastAsia"/>
          <w:color w:val="auto"/>
          <w:sz w:val="24"/>
          <w:highlight w:val="none"/>
        </w:rPr>
      </w:pPr>
    </w:p>
    <w:p w14:paraId="32DC7913">
      <w:pPr>
        <w:pStyle w:val="631"/>
        <w:ind w:firstLine="0"/>
        <w:rPr>
          <w:b/>
          <w:color w:val="auto"/>
          <w:highlight w:val="none"/>
        </w:rPr>
      </w:pPr>
      <w:bookmarkStart w:id="11" w:name="_Toc28359012"/>
      <w:bookmarkStart w:id="12" w:name="_Toc35393798"/>
      <w:bookmarkStart w:id="13" w:name="_Toc28359089"/>
      <w:bookmarkStart w:id="14" w:name="_Toc35393629"/>
      <w:r>
        <w:rPr>
          <w:rFonts w:hint="eastAsia"/>
          <w:b/>
          <w:color w:val="auto"/>
          <w:highlight w:val="none"/>
        </w:rPr>
        <w:t>一、项目基本情况</w:t>
      </w:r>
      <w:bookmarkEnd w:id="11"/>
      <w:bookmarkEnd w:id="12"/>
      <w:bookmarkEnd w:id="13"/>
      <w:bookmarkEnd w:id="14"/>
    </w:p>
    <w:p w14:paraId="3D8A06C7">
      <w:pPr>
        <w:adjustRightInd w:val="0"/>
        <w:spacing w:line="360" w:lineRule="auto"/>
        <w:ind w:firstLine="480" w:firstLineChars="200"/>
        <w:rPr>
          <w:rFonts w:ascii="宋体" w:hAnsi="宋体"/>
          <w:color w:val="auto"/>
          <w:sz w:val="24"/>
          <w:highlight w:val="none"/>
        </w:rPr>
      </w:pPr>
      <w:bookmarkStart w:id="15" w:name="_Toc35393799"/>
      <w:bookmarkStart w:id="16" w:name="_Toc28359013"/>
      <w:bookmarkStart w:id="17" w:name="_Toc28359090"/>
      <w:bookmarkStart w:id="18" w:name="_Toc35393630"/>
      <w:r>
        <w:rPr>
          <w:rFonts w:hint="eastAsia" w:ascii="宋体" w:hAnsi="宋体"/>
          <w:color w:val="auto"/>
          <w:sz w:val="24"/>
          <w:highlight w:val="none"/>
        </w:rPr>
        <w:t>项目编号：BHZC2025-C3-990189-BBWH</w:t>
      </w:r>
    </w:p>
    <w:p w14:paraId="4CADB845">
      <w:pPr>
        <w:adjustRightInd w:val="0"/>
        <w:spacing w:line="360" w:lineRule="auto"/>
        <w:ind w:firstLine="480" w:firstLineChars="200"/>
        <w:rPr>
          <w:rFonts w:hint="eastAsia" w:ascii="宋体" w:hAnsi="宋体" w:eastAsia="宋体" w:cs="宋体"/>
          <w:b/>
          <w:color w:val="auto"/>
          <w:sz w:val="24"/>
          <w:szCs w:val="24"/>
          <w:highlight w:val="none"/>
          <w:lang w:val="en-US" w:eastAsia="zh-CN"/>
        </w:rPr>
      </w:pPr>
      <w:r>
        <w:rPr>
          <w:rFonts w:hint="eastAsia" w:ascii="宋体" w:hAnsi="宋体"/>
          <w:color w:val="auto"/>
          <w:sz w:val="24"/>
          <w:highlight w:val="none"/>
        </w:rPr>
        <w:t>项目名称：</w:t>
      </w:r>
      <w:r>
        <w:rPr>
          <w:rFonts w:hint="eastAsia" w:asciiTheme="minorEastAsia" w:hAnsiTheme="minorEastAsia" w:eastAsiaTheme="minorEastAsia"/>
          <w:color w:val="auto"/>
          <w:sz w:val="24"/>
          <w:highlight w:val="none"/>
          <w:lang w:val="en-US" w:eastAsia="zh-CN"/>
        </w:rPr>
        <w:t>北海市涠洲实验学校2025-2026学年度营养餐配送服务</w:t>
      </w:r>
    </w:p>
    <w:p w14:paraId="3965417A">
      <w:pPr>
        <w:adjustRightIn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采购方式：竞争性</w:t>
      </w:r>
      <w:r>
        <w:rPr>
          <w:rFonts w:hint="eastAsia" w:ascii="宋体" w:hAnsi="宋体"/>
          <w:color w:val="auto"/>
          <w:sz w:val="24"/>
          <w:highlight w:val="none"/>
          <w:lang w:val="en-US" w:eastAsia="zh-CN"/>
        </w:rPr>
        <w:t>磋商</w:t>
      </w:r>
    </w:p>
    <w:p w14:paraId="3AA65597">
      <w:pPr>
        <w:adjustRightIn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预算</w:t>
      </w:r>
      <w:r>
        <w:rPr>
          <w:rFonts w:hint="eastAsia" w:ascii="宋体" w:hAnsi="宋体"/>
          <w:color w:val="auto"/>
          <w:sz w:val="24"/>
          <w:highlight w:val="none"/>
          <w:lang w:val="en-US" w:eastAsia="zh-CN"/>
        </w:rPr>
        <w:t>总</w:t>
      </w:r>
      <w:r>
        <w:rPr>
          <w:rFonts w:hint="eastAsia" w:ascii="宋体" w:hAnsi="宋体"/>
          <w:color w:val="auto"/>
          <w:sz w:val="24"/>
          <w:highlight w:val="none"/>
        </w:rPr>
        <w:t>金额（元）：</w:t>
      </w:r>
      <w:r>
        <w:rPr>
          <w:rFonts w:hint="eastAsia" w:ascii="宋体" w:hAnsi="宋体"/>
          <w:color w:val="auto"/>
          <w:sz w:val="24"/>
          <w:highlight w:val="none"/>
          <w:lang w:val="en-US" w:eastAsia="zh-CN"/>
        </w:rPr>
        <w:t>858975.00</w:t>
      </w:r>
    </w:p>
    <w:p w14:paraId="6DC1E99C">
      <w:pPr>
        <w:adjustRightIn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最高限价（元）：</w:t>
      </w:r>
      <w:r>
        <w:rPr>
          <w:rFonts w:hint="eastAsia" w:ascii="宋体" w:hAnsi="宋体"/>
          <w:color w:val="auto"/>
          <w:sz w:val="24"/>
          <w:highlight w:val="none"/>
          <w:lang w:val="en-US" w:eastAsia="zh-CN"/>
        </w:rPr>
        <w:t>858975.00</w:t>
      </w:r>
    </w:p>
    <w:p w14:paraId="080F7A4B">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采购需求：</w:t>
      </w:r>
    </w:p>
    <w:p w14:paraId="4AEF237D">
      <w:pPr>
        <w:adjustRightIn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olor w:val="auto"/>
          <w:sz w:val="24"/>
          <w:highlight w:val="none"/>
          <w:lang w:val="en-US" w:eastAsia="zh-CN"/>
        </w:rPr>
        <w:t>标项名称：</w:t>
      </w:r>
      <w:r>
        <w:rPr>
          <w:rFonts w:hint="eastAsia" w:asciiTheme="minorEastAsia" w:hAnsiTheme="minorEastAsia" w:eastAsiaTheme="minorEastAsia"/>
          <w:color w:val="auto"/>
          <w:sz w:val="24"/>
          <w:highlight w:val="none"/>
          <w:lang w:val="en-US" w:eastAsia="zh-CN"/>
        </w:rPr>
        <w:t>北海市涠洲实验学校2025-2026学年度营养餐配送服务</w:t>
      </w:r>
    </w:p>
    <w:p w14:paraId="6374D3DC">
      <w:pPr>
        <w:adjustRightIn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数量：1</w:t>
      </w:r>
    </w:p>
    <w:p w14:paraId="245E9F64">
      <w:pPr>
        <w:adjustRightInd w:val="0"/>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预算金额（元）：858975.00</w:t>
      </w:r>
    </w:p>
    <w:p w14:paraId="2832CB4E">
      <w:pPr>
        <w:adjustRightIn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简要规格描述或项目基本概况介绍、用途：</w:t>
      </w:r>
      <w:r>
        <w:rPr>
          <w:rFonts w:hint="eastAsia" w:asciiTheme="minorEastAsia" w:hAnsiTheme="minorEastAsia" w:eastAsiaTheme="minorEastAsia"/>
          <w:color w:val="auto"/>
          <w:sz w:val="24"/>
          <w:highlight w:val="none"/>
          <w:lang w:val="en-US" w:eastAsia="zh-CN"/>
        </w:rPr>
        <w:t>北海市涠洲实验学校2025-2026学年度营养餐配送服务1项，</w:t>
      </w:r>
      <w:r>
        <w:rPr>
          <w:rFonts w:hint="eastAsia" w:ascii="宋体" w:hAnsi="宋体"/>
          <w:color w:val="auto"/>
          <w:sz w:val="24"/>
          <w:highlight w:val="none"/>
          <w:lang w:val="en-US" w:eastAsia="zh-CN"/>
        </w:rPr>
        <w:t>具体内容详见磋商文件。</w:t>
      </w:r>
    </w:p>
    <w:p w14:paraId="27F71B2F">
      <w:pPr>
        <w:adjustRightInd w:val="0"/>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最高限价（如有）：858975.00</w:t>
      </w:r>
    </w:p>
    <w:p w14:paraId="72949152">
      <w:pPr>
        <w:adjustRightInd w:val="0"/>
        <w:spacing w:line="360" w:lineRule="auto"/>
        <w:ind w:firstLine="480" w:firstLineChars="20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合同履</w:t>
      </w:r>
      <w:r>
        <w:rPr>
          <w:rFonts w:hint="eastAsia" w:ascii="宋体" w:hAnsi="宋体"/>
          <w:color w:val="auto"/>
          <w:sz w:val="24"/>
          <w:highlight w:val="none"/>
          <w:lang w:val="en-US" w:eastAsia="zh-CN"/>
        </w:rPr>
        <w:t>约</w:t>
      </w:r>
      <w:r>
        <w:rPr>
          <w:rFonts w:hint="eastAsia" w:ascii="宋体" w:hAnsi="宋体"/>
          <w:color w:val="auto"/>
          <w:sz w:val="24"/>
          <w:highlight w:val="none"/>
        </w:rPr>
        <w:t>期限：</w:t>
      </w:r>
      <w:r>
        <w:rPr>
          <w:rFonts w:hint="eastAsia" w:ascii="宋体" w:hAnsi="宋体"/>
          <w:color w:val="auto"/>
          <w:sz w:val="24"/>
          <w:highlight w:val="none"/>
          <w:lang w:val="en-US" w:eastAsia="zh-CN"/>
        </w:rPr>
        <w:t>自北海市涠洲实验学校2025年秋季学期开学之日起至2026年春季学期结束之日止，约195个工作日，具体时间由采购人通知。</w:t>
      </w:r>
    </w:p>
    <w:p w14:paraId="1FF3E203">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lang w:eastAsia="zh-CN"/>
        </w:rPr>
        <w:t>（</w:t>
      </w:r>
      <w:r>
        <w:rPr>
          <w:rFonts w:hint="eastAsia" w:ascii="宋体" w:hAnsi="宋体"/>
          <w:color w:val="auto"/>
          <w:sz w:val="24"/>
          <w:highlight w:val="none"/>
        </w:rPr>
        <w:t>否</w:t>
      </w:r>
      <w:r>
        <w:rPr>
          <w:rFonts w:hint="eastAsia" w:ascii="宋体" w:hAnsi="宋体"/>
          <w:color w:val="auto"/>
          <w:sz w:val="24"/>
          <w:highlight w:val="none"/>
          <w:lang w:eastAsia="zh-CN"/>
        </w:rPr>
        <w:t>）</w:t>
      </w:r>
      <w:r>
        <w:rPr>
          <w:rFonts w:hint="eastAsia" w:ascii="宋体" w:hAnsi="宋体"/>
          <w:color w:val="auto"/>
          <w:sz w:val="24"/>
          <w:highlight w:val="none"/>
        </w:rPr>
        <w:t>接受联合体</w:t>
      </w:r>
      <w:r>
        <w:rPr>
          <w:rFonts w:hint="eastAsia" w:ascii="宋体" w:hAnsi="宋体"/>
          <w:color w:val="auto"/>
          <w:sz w:val="24"/>
          <w:highlight w:val="none"/>
          <w:lang w:val="en-US" w:eastAsia="zh-CN"/>
        </w:rPr>
        <w:t>投标</w:t>
      </w:r>
    </w:p>
    <w:p w14:paraId="6AC45061">
      <w:pPr>
        <w:adjustRightIn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备注：/</w:t>
      </w:r>
    </w:p>
    <w:p w14:paraId="35633295">
      <w:pPr>
        <w:pStyle w:val="631"/>
        <w:ind w:firstLine="0"/>
        <w:rPr>
          <w:b/>
          <w:color w:val="auto"/>
          <w:highlight w:val="none"/>
        </w:rPr>
      </w:pPr>
      <w:r>
        <w:rPr>
          <w:rFonts w:hint="eastAsia"/>
          <w:b/>
          <w:color w:val="auto"/>
          <w:highlight w:val="none"/>
        </w:rPr>
        <w:t>二、申请人的资格要求：</w:t>
      </w:r>
      <w:bookmarkEnd w:id="15"/>
      <w:bookmarkEnd w:id="16"/>
      <w:bookmarkEnd w:id="17"/>
      <w:bookmarkEnd w:id="18"/>
    </w:p>
    <w:p w14:paraId="23D389E4">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w:t>
      </w:r>
      <w:r>
        <w:rPr>
          <w:rFonts w:cs="宋体" w:asciiTheme="minorEastAsia" w:hAnsiTheme="minorEastAsia" w:eastAsiaTheme="minorEastAsia"/>
          <w:snapToGrid w:val="0"/>
          <w:color w:val="auto"/>
          <w:kern w:val="28"/>
          <w:sz w:val="24"/>
          <w:szCs w:val="20"/>
          <w:highlight w:val="none"/>
        </w:rPr>
        <w:t xml:space="preserve"> </w:t>
      </w:r>
    </w:p>
    <w:p w14:paraId="0602A5BF">
      <w:pPr>
        <w:spacing w:line="360" w:lineRule="auto"/>
        <w:ind w:firstLine="480" w:firstLineChars="200"/>
        <w:rPr>
          <w:rFonts w:hint="eastAsia" w:cs="宋体" w:asciiTheme="minorEastAsia" w:hAnsiTheme="minorEastAsia" w:eastAsiaTheme="minorEastAsia"/>
          <w:snapToGrid w:val="0"/>
          <w:color w:val="auto"/>
          <w:kern w:val="28"/>
          <w:sz w:val="24"/>
          <w:szCs w:val="20"/>
          <w:highlight w:val="none"/>
          <w:lang w:val="en-US" w:eastAsia="zh-CN"/>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.落实政府采购政策需满足的资格要求：</w:t>
      </w:r>
      <w:r>
        <w:rPr>
          <w:rFonts w:hint="eastAsia" w:cs="宋体" w:asciiTheme="minorEastAsia" w:hAnsiTheme="minorEastAsia" w:eastAsiaTheme="minorEastAsia"/>
          <w:snapToGrid w:val="0"/>
          <w:color w:val="auto"/>
          <w:kern w:val="28"/>
          <w:sz w:val="24"/>
          <w:szCs w:val="20"/>
          <w:highlight w:val="none"/>
          <w:lang w:val="en-US" w:eastAsia="zh-CN"/>
        </w:rPr>
        <w:t>分标1：本项目为专门面向小微企业采购项目，服务全部由符合政策要求的小微型企业承接，监狱企业、残疾人福利性单位视同小型和微型企业。</w:t>
      </w:r>
    </w:p>
    <w:p w14:paraId="46642D35">
      <w:pPr>
        <w:spacing w:line="360" w:lineRule="auto"/>
        <w:ind w:firstLine="480" w:firstLineChars="200"/>
        <w:rPr>
          <w:rFonts w:hint="default" w:cs="宋体" w:asciiTheme="minorEastAsia" w:hAnsiTheme="minorEastAsia" w:eastAsiaTheme="minorEastAsia"/>
          <w:color w:val="auto"/>
          <w:sz w:val="24"/>
          <w:highlight w:val="none"/>
          <w:lang w:val="en-US"/>
        </w:rPr>
      </w:pPr>
      <w:r>
        <w:rPr>
          <w:rFonts w:hint="eastAsia" w:cs="宋体" w:asciiTheme="minorEastAsia" w:hAnsiTheme="minorEastAsia" w:eastAsiaTheme="minorEastAsia"/>
          <w:color w:val="auto"/>
          <w:sz w:val="24"/>
          <w:highlight w:val="none"/>
        </w:rPr>
        <w:t>3.本项目的特定资格要求：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分标1】供应商必须具有有效的《食品生产许可证》或《食品经营许可证》。</w:t>
      </w:r>
    </w:p>
    <w:p w14:paraId="178AAD41">
      <w:pPr>
        <w:pStyle w:val="631"/>
        <w:ind w:firstLine="0"/>
        <w:rPr>
          <w:b/>
          <w:color w:val="auto"/>
          <w:highlight w:val="none"/>
        </w:rPr>
      </w:pPr>
      <w:bookmarkStart w:id="19" w:name="_Toc28359014"/>
      <w:bookmarkStart w:id="20" w:name="_Toc35393631"/>
      <w:bookmarkStart w:id="21" w:name="_Toc35393800"/>
      <w:bookmarkStart w:id="22" w:name="_Toc28359091"/>
      <w:r>
        <w:rPr>
          <w:rFonts w:hint="eastAsia"/>
          <w:b/>
          <w:color w:val="auto"/>
          <w:highlight w:val="none"/>
        </w:rPr>
        <w:t>三、获取（下载）采购文件</w:t>
      </w:r>
      <w:bookmarkEnd w:id="19"/>
      <w:bookmarkEnd w:id="20"/>
      <w:bookmarkEnd w:id="21"/>
      <w:bookmarkEnd w:id="22"/>
    </w:p>
    <w:p w14:paraId="0732D695">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14</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21</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（北京时间，法定节假日除外）；</w:t>
      </w:r>
    </w:p>
    <w:p w14:paraId="16D12D05">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color w:val="auto"/>
          <w:sz w:val="24"/>
          <w:highlight w:val="none"/>
        </w:rPr>
        <w:t>地点（网址）：</w:t>
      </w:r>
      <w:r>
        <w:rPr>
          <w:rFonts w:hint="eastAsia" w:ascii="宋体" w:hAnsi="宋体" w:cs="宋体"/>
          <w:color w:val="auto"/>
          <w:sz w:val="24"/>
          <w:highlight w:val="none"/>
        </w:rPr>
        <w:t>广西政府采购云平台（https://www.gcy.zfcg.gxzf.gov.cn/）</w:t>
      </w:r>
    </w:p>
    <w:p w14:paraId="3AC53CA8">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方式：供应商登录</w:t>
      </w:r>
      <w:r>
        <w:rPr>
          <w:rFonts w:hint="eastAsia" w:ascii="宋体" w:hAnsi="宋体" w:cs="宋体"/>
          <w:color w:val="auto"/>
          <w:sz w:val="24"/>
          <w:highlight w:val="none"/>
        </w:rPr>
        <w:t>广西政府采购云平台（https://www.gcy.zfcg.gxzf.gov.cn/）</w:t>
      </w:r>
      <w:r>
        <w:rPr>
          <w:rFonts w:hint="eastAsia" w:cs="宋体" w:asciiTheme="minorEastAsia" w:hAnsiTheme="minorEastAsia" w:eastAsiaTheme="minorEastAsia"/>
          <w:color w:val="auto"/>
          <w:sz w:val="24"/>
          <w:highlight w:val="none"/>
        </w:rPr>
        <w:t>在线申请获取采购文件（进入“项目采购”应用，在获取采购文件菜单中选择项目，申请获取采购文件）。</w:t>
      </w:r>
    </w:p>
    <w:p w14:paraId="199BF99E">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0。</w:t>
      </w:r>
    </w:p>
    <w:p w14:paraId="0EE9176D">
      <w:pPr>
        <w:pStyle w:val="631"/>
        <w:ind w:firstLine="0"/>
        <w:rPr>
          <w:b/>
          <w:color w:val="auto"/>
          <w:highlight w:val="none"/>
        </w:rPr>
      </w:pPr>
      <w:bookmarkStart w:id="23" w:name="_Toc35393632"/>
      <w:bookmarkStart w:id="24" w:name="_Toc28359092"/>
      <w:bookmarkStart w:id="25" w:name="_Toc35393801"/>
      <w:bookmarkStart w:id="26" w:name="_Toc28359015"/>
      <w:r>
        <w:rPr>
          <w:rFonts w:hint="eastAsia"/>
          <w:b/>
          <w:color w:val="auto"/>
          <w:highlight w:val="none"/>
        </w:rPr>
        <w:t>四、响应文件提交</w:t>
      </w:r>
      <w:bookmarkEnd w:id="23"/>
      <w:bookmarkEnd w:id="24"/>
      <w:bookmarkEnd w:id="25"/>
      <w:bookmarkEnd w:id="26"/>
    </w:p>
    <w:p w14:paraId="31155136">
      <w:pPr>
        <w:spacing w:line="360" w:lineRule="auto"/>
        <w:ind w:firstLine="480" w:firstLineChars="200"/>
        <w:rPr>
          <w:rFonts w:asciiTheme="minorEastAsia" w:hAnsiTheme="minorEastAsia" w:eastAsiaTheme="minorEastAsia"/>
          <w:bCs/>
          <w:color w:val="auto"/>
          <w:sz w:val="24"/>
          <w:highlight w:val="none"/>
          <w:u w:val="none"/>
        </w:rPr>
      </w:pPr>
      <w:r>
        <w:rPr>
          <w:rFonts w:hint="eastAsia" w:asciiTheme="minorEastAsia" w:hAnsiTheme="minorEastAsia" w:eastAsiaTheme="minorEastAsia"/>
          <w:color w:val="auto"/>
          <w:sz w:val="24"/>
          <w:highlight w:val="none"/>
          <w:u w:val="none"/>
        </w:rPr>
        <w:t>截止时间：202</w:t>
      </w:r>
      <w:r>
        <w:rPr>
          <w:rFonts w:hint="eastAsia" w:asciiTheme="minorEastAsia" w:hAnsiTheme="minorEastAsia" w:eastAsiaTheme="minorEastAsia"/>
          <w:color w:val="auto"/>
          <w:sz w:val="24"/>
          <w:highlight w:val="none"/>
          <w:u w:val="none"/>
          <w:lang w:val="en-US" w:eastAsia="zh-CN"/>
        </w:rPr>
        <w:t>5</w:t>
      </w:r>
      <w:r>
        <w:rPr>
          <w:rFonts w:hint="eastAsia" w:asciiTheme="minorEastAsia" w:hAnsiTheme="minorEastAsia" w:eastAsiaTheme="minorEastAsia"/>
          <w:bCs/>
          <w:color w:val="auto"/>
          <w:sz w:val="24"/>
          <w:highlight w:val="none"/>
          <w:u w:val="none"/>
        </w:rPr>
        <w:t>年</w:t>
      </w:r>
      <w:r>
        <w:rPr>
          <w:rFonts w:hint="eastAsia" w:asciiTheme="minorEastAsia" w:hAnsiTheme="minorEastAsia" w:eastAsiaTheme="minorEastAsia"/>
          <w:bCs/>
          <w:color w:val="auto"/>
          <w:sz w:val="24"/>
          <w:highlight w:val="none"/>
          <w:u w:val="none"/>
          <w:lang w:val="en-US" w:eastAsia="zh-CN"/>
        </w:rPr>
        <w:t>8</w:t>
      </w:r>
      <w:r>
        <w:rPr>
          <w:rFonts w:hint="eastAsia" w:asciiTheme="minorEastAsia" w:hAnsiTheme="minorEastAsia" w:eastAsiaTheme="minorEastAsia"/>
          <w:bCs/>
          <w:color w:val="auto"/>
          <w:sz w:val="24"/>
          <w:highlight w:val="none"/>
          <w:u w:val="none"/>
        </w:rPr>
        <w:t>月</w:t>
      </w:r>
      <w:r>
        <w:rPr>
          <w:rFonts w:hint="eastAsia" w:asciiTheme="minorEastAsia" w:hAnsiTheme="minorEastAsia" w:eastAsiaTheme="minorEastAsia"/>
          <w:bCs/>
          <w:color w:val="auto"/>
          <w:sz w:val="24"/>
          <w:highlight w:val="none"/>
          <w:u w:val="none"/>
          <w:lang w:val="en-US" w:eastAsia="zh-CN"/>
        </w:rPr>
        <w:t>25</w:t>
      </w:r>
      <w:r>
        <w:rPr>
          <w:rFonts w:hint="eastAsia" w:asciiTheme="minorEastAsia" w:hAnsiTheme="minorEastAsia" w:eastAsiaTheme="minorEastAsia"/>
          <w:bCs/>
          <w:color w:val="auto"/>
          <w:sz w:val="24"/>
          <w:highlight w:val="none"/>
          <w:u w:val="none"/>
        </w:rPr>
        <w:t>日</w:t>
      </w:r>
      <w:r>
        <w:rPr>
          <w:rFonts w:hint="eastAsia" w:asciiTheme="minorEastAsia" w:hAnsiTheme="minorEastAsia" w:eastAsiaTheme="minorEastAsia"/>
          <w:bCs/>
          <w:color w:val="auto"/>
          <w:sz w:val="24"/>
          <w:highlight w:val="none"/>
          <w:u w:val="none"/>
          <w:lang w:val="en-US" w:eastAsia="zh-CN"/>
        </w:rPr>
        <w:t>9时00</w:t>
      </w:r>
      <w:r>
        <w:rPr>
          <w:rFonts w:hint="eastAsia" w:asciiTheme="minorEastAsia" w:hAnsiTheme="minorEastAsia" w:eastAsiaTheme="minorEastAsia"/>
          <w:bCs/>
          <w:color w:val="auto"/>
          <w:sz w:val="24"/>
          <w:highlight w:val="none"/>
          <w:u w:val="none"/>
        </w:rPr>
        <w:t>分（北京时间）</w:t>
      </w:r>
    </w:p>
    <w:p w14:paraId="3F1A6336">
      <w:pPr>
        <w:spacing w:line="360" w:lineRule="auto"/>
        <w:ind w:firstLine="480" w:firstLineChars="200"/>
        <w:rPr>
          <w:rFonts w:asciiTheme="minorEastAsia" w:hAnsiTheme="minorEastAsia" w:eastAsiaTheme="minorEastAsia"/>
          <w:bCs/>
          <w:color w:val="auto"/>
          <w:sz w:val="24"/>
          <w:highlight w:val="none"/>
          <w:u w:val="none"/>
        </w:rPr>
      </w:pPr>
      <w:r>
        <w:rPr>
          <w:rFonts w:hint="eastAsia" w:asciiTheme="minorEastAsia" w:hAnsiTheme="minorEastAsia" w:eastAsiaTheme="minorEastAsia"/>
          <w:color w:val="auto"/>
          <w:sz w:val="24"/>
          <w:highlight w:val="none"/>
          <w:u w:val="none"/>
        </w:rPr>
        <w:t>地点：</w:t>
      </w:r>
      <w:r>
        <w:rPr>
          <w:rFonts w:hint="eastAsia" w:ascii="宋体" w:hAnsi="宋体" w:cs="宋体"/>
          <w:color w:val="auto"/>
          <w:sz w:val="24"/>
          <w:highlight w:val="none"/>
          <w:u w:val="none"/>
        </w:rPr>
        <w:t>广西政府采购云平台（https://www.gcy.zfcg.gxzf.gov.cn/）</w:t>
      </w:r>
      <w:r>
        <w:rPr>
          <w:rFonts w:hint="eastAsia" w:cs="仿宋_GB2312" w:asciiTheme="minorEastAsia" w:hAnsiTheme="minorEastAsia" w:eastAsiaTheme="minorEastAsia"/>
          <w:b/>
          <w:color w:val="auto"/>
          <w:sz w:val="24"/>
          <w:highlight w:val="none"/>
          <w:u w:val="none"/>
        </w:rPr>
        <w:t>。</w:t>
      </w:r>
    </w:p>
    <w:p w14:paraId="74F6AFEB">
      <w:pPr>
        <w:pStyle w:val="631"/>
        <w:ind w:firstLine="0"/>
        <w:rPr>
          <w:b/>
          <w:color w:val="auto"/>
          <w:highlight w:val="none"/>
          <w:u w:val="none"/>
        </w:rPr>
      </w:pPr>
      <w:bookmarkStart w:id="27" w:name="_Toc28359093"/>
      <w:bookmarkStart w:id="28" w:name="_Toc35393633"/>
      <w:bookmarkStart w:id="29" w:name="_Toc35393802"/>
      <w:bookmarkStart w:id="30" w:name="_Toc28359016"/>
      <w:r>
        <w:rPr>
          <w:rFonts w:hint="eastAsia"/>
          <w:b/>
          <w:color w:val="auto"/>
          <w:highlight w:val="none"/>
          <w:u w:val="none"/>
        </w:rPr>
        <w:t>五、响应文件开启</w:t>
      </w:r>
      <w:bookmarkEnd w:id="27"/>
      <w:bookmarkEnd w:id="28"/>
      <w:bookmarkEnd w:id="29"/>
      <w:bookmarkEnd w:id="30"/>
    </w:p>
    <w:p w14:paraId="549329DE">
      <w:pPr>
        <w:spacing w:line="360" w:lineRule="auto"/>
        <w:ind w:firstLine="480" w:firstLineChars="200"/>
        <w:rPr>
          <w:rFonts w:asciiTheme="minorEastAsia" w:hAnsiTheme="minorEastAsia" w:eastAsiaTheme="minorEastAsia"/>
          <w:bCs/>
          <w:color w:val="auto"/>
          <w:sz w:val="24"/>
          <w:highlight w:val="none"/>
          <w:u w:val="none"/>
        </w:rPr>
      </w:pPr>
      <w:r>
        <w:rPr>
          <w:rFonts w:hint="eastAsia" w:asciiTheme="minorEastAsia" w:hAnsiTheme="minorEastAsia" w:eastAsiaTheme="minorEastAsia"/>
          <w:color w:val="auto"/>
          <w:sz w:val="24"/>
          <w:highlight w:val="none"/>
          <w:u w:val="none"/>
        </w:rPr>
        <w:t>时间：202</w:t>
      </w:r>
      <w:r>
        <w:rPr>
          <w:rFonts w:hint="eastAsia" w:asciiTheme="minorEastAsia" w:hAnsiTheme="minorEastAsia" w:eastAsiaTheme="minorEastAsia"/>
          <w:color w:val="auto"/>
          <w:sz w:val="24"/>
          <w:highlight w:val="none"/>
          <w:u w:val="none"/>
          <w:lang w:val="en-US" w:eastAsia="zh-CN"/>
        </w:rPr>
        <w:t>5</w:t>
      </w:r>
      <w:r>
        <w:rPr>
          <w:rFonts w:hint="eastAsia" w:asciiTheme="minorEastAsia" w:hAnsiTheme="minorEastAsia" w:eastAsiaTheme="minorEastAsia"/>
          <w:bCs/>
          <w:color w:val="auto"/>
          <w:sz w:val="24"/>
          <w:highlight w:val="none"/>
          <w:u w:val="none"/>
        </w:rPr>
        <w:t>年</w:t>
      </w:r>
      <w:r>
        <w:rPr>
          <w:rFonts w:hint="eastAsia" w:asciiTheme="minorEastAsia" w:hAnsiTheme="minorEastAsia" w:eastAsiaTheme="minorEastAsia"/>
          <w:bCs/>
          <w:color w:val="auto"/>
          <w:sz w:val="24"/>
          <w:highlight w:val="none"/>
          <w:u w:val="none"/>
          <w:lang w:val="en-US" w:eastAsia="zh-CN"/>
        </w:rPr>
        <w:t>8</w:t>
      </w:r>
      <w:r>
        <w:rPr>
          <w:rFonts w:hint="eastAsia" w:asciiTheme="minorEastAsia" w:hAnsiTheme="minorEastAsia" w:eastAsiaTheme="minorEastAsia"/>
          <w:bCs/>
          <w:color w:val="auto"/>
          <w:sz w:val="24"/>
          <w:highlight w:val="none"/>
          <w:u w:val="none"/>
        </w:rPr>
        <w:t>月</w:t>
      </w:r>
      <w:r>
        <w:rPr>
          <w:rFonts w:hint="eastAsia" w:asciiTheme="minorEastAsia" w:hAnsiTheme="minorEastAsia" w:eastAsiaTheme="minorEastAsia"/>
          <w:bCs/>
          <w:color w:val="auto"/>
          <w:sz w:val="24"/>
          <w:highlight w:val="none"/>
          <w:u w:val="none"/>
          <w:lang w:val="en-US" w:eastAsia="zh-CN"/>
        </w:rPr>
        <w:t>25</w:t>
      </w:r>
      <w:r>
        <w:rPr>
          <w:rFonts w:hint="eastAsia" w:asciiTheme="minorEastAsia" w:hAnsiTheme="minorEastAsia" w:eastAsiaTheme="minorEastAsia"/>
          <w:bCs/>
          <w:color w:val="auto"/>
          <w:sz w:val="24"/>
          <w:highlight w:val="none"/>
          <w:u w:val="none"/>
        </w:rPr>
        <w:t>日</w:t>
      </w:r>
      <w:r>
        <w:rPr>
          <w:rFonts w:hint="eastAsia" w:asciiTheme="minorEastAsia" w:hAnsiTheme="minorEastAsia" w:eastAsiaTheme="minorEastAsia"/>
          <w:bCs/>
          <w:color w:val="auto"/>
          <w:sz w:val="24"/>
          <w:highlight w:val="none"/>
          <w:u w:val="none"/>
          <w:lang w:val="en-US" w:eastAsia="zh-CN"/>
        </w:rPr>
        <w:t>9时00</w:t>
      </w:r>
      <w:r>
        <w:rPr>
          <w:rFonts w:hint="eastAsia" w:asciiTheme="minorEastAsia" w:hAnsiTheme="minorEastAsia" w:eastAsiaTheme="minorEastAsia"/>
          <w:bCs/>
          <w:color w:val="auto"/>
          <w:sz w:val="24"/>
          <w:highlight w:val="none"/>
          <w:u w:val="none"/>
        </w:rPr>
        <w:t>分（北京时间）</w:t>
      </w:r>
    </w:p>
    <w:p w14:paraId="39A61DE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u w:val="none"/>
        </w:rPr>
        <w:t>地点：</w:t>
      </w:r>
      <w:r>
        <w:rPr>
          <w:rFonts w:hint="eastAsia" w:ascii="宋体" w:hAnsi="宋体" w:cs="宋体"/>
          <w:color w:val="auto"/>
          <w:sz w:val="24"/>
          <w:highlight w:val="none"/>
          <w:u w:val="none"/>
        </w:rPr>
        <w:t>广西政府采购云平台（ht</w:t>
      </w:r>
      <w:r>
        <w:rPr>
          <w:rFonts w:hint="eastAsia" w:ascii="宋体" w:hAnsi="宋体" w:cs="宋体"/>
          <w:color w:val="auto"/>
          <w:sz w:val="24"/>
          <w:highlight w:val="none"/>
        </w:rPr>
        <w:t>tps://www.gcy.zfcg.gxzf.gov.cn/）</w:t>
      </w:r>
      <w:r>
        <w:rPr>
          <w:rFonts w:hint="eastAsia" w:cs="宋体" w:asciiTheme="minorEastAsia" w:hAnsiTheme="minorEastAsia" w:eastAsiaTheme="minorEastAsia"/>
          <w:color w:val="auto"/>
          <w:sz w:val="24"/>
          <w:highlight w:val="none"/>
        </w:rPr>
        <w:t>。</w:t>
      </w:r>
    </w:p>
    <w:p w14:paraId="6AE42991">
      <w:pPr>
        <w:pStyle w:val="631"/>
        <w:ind w:firstLine="0"/>
        <w:rPr>
          <w:b/>
          <w:color w:val="auto"/>
          <w:highlight w:val="none"/>
        </w:rPr>
      </w:pPr>
      <w:bookmarkStart w:id="31" w:name="_Toc35393803"/>
      <w:bookmarkStart w:id="32" w:name="_Toc28359017"/>
      <w:bookmarkStart w:id="33" w:name="_Toc35393634"/>
      <w:bookmarkStart w:id="34" w:name="_Toc28359094"/>
      <w:r>
        <w:rPr>
          <w:rFonts w:hint="eastAsia"/>
          <w:b/>
          <w:color w:val="auto"/>
          <w:highlight w:val="none"/>
        </w:rPr>
        <w:t>六、公告期限</w:t>
      </w:r>
      <w:bookmarkEnd w:id="31"/>
      <w:bookmarkEnd w:id="32"/>
      <w:bookmarkEnd w:id="33"/>
      <w:bookmarkEnd w:id="34"/>
    </w:p>
    <w:p w14:paraId="3E050587">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9F11DFB">
      <w:pPr>
        <w:pStyle w:val="631"/>
        <w:ind w:firstLine="0"/>
        <w:rPr>
          <w:b/>
          <w:color w:val="auto"/>
          <w:highlight w:val="none"/>
        </w:rPr>
      </w:pPr>
      <w:bookmarkStart w:id="35" w:name="_Toc35393635"/>
      <w:bookmarkStart w:id="36" w:name="_Toc35393804"/>
      <w:r>
        <w:rPr>
          <w:rFonts w:hint="eastAsia"/>
          <w:b/>
          <w:color w:val="auto"/>
          <w:highlight w:val="none"/>
        </w:rPr>
        <w:t>七、其他补充事宜</w:t>
      </w:r>
      <w:bookmarkEnd w:id="35"/>
      <w:bookmarkEnd w:id="36"/>
    </w:p>
    <w:p w14:paraId="1366EBC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1.磋商保证金：</w:t>
      </w:r>
      <w:r>
        <w:rPr>
          <w:rFonts w:hint="eastAsia" w:ascii="宋体" w:hAnsi="宋体" w:cs="宋体"/>
          <w:color w:val="auto"/>
          <w:sz w:val="24"/>
          <w:highlight w:val="none"/>
          <w:lang w:val="en-US" w:eastAsia="zh-CN"/>
        </w:rPr>
        <w:t>本项目不要求提交磋商保证金。</w:t>
      </w:r>
    </w:p>
    <w:p w14:paraId="0953C7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62DB0BB6">
      <w:pPr>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6595AB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4.网上公告媒体查询：中国政府采购网</w:t>
      </w:r>
      <w:r>
        <w:rPr>
          <w:rFonts w:hint="eastAsia" w:ascii="宋体" w:hAnsi="宋体" w:cs="宋体"/>
          <w:color w:val="auto"/>
          <w:sz w:val="24"/>
          <w:highlight w:val="none"/>
          <w:lang w:eastAsia="zh-CN"/>
        </w:rPr>
        <w:t>（http://www.ccgp.gov.cn/）</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广西政府采购网（http://www.ccgp-guangxi.gov.cn/）</w:t>
      </w:r>
      <w:r>
        <w:rPr>
          <w:rFonts w:hint="eastAsia" w:ascii="宋体" w:hAnsi="宋体" w:cs="宋体"/>
          <w:color w:val="auto"/>
          <w:sz w:val="24"/>
          <w:highlight w:val="none"/>
        </w:rPr>
        <w:t>、</w:t>
      </w:r>
      <w:r>
        <w:rPr>
          <w:rFonts w:hint="eastAsia" w:ascii="宋体" w:hAnsi="宋体" w:eastAsia="宋体" w:cs="宋体"/>
          <w:color w:val="auto"/>
          <w:sz w:val="21"/>
          <w:szCs w:val="21"/>
          <w:highlight w:val="none"/>
          <w:lang w:eastAsia="zh-CN"/>
        </w:rPr>
        <w:t>全国公共资源交易平台（广西.北海）</w:t>
      </w:r>
      <w:r>
        <w:rPr>
          <w:rFonts w:hint="eastAsia" w:ascii="宋体" w:hAnsi="宋体" w:cs="宋体"/>
          <w:color w:val="auto"/>
          <w:sz w:val="21"/>
          <w:szCs w:val="21"/>
          <w:highlight w:val="none"/>
          <w:lang w:eastAsia="zh-CN"/>
        </w:rPr>
        <w:t>（http://ggzy.jgswj.gxzf.gov.cn/bhggzy/）</w:t>
      </w:r>
      <w:r>
        <w:rPr>
          <w:rFonts w:hint="eastAsia" w:ascii="宋体" w:hAnsi="宋体" w:cs="宋体"/>
          <w:color w:val="auto"/>
          <w:sz w:val="24"/>
          <w:highlight w:val="none"/>
        </w:rPr>
        <w:t>。</w:t>
      </w:r>
    </w:p>
    <w:p w14:paraId="2DCFB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7CF9D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5FD6CE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7.本项目采用远程异地评标。</w:t>
      </w:r>
      <w:bookmarkStart w:id="37" w:name="_Toc28359095"/>
      <w:bookmarkStart w:id="38" w:name="_Toc35393636"/>
      <w:bookmarkStart w:id="39" w:name="_Toc28359018"/>
      <w:bookmarkStart w:id="40" w:name="_Toc35393805"/>
    </w:p>
    <w:p w14:paraId="2397C884">
      <w:pPr>
        <w:spacing w:line="360" w:lineRule="auto"/>
        <w:rPr>
          <w:b/>
          <w:color w:val="auto"/>
          <w:highlight w:val="none"/>
        </w:rPr>
      </w:pPr>
      <w:r>
        <w:rPr>
          <w:rFonts w:hint="eastAsia"/>
          <w:b/>
          <w:color w:val="auto"/>
          <w:highlight w:val="none"/>
        </w:rPr>
        <w:t>八、凡对本次采购提出询问、质疑、投诉，请按以下方式联系</w:t>
      </w:r>
      <w:bookmarkEnd w:id="37"/>
      <w:bookmarkEnd w:id="38"/>
      <w:bookmarkEnd w:id="39"/>
      <w:bookmarkEnd w:id="40"/>
    </w:p>
    <w:p w14:paraId="2733040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33A2E33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北海市涠洲实验学校</w:t>
      </w:r>
    </w:p>
    <w:p w14:paraId="5F2007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址：北海市涠洲岛旅游区涠洲镇</w:t>
      </w:r>
    </w:p>
    <w:p w14:paraId="0972D73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陈老师</w:t>
      </w:r>
    </w:p>
    <w:p w14:paraId="36DDAD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w:t>
      </w:r>
      <w:r>
        <w:rPr>
          <w:rFonts w:hint="eastAsia" w:ascii="宋体" w:hAnsi="宋体" w:cs="宋体"/>
          <w:color w:val="auto"/>
          <w:sz w:val="24"/>
          <w:highlight w:val="none"/>
          <w:lang w:val="en-US" w:eastAsia="zh-CN"/>
        </w:rPr>
        <w:t>0779-2686315</w:t>
      </w:r>
      <w:r>
        <w:rPr>
          <w:rFonts w:hint="eastAsia" w:ascii="宋体" w:hAnsi="宋体" w:cs="宋体"/>
          <w:color w:val="auto"/>
          <w:sz w:val="24"/>
          <w:highlight w:val="none"/>
        </w:rPr>
        <w:t xml:space="preserve"> </w:t>
      </w:r>
    </w:p>
    <w:p w14:paraId="27A1F3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D5A63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0F3A2F3">
      <w:pPr>
        <w:pStyle w:val="631"/>
        <w:rPr>
          <w:rFonts w:hint="eastAsia"/>
          <w:color w:val="auto"/>
          <w:highlight w:val="none"/>
        </w:rPr>
      </w:pPr>
      <w:r>
        <w:rPr>
          <w:rFonts w:hint="eastAsia"/>
          <w:color w:val="auto"/>
          <w:highlight w:val="none"/>
        </w:rPr>
        <w:t>名    称：</w:t>
      </w:r>
      <w:r>
        <w:rPr>
          <w:rFonts w:hint="eastAsia"/>
          <w:color w:val="auto"/>
          <w:highlight w:val="none"/>
          <w:lang w:val="en-US" w:eastAsia="zh-CN"/>
        </w:rPr>
        <w:t>广西北部湾宏亚建设管理有限公司</w:t>
      </w:r>
      <w:r>
        <w:rPr>
          <w:rFonts w:hint="eastAsia"/>
          <w:color w:val="auto"/>
          <w:highlight w:val="none"/>
        </w:rPr>
        <w:t xml:space="preserve">             </w:t>
      </w:r>
    </w:p>
    <w:p w14:paraId="4F53EBB5">
      <w:pPr>
        <w:pStyle w:val="631"/>
        <w:rPr>
          <w:rFonts w:hint="default"/>
          <w:color w:val="auto"/>
          <w:highlight w:val="none"/>
          <w:lang w:val="en-US" w:eastAsia="zh-CN"/>
        </w:rPr>
      </w:pPr>
      <w:r>
        <w:rPr>
          <w:rFonts w:hint="eastAsia"/>
          <w:color w:val="auto"/>
          <w:highlight w:val="none"/>
        </w:rPr>
        <w:t xml:space="preserve">地    址：广西北海市银海区四川南路353号嘉盛大厦裙楼一层西面 </w:t>
      </w:r>
    </w:p>
    <w:p w14:paraId="4E99B2BD">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叶工，陈工</w:t>
      </w:r>
    </w:p>
    <w:p w14:paraId="2FC5B2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w:t>
      </w:r>
      <w:r>
        <w:rPr>
          <w:rFonts w:hint="eastAsia" w:ascii="宋体" w:hAnsi="宋体" w:cs="宋体"/>
          <w:color w:val="auto"/>
          <w:sz w:val="24"/>
          <w:highlight w:val="none"/>
          <w:lang w:val="en-US" w:eastAsia="zh-CN"/>
        </w:rPr>
        <w:t>0779-3928925</w:t>
      </w:r>
    </w:p>
    <w:p w14:paraId="19486F5D">
      <w:pPr>
        <w:pStyle w:val="631"/>
        <w:rPr>
          <w:rFonts w:hint="eastAsia"/>
          <w:color w:val="auto"/>
          <w:highlight w:val="none"/>
        </w:rPr>
      </w:pPr>
    </w:p>
    <w:p w14:paraId="364841E7">
      <w:pPr>
        <w:pStyle w:val="631"/>
        <w:rPr>
          <w:color w:val="auto"/>
          <w:highlight w:val="none"/>
        </w:rPr>
      </w:pPr>
    </w:p>
    <w:p w14:paraId="25CF50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若对项目采购电子交易系统操作有疑问，可登录广西政府采购云平台（https://www.zcygov.cn/），点击右侧咨询小采，获取采小蜜智能服务管家帮助，或拨打广西政府采购云平台服务热线95763获取热线服务帮助。</w:t>
      </w:r>
    </w:p>
    <w:p w14:paraId="449048E0">
      <w:pPr>
        <w:spacing w:line="360" w:lineRule="auto"/>
        <w:rPr>
          <w:rFonts w:cs="仿宋_GB2312" w:asciiTheme="minorEastAsia" w:hAnsiTheme="minorEastAsia" w:eastAsiaTheme="minorEastAsia"/>
          <w:color w:val="auto"/>
          <w:sz w:val="24"/>
          <w:highlight w:val="none"/>
        </w:rPr>
      </w:pPr>
    </w:p>
    <w:p w14:paraId="5DA87336">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56449948">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06FC11F">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41" w:name="_Toc4467"/>
      <w:r>
        <w:rPr>
          <w:rFonts w:hint="eastAsia" w:cs="仿宋_GB2312" w:asciiTheme="minorEastAsia" w:hAnsiTheme="minorEastAsia" w:eastAsiaTheme="minorEastAsia"/>
          <w:b/>
          <w:color w:val="auto"/>
          <w:sz w:val="36"/>
          <w:szCs w:val="20"/>
          <w:highlight w:val="none"/>
        </w:rPr>
        <w:t>第二部分  竞争性磋商流程</w:t>
      </w:r>
      <w:bookmarkEnd w:id="41"/>
    </w:p>
    <w:p w14:paraId="372085C3">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7C5940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F3DD4A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b w:val="0"/>
          <w:bCs/>
          <w:color w:val="auto"/>
          <w:szCs w:val="24"/>
          <w:highlight w:val="none"/>
        </w:rPr>
        <w:t>采用公告方式邀请供应商的</w:t>
      </w:r>
      <w:r>
        <w:rPr>
          <w:rFonts w:hint="eastAsia" w:asciiTheme="minorEastAsia" w:hAnsiTheme="minorEastAsia" w:eastAsiaTheme="minorEastAsia"/>
          <w:b/>
          <w:color w:val="auto"/>
          <w:szCs w:val="24"/>
          <w:highlight w:val="none"/>
        </w:rPr>
        <w:t>，</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6C6CC1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9C8011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A752BA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5AA719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50F85035">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AD6B7C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188E2F7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DD9A8AA">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0C6827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A81979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0652447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060E24A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6711ADB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5D3282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315A50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1547A2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02075F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A4B010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FDE3DC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14F84C4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52CC76C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CD489B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F8A807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C3F63A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2CAA5534">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D8DF3E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53EBDC7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w:t>
      </w:r>
      <w:r>
        <w:rPr>
          <w:rFonts w:hint="eastAsia" w:asciiTheme="minorEastAsia" w:hAnsiTheme="minorEastAsia" w:eastAsiaTheme="minorEastAsia"/>
          <w:color w:val="auto"/>
          <w:szCs w:val="24"/>
          <w:highlight w:val="none"/>
          <w:lang w:val="en-US" w:eastAsia="zh-CN"/>
        </w:rPr>
        <w:t>采购公告发布的同一媒体网站上</w:t>
      </w:r>
      <w:r>
        <w:rPr>
          <w:rFonts w:hint="eastAsia" w:asciiTheme="minorEastAsia" w:hAnsiTheme="minorEastAsia" w:eastAsiaTheme="minorEastAsia"/>
          <w:color w:val="auto"/>
          <w:szCs w:val="24"/>
          <w:highlight w:val="none"/>
        </w:rPr>
        <w:t>公告成交结果，同时向成交供应商发出成交通知书，并将磋商文件随成交结果同时公告。</w:t>
      </w:r>
    </w:p>
    <w:p w14:paraId="6AADBD39">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3CCE9FD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F70AE26">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1B1DFAF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505A1F1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35FF9E8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F9DC18C">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80C3B88">
      <w:pPr>
        <w:pStyle w:val="392"/>
        <w:spacing w:before="0"/>
        <w:ind w:firstLine="0" w:firstLineChars="0"/>
        <w:rPr>
          <w:rFonts w:asciiTheme="minorEastAsia" w:hAnsiTheme="minorEastAsia" w:eastAsiaTheme="minorEastAsia"/>
          <w:b/>
          <w:color w:val="auto"/>
          <w:highlight w:val="none"/>
        </w:rPr>
      </w:pPr>
    </w:p>
    <w:p w14:paraId="652B1795">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527D909D">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CBB50">
                            <w:pPr>
                              <w:rPr>
                                <w:rFonts w:asciiTheme="minorEastAsia" w:hAnsiTheme="minorEastAsia" w:eastAsiaTheme="minorEastAsia"/>
                              </w:rPr>
                            </w:pPr>
                            <w:r>
                              <w:rPr>
                                <w:rFonts w:hint="eastAsia" w:asciiTheme="minorEastAsia" w:hAnsiTheme="minorEastAsia" w:eastAsiaTheme="minorEastAsia"/>
                              </w:rPr>
                              <w:t>验收</w:t>
                            </w:r>
                          </w:p>
                          <w:p w14:paraId="64CDFBD3">
                            <w:pPr>
                              <w:rPr>
                                <w:rFonts w:ascii="仿宋_GB2312" w:eastAsia="仿宋_GB2312"/>
                              </w:rPr>
                            </w:pPr>
                            <w:r>
                              <w:rPr>
                                <w:rFonts w:hint="eastAsia" w:ascii="仿宋_GB2312" w:eastAsia="仿宋_GB2312"/>
                              </w:rPr>
                              <w:t>立项</w:t>
                            </w:r>
                          </w:p>
                          <w:p w14:paraId="58FF4F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ACBB50">
                      <w:pPr>
                        <w:rPr>
                          <w:rFonts w:asciiTheme="minorEastAsia" w:hAnsiTheme="minorEastAsia" w:eastAsiaTheme="minorEastAsia"/>
                        </w:rPr>
                      </w:pPr>
                      <w:r>
                        <w:rPr>
                          <w:rFonts w:hint="eastAsia" w:asciiTheme="minorEastAsia" w:hAnsiTheme="minorEastAsia" w:eastAsiaTheme="minorEastAsia"/>
                        </w:rPr>
                        <w:t>验收</w:t>
                      </w:r>
                    </w:p>
                    <w:p w14:paraId="64CDFBD3">
                      <w:pPr>
                        <w:rPr>
                          <w:rFonts w:ascii="仿宋_GB2312" w:eastAsia="仿宋_GB2312"/>
                        </w:rPr>
                      </w:pPr>
                      <w:r>
                        <w:rPr>
                          <w:rFonts w:hint="eastAsia" w:ascii="仿宋_GB2312" w:eastAsia="仿宋_GB2312"/>
                        </w:rPr>
                        <w:t>立项</w:t>
                      </w:r>
                    </w:p>
                    <w:p w14:paraId="58FF4F6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A29FE">
                            <w:pPr>
                              <w:rPr>
                                <w:rFonts w:asciiTheme="minorEastAsia" w:hAnsiTheme="minorEastAsia" w:eastAsiaTheme="minorEastAsia"/>
                              </w:rPr>
                            </w:pPr>
                            <w:r>
                              <w:rPr>
                                <w:rFonts w:hint="eastAsia" w:asciiTheme="minorEastAsia" w:hAnsiTheme="minorEastAsia" w:eastAsiaTheme="minorEastAsia"/>
                              </w:rPr>
                              <w:t>履约</w:t>
                            </w:r>
                          </w:p>
                          <w:p w14:paraId="5DA699C2">
                            <w:pPr>
                              <w:rPr>
                                <w:rFonts w:ascii="仿宋_GB2312" w:eastAsia="仿宋_GB2312"/>
                              </w:rPr>
                            </w:pPr>
                            <w:r>
                              <w:rPr>
                                <w:rFonts w:hint="eastAsia" w:ascii="仿宋_GB2312" w:eastAsia="仿宋_GB2312"/>
                              </w:rPr>
                              <w:t>立项</w:t>
                            </w:r>
                          </w:p>
                          <w:p w14:paraId="481BD9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17A29FE">
                      <w:pPr>
                        <w:rPr>
                          <w:rFonts w:asciiTheme="minorEastAsia" w:hAnsiTheme="minorEastAsia" w:eastAsiaTheme="minorEastAsia"/>
                        </w:rPr>
                      </w:pPr>
                      <w:r>
                        <w:rPr>
                          <w:rFonts w:hint="eastAsia" w:asciiTheme="minorEastAsia" w:hAnsiTheme="minorEastAsia" w:eastAsiaTheme="minorEastAsia"/>
                        </w:rPr>
                        <w:t>履约</w:t>
                      </w:r>
                    </w:p>
                    <w:p w14:paraId="5DA699C2">
                      <w:pPr>
                        <w:rPr>
                          <w:rFonts w:ascii="仿宋_GB2312" w:eastAsia="仿宋_GB2312"/>
                        </w:rPr>
                      </w:pPr>
                      <w:r>
                        <w:rPr>
                          <w:rFonts w:hint="eastAsia" w:ascii="仿宋_GB2312" w:eastAsia="仿宋_GB2312"/>
                        </w:rPr>
                        <w:t>立项</w:t>
                      </w:r>
                    </w:p>
                    <w:p w14:paraId="481BD9D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1EF8EB">
                            <w:pPr>
                              <w:jc w:val="center"/>
                              <w:rPr>
                                <w:rFonts w:asciiTheme="minorEastAsia" w:hAnsiTheme="minorEastAsia" w:eastAsiaTheme="minorEastAsia"/>
                              </w:rPr>
                            </w:pPr>
                            <w:r>
                              <w:rPr>
                                <w:rFonts w:hint="eastAsia" w:asciiTheme="minorEastAsia" w:hAnsiTheme="minorEastAsia" w:eastAsiaTheme="minorEastAsia"/>
                              </w:rPr>
                              <w:t>签订合同</w:t>
                            </w:r>
                          </w:p>
                          <w:p w14:paraId="022EDDA4">
                            <w:pPr>
                              <w:rPr>
                                <w:rFonts w:ascii="仿宋_GB2312" w:eastAsia="仿宋_GB2312"/>
                              </w:rPr>
                            </w:pPr>
                            <w:r>
                              <w:rPr>
                                <w:rFonts w:hint="eastAsia" w:ascii="仿宋_GB2312" w:eastAsia="仿宋_GB2312"/>
                              </w:rPr>
                              <w:t>立项</w:t>
                            </w:r>
                          </w:p>
                          <w:p w14:paraId="0AC0838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61EF8EB">
                      <w:pPr>
                        <w:jc w:val="center"/>
                        <w:rPr>
                          <w:rFonts w:asciiTheme="minorEastAsia" w:hAnsiTheme="minorEastAsia" w:eastAsiaTheme="minorEastAsia"/>
                        </w:rPr>
                      </w:pPr>
                      <w:r>
                        <w:rPr>
                          <w:rFonts w:hint="eastAsia" w:asciiTheme="minorEastAsia" w:hAnsiTheme="minorEastAsia" w:eastAsiaTheme="minorEastAsia"/>
                        </w:rPr>
                        <w:t>签订合同</w:t>
                      </w:r>
                    </w:p>
                    <w:p w14:paraId="022EDDA4">
                      <w:pPr>
                        <w:rPr>
                          <w:rFonts w:ascii="仿宋_GB2312" w:eastAsia="仿宋_GB2312"/>
                        </w:rPr>
                      </w:pPr>
                      <w:r>
                        <w:rPr>
                          <w:rFonts w:hint="eastAsia" w:ascii="仿宋_GB2312" w:eastAsia="仿宋_GB2312"/>
                        </w:rPr>
                        <w:t>立项</w:t>
                      </w:r>
                    </w:p>
                    <w:p w14:paraId="0AC0838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65FDB">
                            <w:pPr>
                              <w:rPr>
                                <w:rFonts w:asciiTheme="minorEastAsia" w:hAnsiTheme="minorEastAsia" w:eastAsiaTheme="minorEastAsia"/>
                              </w:rPr>
                            </w:pPr>
                            <w:r>
                              <w:rPr>
                                <w:rFonts w:hint="eastAsia" w:asciiTheme="minorEastAsia" w:hAnsiTheme="minorEastAsia" w:eastAsiaTheme="minorEastAsia"/>
                              </w:rPr>
                              <w:t>成交公告；成交通知书</w:t>
                            </w:r>
                          </w:p>
                          <w:p w14:paraId="77257770">
                            <w:pPr>
                              <w:rPr>
                                <w:rFonts w:ascii="仿宋_GB2312" w:eastAsia="仿宋_GB2312"/>
                              </w:rPr>
                            </w:pPr>
                            <w:r>
                              <w:rPr>
                                <w:rFonts w:hint="eastAsia" w:ascii="仿宋_GB2312" w:eastAsia="仿宋_GB2312"/>
                              </w:rPr>
                              <w:t>立项</w:t>
                            </w:r>
                          </w:p>
                          <w:p w14:paraId="27DB23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F665FDB">
                      <w:pPr>
                        <w:rPr>
                          <w:rFonts w:asciiTheme="minorEastAsia" w:hAnsiTheme="minorEastAsia" w:eastAsiaTheme="minorEastAsia"/>
                        </w:rPr>
                      </w:pPr>
                      <w:r>
                        <w:rPr>
                          <w:rFonts w:hint="eastAsia" w:asciiTheme="minorEastAsia" w:hAnsiTheme="minorEastAsia" w:eastAsiaTheme="minorEastAsia"/>
                        </w:rPr>
                        <w:t>成交公告；成交通知书</w:t>
                      </w:r>
                    </w:p>
                    <w:p w14:paraId="77257770">
                      <w:pPr>
                        <w:rPr>
                          <w:rFonts w:ascii="仿宋_GB2312" w:eastAsia="仿宋_GB2312"/>
                        </w:rPr>
                      </w:pPr>
                      <w:r>
                        <w:rPr>
                          <w:rFonts w:hint="eastAsia" w:ascii="仿宋_GB2312" w:eastAsia="仿宋_GB2312"/>
                        </w:rPr>
                        <w:t>立项</w:t>
                      </w:r>
                    </w:p>
                    <w:p w14:paraId="27DB23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9133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2A280DE">
                            <w:pPr>
                              <w:rPr>
                                <w:rFonts w:ascii="仿宋_GB2312" w:eastAsia="仿宋_GB2312"/>
                              </w:rPr>
                            </w:pPr>
                            <w:r>
                              <w:rPr>
                                <w:rFonts w:hint="eastAsia" w:ascii="仿宋_GB2312" w:eastAsia="仿宋_GB2312"/>
                              </w:rPr>
                              <w:t>立项</w:t>
                            </w:r>
                          </w:p>
                          <w:p w14:paraId="61395A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C9133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2A280DE">
                      <w:pPr>
                        <w:rPr>
                          <w:rFonts w:ascii="仿宋_GB2312" w:eastAsia="仿宋_GB2312"/>
                        </w:rPr>
                      </w:pPr>
                      <w:r>
                        <w:rPr>
                          <w:rFonts w:hint="eastAsia" w:ascii="仿宋_GB2312" w:eastAsia="仿宋_GB2312"/>
                        </w:rPr>
                        <w:t>立项</w:t>
                      </w:r>
                    </w:p>
                    <w:p w14:paraId="61395A9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AEBF76">
                            <w:pPr>
                              <w:jc w:val="center"/>
                              <w:rPr>
                                <w:rFonts w:asciiTheme="minorEastAsia" w:hAnsiTheme="minorEastAsia" w:eastAsiaTheme="minorEastAsia"/>
                              </w:rPr>
                            </w:pPr>
                            <w:r>
                              <w:rPr>
                                <w:rFonts w:hint="eastAsia" w:asciiTheme="minorEastAsia" w:hAnsiTheme="minorEastAsia" w:eastAsiaTheme="minorEastAsia"/>
                              </w:rPr>
                              <w:t>评审打分</w:t>
                            </w:r>
                          </w:p>
                          <w:p w14:paraId="69BBABC1">
                            <w:pPr>
                              <w:rPr>
                                <w:rFonts w:ascii="仿宋_GB2312" w:eastAsia="仿宋_GB2312"/>
                              </w:rPr>
                            </w:pPr>
                            <w:r>
                              <w:rPr>
                                <w:rFonts w:hint="eastAsia" w:ascii="仿宋_GB2312" w:eastAsia="仿宋_GB2312"/>
                              </w:rPr>
                              <w:t>立项</w:t>
                            </w:r>
                          </w:p>
                          <w:p w14:paraId="0712A0C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DAEBF76">
                      <w:pPr>
                        <w:jc w:val="center"/>
                        <w:rPr>
                          <w:rFonts w:asciiTheme="minorEastAsia" w:hAnsiTheme="minorEastAsia" w:eastAsiaTheme="minorEastAsia"/>
                        </w:rPr>
                      </w:pPr>
                      <w:r>
                        <w:rPr>
                          <w:rFonts w:hint="eastAsia" w:asciiTheme="minorEastAsia" w:hAnsiTheme="minorEastAsia" w:eastAsiaTheme="minorEastAsia"/>
                        </w:rPr>
                        <w:t>评审打分</w:t>
                      </w:r>
                    </w:p>
                    <w:p w14:paraId="69BBABC1">
                      <w:pPr>
                        <w:rPr>
                          <w:rFonts w:ascii="仿宋_GB2312" w:eastAsia="仿宋_GB2312"/>
                        </w:rPr>
                      </w:pPr>
                      <w:r>
                        <w:rPr>
                          <w:rFonts w:hint="eastAsia" w:ascii="仿宋_GB2312" w:eastAsia="仿宋_GB2312"/>
                        </w:rPr>
                        <w:t>立项</w:t>
                      </w:r>
                    </w:p>
                    <w:p w14:paraId="0712A0C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F8D8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2AF4BB0">
                            <w:pPr>
                              <w:rPr>
                                <w:rFonts w:ascii="仿宋_GB2312" w:eastAsia="仿宋_GB2312"/>
                              </w:rPr>
                            </w:pPr>
                            <w:r>
                              <w:rPr>
                                <w:rFonts w:hint="eastAsia" w:ascii="仿宋_GB2312" w:eastAsia="仿宋_GB2312"/>
                              </w:rPr>
                              <w:t>立项</w:t>
                            </w:r>
                          </w:p>
                          <w:p w14:paraId="5D840F0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D6F8D8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2AF4BB0">
                      <w:pPr>
                        <w:rPr>
                          <w:rFonts w:ascii="仿宋_GB2312" w:eastAsia="仿宋_GB2312"/>
                        </w:rPr>
                      </w:pPr>
                      <w:r>
                        <w:rPr>
                          <w:rFonts w:hint="eastAsia" w:ascii="仿宋_GB2312" w:eastAsia="仿宋_GB2312"/>
                        </w:rPr>
                        <w:t>立项</w:t>
                      </w:r>
                    </w:p>
                    <w:p w14:paraId="5D840F0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DBF7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24DBF7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237FB">
                            <w:pPr>
                              <w:jc w:val="center"/>
                              <w:rPr>
                                <w:rFonts w:asciiTheme="minorEastAsia" w:hAnsiTheme="minorEastAsia" w:eastAsiaTheme="minorEastAsia"/>
                              </w:rPr>
                            </w:pPr>
                            <w:r>
                              <w:rPr>
                                <w:rFonts w:hint="eastAsia" w:asciiTheme="minorEastAsia" w:hAnsiTheme="minorEastAsia" w:eastAsiaTheme="minorEastAsia"/>
                              </w:rPr>
                              <w:t>资格审查</w:t>
                            </w:r>
                          </w:p>
                          <w:p w14:paraId="5AA4180D">
                            <w:pPr>
                              <w:jc w:val="center"/>
                              <w:rPr>
                                <w:rFonts w:ascii="仿宋_GB2312" w:eastAsia="仿宋_GB2312"/>
                              </w:rPr>
                            </w:pPr>
                          </w:p>
                          <w:p w14:paraId="1F7E108C">
                            <w:pPr>
                              <w:rPr>
                                <w:rFonts w:ascii="仿宋_GB2312" w:eastAsia="仿宋_GB2312"/>
                              </w:rPr>
                            </w:pPr>
                            <w:r>
                              <w:rPr>
                                <w:rFonts w:hint="eastAsia" w:ascii="仿宋_GB2312" w:eastAsia="仿宋_GB2312"/>
                              </w:rPr>
                              <w:t>立项</w:t>
                            </w:r>
                          </w:p>
                          <w:p w14:paraId="158319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C6237FB">
                      <w:pPr>
                        <w:jc w:val="center"/>
                        <w:rPr>
                          <w:rFonts w:asciiTheme="minorEastAsia" w:hAnsiTheme="minorEastAsia" w:eastAsiaTheme="minorEastAsia"/>
                        </w:rPr>
                      </w:pPr>
                      <w:r>
                        <w:rPr>
                          <w:rFonts w:hint="eastAsia" w:asciiTheme="minorEastAsia" w:hAnsiTheme="minorEastAsia" w:eastAsiaTheme="minorEastAsia"/>
                        </w:rPr>
                        <w:t>资格审查</w:t>
                      </w:r>
                    </w:p>
                    <w:p w14:paraId="5AA4180D">
                      <w:pPr>
                        <w:jc w:val="center"/>
                        <w:rPr>
                          <w:rFonts w:ascii="仿宋_GB2312" w:eastAsia="仿宋_GB2312"/>
                        </w:rPr>
                      </w:pPr>
                    </w:p>
                    <w:p w14:paraId="1F7E108C">
                      <w:pPr>
                        <w:rPr>
                          <w:rFonts w:ascii="仿宋_GB2312" w:eastAsia="仿宋_GB2312"/>
                        </w:rPr>
                      </w:pPr>
                      <w:r>
                        <w:rPr>
                          <w:rFonts w:hint="eastAsia" w:ascii="仿宋_GB2312" w:eastAsia="仿宋_GB2312"/>
                        </w:rPr>
                        <w:t>立项</w:t>
                      </w:r>
                    </w:p>
                    <w:p w14:paraId="158319B0">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BEAD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EBEAD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39A79">
                            <w:pPr>
                              <w:jc w:val="center"/>
                              <w:rPr>
                                <w:rFonts w:asciiTheme="minorEastAsia" w:hAnsiTheme="minorEastAsia" w:eastAsiaTheme="minorEastAsia"/>
                              </w:rPr>
                            </w:pPr>
                            <w:r>
                              <w:rPr>
                                <w:rFonts w:hint="eastAsia" w:asciiTheme="minorEastAsia" w:hAnsiTheme="minorEastAsia" w:eastAsiaTheme="minorEastAsia"/>
                              </w:rPr>
                              <w:t>开启响应文件</w:t>
                            </w:r>
                          </w:p>
                          <w:p w14:paraId="53316592">
                            <w:pPr>
                              <w:rPr>
                                <w:rFonts w:ascii="仿宋_GB2312" w:eastAsia="仿宋_GB2312"/>
                              </w:rPr>
                            </w:pPr>
                            <w:r>
                              <w:rPr>
                                <w:rFonts w:hint="eastAsia" w:ascii="仿宋_GB2312" w:eastAsia="仿宋_GB2312"/>
                              </w:rPr>
                              <w:t>立项</w:t>
                            </w:r>
                          </w:p>
                          <w:p w14:paraId="257AC2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2539A79">
                      <w:pPr>
                        <w:jc w:val="center"/>
                        <w:rPr>
                          <w:rFonts w:asciiTheme="minorEastAsia" w:hAnsiTheme="minorEastAsia" w:eastAsiaTheme="minorEastAsia"/>
                        </w:rPr>
                      </w:pPr>
                      <w:r>
                        <w:rPr>
                          <w:rFonts w:hint="eastAsia" w:asciiTheme="minorEastAsia" w:hAnsiTheme="minorEastAsia" w:eastAsiaTheme="minorEastAsia"/>
                        </w:rPr>
                        <w:t>开启响应文件</w:t>
                      </w:r>
                    </w:p>
                    <w:p w14:paraId="53316592">
                      <w:pPr>
                        <w:rPr>
                          <w:rFonts w:ascii="仿宋_GB2312" w:eastAsia="仿宋_GB2312"/>
                        </w:rPr>
                      </w:pPr>
                      <w:r>
                        <w:rPr>
                          <w:rFonts w:hint="eastAsia" w:ascii="仿宋_GB2312" w:eastAsia="仿宋_GB2312"/>
                        </w:rPr>
                        <w:t>立项</w:t>
                      </w:r>
                    </w:p>
                    <w:p w14:paraId="257AC27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4C7E4">
                            <w:pPr>
                              <w:jc w:val="center"/>
                              <w:rPr>
                                <w:rFonts w:asciiTheme="minorEastAsia" w:hAnsiTheme="minorEastAsia" w:eastAsiaTheme="minorEastAsia"/>
                              </w:rPr>
                            </w:pPr>
                            <w:r>
                              <w:rPr>
                                <w:rFonts w:hint="eastAsia" w:asciiTheme="minorEastAsia" w:hAnsiTheme="minorEastAsia" w:eastAsiaTheme="minorEastAsia"/>
                              </w:rPr>
                              <w:t>邀请供应商</w:t>
                            </w:r>
                          </w:p>
                          <w:p w14:paraId="421CC013">
                            <w:pPr>
                              <w:rPr>
                                <w:rFonts w:ascii="仿宋_GB2312" w:eastAsia="仿宋_GB2312"/>
                              </w:rPr>
                            </w:pPr>
                            <w:r>
                              <w:rPr>
                                <w:rFonts w:hint="eastAsia" w:ascii="仿宋_GB2312" w:eastAsia="仿宋_GB2312"/>
                              </w:rPr>
                              <w:t>立项</w:t>
                            </w:r>
                          </w:p>
                          <w:p w14:paraId="38CACF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5C4C7E4">
                      <w:pPr>
                        <w:jc w:val="center"/>
                        <w:rPr>
                          <w:rFonts w:asciiTheme="minorEastAsia" w:hAnsiTheme="minorEastAsia" w:eastAsiaTheme="minorEastAsia"/>
                        </w:rPr>
                      </w:pPr>
                      <w:r>
                        <w:rPr>
                          <w:rFonts w:hint="eastAsia" w:asciiTheme="minorEastAsia" w:hAnsiTheme="minorEastAsia" w:eastAsiaTheme="minorEastAsia"/>
                        </w:rPr>
                        <w:t>邀请供应商</w:t>
                      </w:r>
                    </w:p>
                    <w:p w14:paraId="421CC013">
                      <w:pPr>
                        <w:rPr>
                          <w:rFonts w:ascii="仿宋_GB2312" w:eastAsia="仿宋_GB2312"/>
                        </w:rPr>
                      </w:pPr>
                      <w:r>
                        <w:rPr>
                          <w:rFonts w:hint="eastAsia" w:ascii="仿宋_GB2312" w:eastAsia="仿宋_GB2312"/>
                        </w:rPr>
                        <w:t>立项</w:t>
                      </w:r>
                    </w:p>
                    <w:p w14:paraId="38CACFB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02521C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2" w:name="_Toc13519"/>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bookmarkEnd w:id="42"/>
    </w:p>
    <w:p w14:paraId="03FC9D55">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95"/>
        <w:gridCol w:w="5743"/>
      </w:tblGrid>
      <w:tr w14:paraId="2648E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97B314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195" w:type="dxa"/>
            <w:tcBorders>
              <w:top w:val="single" w:color="000000" w:sz="8" w:space="0"/>
              <w:left w:val="single" w:color="auto" w:sz="4" w:space="0"/>
              <w:bottom w:val="single" w:color="000000" w:sz="8" w:space="0"/>
              <w:right w:val="single" w:color="000000" w:sz="8" w:space="0"/>
            </w:tcBorders>
            <w:vAlign w:val="center"/>
          </w:tcPr>
          <w:p w14:paraId="7A1DE00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5743" w:type="dxa"/>
            <w:tcBorders>
              <w:top w:val="single" w:color="000000" w:sz="8" w:space="0"/>
              <w:left w:val="single" w:color="000000" w:sz="2" w:space="0"/>
              <w:bottom w:val="single" w:color="000000" w:sz="8" w:space="0"/>
              <w:right w:val="single" w:color="000000" w:sz="8" w:space="0"/>
            </w:tcBorders>
            <w:vAlign w:val="center"/>
          </w:tcPr>
          <w:p w14:paraId="55C959A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22D4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rPr>
        <w:tc>
          <w:tcPr>
            <w:tcW w:w="629" w:type="dxa"/>
            <w:tcBorders>
              <w:top w:val="single" w:color="auto" w:sz="4" w:space="0"/>
              <w:left w:val="single" w:color="auto" w:sz="4" w:space="0"/>
              <w:bottom w:val="single" w:color="auto" w:sz="4" w:space="0"/>
              <w:right w:val="single" w:color="auto" w:sz="4" w:space="0"/>
            </w:tcBorders>
            <w:vAlign w:val="center"/>
          </w:tcPr>
          <w:p w14:paraId="139FCC5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195" w:type="dxa"/>
            <w:tcBorders>
              <w:top w:val="single" w:color="000000" w:sz="8" w:space="0"/>
              <w:left w:val="single" w:color="auto" w:sz="4" w:space="0"/>
              <w:bottom w:val="single" w:color="000000" w:sz="8" w:space="0"/>
              <w:right w:val="single" w:color="000000" w:sz="8" w:space="0"/>
            </w:tcBorders>
            <w:vAlign w:val="center"/>
          </w:tcPr>
          <w:p w14:paraId="5FF23D1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5743" w:type="dxa"/>
            <w:tcBorders>
              <w:top w:val="single" w:color="000000" w:sz="8" w:space="0"/>
              <w:left w:val="single" w:color="000000" w:sz="2" w:space="0"/>
              <w:bottom w:val="single" w:color="000000" w:sz="8" w:space="0"/>
              <w:right w:val="single" w:color="000000" w:sz="8" w:space="0"/>
            </w:tcBorders>
            <w:vAlign w:val="center"/>
          </w:tcPr>
          <w:p w14:paraId="4555440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E404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629" w:type="dxa"/>
            <w:tcBorders>
              <w:top w:val="single" w:color="auto" w:sz="4" w:space="0"/>
              <w:left w:val="single" w:color="auto" w:sz="4" w:space="0"/>
              <w:bottom w:val="single" w:color="auto" w:sz="4" w:space="0"/>
              <w:right w:val="single" w:color="auto" w:sz="4" w:space="0"/>
            </w:tcBorders>
            <w:vAlign w:val="center"/>
          </w:tcPr>
          <w:p w14:paraId="6D68814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195" w:type="dxa"/>
            <w:tcBorders>
              <w:top w:val="single" w:color="000000" w:sz="8" w:space="0"/>
              <w:left w:val="single" w:color="auto" w:sz="4" w:space="0"/>
              <w:bottom w:val="single" w:color="000000" w:sz="8" w:space="0"/>
              <w:right w:val="single" w:color="000000" w:sz="8" w:space="0"/>
            </w:tcBorders>
            <w:vAlign w:val="center"/>
          </w:tcPr>
          <w:p w14:paraId="181CCA4F">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5743" w:type="dxa"/>
            <w:tcBorders>
              <w:top w:val="single" w:color="000000" w:sz="8" w:space="0"/>
              <w:left w:val="single" w:color="000000" w:sz="2" w:space="0"/>
              <w:bottom w:val="single" w:color="000000" w:sz="8" w:space="0"/>
              <w:right w:val="single" w:color="000000" w:sz="8" w:space="0"/>
            </w:tcBorders>
            <w:vAlign w:val="center"/>
          </w:tcPr>
          <w:p w14:paraId="2A6EB076">
            <w:pPr>
              <w:snapToGrid w:val="0"/>
              <w:spacing w:line="360" w:lineRule="auto"/>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val="en-US" w:eastAsia="zh-CN"/>
              </w:rPr>
              <w:t>北海市涠洲实验学校2025-2026学年度营养餐配送服务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tc>
      </w:tr>
      <w:tr w14:paraId="1BA9F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3" w:hRule="atLeast"/>
        </w:trPr>
        <w:tc>
          <w:tcPr>
            <w:tcW w:w="629" w:type="dxa"/>
            <w:tcBorders>
              <w:top w:val="single" w:color="auto" w:sz="4" w:space="0"/>
              <w:left w:val="single" w:color="auto" w:sz="4" w:space="0"/>
              <w:bottom w:val="single" w:color="auto" w:sz="4" w:space="0"/>
              <w:right w:val="single" w:color="auto" w:sz="4" w:space="0"/>
            </w:tcBorders>
            <w:vAlign w:val="center"/>
          </w:tcPr>
          <w:p w14:paraId="31DA882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195" w:type="dxa"/>
            <w:tcBorders>
              <w:top w:val="single" w:color="000000" w:sz="8" w:space="0"/>
              <w:left w:val="single" w:color="auto" w:sz="4" w:space="0"/>
              <w:bottom w:val="single" w:color="000000" w:sz="8" w:space="0"/>
              <w:right w:val="single" w:color="000000" w:sz="8" w:space="0"/>
            </w:tcBorders>
            <w:vAlign w:val="center"/>
          </w:tcPr>
          <w:p w14:paraId="0EEDEC4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5743" w:type="dxa"/>
            <w:tcBorders>
              <w:top w:val="single" w:color="000000" w:sz="8" w:space="0"/>
              <w:left w:val="single" w:color="000000" w:sz="2" w:space="0"/>
              <w:bottom w:val="single" w:color="000000" w:sz="8" w:space="0"/>
              <w:right w:val="single" w:color="000000" w:sz="8" w:space="0"/>
            </w:tcBorders>
            <w:vAlign w:val="center"/>
          </w:tcPr>
          <w:p w14:paraId="0BFE1427">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bookmarkStart w:id="158" w:name="_GoBack"/>
                <w:r>
                  <w:rPr>
                    <w:rFonts w:hint="eastAsia" w:cs="宋体" w:asciiTheme="minorEastAsia" w:hAnsiTheme="minorEastAsia" w:eastAsiaTheme="minorEastAsia"/>
                    <w:color w:val="auto"/>
                    <w:kern w:val="0"/>
                    <w:sz w:val="24"/>
                    <w:highlight w:val="none"/>
                  </w:rPr>
                  <w:sym w:font="Wingdings" w:char="F0FE"/>
                </w:r>
              </w:sdtContent>
            </w:sdt>
            <w:bookmarkEnd w:id="158"/>
            <w:r>
              <w:rPr>
                <w:rFonts w:hint="eastAsia" w:cs="宋体" w:asciiTheme="minorEastAsia" w:hAnsiTheme="minorEastAsia" w:eastAsiaTheme="minorEastAsia"/>
                <w:color w:val="auto"/>
                <w:kern w:val="0"/>
                <w:sz w:val="24"/>
                <w:highlight w:val="none"/>
              </w:rPr>
              <w:t>本项目不允许采购进口产品。</w:t>
            </w:r>
          </w:p>
        </w:tc>
      </w:tr>
      <w:tr w14:paraId="5F5E2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9" w:hRule="atLeast"/>
        </w:trPr>
        <w:tc>
          <w:tcPr>
            <w:tcW w:w="629" w:type="dxa"/>
            <w:tcBorders>
              <w:top w:val="single" w:color="auto" w:sz="4" w:space="0"/>
              <w:left w:val="single" w:color="auto" w:sz="4" w:space="0"/>
              <w:bottom w:val="single" w:color="auto" w:sz="4" w:space="0"/>
              <w:right w:val="single" w:color="auto" w:sz="4" w:space="0"/>
            </w:tcBorders>
            <w:vAlign w:val="center"/>
          </w:tcPr>
          <w:p w14:paraId="07DCFE7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195" w:type="dxa"/>
            <w:tcBorders>
              <w:top w:val="single" w:color="000000" w:sz="8" w:space="0"/>
              <w:left w:val="single" w:color="auto" w:sz="4" w:space="0"/>
              <w:bottom w:val="single" w:color="000000" w:sz="8" w:space="0"/>
              <w:right w:val="single" w:color="000000" w:sz="8" w:space="0"/>
            </w:tcBorders>
            <w:vAlign w:val="center"/>
          </w:tcPr>
          <w:p w14:paraId="2B3741EA">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5743" w:type="dxa"/>
            <w:tcBorders>
              <w:top w:val="single" w:color="000000" w:sz="8" w:space="0"/>
              <w:left w:val="single" w:color="000000" w:sz="2" w:space="0"/>
              <w:bottom w:val="single" w:color="000000" w:sz="8" w:space="0"/>
              <w:right w:val="single" w:color="000000" w:sz="8" w:space="0"/>
            </w:tcBorders>
            <w:vAlign w:val="center"/>
          </w:tcPr>
          <w:p w14:paraId="7D5F72EB">
            <w:pPr>
              <w:spacing w:line="360" w:lineRule="auto"/>
              <w:rPr>
                <w:rFonts w:hint="default" w:cs="宋体" w:asciiTheme="minorEastAsia" w:hAnsiTheme="minorEastAsia" w:eastAsiaTheme="minorEastAsia"/>
                <w:color w:val="auto"/>
                <w:sz w:val="24"/>
                <w:highlight w:val="none"/>
                <w:lang w:val="en-US" w:eastAsia="zh-CN"/>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lang w:val="en-US" w:eastAsia="zh-CN"/>
              </w:rPr>
              <w:t>不同意分包。</w:t>
            </w:r>
          </w:p>
        </w:tc>
      </w:tr>
      <w:tr w14:paraId="2A676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rPr>
        <w:tc>
          <w:tcPr>
            <w:tcW w:w="629" w:type="dxa"/>
            <w:tcBorders>
              <w:top w:val="single" w:color="auto" w:sz="4" w:space="0"/>
              <w:left w:val="single" w:color="auto" w:sz="4" w:space="0"/>
              <w:bottom w:val="single" w:color="auto" w:sz="4" w:space="0"/>
              <w:right w:val="single" w:color="auto" w:sz="4" w:space="0"/>
            </w:tcBorders>
            <w:vAlign w:val="center"/>
          </w:tcPr>
          <w:p w14:paraId="3E5CEDF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195" w:type="dxa"/>
            <w:tcBorders>
              <w:top w:val="single" w:color="000000" w:sz="8" w:space="0"/>
              <w:left w:val="single" w:color="auto" w:sz="4" w:space="0"/>
              <w:bottom w:val="single" w:color="000000" w:sz="8" w:space="0"/>
              <w:right w:val="single" w:color="000000" w:sz="8" w:space="0"/>
            </w:tcBorders>
            <w:vAlign w:val="center"/>
          </w:tcPr>
          <w:p w14:paraId="09C772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5743" w:type="dxa"/>
            <w:tcBorders>
              <w:top w:val="single" w:color="000000" w:sz="8" w:space="0"/>
              <w:left w:val="single" w:color="000000" w:sz="2" w:space="0"/>
              <w:bottom w:val="single" w:color="000000" w:sz="8" w:space="0"/>
              <w:right w:val="single" w:color="000000" w:sz="8" w:space="0"/>
            </w:tcBorders>
            <w:vAlign w:val="center"/>
          </w:tcPr>
          <w:p w14:paraId="7B4ED717">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不组织。</w:t>
            </w:r>
          </w:p>
        </w:tc>
      </w:tr>
      <w:tr w14:paraId="4CE5C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rPr>
        <w:tc>
          <w:tcPr>
            <w:tcW w:w="629" w:type="dxa"/>
            <w:tcBorders>
              <w:top w:val="single" w:color="auto" w:sz="4" w:space="0"/>
              <w:left w:val="single" w:color="auto" w:sz="4" w:space="0"/>
              <w:bottom w:val="single" w:color="auto" w:sz="4" w:space="0"/>
              <w:right w:val="single" w:color="auto" w:sz="4" w:space="0"/>
            </w:tcBorders>
            <w:vAlign w:val="center"/>
          </w:tcPr>
          <w:p w14:paraId="253836F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195" w:type="dxa"/>
            <w:tcBorders>
              <w:top w:val="single" w:color="000000" w:sz="8" w:space="0"/>
              <w:left w:val="single" w:color="auto" w:sz="4" w:space="0"/>
              <w:bottom w:val="single" w:color="000000" w:sz="8" w:space="0"/>
              <w:right w:val="single" w:color="000000" w:sz="8" w:space="0"/>
            </w:tcBorders>
            <w:vAlign w:val="center"/>
          </w:tcPr>
          <w:p w14:paraId="14078D8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5743" w:type="dxa"/>
            <w:tcBorders>
              <w:top w:val="single" w:color="000000" w:sz="8" w:space="0"/>
              <w:left w:val="single" w:color="000000" w:sz="2" w:space="0"/>
              <w:bottom w:val="single" w:color="000000" w:sz="8" w:space="0"/>
              <w:right w:val="single" w:color="000000" w:sz="8" w:space="0"/>
            </w:tcBorders>
            <w:vAlign w:val="center"/>
          </w:tcPr>
          <w:p w14:paraId="0BD4154E">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不要求提供。</w:t>
            </w:r>
          </w:p>
        </w:tc>
      </w:tr>
      <w:tr w14:paraId="37207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rPr>
        <w:tc>
          <w:tcPr>
            <w:tcW w:w="629" w:type="dxa"/>
            <w:tcBorders>
              <w:top w:val="single" w:color="auto" w:sz="4" w:space="0"/>
              <w:left w:val="single" w:color="auto" w:sz="4" w:space="0"/>
              <w:bottom w:val="single" w:color="auto" w:sz="4" w:space="0"/>
              <w:right w:val="single" w:color="auto" w:sz="4" w:space="0"/>
            </w:tcBorders>
            <w:vAlign w:val="center"/>
          </w:tcPr>
          <w:p w14:paraId="0C44F1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195" w:type="dxa"/>
            <w:tcBorders>
              <w:top w:val="single" w:color="000000" w:sz="8" w:space="0"/>
              <w:left w:val="single" w:color="auto" w:sz="4" w:space="0"/>
              <w:bottom w:val="single" w:color="000000" w:sz="8" w:space="0"/>
              <w:right w:val="single" w:color="000000" w:sz="8" w:space="0"/>
            </w:tcBorders>
            <w:vAlign w:val="center"/>
          </w:tcPr>
          <w:p w14:paraId="62F295B1">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5743" w:type="dxa"/>
            <w:tcBorders>
              <w:top w:val="single" w:color="000000" w:sz="8" w:space="0"/>
              <w:left w:val="single" w:color="000000" w:sz="2" w:space="0"/>
              <w:bottom w:val="single" w:color="000000" w:sz="8" w:space="0"/>
              <w:right w:val="single" w:color="000000" w:sz="8" w:space="0"/>
            </w:tcBorders>
            <w:vAlign w:val="center"/>
          </w:tcPr>
          <w:p w14:paraId="39CE5A89">
            <w:pPr>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不组织。</w:t>
            </w:r>
          </w:p>
        </w:tc>
      </w:tr>
      <w:tr w14:paraId="5F236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97DD6E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195" w:type="dxa"/>
            <w:vMerge w:val="restart"/>
            <w:tcBorders>
              <w:top w:val="single" w:color="000000" w:sz="8" w:space="0"/>
              <w:left w:val="single" w:color="auto" w:sz="4" w:space="0"/>
              <w:right w:val="single" w:color="000000" w:sz="8" w:space="0"/>
            </w:tcBorders>
            <w:vAlign w:val="center"/>
          </w:tcPr>
          <w:p w14:paraId="2610F00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5743" w:type="dxa"/>
            <w:tcBorders>
              <w:top w:val="single" w:color="000000" w:sz="8" w:space="0"/>
              <w:left w:val="single" w:color="000000" w:sz="2" w:space="0"/>
              <w:bottom w:val="single" w:color="auto" w:sz="4" w:space="0"/>
              <w:right w:val="single" w:color="000000" w:sz="8" w:space="0"/>
            </w:tcBorders>
            <w:vAlign w:val="center"/>
          </w:tcPr>
          <w:p w14:paraId="74DFD22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 xml:space="preserve"> 供应商须知</w:t>
            </w:r>
            <w:r>
              <w:rPr>
                <w:rFonts w:hint="eastAsia" w:cs="宋体" w:asciiTheme="minorEastAsia" w:hAnsiTheme="minorEastAsia" w:eastAsiaTheme="minorEastAsia"/>
                <w:color w:val="auto"/>
                <w:sz w:val="24"/>
                <w:highlight w:val="none"/>
              </w:rPr>
              <w:t>。</w:t>
            </w:r>
          </w:p>
          <w:p w14:paraId="7EE87800">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4955B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rPr>
        <w:tc>
          <w:tcPr>
            <w:tcW w:w="629" w:type="dxa"/>
            <w:vMerge w:val="continue"/>
            <w:tcBorders>
              <w:left w:val="single" w:color="auto" w:sz="4" w:space="0"/>
              <w:bottom w:val="single" w:color="auto" w:sz="4" w:space="0"/>
              <w:right w:val="single" w:color="auto" w:sz="4" w:space="0"/>
            </w:tcBorders>
            <w:vAlign w:val="center"/>
          </w:tcPr>
          <w:p w14:paraId="3790BEDA">
            <w:pPr>
              <w:snapToGrid w:val="0"/>
              <w:spacing w:line="360" w:lineRule="auto"/>
              <w:jc w:val="center"/>
              <w:rPr>
                <w:rFonts w:cs="宋体" w:asciiTheme="minorEastAsia" w:hAnsiTheme="minorEastAsia" w:eastAsiaTheme="minorEastAsia"/>
                <w:color w:val="auto"/>
                <w:sz w:val="24"/>
                <w:highlight w:val="none"/>
              </w:rPr>
            </w:pPr>
          </w:p>
        </w:tc>
        <w:tc>
          <w:tcPr>
            <w:tcW w:w="2195" w:type="dxa"/>
            <w:vMerge w:val="continue"/>
            <w:tcBorders>
              <w:left w:val="single" w:color="auto" w:sz="4" w:space="0"/>
              <w:bottom w:val="single" w:color="000000" w:sz="8" w:space="0"/>
              <w:right w:val="single" w:color="000000" w:sz="8" w:space="0"/>
            </w:tcBorders>
            <w:vAlign w:val="center"/>
          </w:tcPr>
          <w:p w14:paraId="4964FA96">
            <w:pPr>
              <w:snapToGrid w:val="0"/>
              <w:spacing w:line="360" w:lineRule="auto"/>
              <w:jc w:val="center"/>
              <w:rPr>
                <w:rFonts w:cs="宋体" w:asciiTheme="minorEastAsia" w:hAnsiTheme="minorEastAsia" w:eastAsiaTheme="minorEastAsia"/>
                <w:b/>
                <w:color w:val="auto"/>
                <w:sz w:val="24"/>
                <w:highlight w:val="none"/>
              </w:rPr>
            </w:pPr>
          </w:p>
        </w:tc>
        <w:tc>
          <w:tcPr>
            <w:tcW w:w="5743" w:type="dxa"/>
            <w:tcBorders>
              <w:top w:val="single" w:color="auto" w:sz="4" w:space="0"/>
              <w:left w:val="single" w:color="000000" w:sz="2" w:space="0"/>
              <w:bottom w:val="single" w:color="000000" w:sz="8" w:space="0"/>
              <w:right w:val="single" w:color="000000" w:sz="8" w:space="0"/>
            </w:tcBorders>
            <w:vAlign w:val="center"/>
          </w:tcPr>
          <w:p w14:paraId="10B26FA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（2）资信证明文件：根据磋商文件采购需求及评审标准的要求提供。</w:t>
            </w:r>
          </w:p>
        </w:tc>
      </w:tr>
      <w:tr w14:paraId="1E2AA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4E9902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195" w:type="dxa"/>
            <w:tcBorders>
              <w:top w:val="single" w:color="000000" w:sz="8" w:space="0"/>
              <w:left w:val="single" w:color="000000" w:sz="2" w:space="0"/>
              <w:bottom w:val="single" w:color="000000" w:sz="8" w:space="0"/>
              <w:right w:val="single" w:color="000000" w:sz="8" w:space="0"/>
            </w:tcBorders>
            <w:vAlign w:val="center"/>
          </w:tcPr>
          <w:p w14:paraId="16302C2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5743" w:type="dxa"/>
            <w:tcBorders>
              <w:top w:val="single" w:color="000000" w:sz="8" w:space="0"/>
              <w:left w:val="single" w:color="000000" w:sz="2" w:space="0"/>
              <w:bottom w:val="single" w:color="000000" w:sz="8" w:space="0"/>
              <w:right w:val="single" w:color="000000" w:sz="8" w:space="0"/>
            </w:tcBorders>
            <w:vAlign w:val="center"/>
          </w:tcPr>
          <w:p w14:paraId="2A270F2A">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E82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DA9AD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195" w:type="dxa"/>
            <w:tcBorders>
              <w:top w:val="single" w:color="000000" w:sz="8" w:space="0"/>
              <w:left w:val="single" w:color="000000" w:sz="2" w:space="0"/>
              <w:bottom w:val="single" w:color="000000" w:sz="8" w:space="0"/>
              <w:right w:val="single" w:color="000000" w:sz="8" w:space="0"/>
            </w:tcBorders>
            <w:vAlign w:val="center"/>
          </w:tcPr>
          <w:p w14:paraId="1DB9182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5743" w:type="dxa"/>
            <w:tcBorders>
              <w:top w:val="single" w:color="000000" w:sz="8" w:space="0"/>
              <w:left w:val="single" w:color="000000" w:sz="2" w:space="0"/>
              <w:bottom w:val="single" w:color="000000" w:sz="8" w:space="0"/>
              <w:right w:val="single" w:color="000000" w:sz="8" w:space="0"/>
            </w:tcBorders>
            <w:vAlign w:val="center"/>
          </w:tcPr>
          <w:p w14:paraId="55DBF434">
            <w:pPr>
              <w:snapToGrid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6C0CFE70">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7A5AFE9">
            <w:pPr>
              <w:numPr>
                <w:ilvl w:val="0"/>
                <w:numId w:val="0"/>
              </w:num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lang w:val="en-US" w:eastAsia="zh-CN"/>
              </w:rPr>
              <w:t>1）</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0FF74A6">
            <w:pPr>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lang w:val="en-US" w:eastAsia="zh-CN"/>
              </w:rPr>
              <w:t>2）</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90CEC6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lang w:eastAsia="zh-CN"/>
              </w:rPr>
              <w:t>（</w:t>
            </w:r>
            <w:r>
              <w:rPr>
                <w:rFonts w:hint="eastAsia" w:cs="宋体" w:asciiTheme="minorEastAsia" w:hAnsiTheme="minorEastAsia" w:eastAsiaTheme="minorEastAsia"/>
                <w:b/>
                <w:color w:val="auto"/>
                <w:kern w:val="0"/>
                <w:sz w:val="24"/>
                <w:highlight w:val="none"/>
                <w:lang w:val="en-US" w:eastAsia="zh-CN"/>
              </w:rPr>
              <w:t>3）</w:t>
            </w: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6ADD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7AA5BE3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195" w:type="dxa"/>
            <w:tcBorders>
              <w:top w:val="single" w:color="000000" w:sz="8" w:space="0"/>
              <w:left w:val="single" w:color="000000" w:sz="2" w:space="0"/>
              <w:right w:val="single" w:color="000000" w:sz="8" w:space="0"/>
            </w:tcBorders>
            <w:vAlign w:val="center"/>
          </w:tcPr>
          <w:p w14:paraId="7CE1EA5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5743" w:type="dxa"/>
            <w:tcBorders>
              <w:top w:val="single" w:color="000000" w:sz="8" w:space="0"/>
              <w:left w:val="single" w:color="000000" w:sz="2" w:space="0"/>
              <w:right w:val="single" w:color="000000" w:sz="8" w:space="0"/>
            </w:tcBorders>
            <w:vAlign w:val="center"/>
          </w:tcPr>
          <w:p w14:paraId="0FB3FFD6">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759CE83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供应商成交后也可在“广西政府采购云”平台申请政采贷：操作路径：登录广西政府采购云平台-金融服务中心-【融资服务】，可在热门申请中选择产品直接申请。</w:t>
            </w:r>
          </w:p>
        </w:tc>
      </w:tr>
      <w:tr w14:paraId="53E3F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2"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41A25B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195" w:type="dxa"/>
            <w:tcBorders>
              <w:top w:val="single" w:color="000000" w:sz="8" w:space="0"/>
              <w:left w:val="single" w:color="000000" w:sz="2" w:space="0"/>
              <w:bottom w:val="single" w:color="000000" w:sz="8" w:space="0"/>
              <w:right w:val="single" w:color="000000" w:sz="8" w:space="0"/>
            </w:tcBorders>
            <w:vAlign w:val="center"/>
          </w:tcPr>
          <w:p w14:paraId="1248159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 </w:t>
            </w:r>
          </w:p>
        </w:tc>
        <w:tc>
          <w:tcPr>
            <w:tcW w:w="5743" w:type="dxa"/>
            <w:tcBorders>
              <w:top w:val="single" w:color="000000" w:sz="8" w:space="0"/>
              <w:left w:val="single" w:color="000000" w:sz="2" w:space="0"/>
              <w:bottom w:val="single" w:color="000000" w:sz="8" w:space="0"/>
              <w:right w:val="single" w:color="000000" w:sz="8" w:space="0"/>
            </w:tcBorders>
            <w:vAlign w:val="center"/>
          </w:tcPr>
          <w:p w14:paraId="007DBAD0">
            <w:pPr>
              <w:spacing w:line="360" w:lineRule="auto"/>
              <w:rPr>
                <w:rFonts w:hint="default" w:hAnsi="宋体" w:eastAsia="宋体" w:cs="宋体"/>
                <w:color w:val="auto"/>
                <w:kern w:val="28"/>
                <w:sz w:val="24"/>
                <w:highlight w:val="none"/>
                <w:lang w:val="en-US" w:eastAsia="zh-CN"/>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lang w:val="en-US" w:eastAsia="zh-CN"/>
              </w:rPr>
              <w:t>本项目对备份响应文件无要求。</w:t>
            </w:r>
          </w:p>
        </w:tc>
      </w:tr>
      <w:tr w14:paraId="02A04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000000" w:sz="8" w:space="0"/>
              <w:right w:val="single" w:color="000000" w:sz="2" w:space="0"/>
            </w:tcBorders>
            <w:vAlign w:val="center"/>
          </w:tcPr>
          <w:p w14:paraId="6FC746D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195" w:type="dxa"/>
            <w:vMerge w:val="restart"/>
            <w:tcBorders>
              <w:top w:val="single" w:color="000000" w:sz="8" w:space="0"/>
              <w:left w:val="single" w:color="000000" w:sz="2" w:space="0"/>
              <w:right w:val="single" w:color="000000" w:sz="8" w:space="0"/>
            </w:tcBorders>
            <w:vAlign w:val="center"/>
          </w:tcPr>
          <w:p w14:paraId="5714842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5743" w:type="dxa"/>
            <w:tcBorders>
              <w:top w:val="single" w:color="000000" w:sz="8" w:space="0"/>
              <w:left w:val="single" w:color="000000" w:sz="2" w:space="0"/>
              <w:bottom w:val="single" w:color="000000" w:sz="8" w:space="0"/>
              <w:right w:val="single" w:color="000000" w:sz="8" w:space="0"/>
            </w:tcBorders>
            <w:vAlign w:val="center"/>
          </w:tcPr>
          <w:p w14:paraId="74A8D8E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49FF2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14:paraId="43383128">
            <w:pPr>
              <w:snapToGrid w:val="0"/>
              <w:spacing w:line="360" w:lineRule="auto"/>
              <w:jc w:val="center"/>
              <w:rPr>
                <w:rFonts w:cs="宋体" w:asciiTheme="minorEastAsia" w:hAnsiTheme="minorEastAsia" w:eastAsiaTheme="minorEastAsia"/>
                <w:color w:val="auto"/>
                <w:sz w:val="24"/>
                <w:highlight w:val="none"/>
              </w:rPr>
            </w:pPr>
          </w:p>
        </w:tc>
        <w:tc>
          <w:tcPr>
            <w:tcW w:w="2195" w:type="dxa"/>
            <w:vMerge w:val="continue"/>
            <w:tcBorders>
              <w:left w:val="single" w:color="000000" w:sz="2" w:space="0"/>
              <w:bottom w:val="single" w:color="auto" w:sz="4" w:space="0"/>
              <w:right w:val="single" w:color="000000" w:sz="8" w:space="0"/>
            </w:tcBorders>
            <w:vAlign w:val="center"/>
          </w:tcPr>
          <w:p w14:paraId="78318E6F">
            <w:pPr>
              <w:snapToGrid w:val="0"/>
              <w:spacing w:line="360" w:lineRule="auto"/>
              <w:jc w:val="center"/>
              <w:rPr>
                <w:rFonts w:cs="宋体" w:asciiTheme="minorEastAsia" w:hAnsiTheme="minorEastAsia" w:eastAsiaTheme="minorEastAsia"/>
                <w:b/>
                <w:color w:val="auto"/>
                <w:sz w:val="24"/>
                <w:highlight w:val="none"/>
              </w:rPr>
            </w:pPr>
          </w:p>
        </w:tc>
        <w:tc>
          <w:tcPr>
            <w:tcW w:w="5743" w:type="dxa"/>
            <w:tcBorders>
              <w:top w:val="single" w:color="000000" w:sz="8" w:space="0"/>
              <w:left w:val="single" w:color="000000" w:sz="2" w:space="0"/>
              <w:bottom w:val="single" w:color="auto" w:sz="4" w:space="0"/>
              <w:right w:val="single" w:color="000000" w:sz="8" w:space="0"/>
            </w:tcBorders>
            <w:vAlign w:val="center"/>
          </w:tcPr>
          <w:p w14:paraId="47D00DF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21C5DBF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51693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1A194E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195" w:type="dxa"/>
            <w:tcBorders>
              <w:top w:val="single" w:color="auto" w:sz="4" w:space="0"/>
              <w:left w:val="single" w:color="auto" w:sz="4" w:space="0"/>
              <w:bottom w:val="single" w:color="auto" w:sz="4" w:space="0"/>
              <w:right w:val="single" w:color="auto" w:sz="4" w:space="0"/>
            </w:tcBorders>
            <w:vAlign w:val="center"/>
          </w:tcPr>
          <w:p w14:paraId="330CC9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5743" w:type="dxa"/>
            <w:tcBorders>
              <w:top w:val="single" w:color="auto" w:sz="4" w:space="0"/>
              <w:left w:val="single" w:color="auto" w:sz="4" w:space="0"/>
              <w:bottom w:val="single" w:color="auto" w:sz="4" w:space="0"/>
              <w:right w:val="single" w:color="auto" w:sz="4" w:space="0"/>
            </w:tcBorders>
            <w:vAlign w:val="center"/>
          </w:tcPr>
          <w:p w14:paraId="0663321C">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本磋商文件解释权属采购人及代理机构。</w:t>
            </w:r>
          </w:p>
        </w:tc>
      </w:tr>
    </w:tbl>
    <w:p w14:paraId="064FC3AC">
      <w:pPr>
        <w:snapToGrid w:val="0"/>
        <w:jc w:val="center"/>
        <w:rPr>
          <w:rFonts w:cs="仿宋_GB2312" w:asciiTheme="minorEastAsia" w:hAnsiTheme="minorEastAsia" w:eastAsiaTheme="minorEastAsia"/>
          <w:b/>
          <w:color w:val="auto"/>
          <w:sz w:val="32"/>
          <w:szCs w:val="20"/>
          <w:highlight w:val="none"/>
        </w:rPr>
      </w:pPr>
    </w:p>
    <w:p w14:paraId="610CC078">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6EDF20F">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487DF05">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1.适用范围</w:t>
      </w:r>
    </w:p>
    <w:p w14:paraId="13FE3ED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F9B73E1">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52520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3F5952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9EA8C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E4C061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46CBA92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A14728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D000C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w:t>
      </w:r>
    </w:p>
    <w:p w14:paraId="5200465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EEFE4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26A7BB7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7A2B432A">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6D3B911B">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3.响应有效期</w:t>
      </w:r>
    </w:p>
    <w:p w14:paraId="1DD2953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C5ED430">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8A594F1">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人或采购代理机构可以以书面形式通知所有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1369A3DE">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D271277">
      <w:pPr>
        <w:pStyle w:val="31"/>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C42D4FA">
      <w:pPr>
        <w:spacing w:line="360" w:lineRule="auto"/>
        <w:jc w:val="center"/>
        <w:rPr>
          <w:rFonts w:cs="仿宋_GB2312" w:asciiTheme="minorEastAsia" w:hAnsiTheme="minorEastAsia" w:eastAsiaTheme="minorEastAsia"/>
          <w:b/>
          <w:color w:val="auto"/>
          <w:sz w:val="24"/>
          <w:highlight w:val="none"/>
        </w:rPr>
      </w:pPr>
    </w:p>
    <w:p w14:paraId="1A71987E">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7D611CB2">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A612F7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4AE321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8E3DFDB">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337420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276EF25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6ED452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14D74AD">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79AC8C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7FDAA5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9CCB17E">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356D491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F8E218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7B02177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57AB7C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BFDCD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93DB81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44515F0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A144DC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76F3F28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8F569A8">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211F42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007FE262">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343FDFC6">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55B4C162">
      <w:pPr>
        <w:spacing w:line="360" w:lineRule="auto"/>
        <w:ind w:firstLine="480" w:firstLineChars="200"/>
        <w:rPr>
          <w:rFonts w:asciiTheme="minorEastAsia" w:hAnsiTheme="minorEastAsia" w:eastAsiaTheme="minorEastAsia"/>
          <w:color w:val="auto"/>
          <w:sz w:val="24"/>
          <w:highlight w:val="none"/>
        </w:rPr>
      </w:pPr>
    </w:p>
    <w:p w14:paraId="218941EE">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FD6FAA4">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CEA64F7">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7069EEB3">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询问联系部门：</w:t>
      </w:r>
      <w:r>
        <w:rPr>
          <w:rFonts w:hint="eastAsia" w:asciiTheme="minorEastAsia" w:hAnsiTheme="minorEastAsia" w:eastAsiaTheme="minorEastAsia"/>
          <w:b w:val="0"/>
          <w:bCs/>
          <w:color w:val="auto"/>
          <w:sz w:val="24"/>
          <w:highlight w:val="none"/>
          <w:lang w:val="zh-CN" w:eastAsia="zh-CN"/>
        </w:rPr>
        <w:t>广西北部湾宏亚建设管理有限公司</w:t>
      </w:r>
      <w:r>
        <w:rPr>
          <w:rFonts w:hint="eastAsia" w:asciiTheme="minorEastAsia" w:hAnsiTheme="minorEastAsia" w:eastAsiaTheme="minorEastAsia"/>
          <w:b w:val="0"/>
          <w:bCs/>
          <w:color w:val="auto"/>
          <w:sz w:val="24"/>
          <w:highlight w:val="none"/>
          <w:lang w:val="zh-CN"/>
        </w:rPr>
        <w:t xml:space="preserve">  </w:t>
      </w:r>
    </w:p>
    <w:p w14:paraId="7171BF7C">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联系电话：</w:t>
      </w:r>
      <w:r>
        <w:rPr>
          <w:rFonts w:hint="eastAsia" w:asciiTheme="minorEastAsia" w:hAnsiTheme="minorEastAsia" w:eastAsiaTheme="minorEastAsia"/>
          <w:b w:val="0"/>
          <w:bCs/>
          <w:color w:val="auto"/>
          <w:sz w:val="24"/>
          <w:highlight w:val="none"/>
          <w:lang w:val="zh-CN" w:eastAsia="zh-CN"/>
        </w:rPr>
        <w:t>0779-3928925</w:t>
      </w:r>
      <w:r>
        <w:rPr>
          <w:rFonts w:hint="eastAsia" w:asciiTheme="minorEastAsia" w:hAnsiTheme="minorEastAsia" w:eastAsiaTheme="minorEastAsia"/>
          <w:b w:val="0"/>
          <w:bCs/>
          <w:color w:val="auto"/>
          <w:sz w:val="24"/>
          <w:highlight w:val="none"/>
          <w:lang w:val="zh-CN"/>
        </w:rPr>
        <w:t xml:space="preserve"> </w:t>
      </w:r>
      <w:r>
        <w:rPr>
          <w:rFonts w:hint="eastAsia" w:asciiTheme="minorEastAsia" w:hAnsiTheme="minorEastAsia" w:eastAsiaTheme="minorEastAsia"/>
          <w:b w:val="0"/>
          <w:bCs/>
          <w:color w:val="auto"/>
          <w:sz w:val="24"/>
          <w:highlight w:val="none"/>
          <w:lang w:val="zh-CN" w:eastAsia="zh-CN"/>
        </w:rPr>
        <w:t xml:space="preserve"> </w:t>
      </w:r>
      <w:r>
        <w:rPr>
          <w:rFonts w:hint="eastAsia" w:asciiTheme="minorEastAsia" w:hAnsiTheme="minorEastAsia" w:eastAsiaTheme="minorEastAsia"/>
          <w:b w:val="0"/>
          <w:bCs/>
          <w:color w:val="auto"/>
          <w:sz w:val="24"/>
          <w:highlight w:val="none"/>
          <w:lang w:val="zh-CN"/>
        </w:rPr>
        <w:t>地址：广西北海市银海区四川南路353号嘉盛大厦裙楼</w:t>
      </w:r>
      <w:r>
        <w:rPr>
          <w:rFonts w:hint="eastAsia" w:asciiTheme="minorEastAsia" w:hAnsiTheme="minorEastAsia" w:eastAsiaTheme="minorEastAsia"/>
          <w:b w:val="0"/>
          <w:bCs/>
          <w:color w:val="auto"/>
          <w:sz w:val="24"/>
          <w:highlight w:val="none"/>
          <w:lang w:val="en-US" w:eastAsia="zh-CN"/>
        </w:rPr>
        <w:t xml:space="preserve">  </w:t>
      </w:r>
      <w:r>
        <w:rPr>
          <w:rFonts w:hint="eastAsia" w:asciiTheme="minorEastAsia" w:hAnsiTheme="minorEastAsia" w:eastAsiaTheme="minorEastAsia"/>
          <w:b w:val="0"/>
          <w:bCs/>
          <w:color w:val="auto"/>
          <w:sz w:val="24"/>
          <w:highlight w:val="none"/>
          <w:lang w:val="zh-CN"/>
        </w:rPr>
        <w:t>一层西面</w:t>
      </w:r>
    </w:p>
    <w:p w14:paraId="2B482955">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质疑联系部门：</w:t>
      </w:r>
      <w:r>
        <w:rPr>
          <w:rFonts w:hint="eastAsia" w:asciiTheme="minorEastAsia" w:hAnsiTheme="minorEastAsia" w:eastAsiaTheme="minorEastAsia"/>
          <w:b w:val="0"/>
          <w:bCs/>
          <w:color w:val="auto"/>
          <w:sz w:val="24"/>
          <w:highlight w:val="none"/>
          <w:lang w:val="zh-CN" w:eastAsia="zh-CN"/>
        </w:rPr>
        <w:t>广西北部湾宏亚建设管理有限公司</w:t>
      </w:r>
      <w:r>
        <w:rPr>
          <w:rFonts w:hint="eastAsia" w:asciiTheme="minorEastAsia" w:hAnsiTheme="minorEastAsia" w:eastAsiaTheme="minorEastAsia"/>
          <w:b w:val="0"/>
          <w:bCs/>
          <w:color w:val="auto"/>
          <w:sz w:val="24"/>
          <w:highlight w:val="none"/>
          <w:lang w:val="zh-CN"/>
        </w:rPr>
        <w:t xml:space="preserve">        </w:t>
      </w:r>
    </w:p>
    <w:p w14:paraId="43963483">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联系电话：</w:t>
      </w:r>
      <w:r>
        <w:rPr>
          <w:rFonts w:hint="eastAsia" w:asciiTheme="minorEastAsia" w:hAnsiTheme="minorEastAsia" w:eastAsiaTheme="minorEastAsia"/>
          <w:b w:val="0"/>
          <w:bCs/>
          <w:color w:val="auto"/>
          <w:sz w:val="24"/>
          <w:highlight w:val="none"/>
          <w:lang w:val="zh-CN" w:eastAsia="zh-CN"/>
        </w:rPr>
        <w:t>0779-3928925</w:t>
      </w:r>
      <w:r>
        <w:rPr>
          <w:rFonts w:hint="eastAsia" w:asciiTheme="minorEastAsia" w:hAnsiTheme="minorEastAsia" w:eastAsiaTheme="minorEastAsia"/>
          <w:b w:val="0"/>
          <w:bCs/>
          <w:color w:val="auto"/>
          <w:sz w:val="24"/>
          <w:highlight w:val="none"/>
          <w:lang w:val="zh-CN"/>
        </w:rPr>
        <w:t xml:space="preserve">  地址：广西北海市银海区四川南路353号嘉盛大厦裙楼一层西面 </w:t>
      </w:r>
    </w:p>
    <w:p w14:paraId="25016313">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投诉联系部门：</w:t>
      </w:r>
      <w:r>
        <w:rPr>
          <w:rFonts w:hint="eastAsia" w:asciiTheme="minorEastAsia" w:hAnsiTheme="minorEastAsia" w:eastAsiaTheme="minorEastAsia"/>
          <w:b w:val="0"/>
          <w:bCs/>
          <w:color w:val="auto"/>
          <w:sz w:val="24"/>
          <w:highlight w:val="none"/>
          <w:lang w:val="zh-CN" w:eastAsia="zh-CN"/>
        </w:rPr>
        <w:t>北海市财政局政府采购管理科</w:t>
      </w:r>
      <w:r>
        <w:rPr>
          <w:rFonts w:hint="eastAsia" w:asciiTheme="minorEastAsia" w:hAnsiTheme="minorEastAsia" w:eastAsiaTheme="minorEastAsia"/>
          <w:b w:val="0"/>
          <w:bCs/>
          <w:color w:val="auto"/>
          <w:sz w:val="24"/>
          <w:highlight w:val="none"/>
          <w:lang w:val="zh-CN"/>
        </w:rPr>
        <w:t xml:space="preserve">     </w:t>
      </w:r>
    </w:p>
    <w:p w14:paraId="14231D7C">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联系电话：0779-3063975  地址：北海市海城区北部湾西路19号</w:t>
      </w:r>
    </w:p>
    <w:p w14:paraId="1F0E4BF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9A04116">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10979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BBC5BD4">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2A1B2D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D6BFCB5">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0589EC5">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5CF87D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D25474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0BA49F7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012239F0">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0722E95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p>
    <w:p w14:paraId="279029C9">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35D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BD3F493">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0DF04F9B">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5B12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56808">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E01BE69">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F9F9754">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72D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79C04E7">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14173B75">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3BA821D">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B93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084A8EF">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DF36200">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50253CDB">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D8C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4270936">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410544C1">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29FD8BA1">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299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AE578E8">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1DEC467">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382C5BA">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E4513D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注：采购人或代理机构应当协助质疑答复责任主体及时答复供应商的书面质疑。</w:t>
      </w:r>
    </w:p>
    <w:p w14:paraId="670E62E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DBDB9D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5D8CD19">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74BE1F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197AF6D">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30A5ABCB">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6CED75D5">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32F0AE85">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7ABF0F23">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04FFCEC6">
      <w:pPr>
        <w:pStyle w:val="31"/>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3239F24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4EFB007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5F93F6F8">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9CCBC5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EDAEB2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0D0A0DB">
      <w:pPr>
        <w:pStyle w:val="31"/>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2539287">
      <w:pPr>
        <w:adjustRightInd/>
        <w:spacing w:line="360" w:lineRule="auto"/>
        <w:jc w:val="center"/>
        <w:rPr>
          <w:rFonts w:cs="仿宋_GB2312" w:asciiTheme="minorEastAsia" w:hAnsiTheme="minorEastAsia" w:eastAsiaTheme="minorEastAsia"/>
          <w:b/>
          <w:color w:val="auto"/>
          <w:sz w:val="32"/>
          <w:szCs w:val="20"/>
          <w:highlight w:val="none"/>
        </w:rPr>
      </w:pPr>
    </w:p>
    <w:p w14:paraId="5228D7DC">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6F035ED">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3463F69B">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4767B47">
      <w:pPr>
        <w:pStyle w:val="31"/>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126379BC">
      <w:pPr>
        <w:pStyle w:val="31"/>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34D5E2D5">
      <w:pPr>
        <w:pStyle w:val="31"/>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2D7EDA31">
      <w:pPr>
        <w:pStyle w:val="31"/>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56F26630">
      <w:pPr>
        <w:pStyle w:val="31"/>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070E2BC">
      <w:pPr>
        <w:pStyle w:val="31"/>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48677A3">
      <w:pPr>
        <w:pStyle w:val="31"/>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14F307D1">
      <w:pPr>
        <w:pStyle w:val="31"/>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9B307DD">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5507B0F">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0D8FCA64">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DEF9507">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CEED8A4">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6436F325">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6ABFCA3">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5C7B434D">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1E4AB0D">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28BE0BB">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C95336C">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334C0F4">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响应文件应当包括以下主要内容（标注“▲”为实质性要求，供应商必须提供，否则磋商无效。相关格式见磋商文件第七部分）：</w:t>
      </w:r>
    </w:p>
    <w:p w14:paraId="47E9D3FD">
      <w:pPr>
        <w:pStyle w:val="31"/>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bCs/>
          <w:color w:val="auto"/>
          <w:sz w:val="24"/>
          <w:highlight w:val="none"/>
          <w:lang w:val="en-US" w:eastAsia="zh-CN"/>
        </w:rPr>
        <w:t xml:space="preserve">2.1 </w:t>
      </w:r>
      <w:r>
        <w:rPr>
          <w:rFonts w:hint="eastAsia" w:asciiTheme="minorEastAsia" w:hAnsiTheme="minorEastAsia" w:eastAsiaTheme="minorEastAsia"/>
          <w:b/>
          <w:bCs/>
          <w:color w:val="auto"/>
          <w:sz w:val="24"/>
          <w:highlight w:val="none"/>
        </w:rPr>
        <w:t>资格证明文件</w:t>
      </w:r>
      <w:r>
        <w:rPr>
          <w:rFonts w:hint="eastAsia" w:asciiTheme="minorEastAsia" w:hAnsiTheme="minorEastAsia" w:eastAsiaTheme="minorEastAsia"/>
          <w:b/>
          <w:bCs/>
          <w:color w:val="auto"/>
          <w:sz w:val="24"/>
          <w:highlight w:val="none"/>
          <w:lang w:eastAsia="zh-CN"/>
        </w:rPr>
        <w:t>：</w:t>
      </w:r>
    </w:p>
    <w:p w14:paraId="045C5C02">
      <w:pPr>
        <w:pStyle w:val="31"/>
        <w:numPr>
          <w:ilvl w:val="0"/>
          <w:numId w:val="0"/>
        </w:numPr>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1、供应商符合资格条件的基本要求，</w:t>
      </w:r>
      <w:r>
        <w:rPr>
          <w:rFonts w:hint="eastAsia" w:asciiTheme="minorEastAsia" w:hAnsiTheme="minorEastAsia" w:eastAsiaTheme="minorEastAsia"/>
          <w:color w:val="auto"/>
          <w:sz w:val="24"/>
          <w:highlight w:val="none"/>
        </w:rPr>
        <w:t>应当在响应文件中以书面形式作出信用承诺（承诺函格式见附件）；</w:t>
      </w:r>
      <w:r>
        <w:rPr>
          <w:rFonts w:hint="eastAsia" w:asciiTheme="minorEastAsia" w:hAnsiTheme="minorEastAsia" w:eastAsiaTheme="minorEastAsia"/>
          <w:b/>
          <w:bCs/>
          <w:color w:val="auto"/>
          <w:sz w:val="24"/>
          <w:highlight w:val="none"/>
        </w:rPr>
        <w:t>（必须提供）</w:t>
      </w:r>
    </w:p>
    <w:p w14:paraId="630CDDD5">
      <w:pPr>
        <w:pStyle w:val="31"/>
        <w:numPr>
          <w:ilvl w:val="0"/>
          <w:numId w:val="0"/>
        </w:numPr>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val="0"/>
          <w:bCs w:val="0"/>
          <w:color w:val="auto"/>
          <w:sz w:val="24"/>
          <w:highlight w:val="none"/>
          <w:lang w:val="en-US" w:eastAsia="zh-CN"/>
        </w:rPr>
        <w:t>2、</w:t>
      </w:r>
      <w:r>
        <w:rPr>
          <w:rFonts w:hint="eastAsia" w:cs="Times New Roman" w:asciiTheme="minorEastAsia" w:hAnsiTheme="minorEastAsia" w:eastAsiaTheme="minorEastAsia"/>
          <w:color w:val="auto"/>
          <w:sz w:val="24"/>
          <w:highlight w:val="none"/>
          <w:lang w:val="en-US" w:eastAsia="zh-CN"/>
        </w:rPr>
        <w:t>供应商具备</w:t>
      </w:r>
      <w:r>
        <w:rPr>
          <w:rFonts w:hint="eastAsia" w:cs="Times New Roman" w:asciiTheme="minorEastAsia" w:hAnsiTheme="minorEastAsia" w:eastAsiaTheme="minorEastAsia"/>
          <w:color w:val="auto"/>
          <w:sz w:val="24"/>
          <w:highlight w:val="none"/>
        </w:rPr>
        <w:t>有效的《食品生产许可证》或《食品经营许可证》</w:t>
      </w:r>
      <w:r>
        <w:rPr>
          <w:rFonts w:hint="eastAsia" w:cs="Times New Roman" w:asciiTheme="minorEastAsia" w:hAnsiTheme="minorEastAsia" w:eastAsiaTheme="minorEastAsia"/>
          <w:color w:val="auto"/>
          <w:sz w:val="24"/>
          <w:highlight w:val="none"/>
          <w:lang w:val="en-US" w:eastAsia="zh-CN"/>
        </w:rPr>
        <w:t>；</w:t>
      </w:r>
      <w:r>
        <w:rPr>
          <w:rFonts w:hint="eastAsia" w:cs="Times New Roman" w:asciiTheme="minorEastAsia" w:hAnsiTheme="minorEastAsia" w:eastAsiaTheme="minorEastAsia"/>
          <w:b/>
          <w:bCs/>
          <w:color w:val="auto"/>
          <w:sz w:val="24"/>
          <w:highlight w:val="none"/>
        </w:rPr>
        <w:t>（必须提供）</w:t>
      </w:r>
    </w:p>
    <w:p w14:paraId="2C2FC127">
      <w:pPr>
        <w:pStyle w:val="31"/>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val="0"/>
          <w:bCs w:val="0"/>
          <w:color w:val="auto"/>
          <w:sz w:val="24"/>
          <w:highlight w:val="none"/>
          <w:lang w:val="en-US" w:eastAsia="zh-CN"/>
        </w:rPr>
        <w:t>3、</w:t>
      </w:r>
      <w:r>
        <w:rPr>
          <w:rFonts w:hint="eastAsia" w:asciiTheme="minorEastAsia" w:hAnsiTheme="minorEastAsia" w:eastAsiaTheme="minorEastAsia"/>
          <w:color w:val="auto"/>
          <w:sz w:val="24"/>
          <w:highlight w:val="none"/>
          <w:lang w:val="en-US" w:eastAsia="zh-CN"/>
        </w:rPr>
        <w:t>本项目为专门面向小微企业采购项目，服务全部由小微企业承接，供应商应提供</w:t>
      </w:r>
      <w:r>
        <w:rPr>
          <w:rFonts w:hint="eastAsia" w:asciiTheme="minorEastAsia" w:hAnsiTheme="minorEastAsia" w:eastAsiaTheme="minorEastAsia"/>
          <w:color w:val="auto"/>
          <w:sz w:val="24"/>
          <w:highlight w:val="none"/>
        </w:rPr>
        <w:t>中小企业声明函或残疾人福利性单位声明函或供应商属于监狱企业的证明材料；</w:t>
      </w:r>
      <w:r>
        <w:rPr>
          <w:rFonts w:hint="eastAsia" w:asciiTheme="minorEastAsia" w:hAnsiTheme="minorEastAsia" w:eastAsiaTheme="minorEastAsia"/>
          <w:b/>
          <w:bCs/>
          <w:color w:val="auto"/>
          <w:sz w:val="24"/>
          <w:highlight w:val="none"/>
        </w:rPr>
        <w:t>（必须提供）</w:t>
      </w:r>
    </w:p>
    <w:p w14:paraId="08EC5828">
      <w:pPr>
        <w:pStyle w:val="31"/>
        <w:numPr>
          <w:ilvl w:val="0"/>
          <w:numId w:val="0"/>
        </w:numPr>
        <w:spacing w:line="360" w:lineRule="auto"/>
        <w:ind w:firstLine="48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供应商直接控股股东信息表（格式后附）；</w:t>
      </w:r>
      <w:r>
        <w:rPr>
          <w:rFonts w:hint="eastAsia" w:asciiTheme="minorEastAsia" w:hAnsiTheme="minorEastAsia" w:eastAsiaTheme="minorEastAsia"/>
          <w:b/>
          <w:bCs/>
          <w:color w:val="auto"/>
          <w:sz w:val="24"/>
          <w:highlight w:val="none"/>
        </w:rPr>
        <w:t>（必须提供）</w:t>
      </w:r>
    </w:p>
    <w:p w14:paraId="4347C56C">
      <w:pPr>
        <w:pStyle w:val="31"/>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供应商直接管理关系信息表（格式后附）；</w:t>
      </w:r>
      <w:r>
        <w:rPr>
          <w:rFonts w:hint="eastAsia" w:asciiTheme="minorEastAsia" w:hAnsiTheme="minorEastAsia" w:eastAsiaTheme="minorEastAsia"/>
          <w:b/>
          <w:bCs/>
          <w:color w:val="auto"/>
          <w:sz w:val="24"/>
          <w:highlight w:val="none"/>
        </w:rPr>
        <w:t>（必须提供）</w:t>
      </w:r>
    </w:p>
    <w:p w14:paraId="5E9A572B">
      <w:pPr>
        <w:pStyle w:val="31"/>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竞标声明（格式后附）；</w:t>
      </w:r>
      <w:r>
        <w:rPr>
          <w:rFonts w:hint="eastAsia" w:asciiTheme="minorEastAsia" w:hAnsiTheme="minorEastAsia" w:eastAsiaTheme="minorEastAsia"/>
          <w:b/>
          <w:bCs/>
          <w:color w:val="auto"/>
          <w:sz w:val="24"/>
          <w:highlight w:val="none"/>
        </w:rPr>
        <w:t>（必须提供）</w:t>
      </w:r>
    </w:p>
    <w:p w14:paraId="2383EF32">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除磋商文件规定必须提供以外，供应商认为需要提供的其他证明材料；</w:t>
      </w:r>
    </w:p>
    <w:p w14:paraId="07BFB431">
      <w:pPr>
        <w:pStyle w:val="31"/>
        <w:spacing w:line="360" w:lineRule="auto"/>
        <w:ind w:firstLine="482" w:firstLineChars="200"/>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 xml:space="preserve">2.2 </w:t>
      </w:r>
      <w:r>
        <w:rPr>
          <w:rFonts w:hint="eastAsia" w:asciiTheme="minorEastAsia" w:hAnsiTheme="minorEastAsia" w:eastAsiaTheme="minorEastAsia"/>
          <w:b/>
          <w:bCs/>
          <w:color w:val="auto"/>
          <w:sz w:val="24"/>
          <w:highlight w:val="none"/>
        </w:rPr>
        <w:t>报价文件</w:t>
      </w:r>
      <w:r>
        <w:rPr>
          <w:rFonts w:hint="eastAsia" w:asciiTheme="minorEastAsia" w:hAnsiTheme="minorEastAsia" w:eastAsiaTheme="minorEastAsia"/>
          <w:b/>
          <w:bCs/>
          <w:color w:val="auto"/>
          <w:sz w:val="24"/>
          <w:highlight w:val="none"/>
          <w:lang w:eastAsia="zh-CN"/>
        </w:rPr>
        <w:t>：</w:t>
      </w:r>
    </w:p>
    <w:p w14:paraId="2B7B47B9">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竞标报价表（格式后附）；</w:t>
      </w:r>
      <w:r>
        <w:rPr>
          <w:rFonts w:hint="eastAsia" w:asciiTheme="minorEastAsia" w:hAnsiTheme="minorEastAsia" w:eastAsiaTheme="minorEastAsia"/>
          <w:b/>
          <w:bCs/>
          <w:color w:val="auto"/>
          <w:sz w:val="24"/>
          <w:highlight w:val="none"/>
        </w:rPr>
        <w:t>（必须提供）</w:t>
      </w:r>
    </w:p>
    <w:p w14:paraId="50D61C60">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供应商认为需要提供的其他有关资料。</w:t>
      </w:r>
    </w:p>
    <w:p w14:paraId="3B8AEB8D">
      <w:pPr>
        <w:pStyle w:val="31"/>
        <w:spacing w:line="360" w:lineRule="auto"/>
        <w:ind w:firstLine="482" w:firstLineChars="200"/>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 xml:space="preserve">2.3 </w:t>
      </w:r>
      <w:r>
        <w:rPr>
          <w:rFonts w:hint="eastAsia" w:asciiTheme="minorEastAsia" w:hAnsiTheme="minorEastAsia" w:eastAsiaTheme="minorEastAsia"/>
          <w:b/>
          <w:bCs/>
          <w:color w:val="auto"/>
          <w:sz w:val="24"/>
          <w:highlight w:val="none"/>
        </w:rPr>
        <w:t>商务技术文件</w:t>
      </w:r>
      <w:r>
        <w:rPr>
          <w:rFonts w:hint="eastAsia" w:asciiTheme="minorEastAsia" w:hAnsiTheme="minorEastAsia" w:eastAsiaTheme="minorEastAsia"/>
          <w:b/>
          <w:bCs/>
          <w:color w:val="auto"/>
          <w:sz w:val="24"/>
          <w:highlight w:val="none"/>
          <w:lang w:eastAsia="zh-CN"/>
        </w:rPr>
        <w:t>：</w:t>
      </w:r>
    </w:p>
    <w:p w14:paraId="1F6789FB">
      <w:pPr>
        <w:pStyle w:val="31"/>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无串通竞标行为的承诺函（格式后附）；</w:t>
      </w:r>
      <w:r>
        <w:rPr>
          <w:rFonts w:hint="eastAsia" w:asciiTheme="minorEastAsia" w:hAnsiTheme="minorEastAsia" w:eastAsiaTheme="minorEastAsia"/>
          <w:b/>
          <w:bCs/>
          <w:color w:val="auto"/>
          <w:sz w:val="24"/>
          <w:highlight w:val="none"/>
        </w:rPr>
        <w:t>（必须提供）</w:t>
      </w:r>
    </w:p>
    <w:p w14:paraId="0310F834">
      <w:pPr>
        <w:pStyle w:val="31"/>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法定代表人身份证明书及法定代表人有效身份证正反面复印件（格式后附）；</w:t>
      </w:r>
      <w:r>
        <w:rPr>
          <w:rFonts w:hint="eastAsia" w:asciiTheme="minorEastAsia" w:hAnsiTheme="minorEastAsia" w:eastAsiaTheme="minorEastAsia"/>
          <w:b/>
          <w:bCs/>
          <w:color w:val="auto"/>
          <w:sz w:val="24"/>
          <w:highlight w:val="none"/>
        </w:rPr>
        <w:t>（除自然人竞标外必须提供）</w:t>
      </w:r>
    </w:p>
    <w:p w14:paraId="5FE5D3A9">
      <w:pPr>
        <w:pStyle w:val="31"/>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授权委托书及委托代理人有效身份证正反面复印件（格式后附）；</w:t>
      </w:r>
      <w:r>
        <w:rPr>
          <w:rFonts w:hint="eastAsia" w:asciiTheme="minorEastAsia" w:hAnsiTheme="minorEastAsia" w:eastAsiaTheme="minorEastAsia"/>
          <w:b/>
          <w:bCs/>
          <w:color w:val="auto"/>
          <w:sz w:val="24"/>
          <w:highlight w:val="none"/>
        </w:rPr>
        <w:t>（委托时必须提供）</w:t>
      </w:r>
    </w:p>
    <w:p w14:paraId="6A626556">
      <w:pPr>
        <w:pStyle w:val="31"/>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商务要求偏离表（格式后附）；</w:t>
      </w:r>
      <w:r>
        <w:rPr>
          <w:rFonts w:hint="eastAsia" w:asciiTheme="minorEastAsia" w:hAnsiTheme="minorEastAsia" w:eastAsiaTheme="minorEastAsia"/>
          <w:b/>
          <w:bCs/>
          <w:color w:val="auto"/>
          <w:sz w:val="24"/>
          <w:highlight w:val="none"/>
        </w:rPr>
        <w:t>（必须提供）</w:t>
      </w:r>
    </w:p>
    <w:p w14:paraId="0B1876FB">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服务承诺（格式自拟）；</w:t>
      </w:r>
      <w:r>
        <w:rPr>
          <w:rFonts w:hint="eastAsia" w:asciiTheme="minorEastAsia" w:hAnsiTheme="minorEastAsia" w:eastAsiaTheme="minorEastAsia"/>
          <w:b/>
          <w:bCs/>
          <w:color w:val="auto"/>
          <w:sz w:val="24"/>
          <w:highlight w:val="none"/>
        </w:rPr>
        <w:t>（必须提供）</w:t>
      </w:r>
    </w:p>
    <w:p w14:paraId="01D21EC8">
      <w:pPr>
        <w:pStyle w:val="31"/>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技术要求偏离表（格式后附）；</w:t>
      </w:r>
      <w:r>
        <w:rPr>
          <w:rFonts w:hint="eastAsia" w:asciiTheme="minorEastAsia" w:hAnsiTheme="minorEastAsia" w:eastAsiaTheme="minorEastAsia"/>
          <w:b/>
          <w:bCs/>
          <w:color w:val="auto"/>
          <w:sz w:val="24"/>
          <w:highlight w:val="none"/>
        </w:rPr>
        <w:t>（必须提供）</w:t>
      </w:r>
    </w:p>
    <w:p w14:paraId="0D1D3E18">
      <w:pPr>
        <w:pStyle w:val="31"/>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项目实施方案；</w:t>
      </w:r>
      <w:r>
        <w:rPr>
          <w:rFonts w:hint="eastAsia" w:asciiTheme="minorEastAsia" w:hAnsiTheme="minorEastAsia" w:eastAsiaTheme="minorEastAsia"/>
          <w:b/>
          <w:bCs/>
          <w:color w:val="auto"/>
          <w:sz w:val="24"/>
          <w:highlight w:val="none"/>
        </w:rPr>
        <w:t>（必须提供）</w:t>
      </w:r>
    </w:p>
    <w:p w14:paraId="1081FA3F">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8、根据</w:t>
      </w:r>
      <w:r>
        <w:rPr>
          <w:rFonts w:hint="eastAsia" w:asciiTheme="minorEastAsia" w:hAnsiTheme="minorEastAsia" w:eastAsiaTheme="minorEastAsia"/>
          <w:color w:val="auto"/>
          <w:sz w:val="24"/>
          <w:highlight w:val="none"/>
        </w:rPr>
        <w:t>采购需求的技术要求、商务要求提供的其他文件资料（格式自拟）；</w:t>
      </w:r>
    </w:p>
    <w:p w14:paraId="621CBC26">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供应商认为需要提供的其他有关资料。</w:t>
      </w:r>
    </w:p>
    <w:p w14:paraId="57338599">
      <w:pPr>
        <w:pStyle w:val="31"/>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注：以上标明“必须提供”的材料</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供应商需按照要求如实提供，否则按响应无效处理。</w:t>
      </w:r>
      <w:r>
        <w:rPr>
          <w:rFonts w:hint="eastAsia" w:asciiTheme="minorEastAsia" w:hAnsiTheme="minorEastAsia" w:eastAsiaTheme="minorEastAsia"/>
          <w:b/>
          <w:bCs/>
          <w:color w:val="auto"/>
          <w:sz w:val="24"/>
          <w:highlight w:val="none"/>
        </w:rPr>
        <w:t>属于复印件的，</w:t>
      </w:r>
      <w:r>
        <w:rPr>
          <w:rFonts w:hint="eastAsia" w:asciiTheme="minorEastAsia" w:hAnsiTheme="minorEastAsia" w:eastAsiaTheme="minorEastAsia"/>
          <w:b/>
          <w:bCs/>
          <w:color w:val="auto"/>
          <w:sz w:val="24"/>
          <w:highlight w:val="none"/>
          <w:lang w:val="en-US" w:eastAsia="zh-CN"/>
        </w:rPr>
        <w:t>需</w:t>
      </w:r>
      <w:r>
        <w:rPr>
          <w:rFonts w:hint="eastAsia" w:asciiTheme="minorEastAsia" w:hAnsiTheme="minorEastAsia" w:eastAsiaTheme="minorEastAsia"/>
          <w:b/>
          <w:bCs/>
          <w:color w:val="auto"/>
          <w:sz w:val="24"/>
          <w:highlight w:val="none"/>
        </w:rPr>
        <w:t>加盖供应商电子签章。</w:t>
      </w:r>
    </w:p>
    <w:p w14:paraId="1DC1EFA0">
      <w:pPr>
        <w:keepNext w:val="0"/>
        <w:keepLines w:val="0"/>
        <w:pageBreakBefore w:val="0"/>
        <w:widowControl w:val="0"/>
        <w:kinsoku/>
        <w:wordWrap/>
        <w:overflowPunct/>
        <w:topLinePunct w:val="0"/>
        <w:autoSpaceDE/>
        <w:autoSpaceDN/>
        <w:bidi w:val="0"/>
        <w:adjustRightInd w:val="0"/>
        <w:spacing w:line="360" w:lineRule="auto"/>
        <w:textAlignment w:val="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18AC10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53C3A8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595539A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5E3384C4">
      <w:pPr>
        <w:pStyle w:val="39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703981D6">
      <w:pPr>
        <w:pStyle w:val="39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4E3EE744">
      <w:pPr>
        <w:pStyle w:val="39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595693E8">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0ED4DF8A">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5DB5C78">
      <w:pPr>
        <w:pStyle w:val="392"/>
        <w:spacing w:before="0"/>
        <w:ind w:firstLine="0" w:firstLineChars="0"/>
        <w:rPr>
          <w:rFonts w:cs="仿宋_GB2312" w:asciiTheme="minorEastAsia" w:hAnsiTheme="minorEastAsia" w:eastAsiaTheme="minorEastAsia"/>
          <w:b/>
          <w:color w:val="auto"/>
          <w:szCs w:val="24"/>
          <w:highlight w:val="none"/>
        </w:rPr>
      </w:pPr>
    </w:p>
    <w:p w14:paraId="78CD7804">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4415B2B">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41EC4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6639EC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0378B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7D626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43A1F14">
      <w:pPr>
        <w:pStyle w:val="31"/>
        <w:spacing w:line="360" w:lineRule="auto"/>
        <w:rPr>
          <w:rFonts w:hint="default" w:cs="仿宋_GB2312" w:asciiTheme="minorEastAsia" w:hAnsiTheme="minorEastAsia" w:eastAsiaTheme="minorEastAsia"/>
          <w:b/>
          <w:color w:val="auto"/>
          <w:sz w:val="24"/>
          <w:szCs w:val="24"/>
          <w:highlight w:val="none"/>
          <w:lang w:val="en-US" w:eastAsia="zh-CN"/>
        </w:rPr>
      </w:pPr>
      <w:r>
        <w:rPr>
          <w:rFonts w:hint="eastAsia" w:cs="仿宋_GB2312" w:asciiTheme="minorEastAsia" w:hAnsiTheme="minorEastAsia" w:eastAsiaTheme="minorEastAsia"/>
          <w:b/>
          <w:color w:val="auto"/>
          <w:sz w:val="24"/>
          <w:szCs w:val="24"/>
          <w:highlight w:val="none"/>
        </w:rPr>
        <w:t>2.备份响应文件</w:t>
      </w:r>
      <w:r>
        <w:rPr>
          <w:rFonts w:hint="eastAsia" w:cs="仿宋_GB2312" w:asciiTheme="minorEastAsia" w:hAnsiTheme="minorEastAsia" w:eastAsiaTheme="minorEastAsia"/>
          <w:b/>
          <w:color w:val="auto"/>
          <w:sz w:val="24"/>
          <w:szCs w:val="24"/>
          <w:highlight w:val="none"/>
          <w:lang w:eastAsia="zh-CN"/>
        </w:rPr>
        <w:t>（</w:t>
      </w:r>
      <w:r>
        <w:rPr>
          <w:rFonts w:hint="eastAsia" w:cs="仿宋_GB2312" w:asciiTheme="minorEastAsia" w:hAnsiTheme="minorEastAsia" w:eastAsiaTheme="minorEastAsia"/>
          <w:b/>
          <w:color w:val="auto"/>
          <w:sz w:val="24"/>
          <w:szCs w:val="24"/>
          <w:highlight w:val="none"/>
          <w:lang w:val="en-US" w:eastAsia="zh-CN"/>
        </w:rPr>
        <w:t>注：本项目不要求提供备份响应文件）</w:t>
      </w:r>
    </w:p>
    <w:p w14:paraId="3103093E">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E29789C">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CB8CEB7">
      <w:pPr>
        <w:pStyle w:val="31"/>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2AA8C353">
      <w:pPr>
        <w:pStyle w:val="31"/>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0F555A9">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8E4E790">
      <w:pPr>
        <w:spacing w:line="360" w:lineRule="auto"/>
        <w:rPr>
          <w:rFonts w:hint="default" w:ascii="宋体" w:hAnsi="宋体" w:eastAsia="宋体" w:cs="宋体"/>
          <w:b/>
          <w:snapToGrid w:val="0"/>
          <w:color w:val="auto"/>
          <w:highlight w:val="none"/>
          <w:lang w:val="en-US" w:eastAsia="zh-CN"/>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磋商保证金</w:t>
      </w:r>
      <w:r>
        <w:rPr>
          <w:rFonts w:hint="eastAsia" w:ascii="宋体" w:hAnsi="宋体" w:cs="宋体"/>
          <w:b/>
          <w:snapToGrid w:val="0"/>
          <w:color w:val="auto"/>
          <w:kern w:val="28"/>
          <w:sz w:val="24"/>
          <w:highlight w:val="none"/>
          <w:lang w:eastAsia="zh-CN"/>
        </w:rPr>
        <w:t>（</w:t>
      </w:r>
      <w:r>
        <w:rPr>
          <w:rFonts w:hint="eastAsia" w:ascii="宋体" w:hAnsi="宋体" w:cs="宋体"/>
          <w:b/>
          <w:snapToGrid w:val="0"/>
          <w:color w:val="auto"/>
          <w:kern w:val="28"/>
          <w:sz w:val="24"/>
          <w:highlight w:val="none"/>
          <w:lang w:val="en-US" w:eastAsia="zh-CN"/>
        </w:rPr>
        <w:t>注：本项目不要求提交磋商保证金）</w:t>
      </w:r>
    </w:p>
    <w:p w14:paraId="75330E8A">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3.1</w:t>
      </w:r>
      <w:r>
        <w:rPr>
          <w:rFonts w:hint="eastAsia" w:hAnsi="宋体" w:cs="宋体"/>
          <w:color w:val="auto"/>
          <w:sz w:val="24"/>
          <w:highlight w:val="none"/>
        </w:rPr>
        <w:t>采购人在采购文件中要求提交</w:t>
      </w:r>
      <w:r>
        <w:rPr>
          <w:rFonts w:hint="eastAsia" w:ascii="宋体" w:hAnsi="宋体" w:cs="宋体"/>
          <w:color w:val="auto"/>
          <w:sz w:val="24"/>
          <w:highlight w:val="none"/>
        </w:rPr>
        <w:t>磋商</w:t>
      </w:r>
      <w:r>
        <w:rPr>
          <w:rFonts w:hint="eastAsia" w:hAnsi="宋体" w:cs="宋体"/>
          <w:color w:val="auto"/>
          <w:sz w:val="24"/>
          <w:highlight w:val="none"/>
        </w:rPr>
        <w:t>保证金的，</w:t>
      </w:r>
      <w:r>
        <w:rPr>
          <w:rFonts w:hint="eastAsia" w:ascii="宋体" w:hAnsi="宋体" w:cs="宋体"/>
          <w:color w:val="auto"/>
          <w:sz w:val="24"/>
          <w:highlight w:val="none"/>
        </w:rPr>
        <w:t>磋商</w:t>
      </w:r>
      <w:r>
        <w:rPr>
          <w:rFonts w:hint="eastAsia" w:hAnsi="宋体" w:cs="宋体"/>
          <w:color w:val="auto"/>
          <w:sz w:val="24"/>
          <w:highlight w:val="none"/>
        </w:rPr>
        <w:t>保证金的数额不得超过采购项目预算金额的1%，鼓励对诚信记录良好的供应商免收或者减少收取</w:t>
      </w:r>
      <w:r>
        <w:rPr>
          <w:rFonts w:hint="eastAsia" w:ascii="宋体" w:hAnsi="宋体" w:cs="宋体"/>
          <w:color w:val="auto"/>
          <w:sz w:val="24"/>
          <w:highlight w:val="none"/>
        </w:rPr>
        <w:t>磋商</w:t>
      </w:r>
      <w:r>
        <w:rPr>
          <w:rFonts w:hint="eastAsia" w:hAnsi="宋体" w:cs="宋体"/>
          <w:color w:val="auto"/>
          <w:sz w:val="24"/>
          <w:highlight w:val="none"/>
        </w:rPr>
        <w:t>保证金，对于需要收取保证金的政府采购项目，政府采购信用白名单供应商可以免于缴纳保证金，降低信用白名单供应商参与政府采购活动成本。</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保证金应当以支票、汇票、本票或者金融机构、担保机构出具的保函等非现金形式提交。</w:t>
      </w:r>
    </w:p>
    <w:p w14:paraId="2416597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磋商保证金收取银行账户</w:t>
      </w:r>
    </w:p>
    <w:p w14:paraId="3C43C01B">
      <w:pPr>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开户名称：</w:t>
      </w:r>
      <w:r>
        <w:rPr>
          <w:rFonts w:hint="eastAsia" w:ascii="宋体" w:hAnsi="宋体" w:cs="宋体"/>
          <w:color w:val="auto"/>
          <w:sz w:val="24"/>
          <w:highlight w:val="none"/>
          <w:lang w:val="en-US" w:eastAsia="zh-CN"/>
        </w:rPr>
        <w:t>/</w:t>
      </w:r>
    </w:p>
    <w:p w14:paraId="2F0E7926">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开户银行：</w:t>
      </w:r>
      <w:r>
        <w:rPr>
          <w:rFonts w:hint="eastAsia" w:ascii="宋体" w:hAnsi="宋体" w:cs="宋体"/>
          <w:color w:val="auto"/>
          <w:sz w:val="24"/>
          <w:highlight w:val="none"/>
          <w:lang w:val="en-US" w:eastAsia="zh-CN"/>
        </w:rPr>
        <w:t>/</w:t>
      </w:r>
    </w:p>
    <w:p w14:paraId="4E8742BA">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银行账号：</w:t>
      </w:r>
      <w:r>
        <w:rPr>
          <w:rFonts w:hint="eastAsia" w:ascii="宋体" w:hAnsi="宋体" w:cs="宋体"/>
          <w:color w:val="auto"/>
          <w:sz w:val="24"/>
          <w:highlight w:val="none"/>
          <w:lang w:val="en-US" w:eastAsia="zh-CN"/>
        </w:rPr>
        <w:t>/</w:t>
      </w:r>
    </w:p>
    <w:p w14:paraId="2BFDA7EE">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3.2</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在响应文件提交截止时间前撤回已提交的响应文件的，采购人或者采购代理机构应当自收到</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书面撤回通知之日起５个工作日内，退还已收取的</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保证金，但因</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自身原因导致无法及时退还的除外。</w:t>
      </w:r>
    </w:p>
    <w:p w14:paraId="0A3CCD2F">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37DF8ED7">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79B4C244">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5E26295F">
      <w:pPr>
        <w:pStyle w:val="31"/>
        <w:spacing w:line="360" w:lineRule="auto"/>
        <w:ind w:firstLine="360" w:firstLineChars="150"/>
        <w:rPr>
          <w:rFonts w:cs="仿宋_GB2312" w:asciiTheme="minorEastAsia" w:hAnsiTheme="minorEastAsia" w:eastAsiaTheme="minorEastAsia"/>
          <w:color w:val="auto"/>
          <w:sz w:val="24"/>
          <w:szCs w:val="24"/>
          <w:highlight w:val="none"/>
        </w:rPr>
      </w:pPr>
    </w:p>
    <w:p w14:paraId="41940D67">
      <w:pPr>
        <w:adjustRightInd/>
        <w:spacing w:line="360" w:lineRule="auto"/>
        <w:jc w:val="center"/>
        <w:rPr>
          <w:rFonts w:cs="仿宋_GB2312" w:asciiTheme="minorEastAsia" w:hAnsiTheme="minorEastAsia" w:eastAsiaTheme="minorEastAsia"/>
          <w:b/>
          <w:color w:val="auto"/>
          <w:sz w:val="32"/>
          <w:szCs w:val="20"/>
          <w:highlight w:val="none"/>
        </w:rPr>
      </w:pPr>
    </w:p>
    <w:p w14:paraId="37B012C1">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14D4C98">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932A84B">
      <w:pPr>
        <w:pStyle w:val="31"/>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72D8832">
      <w:pPr>
        <w:pStyle w:val="31"/>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F2D91C4">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3CA6678">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5CF9BBA">
      <w:pPr>
        <w:pStyle w:val="392"/>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0A949BFC">
      <w:pPr>
        <w:pStyle w:val="392"/>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263A96B4">
      <w:pPr>
        <w:pStyle w:val="392"/>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58CCB90D">
      <w:pPr>
        <w:pStyle w:val="392"/>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87A251">
      <w:pPr>
        <w:pStyle w:val="31"/>
        <w:spacing w:line="360" w:lineRule="auto"/>
        <w:rPr>
          <w:rFonts w:cs="仿宋_GB2312" w:asciiTheme="minorEastAsia" w:hAnsiTheme="minorEastAsia" w:eastAsiaTheme="minorEastAsia"/>
          <w:b/>
          <w:color w:val="auto"/>
          <w:sz w:val="24"/>
          <w:szCs w:val="24"/>
          <w:highlight w:val="none"/>
        </w:rPr>
      </w:pPr>
    </w:p>
    <w:p w14:paraId="3ABEEB78">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F6E5F14">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7A77FD0A">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szCs w:val="24"/>
          <w:highlight w:val="none"/>
        </w:rPr>
        <w:t>1.1最后报价一览表；</w:t>
      </w:r>
    </w:p>
    <w:p w14:paraId="1D096898">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2738EB8">
      <w:pPr>
        <w:adjustRightInd/>
        <w:spacing w:line="360" w:lineRule="auto"/>
        <w:jc w:val="center"/>
        <w:rPr>
          <w:rFonts w:cs="仿宋_GB2312" w:asciiTheme="minorEastAsia" w:hAnsiTheme="minorEastAsia" w:eastAsiaTheme="minorEastAsia"/>
          <w:b/>
          <w:color w:val="auto"/>
          <w:sz w:val="32"/>
          <w:szCs w:val="20"/>
          <w:highlight w:val="none"/>
        </w:rPr>
      </w:pPr>
    </w:p>
    <w:p w14:paraId="01F25CCF">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99A86F1">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0FC431E">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F4FEC1C">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0FCB65BD">
      <w:pPr>
        <w:adjustRightInd/>
        <w:spacing w:line="360" w:lineRule="auto"/>
        <w:jc w:val="center"/>
        <w:rPr>
          <w:rFonts w:cs="仿宋_GB2312" w:asciiTheme="minorEastAsia" w:hAnsiTheme="minorEastAsia" w:eastAsiaTheme="minorEastAsia"/>
          <w:color w:val="auto"/>
          <w:sz w:val="24"/>
          <w:highlight w:val="none"/>
        </w:rPr>
      </w:pPr>
    </w:p>
    <w:p w14:paraId="094008FA">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A2F3765">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2DD258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D03E3A0">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3A88439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77A06993">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653617A">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34BFA30B">
      <w:pPr>
        <w:spacing w:line="360" w:lineRule="auto"/>
        <w:ind w:firstLine="480" w:firstLineChars="20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43" w:name="_Hlk101184471"/>
      <w:r>
        <w:rPr>
          <w:rFonts w:hint="eastAsia" w:cs="宋体" w:asciiTheme="minorEastAsia" w:hAnsiTheme="minorEastAsia" w:eastAsiaTheme="minorEastAsia"/>
          <w:color w:val="auto"/>
          <w:sz w:val="24"/>
          <w:highlight w:val="none"/>
        </w:rPr>
        <w:t>评审专家</w:t>
      </w:r>
      <w:r>
        <w:rPr>
          <w:rFonts w:hint="eastAsia" w:cs="宋体" w:asciiTheme="minorEastAsia" w:hAnsiTheme="minorEastAsia" w:eastAsiaTheme="minorEastAsia"/>
          <w:color w:val="auto"/>
          <w:sz w:val="24"/>
          <w:highlight w:val="none"/>
          <w:lang w:val="en-US" w:eastAsia="zh-CN"/>
        </w:rPr>
        <w:t>组建情况</w:t>
      </w:r>
      <w:r>
        <w:rPr>
          <w:rFonts w:hint="eastAsia" w:cs="宋体" w:asciiTheme="minorEastAsia" w:hAnsiTheme="minorEastAsia" w:eastAsiaTheme="minorEastAsia"/>
          <w:color w:val="auto"/>
          <w:sz w:val="24"/>
          <w:highlight w:val="none"/>
        </w:rPr>
        <w:t>、</w:t>
      </w:r>
      <w:bookmarkEnd w:id="43"/>
      <w:r>
        <w:rPr>
          <w:rFonts w:hint="eastAsia" w:cs="宋体" w:asciiTheme="minorEastAsia" w:hAnsiTheme="minorEastAsia" w:eastAsiaTheme="minorEastAsia"/>
          <w:color w:val="auto"/>
          <w:sz w:val="24"/>
          <w:highlight w:val="none"/>
        </w:rPr>
        <w:t>成交公告期限以及成交供应商的评审总得分。</w:t>
      </w:r>
    </w:p>
    <w:p w14:paraId="5965E613">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41D9C06">
      <w:pPr>
        <w:snapToGrid w:val="0"/>
        <w:spacing w:line="360" w:lineRule="auto"/>
        <w:jc w:val="center"/>
        <w:rPr>
          <w:rFonts w:cs="仿宋_GB2312" w:asciiTheme="minorEastAsia" w:hAnsiTheme="minorEastAsia" w:eastAsiaTheme="minorEastAsia"/>
          <w:b/>
          <w:color w:val="auto"/>
          <w:sz w:val="36"/>
          <w:szCs w:val="36"/>
          <w:highlight w:val="none"/>
        </w:rPr>
      </w:pPr>
    </w:p>
    <w:p w14:paraId="42F4F0A4">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0E0498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C52ADB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F6D506F">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2AC3D8E">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EF4F83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C22A1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BF7C26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EEAF295">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DFBCE05">
      <w:pPr>
        <w:pStyle w:val="392"/>
        <w:snapToGrid w:val="0"/>
        <w:spacing w:before="0"/>
        <w:ind w:firstLine="480"/>
        <w:rPr>
          <w:rFonts w:ascii="宋体" w:hAnsi="宋体" w:cs="宋体"/>
          <w:color w:val="auto"/>
          <w:highlight w:val="none"/>
        </w:rPr>
      </w:pPr>
      <w:r>
        <w:rPr>
          <w:rFonts w:hint="eastAsia" w:ascii="宋体" w:hAnsi="宋体" w:cs="宋体"/>
          <w:color w:val="auto"/>
          <w:highlight w:val="none"/>
        </w:rPr>
        <w:t>2.7政采贷</w:t>
      </w:r>
    </w:p>
    <w:p w14:paraId="2D032A3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44182A21">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7F8715F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7C9E0D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50580E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75DC8D8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1D1BE6EB">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045288B1">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注：相关合作银行的具体操作流程详见北海市政府采购中心首页“政采贷”板块。</w:t>
      </w:r>
    </w:p>
    <w:p w14:paraId="5A516815">
      <w:pPr>
        <w:pStyle w:val="631"/>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181F6AA7">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64502485">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0C0C815C">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D3E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3E3834">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0359E18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41D697D8">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4CF63990">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27A3E82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520219F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79B5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9A5DDD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530F938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0032FD0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23CE7DE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3659D63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4B831663">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7A15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B49BA9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4342A10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73BD7D2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54BC8A3A">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69C7A568">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44E50CB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4DDC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2A4C10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521F2B4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31329186">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4C11CB25">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722AAFD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3C8BEF45">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7576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F8BBE8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49F5182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28500637">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71782DE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54E486E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23656D2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5F93A70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54122D40">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5ABD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E87EE3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73D0937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4A4E7D6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65AC462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120030E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2D820C9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14E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64E770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529E15E8">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1F58446C">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4108D2F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6FA5FB6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576E157F">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3B9E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661F0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53F10A3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46075135">
            <w:pPr>
              <w:snapToGrid w:val="0"/>
              <w:spacing w:line="360" w:lineRule="auto"/>
              <w:jc w:val="left"/>
              <w:rPr>
                <w:rFonts w:ascii="宋体" w:hAnsi="宋体"/>
                <w:color w:val="auto"/>
                <w:kern w:val="0"/>
                <w:sz w:val="24"/>
                <w:szCs w:val="20"/>
                <w:highlight w:val="none"/>
              </w:rPr>
            </w:pPr>
          </w:p>
        </w:tc>
        <w:tc>
          <w:tcPr>
            <w:tcW w:w="993" w:type="dxa"/>
            <w:vAlign w:val="center"/>
          </w:tcPr>
          <w:p w14:paraId="3DC90E7D">
            <w:pPr>
              <w:snapToGrid w:val="0"/>
              <w:spacing w:line="360" w:lineRule="auto"/>
              <w:jc w:val="center"/>
              <w:rPr>
                <w:rFonts w:ascii="宋体" w:hAnsi="宋体"/>
                <w:color w:val="auto"/>
                <w:kern w:val="0"/>
                <w:sz w:val="24"/>
                <w:szCs w:val="20"/>
                <w:highlight w:val="none"/>
              </w:rPr>
            </w:pPr>
          </w:p>
        </w:tc>
        <w:tc>
          <w:tcPr>
            <w:tcW w:w="850" w:type="dxa"/>
            <w:vAlign w:val="center"/>
          </w:tcPr>
          <w:p w14:paraId="30EEF178">
            <w:pPr>
              <w:snapToGrid w:val="0"/>
              <w:spacing w:line="360" w:lineRule="auto"/>
              <w:jc w:val="center"/>
              <w:rPr>
                <w:rFonts w:ascii="宋体" w:hAnsi="宋体"/>
                <w:color w:val="auto"/>
                <w:kern w:val="0"/>
                <w:sz w:val="24"/>
                <w:szCs w:val="20"/>
                <w:highlight w:val="none"/>
              </w:rPr>
            </w:pPr>
          </w:p>
        </w:tc>
        <w:tc>
          <w:tcPr>
            <w:tcW w:w="3366" w:type="dxa"/>
            <w:vAlign w:val="center"/>
          </w:tcPr>
          <w:p w14:paraId="27F25676">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31DE3604">
      <w:pPr>
        <w:pStyle w:val="631"/>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2464440B">
      <w:pPr>
        <w:tabs>
          <w:tab w:val="left" w:pos="0"/>
        </w:tabs>
        <w:spacing w:line="360" w:lineRule="auto"/>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3．履约保证金</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注：本项目不要求提交履约保证金）</w:t>
      </w:r>
    </w:p>
    <w:p w14:paraId="6B0A71F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3.1拟签订的合同文本要求成交供应商提交履约保证金的，供应商应当以支票、汇票、本票或者金融机构、担保机构出具的保函等非现金形式提交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FA0428">
      <w:pPr>
        <w:pStyle w:val="631"/>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75ED414">
      <w:pPr>
        <w:pStyle w:val="631"/>
        <w:ind w:firstLine="480" w:firstLineChars="200"/>
        <w:rPr>
          <w:rFonts w:cs="宋体"/>
          <w:color w:val="auto"/>
          <w:kern w:val="2"/>
          <w:szCs w:val="24"/>
          <w:highlight w:val="none"/>
        </w:rPr>
      </w:pPr>
      <w:r>
        <w:rPr>
          <w:rFonts w:hint="eastAsia" w:cs="宋体"/>
          <w:color w:val="auto"/>
          <w:kern w:val="2"/>
          <w:szCs w:val="24"/>
          <w:highlight w:val="none"/>
        </w:rPr>
        <w:t xml:space="preserve">开户名称： </w:t>
      </w:r>
    </w:p>
    <w:p w14:paraId="18DDEC82">
      <w:pPr>
        <w:pStyle w:val="631"/>
        <w:ind w:firstLine="480" w:firstLineChars="200"/>
        <w:rPr>
          <w:rFonts w:cs="宋体"/>
          <w:color w:val="auto"/>
          <w:kern w:val="2"/>
          <w:szCs w:val="24"/>
          <w:highlight w:val="none"/>
        </w:rPr>
      </w:pPr>
      <w:r>
        <w:rPr>
          <w:rFonts w:hint="eastAsia" w:cs="宋体"/>
          <w:color w:val="auto"/>
          <w:kern w:val="2"/>
          <w:szCs w:val="24"/>
          <w:highlight w:val="none"/>
        </w:rPr>
        <w:t xml:space="preserve">开户银行： </w:t>
      </w:r>
    </w:p>
    <w:p w14:paraId="17C5DAD2">
      <w:pPr>
        <w:pStyle w:val="631"/>
        <w:ind w:firstLine="480" w:firstLineChars="200"/>
        <w:rPr>
          <w:rFonts w:cs="宋体"/>
          <w:color w:val="auto"/>
          <w:kern w:val="2"/>
          <w:szCs w:val="24"/>
          <w:highlight w:val="none"/>
        </w:rPr>
      </w:pPr>
      <w:r>
        <w:rPr>
          <w:rFonts w:hint="eastAsia" w:cs="宋体"/>
          <w:color w:val="auto"/>
          <w:kern w:val="2"/>
          <w:szCs w:val="24"/>
          <w:highlight w:val="none"/>
        </w:rPr>
        <w:t>银行账号：</w:t>
      </w:r>
    </w:p>
    <w:p w14:paraId="767DE839">
      <w:pPr>
        <w:pStyle w:val="631"/>
        <w:ind w:firstLine="480" w:firstLineChars="200"/>
        <w:rPr>
          <w:snapToGrid w:val="0"/>
          <w:color w:val="auto"/>
          <w:highlight w:val="none"/>
        </w:rPr>
      </w:pPr>
      <w:r>
        <w:rPr>
          <w:rFonts w:hint="eastAsia"/>
          <w:snapToGrid w:val="0"/>
          <w:color w:val="auto"/>
          <w:highlight w:val="none"/>
        </w:rPr>
        <w:t>3.2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51271F42">
      <w:pPr>
        <w:pStyle w:val="631"/>
        <w:rPr>
          <w:color w:val="auto"/>
          <w:highlight w:val="none"/>
        </w:rPr>
      </w:pPr>
      <w:r>
        <w:rPr>
          <w:rFonts w:hint="eastAsia"/>
          <w:color w:val="auto"/>
          <w:highlight w:val="none"/>
        </w:rPr>
        <w:t>3.3履约保证金的退还。验收合格的政府采购项目，采购人应当按照合同约定的退还方式，在5个工作日内办理履约保证金退还手续。</w:t>
      </w:r>
    </w:p>
    <w:p w14:paraId="37402A3F">
      <w:pPr>
        <w:pStyle w:val="631"/>
        <w:rPr>
          <w:color w:val="auto"/>
          <w:highlight w:val="none"/>
        </w:rPr>
      </w:pPr>
      <w:r>
        <w:rPr>
          <w:color w:val="auto"/>
          <w:highlight w:val="none"/>
        </w:rPr>
        <w:t>4.</w:t>
      </w:r>
      <w:r>
        <w:rPr>
          <w:rFonts w:hint="eastAsia"/>
          <w:color w:val="auto"/>
          <w:highlight w:val="none"/>
        </w:rPr>
        <w:t>预付款</w:t>
      </w:r>
    </w:p>
    <w:p w14:paraId="3DD0FDA2">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1671A5E8">
      <w:pPr>
        <w:tabs>
          <w:tab w:val="left" w:pos="0"/>
        </w:tabs>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2E710E3C">
      <w:pPr>
        <w:snapToGrid w:val="0"/>
        <w:spacing w:line="360" w:lineRule="auto"/>
        <w:jc w:val="center"/>
        <w:rPr>
          <w:rFonts w:cs="仿宋_GB2312" w:asciiTheme="minorEastAsia" w:hAnsiTheme="minorEastAsia" w:eastAsiaTheme="minorEastAsia"/>
          <w:b/>
          <w:color w:val="auto"/>
          <w:sz w:val="36"/>
          <w:szCs w:val="36"/>
          <w:highlight w:val="none"/>
        </w:rPr>
      </w:pPr>
    </w:p>
    <w:p w14:paraId="6CDFAC7F">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7CE9F902">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7AF8098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D558B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4315EAF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61567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5920BF">
      <w:pPr>
        <w:snapToGrid w:val="0"/>
        <w:spacing w:line="360" w:lineRule="auto"/>
        <w:jc w:val="center"/>
        <w:rPr>
          <w:rFonts w:cs="仿宋_GB2312" w:asciiTheme="minorEastAsia" w:hAnsiTheme="minorEastAsia" w:eastAsiaTheme="minorEastAsia"/>
          <w:b/>
          <w:color w:val="auto"/>
          <w:sz w:val="36"/>
          <w:szCs w:val="36"/>
          <w:highlight w:val="none"/>
        </w:rPr>
      </w:pPr>
    </w:p>
    <w:p w14:paraId="780EF260">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031C0F75">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2F48FE8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05C6663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6D8C258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F94459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4F88AF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423C60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C4173D2">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44" w:name="_Hlt75236290"/>
      <w:bookmarkEnd w:id="44"/>
      <w:bookmarkStart w:id="45" w:name="_Hlt75236011"/>
      <w:bookmarkEnd w:id="45"/>
      <w:bookmarkStart w:id="46" w:name="_Hlt68057669"/>
      <w:bookmarkEnd w:id="46"/>
      <w:bookmarkStart w:id="47" w:name="_Hlt75236101"/>
      <w:bookmarkEnd w:id="47"/>
      <w:bookmarkStart w:id="48" w:name="_Hlt68072990"/>
      <w:bookmarkEnd w:id="48"/>
      <w:bookmarkStart w:id="49" w:name="_Hlt74714665"/>
      <w:bookmarkEnd w:id="49"/>
      <w:bookmarkStart w:id="50" w:name="_Hlt74730295"/>
      <w:bookmarkEnd w:id="50"/>
      <w:bookmarkStart w:id="51" w:name="_Hlt74707468"/>
      <w:bookmarkEnd w:id="51"/>
      <w:bookmarkStart w:id="52" w:name="_Hlt74729768"/>
      <w:bookmarkEnd w:id="52"/>
      <w:bookmarkStart w:id="53" w:name="第三部分"/>
      <w:bookmarkStart w:id="54" w:name="_Toc164416483"/>
    </w:p>
    <w:p w14:paraId="13AFE405">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1E15398A">
      <w:pPr>
        <w:pStyle w:val="23"/>
        <w:spacing w:line="360" w:lineRule="auto"/>
        <w:ind w:firstLine="0" w:firstLineChars="0"/>
        <w:rPr>
          <w:rFonts w:cs="宋体"/>
          <w:b/>
          <w:color w:val="auto"/>
          <w:highlight w:val="none"/>
        </w:rPr>
      </w:pPr>
      <w:r>
        <w:rPr>
          <w:rFonts w:hint="eastAsia" w:cs="宋体"/>
          <w:b/>
          <w:color w:val="auto"/>
          <w:highlight w:val="none"/>
        </w:rPr>
        <w:t>1.代理费用的收取标准和方式</w:t>
      </w:r>
    </w:p>
    <w:p w14:paraId="2F56BA3A">
      <w:pPr>
        <w:pStyle w:val="631"/>
        <w:ind w:firstLine="480" w:firstLineChars="200"/>
        <w:rPr>
          <w:rFonts w:hint="eastAsia" w:cs="宋体"/>
          <w:color w:val="auto"/>
          <w:kern w:val="2"/>
          <w:szCs w:val="24"/>
          <w:highlight w:val="none"/>
          <w:lang w:val="en-US" w:eastAsia="zh-CN"/>
        </w:rPr>
      </w:pPr>
      <w:r>
        <w:rPr>
          <w:rFonts w:hint="eastAsia" w:cs="宋体"/>
          <w:color w:val="auto"/>
          <w:kern w:val="2"/>
          <w:szCs w:val="24"/>
          <w:highlight w:val="none"/>
        </w:rPr>
        <w:t>1.1采购代理费支付方式：本项目代理服务费</w:t>
      </w:r>
      <w:r>
        <w:rPr>
          <w:rFonts w:hint="eastAsia" w:cs="宋体"/>
          <w:color w:val="auto"/>
          <w:kern w:val="2"/>
          <w:szCs w:val="24"/>
          <w:highlight w:val="none"/>
          <w:lang w:val="en-US" w:eastAsia="zh-CN"/>
        </w:rPr>
        <w:t>由中标（成交）供应商在领取成交通知书时，一次性向采购代理机构支付。</w:t>
      </w:r>
    </w:p>
    <w:p w14:paraId="50CC4DDC">
      <w:pPr>
        <w:pStyle w:val="631"/>
        <w:ind w:firstLine="480" w:firstLineChars="200"/>
        <w:rPr>
          <w:rFonts w:cs="宋体"/>
          <w:color w:val="auto"/>
          <w:kern w:val="2"/>
          <w:szCs w:val="24"/>
          <w:highlight w:val="none"/>
        </w:rPr>
      </w:pPr>
      <w:r>
        <w:rPr>
          <w:rFonts w:hint="eastAsia" w:cs="宋体"/>
          <w:color w:val="auto"/>
          <w:kern w:val="2"/>
          <w:szCs w:val="24"/>
          <w:highlight w:val="none"/>
        </w:rPr>
        <w:t>1.</w:t>
      </w:r>
      <w:r>
        <w:rPr>
          <w:rFonts w:hint="eastAsia" w:cs="宋体"/>
          <w:color w:val="auto"/>
          <w:kern w:val="2"/>
          <w:szCs w:val="24"/>
          <w:highlight w:val="none"/>
          <w:lang w:val="en-US" w:eastAsia="zh-CN"/>
        </w:rPr>
        <w:t>2</w:t>
      </w:r>
      <w:r>
        <w:rPr>
          <w:rFonts w:hint="eastAsia" w:cs="宋体"/>
          <w:color w:val="auto"/>
          <w:kern w:val="2"/>
          <w:szCs w:val="24"/>
          <w:highlight w:val="none"/>
        </w:rPr>
        <w:t>采购代理费收取银行账户</w:t>
      </w:r>
    </w:p>
    <w:p w14:paraId="6C1D8056">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开户名称：广西北部湾宏亚建设管理有限公司北海分公司 </w:t>
      </w:r>
    </w:p>
    <w:p w14:paraId="18C8E1E3">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开户银行：北海工行江苏路支行</w:t>
      </w:r>
    </w:p>
    <w:p w14:paraId="2D17266A">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银行账号：2107 5309 0930 0049 767</w:t>
      </w:r>
    </w:p>
    <w:p w14:paraId="27724717">
      <w:pPr>
        <w:adjustRightInd/>
        <w:spacing w:line="360" w:lineRule="auto"/>
        <w:ind w:firstLine="480" w:firstLineChars="200"/>
        <w:jc w:val="both"/>
        <w:outlineLvl w:val="0"/>
        <w:rPr>
          <w:rFonts w:hint="eastAsia" w:ascii="宋体" w:hAnsi="宋体" w:cs="宋体"/>
          <w:bCs/>
          <w:color w:val="auto"/>
          <w:sz w:val="24"/>
          <w:highlight w:val="none"/>
          <w:lang w:val="en-US" w:eastAsia="zh-CN"/>
        </w:rPr>
      </w:pPr>
      <w:bookmarkStart w:id="55" w:name="_Toc13089"/>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代理服务收费标准：</w:t>
      </w:r>
      <w:r>
        <w:rPr>
          <w:rFonts w:hint="eastAsia" w:ascii="宋体" w:hAnsi="宋体" w:cs="宋体"/>
          <w:bCs/>
          <w:color w:val="auto"/>
          <w:sz w:val="24"/>
          <w:highlight w:val="none"/>
          <w:lang w:val="en-US" w:eastAsia="zh-CN"/>
        </w:rPr>
        <w:t>参考《国家发展改革委关于降低部分建设项目收费标准规范收费行为等有关问题的通知》(发改价格[2011]534号)及《国家发展改革委关于进一步放开建设项目专业服务价格的通知》(发改价格〔2015〕299号)文件规定，实行市场调节价，由中标（成交）供应商在领取成交通知书时，一次性向采购代理机构支付。</w:t>
      </w:r>
    </w:p>
    <w:bookmarkEnd w:id="55"/>
    <w:p w14:paraId="1B863D24">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86EB4AB">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6" w:name="_Toc12584"/>
      <w:r>
        <w:rPr>
          <w:rFonts w:hint="eastAsia" w:cs="仿宋_GB2312" w:asciiTheme="minorEastAsia" w:hAnsiTheme="minorEastAsia" w:eastAsiaTheme="minorEastAsia"/>
          <w:b/>
          <w:color w:val="auto"/>
          <w:sz w:val="36"/>
          <w:szCs w:val="36"/>
          <w:highlight w:val="none"/>
        </w:rPr>
        <w:t>第四部分  采购需求</w:t>
      </w:r>
      <w:bookmarkEnd w:id="56"/>
    </w:p>
    <w:p w14:paraId="7FA70CA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469CF1A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为落实政府采购政策需满足的要求</w:t>
      </w:r>
    </w:p>
    <w:p w14:paraId="0DEF7A1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（1）本竞争性磋商采购文件所称中小企业必须符合《政府采购促进中小企业发展管理办法》（财库〔2020〕46号）的规定。</w:t>
      </w:r>
    </w:p>
    <w:p w14:paraId="372BD02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（2）根据《财政部司法部关于政府采购支持监狱企业发展有关问题的通知》（财库〔2014〕68号）的规定，如供应商为监狱企业，视同小型、微型企业。</w:t>
      </w:r>
    </w:p>
    <w:p w14:paraId="26DDFF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（3）根据《关于促进残疾人就业政府采购政策的通知》（财库〔2017〕141号）的规定，如供应商为残疾人福利性单位，视同小型、微型企业。</w:t>
      </w:r>
    </w:p>
    <w:p w14:paraId="2DA29135">
      <w:pPr>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“实质性要求”是指采购需求中带“▲”的条款或者不能负偏离的条款或者已经指明不满足按响应文件按无效处理的条款。</w:t>
      </w:r>
    </w:p>
    <w:p w14:paraId="50A959D2">
      <w:pPr>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供应商应根据自身实际情况如实响应磋商文件，对磋商文件提出的要求和条件作出明确响应</w:t>
      </w:r>
      <w:r>
        <w:rPr>
          <w:rFonts w:hint="eastAsia" w:ascii="宋体" w:hAnsi="宋体" w:eastAsia="宋体" w:cs="宋体"/>
          <w:b/>
          <w:bCs/>
          <w:color w:val="auto"/>
          <w:sz w:val="24"/>
          <w:szCs w:val="24"/>
          <w:highlight w:val="none"/>
        </w:rPr>
        <w:t>，否则将作无效响应处理。</w:t>
      </w:r>
      <w:r>
        <w:rPr>
          <w:rFonts w:hint="eastAsia" w:ascii="宋体" w:hAnsi="宋体" w:eastAsia="宋体" w:cs="宋体"/>
          <w:color w:val="auto"/>
          <w:sz w:val="24"/>
          <w:szCs w:val="24"/>
          <w:highlight w:val="none"/>
        </w:rPr>
        <w:t>对于重要技术条款或技术参数应当在响应文件中提供技术支持资料，技术支持资料以磋商文件中规定的形式为准，否则将视为无效技术支持资料。</w:t>
      </w:r>
    </w:p>
    <w:p w14:paraId="0BE7B6A4">
      <w:pPr>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供应商必须自行为其竞标产品侵犯他人的知识产权或者专利成果的行为承担相应法律责任。</w:t>
      </w:r>
    </w:p>
    <w:p w14:paraId="3CCE6EA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本项目</w:t>
      </w:r>
      <w:r>
        <w:rPr>
          <w:rFonts w:hint="eastAsia" w:ascii="宋体" w:hAnsi="宋体" w:cs="宋体"/>
          <w:b/>
          <w:color w:val="auto"/>
          <w:sz w:val="24"/>
          <w:szCs w:val="24"/>
          <w:highlight w:val="none"/>
          <w:lang w:val="en-US" w:eastAsia="zh-CN"/>
        </w:rPr>
        <w:t>采购标的</w:t>
      </w:r>
      <w:r>
        <w:rPr>
          <w:rFonts w:hint="eastAsia" w:ascii="宋体" w:hAnsi="宋体" w:eastAsia="宋体" w:cs="宋体"/>
          <w:b/>
          <w:color w:val="auto"/>
          <w:sz w:val="24"/>
          <w:szCs w:val="24"/>
          <w:highlight w:val="none"/>
        </w:rPr>
        <w:t>所属行业</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餐饮业</w:t>
      </w:r>
      <w:r>
        <w:rPr>
          <w:rFonts w:hint="eastAsia" w:ascii="宋体" w:hAnsi="宋体" w:eastAsia="宋体" w:cs="宋体"/>
          <w:b/>
          <w:bCs/>
          <w:color w:val="auto"/>
          <w:sz w:val="24"/>
          <w:szCs w:val="24"/>
          <w:highlight w:val="none"/>
        </w:rPr>
        <w:t>。</w:t>
      </w:r>
    </w:p>
    <w:tbl>
      <w:tblPr>
        <w:tblStyle w:val="60"/>
        <w:tblW w:w="0" w:type="auto"/>
        <w:tblInd w:w="108" w:type="dxa"/>
        <w:tblLayout w:type="fixed"/>
        <w:tblCellMar>
          <w:top w:w="0" w:type="dxa"/>
          <w:left w:w="108" w:type="dxa"/>
          <w:bottom w:w="0" w:type="dxa"/>
          <w:right w:w="108" w:type="dxa"/>
        </w:tblCellMar>
      </w:tblPr>
      <w:tblGrid>
        <w:gridCol w:w="762"/>
        <w:gridCol w:w="1656"/>
        <w:gridCol w:w="828"/>
        <w:gridCol w:w="865"/>
        <w:gridCol w:w="851"/>
        <w:gridCol w:w="4677"/>
      </w:tblGrid>
      <w:tr w14:paraId="4C1B2974">
        <w:tblPrEx>
          <w:tblCellMar>
            <w:top w:w="0" w:type="dxa"/>
            <w:left w:w="108" w:type="dxa"/>
            <w:bottom w:w="0" w:type="dxa"/>
            <w:right w:w="108" w:type="dxa"/>
          </w:tblCellMar>
        </w:tblPrEx>
        <w:trPr>
          <w:trHeight w:val="711" w:hRule="atLeast"/>
        </w:trPr>
        <w:tc>
          <w:tcPr>
            <w:tcW w:w="963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021C91EF">
            <w:pPr>
              <w:widowControl/>
              <w:adjustRightInd/>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技术要求</w:t>
            </w:r>
          </w:p>
        </w:tc>
      </w:tr>
      <w:tr w14:paraId="7AE7FF68">
        <w:tblPrEx>
          <w:tblCellMar>
            <w:top w:w="0" w:type="dxa"/>
            <w:left w:w="108" w:type="dxa"/>
            <w:bottom w:w="0" w:type="dxa"/>
            <w:right w:w="108" w:type="dxa"/>
          </w:tblCellMar>
        </w:tblPrEx>
        <w:trPr>
          <w:trHeight w:val="755" w:hRule="atLeast"/>
        </w:trPr>
        <w:tc>
          <w:tcPr>
            <w:tcW w:w="762" w:type="dxa"/>
            <w:tcBorders>
              <w:top w:val="single" w:color="auto" w:sz="4" w:space="0"/>
              <w:left w:val="single" w:color="auto" w:sz="4" w:space="0"/>
              <w:bottom w:val="single" w:color="auto" w:sz="4" w:space="0"/>
              <w:right w:val="single" w:color="auto" w:sz="4" w:space="0"/>
            </w:tcBorders>
            <w:shd w:val="clear" w:color="000000" w:fill="FFFFFF"/>
            <w:vAlign w:val="center"/>
          </w:tcPr>
          <w:p w14:paraId="5650473B">
            <w:pPr>
              <w:widowControl/>
              <w:adjustRightInd/>
              <w:jc w:val="center"/>
              <w:rPr>
                <w:rFonts w:hint="eastAsia" w:cs="宋体" w:asciiTheme="minorEastAsia" w:hAnsiTheme="minorEastAsia" w:eastAsiaTheme="minorEastAsia"/>
                <w:b/>
                <w:bCs/>
                <w:color w:val="auto"/>
                <w:kern w:val="0"/>
                <w:sz w:val="24"/>
                <w:highlight w:val="none"/>
                <w:lang w:val="en-US" w:eastAsia="zh-CN"/>
              </w:rPr>
            </w:pPr>
            <w:r>
              <w:rPr>
                <w:rFonts w:hint="eastAsia" w:cs="宋体" w:asciiTheme="minorEastAsia" w:hAnsiTheme="minorEastAsia" w:eastAsiaTheme="minorEastAsia"/>
                <w:b/>
                <w:bCs/>
                <w:color w:val="auto"/>
                <w:kern w:val="0"/>
                <w:sz w:val="24"/>
                <w:highlight w:val="none"/>
                <w:lang w:val="en-US" w:eastAsia="zh-CN"/>
              </w:rPr>
              <w:t>序号</w:t>
            </w:r>
          </w:p>
        </w:tc>
        <w:tc>
          <w:tcPr>
            <w:tcW w:w="2484" w:type="dxa"/>
            <w:gridSpan w:val="2"/>
            <w:tcBorders>
              <w:top w:val="single" w:color="auto" w:sz="4" w:space="0"/>
              <w:left w:val="nil"/>
              <w:bottom w:val="single" w:color="auto" w:sz="4" w:space="0"/>
              <w:right w:val="single" w:color="auto" w:sz="4" w:space="0"/>
            </w:tcBorders>
            <w:shd w:val="clear" w:color="000000" w:fill="FFFFFF"/>
            <w:vAlign w:val="center"/>
          </w:tcPr>
          <w:p w14:paraId="129801A5">
            <w:pPr>
              <w:widowControl/>
              <w:adjustRightInd/>
              <w:jc w:val="center"/>
              <w:rPr>
                <w:rFonts w:hint="default" w:cs="宋体" w:asciiTheme="minorEastAsia" w:hAnsiTheme="minorEastAsia" w:eastAsiaTheme="minorEastAsia"/>
                <w:b/>
                <w:bCs/>
                <w:color w:val="auto"/>
                <w:kern w:val="0"/>
                <w:sz w:val="24"/>
                <w:highlight w:val="none"/>
                <w:lang w:val="en-US" w:eastAsia="zh-CN"/>
              </w:rPr>
            </w:pPr>
            <w:r>
              <w:rPr>
                <w:rFonts w:hint="eastAsia" w:cs="宋体" w:asciiTheme="minorEastAsia" w:hAnsiTheme="minorEastAsia" w:eastAsiaTheme="minorEastAsia"/>
                <w:b/>
                <w:bCs/>
                <w:color w:val="auto"/>
                <w:kern w:val="0"/>
                <w:sz w:val="24"/>
                <w:highlight w:val="none"/>
              </w:rPr>
              <w:t>服务</w:t>
            </w:r>
            <w:r>
              <w:rPr>
                <w:rFonts w:hint="eastAsia" w:cs="宋体" w:asciiTheme="minorEastAsia" w:hAnsiTheme="minorEastAsia" w:eastAsiaTheme="minorEastAsia"/>
                <w:b/>
                <w:bCs/>
                <w:color w:val="auto"/>
                <w:kern w:val="0"/>
                <w:sz w:val="24"/>
                <w:highlight w:val="none"/>
                <w:lang w:val="en-US" w:eastAsia="zh-CN"/>
              </w:rPr>
              <w:t>名称</w:t>
            </w:r>
          </w:p>
        </w:tc>
        <w:tc>
          <w:tcPr>
            <w:tcW w:w="865" w:type="dxa"/>
            <w:tcBorders>
              <w:top w:val="single" w:color="auto" w:sz="4" w:space="0"/>
              <w:left w:val="nil"/>
              <w:bottom w:val="single" w:color="auto" w:sz="4" w:space="0"/>
              <w:right w:val="single" w:color="auto" w:sz="4" w:space="0"/>
            </w:tcBorders>
            <w:shd w:val="clear" w:color="000000" w:fill="FFFFFF"/>
            <w:vAlign w:val="center"/>
          </w:tcPr>
          <w:p w14:paraId="132CD7C5">
            <w:pPr>
              <w:widowControl/>
              <w:adjustRightInd/>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单位</w:t>
            </w:r>
          </w:p>
        </w:tc>
        <w:tc>
          <w:tcPr>
            <w:tcW w:w="851" w:type="dxa"/>
            <w:tcBorders>
              <w:top w:val="single" w:color="auto" w:sz="4" w:space="0"/>
              <w:left w:val="nil"/>
              <w:bottom w:val="single" w:color="auto" w:sz="4" w:space="0"/>
              <w:right w:val="single" w:color="auto" w:sz="4" w:space="0"/>
            </w:tcBorders>
            <w:shd w:val="clear" w:color="000000" w:fill="FFFFFF"/>
            <w:vAlign w:val="center"/>
          </w:tcPr>
          <w:p w14:paraId="127B73B6">
            <w:pPr>
              <w:widowControl/>
              <w:adjustRightInd/>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数量</w:t>
            </w:r>
          </w:p>
        </w:tc>
        <w:tc>
          <w:tcPr>
            <w:tcW w:w="4677" w:type="dxa"/>
            <w:tcBorders>
              <w:top w:val="single" w:color="auto" w:sz="4" w:space="0"/>
              <w:left w:val="nil"/>
              <w:bottom w:val="single" w:color="auto" w:sz="4" w:space="0"/>
              <w:right w:val="single" w:color="auto" w:sz="4" w:space="0"/>
            </w:tcBorders>
            <w:shd w:val="clear" w:color="000000" w:fill="FFFFFF"/>
            <w:vAlign w:val="center"/>
          </w:tcPr>
          <w:p w14:paraId="76D530BD">
            <w:pPr>
              <w:widowControl/>
              <w:adjustRightInd/>
              <w:jc w:val="center"/>
              <w:rPr>
                <w:rFonts w:hint="default" w:cs="宋体" w:asciiTheme="minorEastAsia" w:hAnsiTheme="minorEastAsia" w:eastAsiaTheme="minorEastAsia"/>
                <w:b/>
                <w:bCs/>
                <w:color w:val="auto"/>
                <w:kern w:val="0"/>
                <w:sz w:val="24"/>
                <w:highlight w:val="none"/>
                <w:lang w:val="en-US" w:eastAsia="zh-CN"/>
              </w:rPr>
            </w:pPr>
            <w:r>
              <w:rPr>
                <w:rFonts w:hint="eastAsia" w:ascii="宋体" w:hAnsi="宋体" w:eastAsia="宋体" w:cs="宋体"/>
                <w:color w:val="auto"/>
                <w:sz w:val="24"/>
                <w:szCs w:val="24"/>
                <w:highlight w:val="none"/>
              </w:rPr>
              <w:t>▲</w:t>
            </w:r>
            <w:r>
              <w:rPr>
                <w:rFonts w:hint="eastAsia" w:cs="宋体" w:asciiTheme="minorEastAsia" w:hAnsiTheme="minorEastAsia" w:eastAsiaTheme="minorEastAsia"/>
                <w:b/>
                <w:bCs/>
                <w:color w:val="auto"/>
                <w:kern w:val="0"/>
                <w:sz w:val="24"/>
                <w:highlight w:val="none"/>
                <w:lang w:val="en-US" w:eastAsia="zh-CN"/>
              </w:rPr>
              <w:t>技术要求</w:t>
            </w:r>
          </w:p>
        </w:tc>
      </w:tr>
      <w:tr w14:paraId="1204E8A5">
        <w:tblPrEx>
          <w:tblCellMar>
            <w:top w:w="0" w:type="dxa"/>
            <w:left w:w="108" w:type="dxa"/>
            <w:bottom w:w="0" w:type="dxa"/>
            <w:right w:w="108" w:type="dxa"/>
          </w:tblCellMar>
        </w:tblPrEx>
        <w:trPr>
          <w:trHeight w:val="1673" w:hRule="atLeast"/>
        </w:trPr>
        <w:tc>
          <w:tcPr>
            <w:tcW w:w="762" w:type="dxa"/>
            <w:tcBorders>
              <w:top w:val="single" w:color="auto" w:sz="4" w:space="0"/>
              <w:left w:val="single" w:color="auto" w:sz="4" w:space="0"/>
              <w:bottom w:val="single" w:color="auto" w:sz="4" w:space="0"/>
              <w:right w:val="single" w:color="auto" w:sz="4" w:space="0"/>
            </w:tcBorders>
            <w:shd w:val="clear" w:color="000000" w:fill="FFFFFF"/>
            <w:vAlign w:val="center"/>
          </w:tcPr>
          <w:p w14:paraId="2E5F3578">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2484" w:type="dxa"/>
            <w:gridSpan w:val="2"/>
            <w:tcBorders>
              <w:top w:val="single" w:color="auto" w:sz="4" w:space="0"/>
              <w:left w:val="nil"/>
              <w:bottom w:val="single" w:color="auto" w:sz="4" w:space="0"/>
              <w:right w:val="single" w:color="auto" w:sz="4" w:space="0"/>
            </w:tcBorders>
            <w:shd w:val="clear" w:color="000000" w:fill="FFFFFF"/>
            <w:vAlign w:val="center"/>
          </w:tcPr>
          <w:p w14:paraId="592D58E4">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北海市涠洲实验学校2025-2026学年度营养餐配送服务</w:t>
            </w:r>
          </w:p>
        </w:tc>
        <w:tc>
          <w:tcPr>
            <w:tcW w:w="865" w:type="dxa"/>
            <w:tcBorders>
              <w:top w:val="single" w:color="auto" w:sz="4" w:space="0"/>
              <w:left w:val="nil"/>
              <w:bottom w:val="single" w:color="auto" w:sz="4" w:space="0"/>
              <w:right w:val="single" w:color="auto" w:sz="4" w:space="0"/>
            </w:tcBorders>
            <w:shd w:val="clear" w:color="000000" w:fill="FFFFFF"/>
            <w:vAlign w:val="center"/>
          </w:tcPr>
          <w:p w14:paraId="1B4DFAD5">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项</w:t>
            </w:r>
          </w:p>
        </w:tc>
        <w:tc>
          <w:tcPr>
            <w:tcW w:w="851" w:type="dxa"/>
            <w:tcBorders>
              <w:top w:val="single" w:color="auto" w:sz="4" w:space="0"/>
              <w:left w:val="nil"/>
              <w:bottom w:val="single" w:color="auto" w:sz="4" w:space="0"/>
              <w:right w:val="single" w:color="auto" w:sz="4" w:space="0"/>
            </w:tcBorders>
            <w:shd w:val="clear" w:color="000000" w:fill="FFFFFF"/>
            <w:vAlign w:val="center"/>
          </w:tcPr>
          <w:p w14:paraId="77745A3F">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4677" w:type="dxa"/>
            <w:tcBorders>
              <w:top w:val="single" w:color="auto" w:sz="4" w:space="0"/>
              <w:left w:val="nil"/>
              <w:bottom w:val="single" w:color="auto" w:sz="4" w:space="0"/>
              <w:right w:val="single" w:color="auto" w:sz="4" w:space="0"/>
            </w:tcBorders>
            <w:shd w:val="clear" w:color="000000" w:fill="FFFFFF"/>
            <w:vAlign w:val="top"/>
          </w:tcPr>
          <w:p w14:paraId="2B773347">
            <w:pPr>
              <w:pStyle w:val="59"/>
              <w:numPr>
                <w:ilvl w:val="0"/>
                <w:numId w:val="0"/>
              </w:numPr>
              <w:spacing w:line="360" w:lineRule="auto"/>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一、</w:t>
            </w:r>
            <w:r>
              <w:rPr>
                <w:rFonts w:hint="default" w:ascii="宋体" w:hAnsi="宋体" w:eastAsia="宋体" w:cs="宋体"/>
                <w:b/>
                <w:bCs/>
                <w:color w:val="auto"/>
                <w:sz w:val="24"/>
                <w:szCs w:val="24"/>
                <w:highlight w:val="none"/>
                <w:lang w:val="en-US" w:eastAsia="zh-CN"/>
              </w:rPr>
              <w:t>项目内容：</w:t>
            </w:r>
          </w:p>
          <w:p w14:paraId="4F43FB13">
            <w:pPr>
              <w:pStyle w:val="59"/>
              <w:numPr>
                <w:ilvl w:val="0"/>
                <w:numId w:val="0"/>
              </w:numPr>
              <w:spacing w:line="360" w:lineRule="auto"/>
              <w:ind w:firstLine="480" w:firstLineChars="20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北海市涠洲实验学校2025-2026学年度营养餐配送服务，负责配送北海市涠洲实验学校范围内义务教育阶段学生881人，约195个工作日，每人每天9:20配送学生饮用奶(纯奶≥200ML)1瓶（牛奶包装上必须印制中国学生饮用奶标志），面包或蛋糕(≥60克)1个，熟鸡蛋(40-60克)1个或时令水果，预算价每人每天5元。</w:t>
            </w:r>
          </w:p>
          <w:p w14:paraId="13908E21">
            <w:pPr>
              <w:pStyle w:val="59"/>
              <w:numPr>
                <w:ilvl w:val="0"/>
                <w:numId w:val="0"/>
              </w:numPr>
              <w:spacing w:line="360" w:lineRule="auto"/>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二、配送产品</w:t>
            </w:r>
            <w:r>
              <w:rPr>
                <w:rFonts w:hint="default" w:ascii="宋体" w:hAnsi="宋体" w:eastAsia="宋体" w:cs="宋体"/>
                <w:b/>
                <w:bCs/>
                <w:color w:val="auto"/>
                <w:sz w:val="24"/>
                <w:szCs w:val="24"/>
                <w:highlight w:val="none"/>
                <w:lang w:val="en-US" w:eastAsia="zh-CN"/>
              </w:rPr>
              <w:t>质量要求：</w:t>
            </w:r>
          </w:p>
          <w:p w14:paraId="53B7BF5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学生饮用奶</w:t>
            </w:r>
            <w:r>
              <w:rPr>
                <w:rFonts w:hint="eastAsia"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每人每天配送学生饮用奶(纯奶≥200ML)1瓶</w:t>
            </w:r>
            <w:r>
              <w:rPr>
                <w:rFonts w:hint="eastAsia" w:cs="宋体"/>
                <w:b w:val="0"/>
                <w:bCs w:val="0"/>
                <w:color w:val="auto"/>
                <w:sz w:val="24"/>
                <w:szCs w:val="24"/>
                <w:highlight w:val="none"/>
                <w:lang w:val="en-US" w:eastAsia="zh-CN"/>
              </w:rPr>
              <w:t>。根据《国家"学生饮用奶计划"暂行管理办法》的规定，学生饮用奶的质量及其标识应执行国家标准GB-5408.2-1999《灭菌乳》和GB7718-1994《食品标签通用标准》的规定，但应采用符合GB/T6914-1986《生鲜牛乳收购标准》规定的原奶生产，不得用复原乳生产。</w:t>
            </w:r>
            <w:r>
              <w:rPr>
                <w:rFonts w:hint="eastAsia" w:ascii="宋体" w:hAnsi="宋体" w:cs="宋体"/>
                <w:color w:val="auto"/>
                <w:sz w:val="24"/>
                <w:szCs w:val="24"/>
                <w:highlight w:val="none"/>
                <w:vertAlign w:val="baseline"/>
                <w:lang w:val="en-US" w:eastAsia="zh-CN"/>
              </w:rPr>
              <w:t>在</w:t>
            </w:r>
            <w:r>
              <w:rPr>
                <w:rFonts w:hint="eastAsia" w:ascii="宋体" w:hAnsi="宋体" w:eastAsia="宋体" w:cs="宋体"/>
                <w:color w:val="auto"/>
                <w:sz w:val="24"/>
                <w:szCs w:val="24"/>
                <w:highlight w:val="none"/>
                <w:vertAlign w:val="baseline"/>
                <w:lang w:val="en-US" w:eastAsia="zh-CN"/>
              </w:rPr>
              <w:t>包装盒上</w:t>
            </w:r>
            <w:r>
              <w:rPr>
                <w:rFonts w:hint="eastAsia" w:ascii="宋体" w:hAnsi="宋体" w:cs="宋体"/>
                <w:color w:val="auto"/>
                <w:sz w:val="24"/>
                <w:szCs w:val="24"/>
                <w:highlight w:val="none"/>
                <w:vertAlign w:val="baseline"/>
                <w:lang w:val="en-US" w:eastAsia="zh-CN"/>
              </w:rPr>
              <w:t>需印制</w:t>
            </w:r>
            <w:r>
              <w:rPr>
                <w:rFonts w:hint="eastAsia" w:ascii="宋体" w:hAnsi="宋体" w:eastAsia="宋体" w:cs="宋体"/>
                <w:color w:val="auto"/>
                <w:sz w:val="24"/>
                <w:szCs w:val="24"/>
                <w:highlight w:val="none"/>
                <w:vertAlign w:val="baseline"/>
                <w:lang w:val="en-US" w:eastAsia="zh-CN"/>
              </w:rPr>
              <w:t>“中国学生饮用奶”字样</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牛奶必须采用超高温瞬时灭菌或保持灭菌制成，无菌灌装，盒装带吸管，每盒 200m1及以上，不添加任何防腐剂，采用常温保存、保质期不少于90天。</w:t>
            </w:r>
          </w:p>
          <w:p w14:paraId="1D69C81F">
            <w:pPr>
              <w:pStyle w:val="59"/>
              <w:numPr>
                <w:ilvl w:val="0"/>
                <w:numId w:val="0"/>
              </w:numPr>
              <w:spacing w:line="360" w:lineRule="auto"/>
              <w:ind w:firstLine="480" w:firstLineChars="200"/>
              <w:rPr>
                <w:rFonts w:hint="eastAsia" w:cs="宋体"/>
                <w:color w:val="auto"/>
                <w:sz w:val="24"/>
                <w:szCs w:val="24"/>
                <w:highlight w:val="none"/>
                <w:lang w:val="en-US" w:eastAsia="zh-CN"/>
              </w:rPr>
            </w:pPr>
            <w:r>
              <w:rPr>
                <w:rFonts w:hint="eastAsia" w:cs="宋体"/>
                <w:color w:val="auto"/>
                <w:sz w:val="24"/>
                <w:szCs w:val="24"/>
                <w:highlight w:val="none"/>
                <w:lang w:val="en-US" w:eastAsia="zh-CN"/>
              </w:rPr>
              <w:t>2、鸡蛋：鸡蛋质量执行 SB/T10277-1997 标准，每人每份(净重)鸡蛋(40-60克)/个及以上，要求熟鸡蛋的蛋壳应清洁完整、无破损。</w:t>
            </w:r>
          </w:p>
          <w:p w14:paraId="69A5E4BB">
            <w:pPr>
              <w:pStyle w:val="59"/>
              <w:numPr>
                <w:ilvl w:val="0"/>
                <w:numId w:val="0"/>
              </w:numPr>
              <w:spacing w:line="360" w:lineRule="auto"/>
              <w:ind w:firstLine="480" w:firstLineChars="200"/>
              <w:rPr>
                <w:rFonts w:hint="eastAsia" w:cs="宋体"/>
                <w:color w:val="auto"/>
                <w:sz w:val="24"/>
                <w:szCs w:val="24"/>
                <w:highlight w:val="none"/>
                <w:lang w:val="en-US" w:eastAsia="zh-CN"/>
              </w:rPr>
            </w:pPr>
            <w:r>
              <w:rPr>
                <w:rFonts w:hint="eastAsia" w:cs="宋体"/>
                <w:color w:val="auto"/>
                <w:sz w:val="24"/>
                <w:szCs w:val="24"/>
                <w:highlight w:val="none"/>
                <w:lang w:val="en-US" w:eastAsia="zh-CN"/>
              </w:rPr>
              <w:t>3、面包、蛋糕：面包、蛋糕</w:t>
            </w:r>
            <w:r>
              <w:rPr>
                <w:rFonts w:hint="eastAsia" w:cs="宋体"/>
                <w:color w:val="auto"/>
                <w:sz w:val="24"/>
                <w:szCs w:val="24"/>
                <w:highlight w:val="none"/>
                <w:lang w:val="en-US" w:eastAsia="zh-CN"/>
              </w:rPr>
              <w:t>的质量执行GB/T20981标准，</w:t>
            </w:r>
            <w:r>
              <w:rPr>
                <w:rFonts w:hint="eastAsia" w:cs="宋体"/>
                <w:color w:val="auto"/>
                <w:sz w:val="24"/>
                <w:szCs w:val="24"/>
                <w:highlight w:val="none"/>
                <w:lang w:val="en-US" w:eastAsia="zh-CN"/>
              </w:rPr>
              <w:t>面包、蛋糕</w:t>
            </w:r>
            <w:r>
              <w:rPr>
                <w:rFonts w:hint="eastAsia" w:cs="宋体"/>
                <w:color w:val="auto"/>
                <w:sz w:val="24"/>
                <w:szCs w:val="24"/>
                <w:highlight w:val="none"/>
                <w:lang w:val="en-US" w:eastAsia="zh-CN"/>
              </w:rPr>
              <w:t>的质量及其标识应执行食品安全国家标准，不添加任何防腐剂，单独封闭包装，符合《预包装食品标签通则》要求，每块净含量&gt;60克以上，负误差符合国家规定。产品必须保证新鲜，面包保质期3天以上，</w:t>
            </w:r>
            <w:r>
              <w:rPr>
                <w:rFonts w:hint="eastAsia" w:cs="宋体"/>
                <w:color w:val="auto"/>
                <w:sz w:val="24"/>
                <w:szCs w:val="24"/>
                <w:highlight w:val="none"/>
                <w:lang w:val="en-US" w:eastAsia="zh-CN"/>
              </w:rPr>
              <w:t>蛋糕保质期2天以上</w:t>
            </w:r>
            <w:r>
              <w:rPr>
                <w:rFonts w:hint="eastAsia" w:cs="宋体"/>
                <w:color w:val="auto"/>
                <w:sz w:val="24"/>
                <w:szCs w:val="24"/>
                <w:highlight w:val="none"/>
                <w:lang w:val="en-US" w:eastAsia="zh-CN"/>
              </w:rPr>
              <w:t>。周一到周五至少提供三种以上口味，烘焙面包体积、表皮色泽与形状、包心色泽、弹柔性、口感均符合国家相关规定与标准。</w:t>
            </w:r>
          </w:p>
          <w:p w14:paraId="1DCEF76B">
            <w:pPr>
              <w:pStyle w:val="59"/>
              <w:numPr>
                <w:ilvl w:val="0"/>
                <w:numId w:val="0"/>
              </w:numPr>
              <w:spacing w:line="360" w:lineRule="auto"/>
              <w:ind w:firstLine="480" w:firstLineChars="200"/>
              <w:rPr>
                <w:rFonts w:hint="eastAsia" w:cs="宋体"/>
                <w:color w:val="auto"/>
                <w:sz w:val="24"/>
                <w:szCs w:val="24"/>
                <w:highlight w:val="none"/>
                <w:lang w:val="en-US" w:eastAsia="zh-CN"/>
              </w:rPr>
            </w:pPr>
            <w:r>
              <w:rPr>
                <w:rFonts w:hint="eastAsia" w:cs="宋体"/>
                <w:color w:val="auto"/>
                <w:sz w:val="24"/>
                <w:szCs w:val="24"/>
                <w:highlight w:val="none"/>
                <w:lang w:val="en-US" w:eastAsia="zh-CN"/>
              </w:rPr>
              <w:t>4、水果：时令水果，必须是当季新鲜水果，外观无明显畸形，表面光滑无疤痕、裂痕或机械损伤，无尘土或其他污染物，大小均匀，成熟度适合食用，不过熟或未熟。根据GB 2763-2021《食品安全国家标准食品中农药最大残留限量》标准，水果表面农药残留不得超过农药最大残留限量。</w:t>
            </w:r>
          </w:p>
          <w:p w14:paraId="0ED2F484">
            <w:pPr>
              <w:pStyle w:val="59"/>
              <w:numPr>
                <w:ilvl w:val="0"/>
                <w:numId w:val="0"/>
              </w:numPr>
              <w:spacing w:line="360" w:lineRule="auto"/>
              <w:ind w:firstLine="480" w:firstLineChars="200"/>
              <w:rPr>
                <w:rFonts w:hint="default" w:cs="宋体"/>
                <w:color w:val="auto"/>
                <w:sz w:val="24"/>
                <w:szCs w:val="24"/>
                <w:highlight w:val="none"/>
                <w:lang w:val="en-US" w:eastAsia="zh-CN"/>
              </w:rPr>
            </w:pPr>
            <w:r>
              <w:rPr>
                <w:rFonts w:hint="eastAsia" w:cs="宋体"/>
                <w:color w:val="auto"/>
                <w:sz w:val="24"/>
                <w:szCs w:val="24"/>
                <w:highlight w:val="none"/>
                <w:lang w:val="en-US" w:eastAsia="zh-CN"/>
              </w:rPr>
              <w:t>备</w:t>
            </w:r>
            <w:r>
              <w:rPr>
                <w:rFonts w:hint="default" w:cs="宋体"/>
                <w:color w:val="auto"/>
                <w:sz w:val="24"/>
                <w:szCs w:val="24"/>
                <w:highlight w:val="none"/>
                <w:lang w:val="en-US" w:eastAsia="zh-CN"/>
              </w:rPr>
              <w:t>注：如熟鸡蛋与时令水果可交替配送，单日供应的时令水果单价不应低于熟鸡蛋单价。</w:t>
            </w:r>
          </w:p>
          <w:p w14:paraId="6D79B9ED">
            <w:pPr>
              <w:pStyle w:val="59"/>
              <w:numPr>
                <w:ilvl w:val="0"/>
                <w:numId w:val="0"/>
              </w:numPr>
              <w:spacing w:line="360" w:lineRule="auto"/>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    5、产品生产企业要求：鉴于学生营养食品的特殊性，为保证食品保质、保鲜，要求竞标产品属于国家正规批复的生产企业生产的产品，符合《食品安全国家标准》及《中华人民共和国食品安全法》等相关要求。</w:t>
            </w:r>
          </w:p>
          <w:p w14:paraId="6F6AE4DE">
            <w:pPr>
              <w:pStyle w:val="59"/>
              <w:numPr>
                <w:ilvl w:val="0"/>
                <w:numId w:val="0"/>
              </w:numPr>
              <w:spacing w:line="360" w:lineRule="auto"/>
              <w:ind w:firstLine="480" w:firstLineChars="200"/>
              <w:rPr>
                <w:rFonts w:hint="default" w:cs="宋体"/>
                <w:color w:val="auto"/>
                <w:sz w:val="24"/>
                <w:szCs w:val="24"/>
                <w:highlight w:val="none"/>
                <w:lang w:val="en-US" w:eastAsia="zh-CN"/>
              </w:rPr>
            </w:pPr>
            <w:r>
              <w:rPr>
                <w:rFonts w:hint="eastAsia" w:cs="宋体"/>
                <w:color w:val="auto"/>
                <w:sz w:val="24"/>
                <w:szCs w:val="24"/>
                <w:highlight w:val="none"/>
                <w:lang w:val="en-US" w:eastAsia="zh-CN"/>
              </w:rPr>
              <w:t>6、产品保质期要求：为保证食品达到保质保鲜的要求，所配送产品从收到产品之日起至保质期到期之日止的质保有效天数，不少于四分之一质保期限。</w:t>
            </w:r>
          </w:p>
          <w:p w14:paraId="764F5935">
            <w:pPr>
              <w:pStyle w:val="59"/>
              <w:numPr>
                <w:ilvl w:val="0"/>
                <w:numId w:val="0"/>
              </w:numPr>
              <w:spacing w:line="360" w:lineRule="auto"/>
              <w:ind w:firstLine="480" w:firstLineChars="200"/>
              <w:rPr>
                <w:rFonts w:hint="default" w:cs="宋体"/>
                <w:color w:val="auto"/>
                <w:sz w:val="24"/>
                <w:szCs w:val="24"/>
                <w:highlight w:val="none"/>
                <w:lang w:val="en-US" w:eastAsia="zh-CN"/>
              </w:rPr>
            </w:pPr>
            <w:r>
              <w:rPr>
                <w:rFonts w:hint="eastAsia" w:cs="宋体"/>
                <w:color w:val="auto"/>
                <w:sz w:val="24"/>
                <w:szCs w:val="24"/>
                <w:highlight w:val="none"/>
                <w:lang w:val="en-US" w:eastAsia="zh-CN"/>
              </w:rPr>
              <w:t>7、产品包装需符合国家相前标准，在留检抽样产品上必须加封专用标识，主要内容包括：生产厂家名称，生产日期、保质期、配送单位名称、供货日期、配送单位地址及负责人联系电话，并加盖配送单位公章。</w:t>
            </w:r>
          </w:p>
          <w:p w14:paraId="70851D43">
            <w:pPr>
              <w:pStyle w:val="59"/>
              <w:numPr>
                <w:ilvl w:val="0"/>
                <w:numId w:val="0"/>
              </w:numPr>
              <w:spacing w:line="360" w:lineRule="auto"/>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三、配送服务要求</w:t>
            </w:r>
          </w:p>
          <w:p w14:paraId="3516132C">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1、供应商每天9:20按采购人要求把产品配送至采购人指定地点。供应商无权更改配送方式，并需作出承诺，对于运输过程中产生的损耗品，将无条件提供替换品，以保证每天配送的营养餐足额足量，品质符合国家相关标准要求。</w:t>
            </w:r>
          </w:p>
          <w:p w14:paraId="5FEB39DF">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2、供应商不能满足供货要求时，应提前 15 天通知采购人，采购人同意后方可中止合同。</w:t>
            </w:r>
          </w:p>
          <w:p w14:paraId="01B9759C">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3、如果上级主管部门或国家相关政策规定变动，供应商必须配合采购人的工作，及时调整配送方案，以适应相关规定。</w:t>
            </w:r>
          </w:p>
          <w:p w14:paraId="20CF1D0A">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4、配送范围：北海市涠洲实验学校。</w:t>
            </w:r>
          </w:p>
          <w:p w14:paraId="77D86464">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5、安全责任:</w:t>
            </w:r>
          </w:p>
          <w:p w14:paraId="75C4CBEB">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(1)依据产品市场监督管理部门提供的质量标准，供应商提供的产品必须是经过质量检测机构检验并取得合格证明的产品，每批次配送产品应交存货物质量合格证明、产品质量检测合格报告或检疫报告复印件。</w:t>
            </w:r>
          </w:p>
          <w:p w14:paraId="2438B5D9">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(2)采购人每餐都有食物留样，质量原因造成中毒事故，经有关部门鉴定确认的，供应商应承担全部经济责任和法律责任。</w:t>
            </w:r>
          </w:p>
          <w:p w14:paraId="02E765E1">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(3)供应商应严格遵守《食品安全法》和《动物检疫法》等相关规定，所提供的产品是合格安全的产品。一经发现产品出现以下危害食品安全的情况，采购人除全部退货外，将立即取消供货单位的供货资格，供应商并承担由此造成的经济责任和法律责任。</w:t>
            </w:r>
          </w:p>
          <w:p w14:paraId="1B1DD177">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①腐败变质、油脂酸败、霉变、生虫、污秽不洁、混有异物或者其他感官性状异常，对人体健康有害的；</w:t>
            </w:r>
          </w:p>
          <w:p w14:paraId="3871E0B0">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②含有毒、有害物质或者被有害物质污染，对人体健康有害的；</w:t>
            </w:r>
          </w:p>
          <w:p w14:paraId="454E93D0">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③含有致病性寄生虫、微生物或者微生物含量超过国家限定标准的；</w:t>
            </w:r>
          </w:p>
          <w:p w14:paraId="341D8740">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④未经动物检疫部门检疫、检验或者检疫、检验不合格的肉类及其制品；</w:t>
            </w:r>
          </w:p>
          <w:p w14:paraId="421C1F31">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⑤病死、毒死或者死因不明的禽、蓄、兽、水产动物等及其制品；</w:t>
            </w:r>
          </w:p>
          <w:p w14:paraId="6411E831">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⑥掺假、掺杂、伪造，影响营养、卫生的；</w:t>
            </w:r>
          </w:p>
          <w:p w14:paraId="6CBB4EA8">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⑦用非食品原料加工的,加入非食品用化学物质或者将非食品当作食品的；</w:t>
            </w:r>
          </w:p>
          <w:p w14:paraId="61185E50">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⑧剩余有效保质期不足其有效期50%或超过保质期限的。</w:t>
            </w:r>
          </w:p>
          <w:p w14:paraId="222F3969">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6、配送人员、车辆要求：</w:t>
            </w:r>
          </w:p>
          <w:p w14:paraId="006BBA6E">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(1)供应商应配备专职配送人员，人数不少于1人；</w:t>
            </w:r>
          </w:p>
          <w:p w14:paraId="5314EB7D">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(2)供应商应配备能够满足本项目需求的配送车辆，数量不少于1辆。</w:t>
            </w:r>
          </w:p>
          <w:p w14:paraId="031C2B81">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7、违约行为：成交供应商有下列行为之一的，可根据其情节轻重取消其配送资格：</w:t>
            </w:r>
          </w:p>
          <w:p w14:paraId="7AE71CEF">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①无正当理由拒绝承接采购人业务2次以上(含2次)的；</w:t>
            </w:r>
          </w:p>
          <w:p w14:paraId="2392D2B1">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②配送产品达不到合同规定的质量标准，以次充好，提供假冒伪劣产品的；</w:t>
            </w:r>
          </w:p>
          <w:p w14:paraId="0378F6B0">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③出现重大责任事故的；</w:t>
            </w:r>
          </w:p>
          <w:p w14:paraId="3220CB6D">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④拒绝接受监督、检查的；</w:t>
            </w:r>
          </w:p>
          <w:p w14:paraId="361464C8">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⑤不如实反映情况，提供虚假材料的；</w:t>
            </w:r>
          </w:p>
          <w:p w14:paraId="7E6EC87F">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⑥合同期内，成交供应商不允许转包、不可以分包他人、一经发现，采购人可终止合同；</w:t>
            </w:r>
          </w:p>
          <w:p w14:paraId="222F69D9">
            <w:pPr>
              <w:pStyle w:val="59"/>
              <w:numPr>
                <w:ilvl w:val="0"/>
                <w:numId w:val="0"/>
              </w:numPr>
              <w:spacing w:line="360" w:lineRule="auto"/>
              <w:ind w:firstLine="480"/>
              <w:rPr>
                <w:rFonts w:hint="default" w:cs="宋体"/>
                <w:color w:val="auto"/>
                <w:sz w:val="24"/>
                <w:szCs w:val="24"/>
                <w:highlight w:val="none"/>
                <w:lang w:val="en-US" w:eastAsia="zh-CN"/>
              </w:rPr>
            </w:pPr>
            <w:r>
              <w:rPr>
                <w:rFonts w:hint="eastAsia" w:cs="宋体"/>
                <w:color w:val="auto"/>
                <w:sz w:val="24"/>
                <w:szCs w:val="24"/>
                <w:highlight w:val="none"/>
                <w:lang w:val="en-US" w:eastAsia="zh-CN"/>
              </w:rPr>
              <w:t>⑨其他违反法律、法规和采购合同的行为。</w:t>
            </w:r>
          </w:p>
        </w:tc>
      </w:tr>
      <w:tr w14:paraId="79DA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9639"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022F9C5">
            <w:pPr>
              <w:adjustRightInd/>
              <w:jc w:val="center"/>
              <w:rPr>
                <w:rFonts w:cs="宋体" w:asciiTheme="minorEastAsia" w:hAnsiTheme="minorEastAsia" w:eastAsiaTheme="minorEastAsia"/>
                <w:b/>
                <w:bCs/>
                <w:color w:val="auto"/>
                <w:sz w:val="24"/>
                <w:highlight w:val="none"/>
              </w:rPr>
            </w:pPr>
            <w:r>
              <w:rPr>
                <w:rFonts w:hint="eastAsia" w:ascii="宋体" w:hAnsi="宋体" w:eastAsia="宋体" w:cs="宋体"/>
                <w:color w:val="auto"/>
                <w:sz w:val="24"/>
                <w:szCs w:val="24"/>
                <w:highlight w:val="none"/>
              </w:rPr>
              <w:t>▲</w:t>
            </w:r>
            <w:r>
              <w:rPr>
                <w:rFonts w:hint="eastAsia" w:cs="宋体" w:asciiTheme="minorEastAsia" w:hAnsiTheme="minorEastAsia" w:eastAsiaTheme="minorEastAsia"/>
                <w:b/>
                <w:bCs/>
                <w:color w:val="auto"/>
                <w:kern w:val="0"/>
                <w:sz w:val="24"/>
                <w:highlight w:val="none"/>
                <w:lang w:bidi="ar"/>
              </w:rPr>
              <w:t>商务要求</w:t>
            </w:r>
          </w:p>
        </w:tc>
      </w:tr>
      <w:tr w14:paraId="43C2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605E5A7">
            <w:pPr>
              <w:widowControl/>
              <w:adjustRightInd/>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服务期限</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733225">
            <w:pPr>
              <w:widowControl/>
              <w:adjustRightInd/>
              <w:spacing w:line="360" w:lineRule="auto"/>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rPr>
              <w:t>自北海市涠洲实验学校2025年秋季学期开学之日起至2026年春季学期结束之日止，约195个工作日，具体时间由采购人通知。</w:t>
            </w:r>
          </w:p>
        </w:tc>
      </w:tr>
      <w:tr w14:paraId="0CF5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29DDE1E">
            <w:pPr>
              <w:adjustRightInd/>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服务地点</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7C89554">
            <w:pPr>
              <w:adjustRightInd/>
              <w:spacing w:line="360" w:lineRule="auto"/>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北海市涠洲实验学校</w:t>
            </w:r>
          </w:p>
        </w:tc>
      </w:tr>
      <w:tr w14:paraId="5689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808539">
            <w:pPr>
              <w:pStyle w:val="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合同签订时间</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28DA574">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成交供应商自成交通知书发出之日起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25日</w:t>
            </w:r>
            <w:r>
              <w:rPr>
                <w:rFonts w:hint="eastAsia" w:ascii="宋体" w:hAnsi="宋体" w:eastAsia="宋体" w:cs="宋体"/>
                <w:b w:val="0"/>
                <w:bCs w:val="0"/>
                <w:color w:val="auto"/>
                <w:sz w:val="24"/>
                <w:szCs w:val="24"/>
                <w:highlight w:val="none"/>
              </w:rPr>
              <w:t>内与采购人签订合同</w:t>
            </w:r>
            <w:r>
              <w:rPr>
                <w:rFonts w:hint="eastAsia" w:ascii="宋体" w:hAnsi="宋体" w:eastAsia="宋体" w:cs="宋体"/>
                <w:b w:val="0"/>
                <w:bCs w:val="0"/>
                <w:color w:val="auto"/>
                <w:sz w:val="24"/>
                <w:szCs w:val="24"/>
                <w:highlight w:val="none"/>
                <w:lang w:eastAsia="zh-CN"/>
              </w:rPr>
              <w:t>。</w:t>
            </w:r>
          </w:p>
        </w:tc>
      </w:tr>
      <w:tr w14:paraId="454C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FE12388">
            <w:pPr>
              <w:pStyle w:val="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服务响应要求</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43817CA">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提供7x24小时电话服务，供应商接到采购单位的通知后立即响应，在≤1小时内做出明确响应和安排，并承担一切相关费用。</w:t>
            </w:r>
          </w:p>
        </w:tc>
      </w:tr>
      <w:tr w14:paraId="3A9E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3C5F83E">
            <w:pPr>
              <w:pStyle w:val="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售后要求</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9D22E8">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成交供应商在服务过程中，若出现质量问题，必须及时更换，若出现2次质量问题，将进行相应的经济处罚，若问题严重者，采购人有权终止其配送资格。供应商须自行提供售后服务承诺函。</w:t>
            </w:r>
          </w:p>
        </w:tc>
      </w:tr>
      <w:tr w14:paraId="3F32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1"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8415F9">
            <w:pPr>
              <w:pStyle w:val="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验收要求</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46C0A9F">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配送产品</w:t>
            </w:r>
            <w:r>
              <w:rPr>
                <w:rFonts w:hint="eastAsia" w:ascii="宋体" w:hAnsi="宋体" w:eastAsia="宋体" w:cs="宋体"/>
                <w:b w:val="0"/>
                <w:bCs w:val="0"/>
                <w:color w:val="auto"/>
                <w:sz w:val="24"/>
                <w:szCs w:val="24"/>
                <w:highlight w:val="none"/>
              </w:rPr>
              <w:t>的验收工作由采购人和供应商共同进行。供应商提供的产品必须有相关的来源证明，并须经过验收人员的感官检验、外观检验和试用检验【验收标准参照《各类原料感官品质验收标准》】，若产品外观包装、形式不符合要求、感官检验不能达到食品卫生要求，当即拒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供应商不能满足食品的质量及售后服务要求时，采购人有权进行处罚或终止合同。</w:t>
            </w:r>
          </w:p>
          <w:p w14:paraId="4302C6EF">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(2)验收工作的一般程序为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采购人的需求</w:t>
            </w:r>
            <w:r>
              <w:rPr>
                <w:rFonts w:hint="eastAsia" w:ascii="宋体" w:hAnsi="宋体" w:eastAsia="宋体" w:cs="宋体"/>
                <w:b w:val="0"/>
                <w:bCs w:val="0"/>
                <w:color w:val="auto"/>
                <w:sz w:val="24"/>
                <w:szCs w:val="24"/>
                <w:highlight w:val="none"/>
              </w:rPr>
              <w:t>清单的具体要求，对所</w:t>
            </w:r>
            <w:r>
              <w:rPr>
                <w:rFonts w:hint="eastAsia" w:ascii="宋体" w:hAnsi="宋体" w:eastAsia="宋体" w:cs="宋体"/>
                <w:b w:val="0"/>
                <w:bCs w:val="0"/>
                <w:color w:val="auto"/>
                <w:sz w:val="24"/>
                <w:szCs w:val="24"/>
                <w:highlight w:val="none"/>
                <w:lang w:val="en-US" w:eastAsia="zh-CN"/>
              </w:rPr>
              <w:t>配送产品</w:t>
            </w:r>
            <w:r>
              <w:rPr>
                <w:rFonts w:hint="eastAsia" w:ascii="宋体" w:hAnsi="宋体" w:eastAsia="宋体" w:cs="宋体"/>
                <w:b w:val="0"/>
                <w:bCs w:val="0"/>
                <w:color w:val="auto"/>
                <w:sz w:val="24"/>
                <w:szCs w:val="24"/>
                <w:highlight w:val="none"/>
              </w:rPr>
              <w:t>进行清点、外观检查以及对</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的各项指标和性能进行实测，并逐项记录。检测结束后，验收人员在验收单上签字。对未能通过验收的一律退货、更换直至验收合格。</w:t>
            </w:r>
          </w:p>
        </w:tc>
      </w:tr>
      <w:tr w14:paraId="200B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1"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47ADF5D">
            <w:pPr>
              <w:pStyle w:val="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eastAsiaTheme="minorEastAsia"/>
                <w:b w:val="0"/>
                <w:bCs w:val="0"/>
                <w:color w:val="auto"/>
                <w:sz w:val="24"/>
                <w:szCs w:val="24"/>
                <w:highlight w:val="none"/>
              </w:rPr>
            </w:pPr>
            <w:r>
              <w:rPr>
                <w:rFonts w:hint="eastAsia" w:ascii="宋体" w:hAnsi="宋体" w:eastAsia="宋体" w:cs="宋体"/>
                <w:b/>
                <w:bCs/>
                <w:color w:val="auto"/>
                <w:sz w:val="24"/>
                <w:szCs w:val="24"/>
                <w:highlight w:val="none"/>
                <w:lang w:val="en-US" w:eastAsia="zh-CN"/>
              </w:rPr>
              <w:t>付款方式</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7A96EE6">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 w:val="0"/>
                <w:bCs w:val="0"/>
                <w:color w:val="auto"/>
                <w:sz w:val="24"/>
                <w:szCs w:val="24"/>
                <w:highlight w:val="none"/>
                <w:lang w:val="en-US" w:eastAsia="zh-CN"/>
              </w:rPr>
            </w:pPr>
            <w:r>
              <w:rPr>
                <w:rFonts w:hint="eastAsia" w:ascii="宋体" w:hAnsi="宋体" w:eastAsia="宋体" w:cs="宋体"/>
                <w:color w:val="auto"/>
                <w:sz w:val="24"/>
                <w:szCs w:val="24"/>
                <w:highlight w:val="none"/>
              </w:rPr>
              <w:t>成交供应商按照约定提供服务后，</w:t>
            </w:r>
            <w:r>
              <w:rPr>
                <w:rFonts w:hint="eastAsia" w:ascii="宋体" w:hAnsi="宋体" w:eastAsia="宋体" w:cs="宋体"/>
                <w:color w:val="auto"/>
                <w:sz w:val="24"/>
                <w:szCs w:val="24"/>
                <w:highlight w:val="none"/>
                <w:lang w:val="en-US" w:eastAsia="zh-CN"/>
              </w:rPr>
              <w:t>每个月初</w:t>
            </w:r>
            <w:r>
              <w:rPr>
                <w:rFonts w:hint="eastAsia" w:ascii="宋体" w:hAnsi="宋体" w:eastAsia="宋体" w:cs="宋体"/>
                <w:color w:val="auto"/>
                <w:sz w:val="24"/>
                <w:szCs w:val="24"/>
                <w:highlight w:val="none"/>
              </w:rPr>
              <w:t>根据上月实际发生的供餐总金额向采购人开具发票，采购人收到发票后</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14日内以转账的形式向成交供应商付款，每月结算一次。</w:t>
            </w:r>
          </w:p>
        </w:tc>
      </w:tr>
    </w:tbl>
    <w:p w14:paraId="0B20BCB7">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8A731F1">
      <w:pPr>
        <w:rPr>
          <w:color w:val="auto"/>
          <w:highlight w:val="none"/>
        </w:rPr>
      </w:pPr>
    </w:p>
    <w:p w14:paraId="30FD4C1C">
      <w:pPr>
        <w:bidi w:val="0"/>
        <w:rPr>
          <w:color w:val="auto"/>
          <w:highlight w:val="none"/>
        </w:rPr>
      </w:pPr>
    </w:p>
    <w:p w14:paraId="088EF977">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7" w:name="_Toc30095"/>
      <w:r>
        <w:rPr>
          <w:rFonts w:hint="eastAsia" w:cs="仿宋_GB2312" w:asciiTheme="minorEastAsia" w:hAnsiTheme="minorEastAsia" w:eastAsiaTheme="minorEastAsia"/>
          <w:b/>
          <w:color w:val="auto"/>
          <w:sz w:val="36"/>
          <w:szCs w:val="36"/>
          <w:highlight w:val="none"/>
        </w:rPr>
        <w:t xml:space="preserve">第五部分  </w:t>
      </w:r>
      <w:bookmarkEnd w:id="53"/>
      <w:bookmarkEnd w:id="54"/>
      <w:bookmarkStart w:id="58" w:name="第四部分"/>
      <w:r>
        <w:rPr>
          <w:rFonts w:hint="eastAsia" w:cs="仿宋_GB2312" w:asciiTheme="minorEastAsia" w:hAnsiTheme="minorEastAsia" w:eastAsiaTheme="minorEastAsia"/>
          <w:b/>
          <w:color w:val="auto"/>
          <w:sz w:val="36"/>
          <w:szCs w:val="36"/>
          <w:highlight w:val="none"/>
        </w:rPr>
        <w:t>评审方法及评审标准</w:t>
      </w:r>
      <w:bookmarkEnd w:id="57"/>
    </w:p>
    <w:p w14:paraId="0E705FE3">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081B3AA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1.资格审查</w:t>
      </w:r>
    </w:p>
    <w:p w14:paraId="17A581B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1.1响应文件开启后，磋商小组依法对供应商的资格证明文件进行审查。</w:t>
      </w:r>
    </w:p>
    <w:p w14:paraId="436F198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注：磋商小组在资格审查结束前，对供应商进行信用查询。</w:t>
      </w:r>
    </w:p>
    <w:p w14:paraId="1833698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（1）查询渠道：“信用中国”网站（www.creditchina.gov.cn）、中国政府采购网（www.ccgp.gov.cn）。</w:t>
      </w:r>
    </w:p>
    <w:p w14:paraId="076306F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（2）信用查询截止时点：资格审查结束前。</w:t>
      </w:r>
    </w:p>
    <w:p w14:paraId="7D0F767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（3）查询记录和证据留存方式：在查询网站中直接查询，截图另存为电子文档作为评审资料保存。</w:t>
      </w:r>
    </w:p>
    <w:p w14:paraId="554199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509DAE8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1.2资格审查标准为本磋商文件中载明对供应商资格要求的条件。资格审查采用合格制，凡符合磋商文件规定的供应商资格要求的响应文件均通过资格审查。</w:t>
      </w:r>
    </w:p>
    <w:p w14:paraId="4C3E76A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1.3供应商有下列情形之一的，资格审查不通过，其响应文件按无效响应处理：</w:t>
      </w:r>
    </w:p>
    <w:p w14:paraId="135B6C5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（1）不具备磋商文件中规定的资格要求的；</w:t>
      </w:r>
    </w:p>
    <w:p w14:paraId="355826D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（2）未按磋商文件规定的方式获取本磋商文件的供应商；</w:t>
      </w:r>
    </w:p>
    <w:p w14:paraId="11D7BD4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（3）响应文件的资格证明文件缺少任一项“供应商须知前附表”资格证明文件规定的“必须提供”的文件资料的；</w:t>
      </w:r>
    </w:p>
    <w:p w14:paraId="1C855A8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（4）响应文件中的资格证明文件出现任一项不符合“供应商须知前附表”资格证明文件规定的“必须提供”的文件资料要求或者无效的；</w:t>
      </w:r>
    </w:p>
    <w:p w14:paraId="42EFECE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0960224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1.4通过资格审查的合格供应商不足3家的，不得进入符合性审查环节，采购人或者采购代理机构应当重新开展采购活动。</w:t>
      </w:r>
    </w:p>
    <w:p w14:paraId="4810A94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2.符合性审查</w:t>
      </w:r>
    </w:p>
    <w:p w14:paraId="423B09A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2.1由磋商小组对通过资格审查的合格供应商的响应文件的竞标报价、商务、技术等实质性要求进行符合性审查，以确定其是否满足磋商文件的实质性要求。</w:t>
      </w:r>
    </w:p>
    <w:p w14:paraId="6DEECF2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8D991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3C37728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632920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2.4首次响应文件报价出现前后不一致的，按照下列规定修正： </w:t>
      </w:r>
    </w:p>
    <w:p w14:paraId="4D189AE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（1）响应文件中报价表内容与响应文件中相应内容不一致的，以报价表为准；</w:t>
      </w:r>
    </w:p>
    <w:p w14:paraId="43FAE4D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（2）大写金额和小写金额不一致的，以大写金额为准；</w:t>
      </w:r>
    </w:p>
    <w:p w14:paraId="0B29AE9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（3）单价金额小数点或者百分比有明显错位的，以报价表的总价为准，并修改单价；</w:t>
      </w:r>
    </w:p>
    <w:p w14:paraId="591B062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（4）总价金额与按单价汇总金额不一致的，以单价金额计算结果为准。</w:t>
      </w:r>
    </w:p>
    <w:p w14:paraId="7CC814A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同时出现两种以上不一致的，按照以上（1）-（4）规定的顺序逐条进行修正。修正后的报价经供应商确认后产生约束力，供应商不确认的，其响应文件按无效响应处理。</w:t>
      </w:r>
    </w:p>
    <w:p w14:paraId="22CE437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2.5</w:t>
      </w:r>
      <w:r>
        <w:rPr>
          <w:rFonts w:hint="eastAsia" w:ascii="宋体" w:hAnsi="宋体" w:eastAsia="宋体" w:cs="宋体"/>
          <w:b/>
          <w:bCs/>
          <w:color w:val="auto"/>
          <w:kern w:val="0"/>
          <w:sz w:val="24"/>
          <w:szCs w:val="24"/>
          <w:highlight w:val="none"/>
          <w:lang w:val="en-US" w:eastAsia="zh-CN"/>
        </w:rPr>
        <w:t>响应无效</w:t>
      </w:r>
    </w:p>
    <w:p w14:paraId="5DFFB1A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在评审时，如发现下列情形之一的，将被视为响应文件无效处理：</w:t>
      </w:r>
    </w:p>
    <w:p w14:paraId="1B706DF9">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cs="仿宋_GB2312" w:asciiTheme="minorEastAsia" w:hAnsiTheme="minorEastAsia" w:eastAsiaTheme="minorEastAsia"/>
          <w:color w:val="auto"/>
          <w:sz w:val="24"/>
          <w:szCs w:val="21"/>
          <w:highlight w:val="none"/>
          <w:lang w:val="en-US" w:eastAsia="zh-CN"/>
        </w:rPr>
        <w:t>2.5.1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CB6CA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2.5.2</w:t>
      </w:r>
      <w:r>
        <w:rPr>
          <w:rFonts w:hint="eastAsia" w:asciiTheme="minorEastAsia" w:hAnsiTheme="minorEastAsia" w:eastAsiaTheme="minorEastAsia"/>
          <w:color w:val="auto"/>
          <w:sz w:val="24"/>
          <w:highlight w:val="none"/>
        </w:rPr>
        <w:t xml:space="preserve">为采购项目提供整体设计、规范编制或者项目管理、监理、检测等服务的供应商再参加该采购项目的其他采购活动的； </w:t>
      </w:r>
    </w:p>
    <w:p w14:paraId="2128A0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2.5.3</w:t>
      </w:r>
      <w:r>
        <w:rPr>
          <w:rFonts w:hint="eastAsia" w:asciiTheme="minorEastAsia" w:hAnsiTheme="minorEastAsia" w:eastAsiaTheme="minorEastAsia"/>
          <w:color w:val="auto"/>
          <w:sz w:val="24"/>
          <w:highlight w:val="none"/>
        </w:rPr>
        <w:t>供应商不具备磋商文件中规定的资格要求的（供应商未提供有效的资格证明文件的，视为供应商不具备磋商文件中规定的资格要求）；</w:t>
      </w:r>
    </w:p>
    <w:p w14:paraId="2D9F25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2.5.4</w:t>
      </w:r>
      <w:r>
        <w:rPr>
          <w:rFonts w:hint="eastAsia" w:asciiTheme="minorEastAsia" w:hAnsiTheme="minorEastAsia" w:eastAsiaTheme="minorEastAsia"/>
          <w:color w:val="auto"/>
          <w:sz w:val="24"/>
          <w:highlight w:val="none"/>
        </w:rPr>
        <w:t>如以联合体形式参加政府采购活动的，联合协议不符合磋商文件规定的联合协议要求的；</w:t>
      </w:r>
    </w:p>
    <w:p w14:paraId="33465B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.5响应文件未按磋商文件的澄清、修改的内容编制，又不符合实质性要求的；</w:t>
      </w:r>
    </w:p>
    <w:p w14:paraId="7AF3B2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.6响应文件组成漏项，内容不全或内容字迹模糊辨认不清的；</w:t>
      </w:r>
    </w:p>
    <w:p w14:paraId="05DC9DC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.7响应文件中法人授权书所载内容与本项目内容有异的；</w:t>
      </w:r>
    </w:p>
    <w:p w14:paraId="692E4F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.8响应文件未按照磋商文件要求签署、盖章的；</w:t>
      </w:r>
    </w:p>
    <w:p w14:paraId="511337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8F473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.10响应文件含有采购人不能接受的附加条件的；</w:t>
      </w:r>
    </w:p>
    <w:p w14:paraId="52F87D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.11响应文件中承诺的响应有效期少于磋商文件中载明的响应有效期的；</w:t>
      </w:r>
    </w:p>
    <w:p w14:paraId="03AB66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.12供应商所投内容不符合磋商文件中实质性要求的；</w:t>
      </w:r>
    </w:p>
    <w:p w14:paraId="57B93A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.13所提交的《最后报价一览表》中出现不是唯一的、有选择性的报价的;</w:t>
      </w:r>
    </w:p>
    <w:p w14:paraId="3F9324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.14最后报价高于本项目采购预算或者最高限价的;</w:t>
      </w:r>
    </w:p>
    <w:p w14:paraId="023558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.15《最后报价一览表》填写不完整或字迹不能辨认或有漏项的；</w:t>
      </w:r>
    </w:p>
    <w:p w14:paraId="4159AD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.16供应商对根据修正原则修正后的最后报价不确认的；</w:t>
      </w:r>
    </w:p>
    <w:p w14:paraId="165D73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.17供应商提供虚假材料响应的（包括但不限于以下情节）；</w:t>
      </w:r>
    </w:p>
    <w:p w14:paraId="09B0F6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使用伪造、变造的许可证件；</w:t>
      </w:r>
    </w:p>
    <w:p w14:paraId="29E542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提供虚假的财务状况或者业绩；</w:t>
      </w:r>
    </w:p>
    <w:p w14:paraId="433B8F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提供虚假的项目负责人或者主要技术人员简历、劳动关系证明；</w:t>
      </w:r>
    </w:p>
    <w:p w14:paraId="3AB04E4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提供虚假的信用状况；</w:t>
      </w:r>
    </w:p>
    <w:p w14:paraId="3BE04A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其他弄虚作假的行为。</w:t>
      </w:r>
    </w:p>
    <w:p w14:paraId="34C3933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.18供应商有恶意串通、妨碍其他供应商的竞争行为、损害采购人或者其他供应商的合法权益情形的。有下列情形之一的，属于或视为恶意串通，其响应无效：</w:t>
      </w:r>
    </w:p>
    <w:p w14:paraId="0FB6CC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供应商直接或者间接从采购人或者采购代理机构处获得其他供应商的相关情况并修改其响应文件；</w:t>
      </w:r>
    </w:p>
    <w:p w14:paraId="1D5BD7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供应商按照采购人或者采购代理机构的授意撤换、修改投标文件或者响应文件；</w:t>
      </w:r>
    </w:p>
    <w:p w14:paraId="2DF12D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供应商之间协商报价、技术方案等投标文件或者响应文件的实质性内容；</w:t>
      </w:r>
    </w:p>
    <w:p w14:paraId="1F8C9F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属于同一集团、协会、商会等组织成员的供应商按照该组织要求协同参加政府采购活动；</w:t>
      </w:r>
    </w:p>
    <w:p w14:paraId="180DAE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供应商之间事先约定由某一特定供应商中标、成交；</w:t>
      </w:r>
    </w:p>
    <w:p w14:paraId="163947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供应商之间商定部分供应商放弃参加政府采购活动或者放弃中标、成交；</w:t>
      </w:r>
    </w:p>
    <w:p w14:paraId="3EEAB5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供应商与采购人或者采购代理机构之间、供应商相互之间，为谋求特定供应商中标、成交或者排斥其他供应商的其他串通行为。</w:t>
      </w:r>
    </w:p>
    <w:p w14:paraId="3D15CA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不同供应商的响应文件由同一单位或者个人编制；</w:t>
      </w:r>
    </w:p>
    <w:p w14:paraId="70A223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不同供应商委托同一单位或者个人办理响应事宜；</w:t>
      </w:r>
    </w:p>
    <w:p w14:paraId="08C173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不同供应商的响应文件载明的项目管理成员或者联系人员为同一人；</w:t>
      </w:r>
    </w:p>
    <w:p w14:paraId="587FE88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不同供应商的响应文件异常一致或者最后报价呈规律性差异。</w:t>
      </w:r>
    </w:p>
    <w:p w14:paraId="0FF6D57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.19供应商仅提交备份响应文件，没有在电子交易平台传输提交响应文件的，响应无效；</w:t>
      </w:r>
    </w:p>
    <w:p w14:paraId="7E5B2A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.20法律、法规、规章及省级以上规范性文件规定的其他无效情形。</w:t>
      </w:r>
    </w:p>
    <w:p w14:paraId="3480A79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3.磋商程序</w:t>
      </w:r>
    </w:p>
    <w:p w14:paraId="46AA623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小组集中与单一供应商分别进行磋商，并给予所有参加磋商的供应商平等的磋商机会。符合磋商资格的供应商必须在接到磋商通知后在规定时间内在广西政府采购云平台上参加磋商，未在规定时间内参加磋商的视同放弃参加磋商权利，其响应文件按无效响应处理。</w:t>
      </w:r>
    </w:p>
    <w:p w14:paraId="118786D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74CC74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3.3对磋商文件作出的实质性变动是磋商文件的有效组成部分，由磋商小组及时以电子澄清函形式同时通知所有参加磋商的供应商。</w:t>
      </w:r>
    </w:p>
    <w:p w14:paraId="77862BE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714F752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3.5磋商中，</w:t>
      </w:r>
      <w:r>
        <w:rPr>
          <w:rFonts w:hint="eastAsia" w:ascii="宋体" w:hAnsi="宋体" w:eastAsia="宋体" w:cs="宋体"/>
          <w:color w:val="auto"/>
          <w:spacing w:val="-6"/>
          <w:sz w:val="24"/>
          <w:szCs w:val="24"/>
          <w:highlight w:val="none"/>
        </w:rPr>
        <w:t>磋商的任何一方不得透露与磋商有关的其他供应商的技术资料、价格和其他信息。</w:t>
      </w:r>
    </w:p>
    <w:p w14:paraId="104EBF47">
      <w:pPr>
        <w:keepNext w:val="0"/>
        <w:keepLines w:val="0"/>
        <w:pageBreakBefore w:val="0"/>
        <w:widowControl/>
        <w:tabs>
          <w:tab w:val="left" w:pos="540"/>
        </w:tabs>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3.6采购代理机构对磋商过程和重要磋商内容进行记录。</w:t>
      </w:r>
    </w:p>
    <w:p w14:paraId="380CB360">
      <w:pPr>
        <w:keepNext w:val="0"/>
        <w:keepLines w:val="0"/>
        <w:pageBreakBefore w:val="0"/>
        <w:widowControl/>
        <w:tabs>
          <w:tab w:val="left" w:pos="540"/>
        </w:tabs>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A4A46A3">
      <w:pPr>
        <w:keepNext w:val="0"/>
        <w:keepLines w:val="0"/>
        <w:pageBreakBefore w:val="0"/>
        <w:tabs>
          <w:tab w:val="left" w:pos="2835"/>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3.8除本章第3.7条情形外，对磋商过程提交的响应文件进行有效性、完整性和响应程度审查，通过审查的合格供应商不足3家的，采购人或者采购代理机构应当重新开展采购活动。</w:t>
      </w:r>
    </w:p>
    <w:p w14:paraId="6E84B01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 最后报价</w:t>
      </w:r>
    </w:p>
    <w:p w14:paraId="7364F44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02FCBE1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3515079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14:paraId="02D01AA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049B1C0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4.5供应商未在规定时间内提交最后报价的，视同退出磋商，其响应文件按无效处理。</w:t>
      </w:r>
    </w:p>
    <w:p w14:paraId="4D8F54E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4.6最后报价统一开启后，磋商小组对最后报价进行有效性、完整性和响应程度的审查。</w:t>
      </w:r>
    </w:p>
    <w:p w14:paraId="0EB9AF6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4.7最后报价出现前后不一致的，按照本章第2.4条的规定修正。 </w:t>
      </w:r>
    </w:p>
    <w:p w14:paraId="048BC10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4.8修正后的报价出现下列情形的，按无效响应处理：</w:t>
      </w:r>
    </w:p>
    <w:p w14:paraId="007876D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（1）供应商不确认的（全流程电子化评标采取在线确认）；</w:t>
      </w:r>
    </w:p>
    <w:p w14:paraId="28730AE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（2）经供应商确认修正后的竞标报价（包含首次报价、最后报价）超过所竞标分标规定的采购预算金额的；</w:t>
      </w:r>
    </w:p>
    <w:p w14:paraId="607593E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4.9经供应商确认修正后的最后报价作为评审及签订合同的依据。</w:t>
      </w:r>
    </w:p>
    <w:p w14:paraId="19B92BA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4.10供应商出现最后报价按无效响应处理或者响应文件按无效处理时，磋商小组应当告知有关供应商。</w:t>
      </w:r>
    </w:p>
    <w:p w14:paraId="6FCB7B9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4.11最后报价结束后，磋商小组不得再与供应商进行任何形式的商谈。</w:t>
      </w:r>
    </w:p>
    <w:p w14:paraId="6C50D08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5.比较与评价</w:t>
      </w:r>
    </w:p>
    <w:p w14:paraId="735CBD4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5.1评审方法：综合评分法。</w:t>
      </w:r>
    </w:p>
    <w:p w14:paraId="47D759B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5.2经磋商确定最终采购需求和提交最后报价的供应商后，由磋商小组采用综合评分法对提交最后报价的供应商的响应文件和最后报价进行综合评分。</w:t>
      </w:r>
    </w:p>
    <w:p w14:paraId="2B98949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5.3评审时，磋商小组各成员应当独立对每个有效响应的文件进行评价、打分，然后汇总每个供应商每项评分因素的得分。</w:t>
      </w:r>
    </w:p>
    <w:p w14:paraId="178A6FE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（1）磋商小组按照磋商文件中规定的评审标准计算各供应商的报价得分。项目评审过程中，不得去掉最后报价中的最高报价和最低报价。</w:t>
      </w:r>
    </w:p>
    <w:p w14:paraId="34F2D59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（2）各供应商的得分为磋商小组所有成员的有效评分的算术平均数。</w:t>
      </w:r>
    </w:p>
    <w:p w14:paraId="62F8ED4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5.4评审价为供应商的最后报价（如有修正，以确认修正后的最后报价为准）。</w:t>
      </w:r>
    </w:p>
    <w:p w14:paraId="02B48EF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5.5由磋商小组根据综合评分情况，按照评审得分由高到低顺序推荐3名以上成交候选供应商，并编写评</w:t>
      </w:r>
      <w:r>
        <w:rPr>
          <w:rFonts w:hint="eastAsia" w:ascii="宋体" w:hAnsi="宋体" w:eastAsia="宋体" w:cs="宋体"/>
          <w:color w:val="auto"/>
          <w:kern w:val="0"/>
          <w:sz w:val="24"/>
          <w:szCs w:val="24"/>
          <w:highlight w:val="none"/>
        </w:rPr>
        <w:t>审报告。符合本章第4.3条情形的，可以推荐2家成交候选供应商。评审得分相同的，按照最后报价由低到高的顺序推荐。评审得分且最后报价相同的，按照技术指标优劣顺序推荐。</w:t>
      </w:r>
    </w:p>
    <w:p w14:paraId="63DCA9F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88371BB">
      <w:pPr>
        <w:pStyle w:val="22"/>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二、评审标准</w:t>
      </w:r>
    </w:p>
    <w:p w14:paraId="22CA13BD">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6</w:t>
      </w:r>
      <w:r>
        <w:rPr>
          <w:rFonts w:ascii="宋体" w:hAnsi="宋体"/>
          <w:bCs/>
          <w:color w:val="auto"/>
          <w:sz w:val="24"/>
          <w:szCs w:val="24"/>
          <w:highlight w:val="none"/>
        </w:rPr>
        <w:t>.</w:t>
      </w:r>
      <w:r>
        <w:rPr>
          <w:rFonts w:hint="eastAsia" w:ascii="宋体" w:hAnsi="宋体"/>
          <w:bCs/>
          <w:color w:val="auto"/>
          <w:sz w:val="24"/>
          <w:szCs w:val="24"/>
          <w:highlight w:val="none"/>
        </w:rPr>
        <w:t>评审依据：磋商小组将以磋商响应文件为评审依据，对供应商的报价、技术、商务等方面内容按百分制打分。（计分方法按四舍五入取至百分位）</w:t>
      </w:r>
    </w:p>
    <w:p w14:paraId="41BC4822">
      <w:pPr>
        <w:pStyle w:val="59"/>
        <w:ind w:left="0" w:leftChars="0" w:firstLine="0" w:firstLineChars="0"/>
        <w:rPr>
          <w:rFonts w:hint="default"/>
          <w:color w:val="auto"/>
          <w:highlight w:val="none"/>
          <w:lang w:val="en-US" w:eastAsia="zh-CN"/>
        </w:rPr>
      </w:pPr>
    </w:p>
    <w:tbl>
      <w:tblPr>
        <w:tblStyle w:val="6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973"/>
        <w:gridCol w:w="4980"/>
        <w:gridCol w:w="1308"/>
      </w:tblGrid>
      <w:tr w14:paraId="5A85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797BE6">
            <w:pPr>
              <w:spacing w:before="221" w:line="223" w:lineRule="auto"/>
              <w:jc w:val="center"/>
              <w:rPr>
                <w:rFonts w:cs="仿宋_GB2312" w:asciiTheme="minorEastAsia" w:hAnsiTheme="minorEastAsia" w:eastAsiaTheme="minorEastAsia"/>
                <w:color w:val="auto"/>
                <w:sz w:val="24"/>
                <w:highlight w:val="none"/>
              </w:rPr>
            </w:pPr>
            <w:r>
              <w:rPr>
                <w:rFonts w:ascii="宋体" w:hAnsi="宋体" w:cs="宋体"/>
                <w:snapToGrid w:val="0"/>
                <w:color w:val="auto"/>
                <w:spacing w:val="-2"/>
                <w:sz w:val="24"/>
                <w:highlight w:val="none"/>
                <w14:textOutline w14:w="2679" w14:cap="flat" w14:cmpd="sng" w14:algn="ctr">
                  <w14:solidFill>
                    <w14:srgbClr w14:val="000000"/>
                  </w14:solidFill>
                  <w14:prstDash w14:val="solid"/>
                  <w14:miter w14:val="0"/>
                </w14:textOutline>
              </w:rPr>
              <w:t>序</w:t>
            </w:r>
            <w:r>
              <w:rPr>
                <w:rFonts w:ascii="宋体" w:hAnsi="宋体" w:cs="宋体"/>
                <w:snapToGrid w:val="0"/>
                <w:color w:val="auto"/>
                <w:spacing w:val="-1"/>
                <w:sz w:val="24"/>
                <w:highlight w:val="none"/>
                <w14:textOutline w14:w="2679" w14:cap="flat" w14:cmpd="sng" w14:algn="ctr">
                  <w14:solidFill>
                    <w14:srgbClr w14:val="000000"/>
                  </w14:solidFill>
                  <w14:prstDash w14:val="solid"/>
                  <w14:miter w14:val="0"/>
                </w14:textOutline>
              </w:rPr>
              <w:t>号</w:t>
            </w:r>
          </w:p>
        </w:tc>
        <w:tc>
          <w:tcPr>
            <w:tcW w:w="1973" w:type="dxa"/>
            <w:vAlign w:val="center"/>
          </w:tcPr>
          <w:p w14:paraId="6B26DA8B">
            <w:pPr>
              <w:spacing w:before="221" w:line="221" w:lineRule="auto"/>
              <w:jc w:val="center"/>
              <w:rPr>
                <w:rFonts w:cs="仿宋_GB2312" w:asciiTheme="minorEastAsia" w:hAnsiTheme="minorEastAsia" w:eastAsiaTheme="minorEastAsia"/>
                <w:color w:val="auto"/>
                <w:sz w:val="24"/>
                <w:highlight w:val="none"/>
              </w:rPr>
            </w:pPr>
            <w:r>
              <w:rPr>
                <w:rFonts w:hint="eastAsia" w:ascii="宋体" w:hAnsi="宋体" w:cs="宋体"/>
                <w:snapToGrid w:val="0"/>
                <w:color w:val="auto"/>
                <w:spacing w:val="-1"/>
                <w:sz w:val="24"/>
                <w:highlight w:val="none"/>
                <w14:textOutline w14:w="2679" w14:cap="flat" w14:cmpd="sng" w14:algn="ctr">
                  <w14:solidFill>
                    <w14:srgbClr w14:val="000000"/>
                  </w14:solidFill>
                  <w14:prstDash w14:val="solid"/>
                  <w14:miter w14:val="0"/>
                </w14:textOutline>
              </w:rPr>
              <w:t>评审分项</w:t>
            </w:r>
          </w:p>
        </w:tc>
        <w:tc>
          <w:tcPr>
            <w:tcW w:w="4980" w:type="dxa"/>
            <w:vAlign w:val="center"/>
          </w:tcPr>
          <w:p w14:paraId="7880495A">
            <w:pPr>
              <w:spacing w:before="221" w:line="222" w:lineRule="auto"/>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cs="宋体"/>
                <w:snapToGrid w:val="0"/>
                <w:color w:val="auto"/>
                <w:spacing w:val="-1"/>
                <w:sz w:val="24"/>
                <w:highlight w:val="none"/>
                <w14:textOutline w14:w="2679" w14:cap="flat" w14:cmpd="sng" w14:algn="ctr">
                  <w14:solidFill>
                    <w14:srgbClr w14:val="000000"/>
                  </w14:solidFill>
                  <w14:prstDash w14:val="solid"/>
                  <w14:miter w14:val="0"/>
                </w14:textOutline>
              </w:rPr>
              <w:t>评审因素</w:t>
            </w:r>
          </w:p>
        </w:tc>
        <w:tc>
          <w:tcPr>
            <w:tcW w:w="1308" w:type="dxa"/>
            <w:vAlign w:val="center"/>
          </w:tcPr>
          <w:p w14:paraId="193F5B7E">
            <w:pPr>
              <w:spacing w:before="221" w:line="221" w:lineRule="auto"/>
              <w:jc w:val="center"/>
              <w:rPr>
                <w:rFonts w:cs="仿宋_GB2312" w:asciiTheme="minorEastAsia" w:hAnsiTheme="minorEastAsia" w:eastAsiaTheme="minorEastAsia"/>
                <w:bCs/>
                <w:color w:val="auto"/>
                <w:sz w:val="24"/>
                <w:highlight w:val="none"/>
              </w:rPr>
            </w:pPr>
            <w:r>
              <w:rPr>
                <w:rFonts w:ascii="宋体" w:hAnsi="宋体" w:cs="宋体"/>
                <w:snapToGrid w:val="0"/>
                <w:color w:val="auto"/>
                <w:spacing w:val="-3"/>
                <w:sz w:val="24"/>
                <w:highlight w:val="none"/>
                <w14:textOutline w14:w="2679" w14:cap="flat" w14:cmpd="sng" w14:algn="ctr">
                  <w14:solidFill>
                    <w14:srgbClr w14:val="000000"/>
                  </w14:solidFill>
                  <w14:prstDash w14:val="solid"/>
                  <w14:miter w14:val="0"/>
                </w14:textOutline>
              </w:rPr>
              <w:t>分</w:t>
            </w:r>
            <w:r>
              <w:rPr>
                <w:rFonts w:ascii="宋体" w:hAnsi="宋体" w:cs="宋体"/>
                <w:snapToGrid w:val="0"/>
                <w:color w:val="auto"/>
                <w:spacing w:val="-2"/>
                <w:sz w:val="24"/>
                <w:highlight w:val="none"/>
                <w14:textOutline w14:w="2679" w14:cap="flat" w14:cmpd="sng" w14:algn="ctr">
                  <w14:solidFill>
                    <w14:srgbClr w14:val="000000"/>
                  </w14:solidFill>
                  <w14:prstDash w14:val="solid"/>
                  <w14:miter w14:val="0"/>
                </w14:textOutline>
              </w:rPr>
              <w:t>值</w:t>
            </w:r>
          </w:p>
        </w:tc>
      </w:tr>
      <w:tr w14:paraId="576F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D298E6">
            <w:pPr>
              <w:snapToGrid w:val="0"/>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1</w:t>
            </w:r>
          </w:p>
        </w:tc>
        <w:tc>
          <w:tcPr>
            <w:tcW w:w="1973" w:type="dxa"/>
            <w:vAlign w:val="center"/>
          </w:tcPr>
          <w:p w14:paraId="3DFC478C">
            <w:pPr>
              <w:spacing w:line="360" w:lineRule="auto"/>
              <w:jc w:val="center"/>
              <w:rPr>
                <w:rFonts w:hint="eastAsia"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rPr>
              <w:t>价格分</w:t>
            </w:r>
          </w:p>
        </w:tc>
        <w:tc>
          <w:tcPr>
            <w:tcW w:w="4980" w:type="dxa"/>
            <w:vAlign w:val="top"/>
          </w:tcPr>
          <w:p w14:paraId="7AFDCABC">
            <w:pPr>
              <w:widowControl/>
              <w:shd w:val="clear" w:color="auto" w:fill="FFFFFF"/>
              <w:adjustRightInd/>
              <w:spacing w:line="360" w:lineRule="auto"/>
              <w:ind w:firstLine="480" w:firstLineChars="200"/>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 xml:space="preserve">1）本项目采用固定价格报价，统一按每人每天5元报价，所有通过资格审查、符合性审查，进入商务技术评分的供应商，价格分均为满分。 </w:t>
            </w:r>
          </w:p>
          <w:p w14:paraId="31205B79">
            <w:pPr>
              <w:widowControl/>
              <w:shd w:val="clear" w:color="auto" w:fill="FFFFFF"/>
              <w:adjustRightInd/>
              <w:spacing w:line="360" w:lineRule="auto"/>
              <w:ind w:firstLine="480" w:firstLineChars="200"/>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2）本项目为专门面向小微企业采购项目，按照《政府采购促进中小企业发展管理办法》（财库〔2020〕46号）的规定，对供应商的磋商报价不执行价格评审优惠的扶持政策。</w:t>
            </w:r>
          </w:p>
          <w:p w14:paraId="4985CB9F">
            <w:pPr>
              <w:snapToGrid w:val="0"/>
              <w:spacing w:line="360" w:lineRule="auto"/>
              <w:ind w:firstLine="480" w:firstLineChars="200"/>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按照《财政部、司法部关于政府采购支持监狱企业发展有关问题的通知》（财库〔2014〕68号）的规定，监狱企业视同小型、微型企业。监狱企业参加政府采购活动时，应当提供由省级以上监狱管理局、戒毒管理局（含新疆生产建设兵团）出具的属于监狱企业的证明文件。</w:t>
            </w:r>
          </w:p>
          <w:p w14:paraId="4F2F5E12">
            <w:pPr>
              <w:snapToGrid w:val="0"/>
              <w:spacing w:line="360" w:lineRule="auto"/>
              <w:ind w:firstLine="480" w:firstLineChars="200"/>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按照《关于促进残疾人就业政府采购政策的通知》（财库〔2017〕141号）的规定，残疾人福利性单位视同小型、微型企业。残疾人福利性单位参加政府采购活动时，应当提供该通知规定的《残疾人福利性单位声明函》，并对声明的真实性负责。</w:t>
            </w:r>
          </w:p>
        </w:tc>
        <w:tc>
          <w:tcPr>
            <w:tcW w:w="1308" w:type="dxa"/>
            <w:vAlign w:val="center"/>
          </w:tcPr>
          <w:p w14:paraId="50F2B4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val="0"/>
                <w:color w:val="auto"/>
                <w:sz w:val="24"/>
                <w:highlight w:val="none"/>
                <w:lang w:val="en-US" w:eastAsia="zh-CN"/>
              </w:rPr>
              <w:t>10</w:t>
            </w:r>
            <w:r>
              <w:rPr>
                <w:rFonts w:hint="eastAsia" w:cs="仿宋_GB2312" w:asciiTheme="minorEastAsia" w:hAnsiTheme="minorEastAsia" w:eastAsiaTheme="minorEastAsia"/>
                <w:b/>
                <w:bCs w:val="0"/>
                <w:color w:val="auto"/>
                <w:sz w:val="24"/>
                <w:highlight w:val="none"/>
              </w:rPr>
              <w:t>分</w:t>
            </w:r>
          </w:p>
        </w:tc>
      </w:tr>
      <w:tr w14:paraId="3D38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0C7AE4">
            <w:pPr>
              <w:snapToGrid w:val="0"/>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2</w:t>
            </w:r>
          </w:p>
        </w:tc>
        <w:tc>
          <w:tcPr>
            <w:tcW w:w="1973" w:type="dxa"/>
            <w:vAlign w:val="center"/>
          </w:tcPr>
          <w:p w14:paraId="6F72140A">
            <w:pPr>
              <w:snapToGrid w:val="0"/>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技术分</w:t>
            </w:r>
          </w:p>
        </w:tc>
        <w:tc>
          <w:tcPr>
            <w:tcW w:w="4980" w:type="dxa"/>
            <w:vAlign w:val="center"/>
          </w:tcPr>
          <w:p w14:paraId="574FD0A3">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snapToGrid w:val="0"/>
                <w:color w:val="auto"/>
                <w:spacing w:val="-1"/>
                <w:sz w:val="24"/>
                <w:highlight w:val="none"/>
                <w14:textOutline w14:w="2679" w14:cap="flat" w14:cmpd="sng" w14:algn="ctr">
                  <w14:solidFill>
                    <w14:srgbClr w14:val="000000"/>
                  </w14:solidFill>
                  <w14:prstDash w14:val="solid"/>
                  <w14:miter w14:val="0"/>
                </w14:textOutline>
              </w:rPr>
              <w:t>评审因素</w:t>
            </w:r>
          </w:p>
        </w:tc>
        <w:tc>
          <w:tcPr>
            <w:tcW w:w="1308" w:type="dxa"/>
            <w:vAlign w:val="center"/>
          </w:tcPr>
          <w:p w14:paraId="7FEBFF0C">
            <w:pPr>
              <w:snapToGrid w:val="0"/>
              <w:spacing w:line="360" w:lineRule="auto"/>
              <w:jc w:val="center"/>
              <w:rPr>
                <w:rFonts w:cs="仿宋_GB2312" w:asciiTheme="minorEastAsia" w:hAnsiTheme="minorEastAsia" w:eastAsiaTheme="minorEastAsia"/>
                <w:color w:val="auto"/>
                <w:sz w:val="24"/>
                <w:highlight w:val="none"/>
              </w:rPr>
            </w:pPr>
            <w:r>
              <w:rPr>
                <w:rFonts w:ascii="宋体" w:hAnsi="宋体" w:cs="宋体"/>
                <w:snapToGrid w:val="0"/>
                <w:color w:val="auto"/>
                <w:spacing w:val="-3"/>
                <w:sz w:val="24"/>
                <w:highlight w:val="none"/>
                <w14:textOutline w14:w="2679" w14:cap="flat" w14:cmpd="sng" w14:algn="ctr">
                  <w14:solidFill>
                    <w14:srgbClr w14:val="000000"/>
                  </w14:solidFill>
                  <w14:prstDash w14:val="solid"/>
                  <w14:miter w14:val="0"/>
                </w14:textOutline>
              </w:rPr>
              <w:t>分</w:t>
            </w:r>
            <w:r>
              <w:rPr>
                <w:rFonts w:ascii="宋体" w:hAnsi="宋体" w:cs="宋体"/>
                <w:snapToGrid w:val="0"/>
                <w:color w:val="auto"/>
                <w:spacing w:val="-2"/>
                <w:sz w:val="24"/>
                <w:highlight w:val="none"/>
                <w14:textOutline w14:w="2679" w14:cap="flat" w14:cmpd="sng" w14:algn="ctr">
                  <w14:solidFill>
                    <w14:srgbClr w14:val="000000"/>
                  </w14:solidFill>
                  <w14:prstDash w14:val="solid"/>
                  <w14:miter w14:val="0"/>
                </w14:textOutline>
              </w:rPr>
              <w:t>值</w:t>
            </w:r>
          </w:p>
        </w:tc>
      </w:tr>
      <w:tr w14:paraId="2B80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C36D4B">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2.1</w:t>
            </w:r>
          </w:p>
        </w:tc>
        <w:tc>
          <w:tcPr>
            <w:tcW w:w="1973" w:type="dxa"/>
            <w:vAlign w:val="center"/>
          </w:tcPr>
          <w:p w14:paraId="486D5DE5">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项目实施方案分</w:t>
            </w:r>
          </w:p>
        </w:tc>
        <w:tc>
          <w:tcPr>
            <w:tcW w:w="4980" w:type="dxa"/>
            <w:vAlign w:val="center"/>
          </w:tcPr>
          <w:p w14:paraId="1ED9B64B">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实施方案应包括但不限于：供货流程、卫生管理措施，提供详细的项目采购、装卸、配送流程措施，提供供货流程图，流程完善、规范；制定配送计划，具体实施步骤描述详细，能明确配送时间、进度、车辆选择、食材装载、路线选择等规划安排；提供公司卫生管理办法，针对配送场地卫生消杀、车辆清洁及用具清洁及消毒有规范的计划及安排。磋商小组根据各供应商的响应文件进行综合评估，按优秀得20分，良好得15分，一般得10分，较差得5分进行综合打分。不提供方案不得分。</w:t>
            </w:r>
          </w:p>
        </w:tc>
        <w:tc>
          <w:tcPr>
            <w:tcW w:w="1308" w:type="dxa"/>
            <w:vAlign w:val="center"/>
          </w:tcPr>
          <w:p w14:paraId="17FBFB0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20分</w:t>
            </w:r>
          </w:p>
        </w:tc>
      </w:tr>
      <w:tr w14:paraId="0C27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790B1F">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2.2</w:t>
            </w:r>
          </w:p>
        </w:tc>
        <w:tc>
          <w:tcPr>
            <w:tcW w:w="1973" w:type="dxa"/>
            <w:vAlign w:val="center"/>
          </w:tcPr>
          <w:p w14:paraId="61CA8C6A">
            <w:pPr>
              <w:snapToGrid w:val="0"/>
              <w:spacing w:line="360" w:lineRule="auto"/>
              <w:jc w:val="center"/>
              <w:rPr>
                <w:rFonts w:hint="eastAsia" w:cs="仿宋_GB2312" w:asciiTheme="minorEastAsia" w:hAnsiTheme="minorEastAsia" w:eastAsiaTheme="minorEastAsia"/>
                <w:b/>
                <w:bCs/>
                <w:color w:val="auto"/>
                <w:sz w:val="24"/>
                <w:highlight w:val="none"/>
              </w:rPr>
            </w:pPr>
            <w:r>
              <w:rPr>
                <w:rFonts w:hint="eastAsia"/>
                <w:b/>
                <w:bCs/>
                <w:color w:val="auto"/>
                <w:sz w:val="24"/>
                <w:szCs w:val="24"/>
                <w:highlight w:val="none"/>
                <w:lang w:val="en-US" w:eastAsia="zh-CN"/>
              </w:rPr>
              <w:t>供货方案分</w:t>
            </w:r>
          </w:p>
        </w:tc>
        <w:tc>
          <w:tcPr>
            <w:tcW w:w="4980" w:type="dxa"/>
            <w:vAlign w:val="center"/>
          </w:tcPr>
          <w:p w14:paraId="313C38CF">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供货方案，应包括但不限于：进货采购渠道、产品安全控制管理措施、产品检验检疫措施、产品质量标准等，承诺有固定且稳定的进货渠道；有定期针对产品保质期检查流程等内容，保证产品的卫生安全和质量稳定性，内容完整、详细，各项措施安排合理。从产品采购、自检到产品溯源体系的各项措施，产品质量、安全控制措施完善、合理可行。提供更优惠的供货配送方案，供应商承诺：在满足采购需求的基础上，承诺为采购人提供更多餐品且提供的牛奶蛋白质含量达到</w:t>
            </w:r>
            <w:r>
              <w:rPr>
                <w:rFonts w:hint="eastAsia" w:cs="仿宋_GB2312" w:asciiTheme="minorEastAsia" w:hAnsiTheme="minorEastAsia" w:eastAsiaTheme="minorEastAsia"/>
                <w:color w:val="auto"/>
                <w:sz w:val="24"/>
                <w:highlight w:val="none"/>
                <w:lang w:val="en-US" w:eastAsia="zh-CN"/>
              </w:rPr>
              <w:t>3.2g/100ml（含）以上的</w:t>
            </w:r>
            <w:r>
              <w:rPr>
                <w:rFonts w:hint="eastAsia" w:cs="仿宋_GB2312" w:asciiTheme="minorEastAsia" w:hAnsiTheme="minorEastAsia" w:eastAsiaTheme="minorEastAsia"/>
                <w:color w:val="auto"/>
                <w:sz w:val="24"/>
                <w:highlight w:val="none"/>
                <w:lang w:val="en-US" w:eastAsia="zh-CN"/>
              </w:rPr>
              <w:t>。磋商小组根据各供应商的响应文件进行综合评估，按优秀得20分，良好得15分，一般得10分，较差得5分进行综合打分。不提供方案不得分。</w:t>
            </w:r>
          </w:p>
        </w:tc>
        <w:tc>
          <w:tcPr>
            <w:tcW w:w="1308" w:type="dxa"/>
            <w:vAlign w:val="center"/>
          </w:tcPr>
          <w:p w14:paraId="6F66445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20分</w:t>
            </w:r>
          </w:p>
        </w:tc>
      </w:tr>
      <w:tr w14:paraId="1E6D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A965FE">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2.3</w:t>
            </w:r>
          </w:p>
        </w:tc>
        <w:tc>
          <w:tcPr>
            <w:tcW w:w="1973" w:type="dxa"/>
            <w:vAlign w:val="center"/>
          </w:tcPr>
          <w:p w14:paraId="68B2FE2F">
            <w:pPr>
              <w:snapToGrid w:val="0"/>
              <w:spacing w:line="360" w:lineRule="auto"/>
              <w:jc w:val="center"/>
              <w:rPr>
                <w:rFonts w:hint="eastAsia" w:cs="仿宋_GB2312" w:asciiTheme="minorEastAsia" w:hAnsiTheme="minorEastAsia" w:eastAsiaTheme="minorEastAsia"/>
                <w:b/>
                <w:bCs/>
                <w:color w:val="auto"/>
                <w:sz w:val="24"/>
                <w:highlight w:val="none"/>
              </w:rPr>
            </w:pPr>
            <w:r>
              <w:rPr>
                <w:rFonts w:hint="eastAsia"/>
                <w:b/>
                <w:bCs/>
                <w:color w:val="auto"/>
                <w:sz w:val="24"/>
                <w:szCs w:val="24"/>
                <w:highlight w:val="none"/>
                <w:lang w:val="en-US" w:eastAsia="zh-CN"/>
              </w:rPr>
              <w:t>应急保障方案分</w:t>
            </w:r>
          </w:p>
        </w:tc>
        <w:tc>
          <w:tcPr>
            <w:tcW w:w="4980" w:type="dxa"/>
            <w:vAlign w:val="center"/>
          </w:tcPr>
          <w:p w14:paraId="46516018">
            <w:pPr>
              <w:snapToGrid w:val="0"/>
              <w:spacing w:line="360" w:lineRule="auto"/>
              <w:jc w:val="left"/>
              <w:rPr>
                <w:rFonts w:hint="default" w:cs="仿宋_GB2312" w:asciiTheme="minorEastAsia" w:hAnsiTheme="minorEastAsia" w:eastAsiaTheme="minorEastAsia"/>
                <w:color w:val="auto"/>
                <w:sz w:val="24"/>
                <w:highlight w:val="none"/>
                <w:lang w:val="en-US"/>
              </w:rPr>
            </w:pPr>
            <w:r>
              <w:rPr>
                <w:rFonts w:hint="eastAsia"/>
                <w:b w:val="0"/>
                <w:bCs w:val="0"/>
                <w:color w:val="auto"/>
                <w:sz w:val="24"/>
                <w:szCs w:val="24"/>
                <w:highlight w:val="none"/>
                <w:lang w:val="en-US" w:eastAsia="zh-CN"/>
              </w:rPr>
              <w:t>应急保障方案，应包括但不限于：食品安全突发事件应急处置方案；对产品短缺情况、紧急产品配送、台风、大风暴雨等极端恶劣天气、问题产品替换等特殊情况制定详细、完善的应急预案；承诺配备充足的配送人员，配置机动人员应对紧急事件处理，应急处理响应迅速，能保证在特殊情况时可立即更换符合要求的配送员、配送车辆，保证配送服务及产品质量。</w:t>
            </w:r>
            <w:r>
              <w:rPr>
                <w:rFonts w:hint="eastAsia" w:cs="仿宋_GB2312" w:asciiTheme="minorEastAsia" w:hAnsiTheme="minorEastAsia" w:eastAsiaTheme="minorEastAsia"/>
                <w:color w:val="auto"/>
                <w:sz w:val="24"/>
                <w:highlight w:val="none"/>
                <w:lang w:val="en-US" w:eastAsia="zh-CN"/>
              </w:rPr>
              <w:t>磋商小组根据各供应商的响应文件进行综合评估，按优秀得10分，良好得8分，一般得6分，较差得4分进行综合打分。不提供方案不得分。</w:t>
            </w:r>
          </w:p>
        </w:tc>
        <w:tc>
          <w:tcPr>
            <w:tcW w:w="1308" w:type="dxa"/>
            <w:vAlign w:val="center"/>
          </w:tcPr>
          <w:p w14:paraId="7007CB7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10分</w:t>
            </w:r>
          </w:p>
        </w:tc>
      </w:tr>
      <w:tr w14:paraId="7E63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7CA2F5">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2.4</w:t>
            </w:r>
          </w:p>
        </w:tc>
        <w:tc>
          <w:tcPr>
            <w:tcW w:w="1973" w:type="dxa"/>
            <w:vAlign w:val="center"/>
          </w:tcPr>
          <w:p w14:paraId="28A4DF20">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服务保障方案分</w:t>
            </w:r>
          </w:p>
        </w:tc>
        <w:tc>
          <w:tcPr>
            <w:tcW w:w="4980" w:type="dxa"/>
            <w:vAlign w:val="center"/>
          </w:tcPr>
          <w:p w14:paraId="7AD66ECA">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hint="default" w:cs="仿宋_GB2312" w:asciiTheme="minorEastAsia" w:hAnsiTheme="minorEastAsia" w:eastAsiaTheme="minorEastAsia"/>
                <w:color w:val="auto"/>
                <w:sz w:val="24"/>
                <w:highlight w:val="none"/>
                <w:lang w:val="en-US" w:eastAsia="zh-CN"/>
              </w:rPr>
              <w:t>服务</w:t>
            </w:r>
            <w:r>
              <w:rPr>
                <w:rFonts w:hint="eastAsia" w:cs="仿宋_GB2312" w:asciiTheme="minorEastAsia" w:hAnsiTheme="minorEastAsia" w:eastAsiaTheme="minorEastAsia"/>
                <w:color w:val="auto"/>
                <w:sz w:val="24"/>
                <w:highlight w:val="none"/>
                <w:lang w:val="en-US" w:eastAsia="zh-CN"/>
              </w:rPr>
              <w:t>保障</w:t>
            </w:r>
            <w:r>
              <w:rPr>
                <w:rFonts w:hint="default" w:cs="仿宋_GB2312" w:asciiTheme="minorEastAsia" w:hAnsiTheme="minorEastAsia" w:eastAsiaTheme="minorEastAsia"/>
                <w:color w:val="auto"/>
                <w:sz w:val="24"/>
                <w:highlight w:val="none"/>
                <w:lang w:val="en-US" w:eastAsia="zh-CN"/>
              </w:rPr>
              <w:t>方案</w:t>
            </w:r>
            <w:r>
              <w:rPr>
                <w:rFonts w:hint="eastAsia" w:cs="仿宋_GB2312" w:asciiTheme="minorEastAsia" w:hAnsiTheme="minorEastAsia" w:eastAsiaTheme="minorEastAsia"/>
                <w:color w:val="auto"/>
                <w:sz w:val="24"/>
                <w:highlight w:val="none"/>
                <w:lang w:val="en-US" w:eastAsia="zh-CN"/>
              </w:rPr>
              <w:t>应包括但不限于：</w:t>
            </w:r>
            <w:r>
              <w:rPr>
                <w:rFonts w:hint="default" w:cs="仿宋_GB2312" w:asciiTheme="minorEastAsia" w:hAnsiTheme="minorEastAsia" w:eastAsiaTheme="minorEastAsia"/>
                <w:color w:val="auto"/>
                <w:sz w:val="24"/>
                <w:highlight w:val="none"/>
                <w:lang w:val="en-US" w:eastAsia="zh-CN"/>
              </w:rPr>
              <w:t>服务承诺书及售前、售中、售后服务措施；售前（产品外观及质量检查、仓库卫生管理等）、售中（产品出现的质量及安全问题、退货处理、台账管理等）、售后（售后服务监督、评价和定期回访等）制定有相应措施；提供本地化服务承诺书</w:t>
            </w:r>
            <w:r>
              <w:rPr>
                <w:rFonts w:hint="eastAsia" w:cs="仿宋_GB2312" w:asciiTheme="minorEastAsia" w:hAnsiTheme="minorEastAsia" w:eastAsiaTheme="minorEastAsia"/>
                <w:color w:val="auto"/>
                <w:sz w:val="24"/>
                <w:highlight w:val="none"/>
                <w:lang w:val="en-US" w:eastAsia="zh-CN"/>
              </w:rPr>
              <w:t>。鉴于本项目配送地点位于涠洲岛，岛上物资供应相对匮乏，主要依赖于市区供应，交通相对不是十分便利，如遇台风等恶劣天气，存在停航停运的风险。供应商应针对本项目的特殊情况，制订有针对性的服务保障方案。磋商小组根据各供应商的响应文件进行综合评估，按优秀得10分，良好得8分，一般得6分，较差得4分进行综合打分。不提供方案不得分。</w:t>
            </w:r>
          </w:p>
        </w:tc>
        <w:tc>
          <w:tcPr>
            <w:tcW w:w="1308" w:type="dxa"/>
            <w:vAlign w:val="center"/>
          </w:tcPr>
          <w:p w14:paraId="4FCCCC0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10分</w:t>
            </w:r>
          </w:p>
        </w:tc>
      </w:tr>
      <w:tr w14:paraId="4CDE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12BEAA">
            <w:pPr>
              <w:snapToGrid w:val="0"/>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3</w:t>
            </w:r>
          </w:p>
        </w:tc>
        <w:tc>
          <w:tcPr>
            <w:tcW w:w="1973" w:type="dxa"/>
            <w:vAlign w:val="center"/>
          </w:tcPr>
          <w:p w14:paraId="6FE9D1C6">
            <w:pPr>
              <w:snapToGrid w:val="0"/>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商务分</w:t>
            </w:r>
          </w:p>
        </w:tc>
        <w:tc>
          <w:tcPr>
            <w:tcW w:w="4980" w:type="dxa"/>
            <w:vAlign w:val="center"/>
          </w:tcPr>
          <w:p w14:paraId="02D6E642">
            <w:pPr>
              <w:snapToGrid w:val="0"/>
              <w:spacing w:line="360" w:lineRule="auto"/>
              <w:jc w:val="center"/>
              <w:rPr>
                <w:rFonts w:cs="仿宋_GB2312" w:asciiTheme="minorEastAsia" w:hAnsiTheme="minorEastAsia" w:eastAsiaTheme="minorEastAsia"/>
                <w:b/>
                <w:bCs/>
                <w:color w:val="auto"/>
                <w:sz w:val="24"/>
                <w:highlight w:val="none"/>
              </w:rPr>
            </w:pPr>
            <w:r>
              <w:rPr>
                <w:rFonts w:hint="eastAsia" w:ascii="宋体" w:hAnsi="宋体" w:cs="宋体"/>
                <w:b/>
                <w:bCs/>
                <w:snapToGrid w:val="0"/>
                <w:color w:val="auto"/>
                <w:spacing w:val="-1"/>
                <w:sz w:val="24"/>
                <w:highlight w:val="none"/>
                <w14:textOutline w14:w="2679" w14:cap="flat" w14:cmpd="sng" w14:algn="ctr">
                  <w14:solidFill>
                    <w14:srgbClr w14:val="000000"/>
                  </w14:solidFill>
                  <w14:prstDash w14:val="solid"/>
                  <w14:miter w14:val="0"/>
                </w14:textOutline>
              </w:rPr>
              <w:t>评审因素</w:t>
            </w:r>
          </w:p>
        </w:tc>
        <w:tc>
          <w:tcPr>
            <w:tcW w:w="1308" w:type="dxa"/>
            <w:vAlign w:val="center"/>
          </w:tcPr>
          <w:p w14:paraId="7BE84F7F">
            <w:pPr>
              <w:snapToGrid w:val="0"/>
              <w:spacing w:line="360" w:lineRule="auto"/>
              <w:jc w:val="center"/>
              <w:rPr>
                <w:rFonts w:cs="仿宋_GB2312" w:asciiTheme="minorEastAsia" w:hAnsiTheme="minorEastAsia" w:eastAsiaTheme="minorEastAsia"/>
                <w:b/>
                <w:bCs/>
                <w:color w:val="auto"/>
                <w:sz w:val="24"/>
                <w:highlight w:val="none"/>
              </w:rPr>
            </w:pPr>
            <w:r>
              <w:rPr>
                <w:rFonts w:ascii="宋体" w:hAnsi="宋体" w:cs="宋体"/>
                <w:b/>
                <w:bCs/>
                <w:snapToGrid w:val="0"/>
                <w:color w:val="auto"/>
                <w:spacing w:val="-3"/>
                <w:sz w:val="24"/>
                <w:highlight w:val="none"/>
                <w14:textOutline w14:w="2679" w14:cap="flat" w14:cmpd="sng" w14:algn="ctr">
                  <w14:solidFill>
                    <w14:srgbClr w14:val="000000"/>
                  </w14:solidFill>
                  <w14:prstDash w14:val="solid"/>
                  <w14:miter w14:val="0"/>
                </w14:textOutline>
              </w:rPr>
              <w:t>分</w:t>
            </w:r>
            <w:r>
              <w:rPr>
                <w:rFonts w:ascii="宋体" w:hAnsi="宋体" w:cs="宋体"/>
                <w:b/>
                <w:bCs/>
                <w:snapToGrid w:val="0"/>
                <w:color w:val="auto"/>
                <w:spacing w:val="-2"/>
                <w:sz w:val="24"/>
                <w:highlight w:val="none"/>
                <w14:textOutline w14:w="2679" w14:cap="flat" w14:cmpd="sng" w14:algn="ctr">
                  <w14:solidFill>
                    <w14:srgbClr w14:val="000000"/>
                  </w14:solidFill>
                  <w14:prstDash w14:val="solid"/>
                  <w14:miter w14:val="0"/>
                </w14:textOutline>
              </w:rPr>
              <w:t>值</w:t>
            </w:r>
          </w:p>
        </w:tc>
      </w:tr>
      <w:tr w14:paraId="0A29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83ABA51">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3.1</w:t>
            </w:r>
          </w:p>
        </w:tc>
        <w:tc>
          <w:tcPr>
            <w:tcW w:w="1973" w:type="dxa"/>
            <w:vAlign w:val="center"/>
          </w:tcPr>
          <w:p w14:paraId="25C2C97B">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人员配置分</w:t>
            </w:r>
          </w:p>
        </w:tc>
        <w:tc>
          <w:tcPr>
            <w:tcW w:w="4980" w:type="dxa"/>
            <w:vAlign w:val="center"/>
          </w:tcPr>
          <w:p w14:paraId="210CED60">
            <w:pPr>
              <w:numPr>
                <w:ilvl w:val="0"/>
                <w:numId w:val="0"/>
              </w:numPr>
              <w:snapToGrid w:val="0"/>
              <w:spacing w:line="360" w:lineRule="auto"/>
              <w:ind w:firstLine="480" w:firstLineChars="200"/>
              <w:jc w:val="left"/>
              <w:rPr>
                <w:rFonts w:hint="eastAsia" w:cs="仿宋_GB2312" w:asciiTheme="minorEastAsia" w:hAnsiTheme="minorEastAsia" w:eastAsiaTheme="minorEastAsia"/>
                <w:b w:val="0"/>
                <w:bCs w:val="0"/>
                <w:color w:val="auto"/>
                <w:sz w:val="24"/>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一档（0分）：未提供相关方案不得分；</w:t>
            </w:r>
          </w:p>
          <w:p w14:paraId="4757068A">
            <w:pPr>
              <w:numPr>
                <w:ilvl w:val="0"/>
                <w:numId w:val="0"/>
              </w:numPr>
              <w:snapToGrid w:val="0"/>
              <w:spacing w:line="360" w:lineRule="auto"/>
              <w:ind w:firstLine="480" w:firstLineChars="200"/>
              <w:jc w:val="left"/>
              <w:rPr>
                <w:rFonts w:hint="eastAsia" w:cs="仿宋_GB2312" w:asciiTheme="minorEastAsia" w:hAnsiTheme="minorEastAsia" w:eastAsiaTheme="minorEastAsia"/>
                <w:b w:val="0"/>
                <w:bCs w:val="0"/>
                <w:color w:val="auto"/>
                <w:sz w:val="24"/>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二档（5分）：对本项目制定人员岗位规划安排表，拟投入项目负责人不少于1人、配送团队不少于1人，具有采购、运输配送等岗位安排；并制定相应的岗位职责分工说明；制定从业人员培训管理制度、人员考核制度。</w:t>
            </w:r>
          </w:p>
          <w:p w14:paraId="2D9E1B27">
            <w:pPr>
              <w:numPr>
                <w:ilvl w:val="0"/>
                <w:numId w:val="0"/>
              </w:numPr>
              <w:snapToGrid w:val="0"/>
              <w:spacing w:line="360" w:lineRule="auto"/>
              <w:ind w:firstLine="480" w:firstLineChars="200"/>
              <w:jc w:val="left"/>
              <w:rPr>
                <w:rFonts w:hint="eastAsia" w:cs="仿宋_GB2312" w:asciiTheme="minorEastAsia" w:hAnsiTheme="minorEastAsia" w:eastAsiaTheme="minorEastAsia"/>
                <w:b w:val="0"/>
                <w:bCs w:val="0"/>
                <w:color w:val="auto"/>
                <w:sz w:val="24"/>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三档（10分）：对本项目设置有项目管理组织机构图，提供人员岗位规划安排表，拟投入项目负责人不少于1人、配送团队不少于2人，具有采购、产品分拣、运输配送等岗位安排；并制定相应的岗位职责分工说明；制定人员管理制度，包含文明服务制度、从业人员培训管理制度，并针对本项目制定人员考核制度。</w:t>
            </w:r>
          </w:p>
          <w:p w14:paraId="0F4693D1">
            <w:pPr>
              <w:numPr>
                <w:ilvl w:val="0"/>
                <w:numId w:val="0"/>
              </w:numPr>
              <w:snapToGrid w:val="0"/>
              <w:spacing w:line="360" w:lineRule="auto"/>
              <w:ind w:firstLine="480" w:firstLineChars="200"/>
              <w:jc w:val="left"/>
              <w:rPr>
                <w:rFonts w:hint="eastAsia" w:cs="仿宋_GB2312" w:asciiTheme="minorEastAsia" w:hAnsiTheme="minorEastAsia" w:eastAsiaTheme="minorEastAsia"/>
                <w:b w:val="0"/>
                <w:bCs w:val="0"/>
                <w:color w:val="auto"/>
                <w:sz w:val="24"/>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四档（15分）：对本项目设置有项目管理组织机构图，提供各项工作的人员岗位规划安排表，拟投入项目负责人不少于1人、配送团队不少于3人，具有采购、产品分拣、运输配送、质量管理等岗位安排；并制定相应的岗位职责分工说明；人员管理制度健全，包含文明服务制度、从业人员培训管理制度、人事管理制度及财务管理制度，方案详细。</w:t>
            </w:r>
          </w:p>
          <w:p w14:paraId="54AB5CF2">
            <w:pPr>
              <w:numPr>
                <w:ilvl w:val="0"/>
                <w:numId w:val="0"/>
              </w:numPr>
              <w:snapToGrid w:val="0"/>
              <w:spacing w:line="360" w:lineRule="auto"/>
              <w:ind w:firstLine="480" w:firstLineChars="200"/>
              <w:jc w:val="left"/>
              <w:rPr>
                <w:rFonts w:hint="eastAsia" w:cs="仿宋_GB2312" w:asciiTheme="minorEastAsia" w:hAnsiTheme="minorEastAsia" w:eastAsiaTheme="minorEastAsia"/>
                <w:b w:val="0"/>
                <w:bCs w:val="0"/>
                <w:color w:val="auto"/>
                <w:sz w:val="24"/>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五档（20分）：对本项目设置有项目管理组织机构图，提供各项工作的人员岗位规划安排表，拟投入项目负责人不少于1人、配送团队不少于4人，具有采购、仓管、产品分拣、运输配送、安全管理、质量管理、机动等岗位安排；并制定相应的岗位职责分工说明；制定完善的人员管理制度，包含文明服务制度、从业人员培训管理制度、人员健康管理制度、人事管理制度及财务管理制度，并针对本项目制定人员考核制度及奖惩制度；设立督查小组，对所有拟投入实施项目的工作人员的工作进行监督检查。人员配备合理，方案详细完善。</w:t>
            </w:r>
          </w:p>
          <w:p w14:paraId="5E446244">
            <w:pPr>
              <w:numPr>
                <w:ilvl w:val="0"/>
                <w:numId w:val="0"/>
              </w:numPr>
              <w:snapToGrid w:val="0"/>
              <w:spacing w:line="360" w:lineRule="auto"/>
              <w:ind w:firstLine="480" w:firstLineChars="200"/>
              <w:jc w:val="left"/>
              <w:rPr>
                <w:rFonts w:hint="default" w:cs="仿宋_GB2312" w:asciiTheme="minorEastAsia" w:hAnsiTheme="minorEastAsia" w:eastAsiaTheme="minorEastAsia"/>
                <w:b w:val="0"/>
                <w:bCs w:val="0"/>
                <w:color w:val="auto"/>
                <w:sz w:val="24"/>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注：需提供拟投入人员身份证、岗位资格证（如有请提供，如：检验员证书、健康证、配送车辆司机的驾驶证等），供应商为其缴纳的距响应文件递交截止时间最近一个月的</w:t>
            </w:r>
            <w:r>
              <w:rPr>
                <w:rFonts w:hint="eastAsia" w:cs="仿宋_GB2312" w:asciiTheme="minorEastAsia" w:hAnsiTheme="minorEastAsia" w:eastAsiaTheme="minorEastAsia"/>
                <w:b w:val="0"/>
                <w:bCs w:val="0"/>
                <w:color w:val="auto"/>
                <w:sz w:val="24"/>
                <w:highlight w:val="none"/>
                <w:lang w:val="en-US" w:eastAsia="zh-CN"/>
              </w:rPr>
              <w:t>社保缴费证明或劳动合同</w:t>
            </w:r>
            <w:r>
              <w:rPr>
                <w:rFonts w:hint="eastAsia" w:cs="仿宋_GB2312" w:asciiTheme="minorEastAsia" w:hAnsiTheme="minorEastAsia" w:eastAsiaTheme="minorEastAsia"/>
                <w:b w:val="0"/>
                <w:bCs w:val="0"/>
                <w:color w:val="auto"/>
                <w:sz w:val="24"/>
                <w:highlight w:val="none"/>
                <w:lang w:val="en-US" w:eastAsia="zh-CN"/>
              </w:rPr>
              <w:t>，复印件加盖供应商公章。</w:t>
            </w:r>
          </w:p>
        </w:tc>
        <w:tc>
          <w:tcPr>
            <w:tcW w:w="1308" w:type="dxa"/>
            <w:vAlign w:val="center"/>
          </w:tcPr>
          <w:p w14:paraId="1C9FD7EA">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20分</w:t>
            </w:r>
          </w:p>
        </w:tc>
      </w:tr>
      <w:tr w14:paraId="2CD8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5403DDD">
            <w:pPr>
              <w:snapToGrid w:val="0"/>
              <w:spacing w:line="360" w:lineRule="auto"/>
              <w:jc w:val="center"/>
              <w:rPr>
                <w:rFonts w:hint="default" w:ascii="宋体" w:hAnsi="宋体" w:eastAsia="宋体"/>
                <w:b/>
                <w:bCs/>
                <w:color w:val="auto"/>
                <w:kern w:val="0"/>
                <w:sz w:val="24"/>
                <w:szCs w:val="20"/>
                <w:highlight w:val="none"/>
                <w:lang w:val="en-US" w:eastAsia="zh-CN"/>
              </w:rPr>
            </w:pPr>
            <w:r>
              <w:rPr>
                <w:rFonts w:hint="eastAsia" w:ascii="宋体" w:hAnsi="宋体"/>
                <w:b/>
                <w:bCs/>
                <w:color w:val="auto"/>
                <w:kern w:val="0"/>
                <w:sz w:val="24"/>
                <w:szCs w:val="20"/>
                <w:highlight w:val="none"/>
                <w:lang w:val="en-US" w:eastAsia="zh-CN"/>
              </w:rPr>
              <w:t>3.2</w:t>
            </w:r>
          </w:p>
        </w:tc>
        <w:tc>
          <w:tcPr>
            <w:tcW w:w="1973" w:type="dxa"/>
            <w:vAlign w:val="center"/>
          </w:tcPr>
          <w:p w14:paraId="1A71A194">
            <w:pPr>
              <w:snapToGrid w:val="0"/>
              <w:spacing w:line="360" w:lineRule="auto"/>
              <w:jc w:val="center"/>
              <w:rPr>
                <w:rFonts w:hint="default" w:ascii="宋体" w:hAnsi="宋体" w:eastAsia="宋体"/>
                <w:b/>
                <w:bCs/>
                <w:color w:val="auto"/>
                <w:kern w:val="0"/>
                <w:sz w:val="24"/>
                <w:szCs w:val="20"/>
                <w:highlight w:val="none"/>
                <w:lang w:val="en-US" w:eastAsia="zh-CN"/>
              </w:rPr>
            </w:pPr>
            <w:r>
              <w:rPr>
                <w:rFonts w:hint="eastAsia" w:ascii="宋体" w:hAnsi="宋体"/>
                <w:b/>
                <w:bCs/>
                <w:color w:val="auto"/>
                <w:kern w:val="0"/>
                <w:sz w:val="24"/>
                <w:szCs w:val="20"/>
                <w:highlight w:val="none"/>
                <w:lang w:val="en-US" w:eastAsia="zh-CN"/>
              </w:rPr>
              <w:t>业绩分</w:t>
            </w:r>
          </w:p>
        </w:tc>
        <w:tc>
          <w:tcPr>
            <w:tcW w:w="4980" w:type="dxa"/>
            <w:vAlign w:val="center"/>
          </w:tcPr>
          <w:p w14:paraId="667E09EB">
            <w:pPr>
              <w:snapToGrid w:val="0"/>
              <w:spacing w:line="360" w:lineRule="auto"/>
              <w:ind w:firstLine="480" w:firstLineChars="200"/>
              <w:jc w:val="both"/>
              <w:rPr>
                <w:rFonts w:hint="default" w:ascii="宋体" w:hAnsi="宋体" w:eastAsia="宋体"/>
                <w:b/>
                <w:bCs/>
                <w:color w:val="auto"/>
                <w:kern w:val="0"/>
                <w:sz w:val="24"/>
                <w:szCs w:val="20"/>
                <w:highlight w:val="none"/>
                <w:lang w:val="en-US" w:eastAsia="zh-CN"/>
              </w:rPr>
            </w:pPr>
            <w:r>
              <w:rPr>
                <w:rFonts w:hint="eastAsia" w:ascii="宋体" w:hAnsi="宋体"/>
                <w:b w:val="0"/>
                <w:bCs w:val="0"/>
                <w:color w:val="auto"/>
                <w:kern w:val="0"/>
                <w:sz w:val="24"/>
                <w:szCs w:val="20"/>
                <w:highlight w:val="none"/>
                <w:lang w:val="en-US" w:eastAsia="zh-CN"/>
              </w:rPr>
              <w:t>自2021年1月1日至响应文件递交截止时间止，供应商完成过类似食品配送项目业绩，每项业绩得2分，本项满分10分。</w:t>
            </w:r>
          </w:p>
        </w:tc>
        <w:tc>
          <w:tcPr>
            <w:tcW w:w="1308" w:type="dxa"/>
            <w:vAlign w:val="center"/>
          </w:tcPr>
          <w:p w14:paraId="787D3051">
            <w:pPr>
              <w:snapToGrid w:val="0"/>
              <w:spacing w:line="360" w:lineRule="auto"/>
              <w:jc w:val="center"/>
              <w:rPr>
                <w:rFonts w:hint="default" w:ascii="宋体" w:hAnsi="宋体" w:eastAsia="宋体"/>
                <w:b/>
                <w:bCs/>
                <w:color w:val="auto"/>
                <w:kern w:val="0"/>
                <w:sz w:val="24"/>
                <w:szCs w:val="20"/>
                <w:highlight w:val="none"/>
                <w:lang w:val="en-US" w:eastAsia="zh-CN"/>
              </w:rPr>
            </w:pPr>
            <w:r>
              <w:rPr>
                <w:rFonts w:hint="eastAsia" w:ascii="宋体" w:hAnsi="宋体"/>
                <w:b/>
                <w:bCs/>
                <w:color w:val="auto"/>
                <w:kern w:val="0"/>
                <w:sz w:val="24"/>
                <w:szCs w:val="20"/>
                <w:highlight w:val="none"/>
                <w:lang w:val="en-US" w:eastAsia="zh-CN"/>
              </w:rPr>
              <w:t>10分</w:t>
            </w:r>
          </w:p>
        </w:tc>
      </w:tr>
    </w:tbl>
    <w:p w14:paraId="6CF95142">
      <w:pPr>
        <w:widowControl/>
        <w:spacing w:line="360" w:lineRule="auto"/>
        <w:ind w:firstLine="400" w:firstLineChars="200"/>
        <w:rPr>
          <w:rFonts w:cs="仿宋_GB2312" w:asciiTheme="minorEastAsia" w:hAnsiTheme="minorEastAsia" w:eastAsiaTheme="minorEastAsia"/>
          <w:color w:val="auto"/>
          <w:sz w:val="24"/>
          <w:highlight w:val="none"/>
        </w:rPr>
      </w:pPr>
      <w:r>
        <w:rPr>
          <w:rFonts w:hint="eastAsia" w:ascii="宋体" w:hAnsi="宋体" w:cs="宋体"/>
          <w:color w:val="auto"/>
          <w:sz w:val="20"/>
          <w:szCs w:val="20"/>
          <w:highlight w:val="none"/>
          <w:shd w:val="clear" w:color="auto" w:fill="FFFFFF"/>
        </w:rPr>
        <w:t> </w:t>
      </w:r>
    </w:p>
    <w:p w14:paraId="32701D2D">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7.</w:t>
      </w:r>
      <w:r>
        <w:rPr>
          <w:rFonts w:hint="eastAsia" w:ascii="宋体" w:hAnsi="宋体"/>
          <w:bCs/>
          <w:color w:val="auto"/>
          <w:sz w:val="24"/>
          <w:szCs w:val="24"/>
          <w:highlight w:val="none"/>
        </w:rPr>
        <w:t>由磋商小组根据综合评分情况，按照评审得分由高到低顺序推荐3名以上成交候选供应商，并编写评审报告，</w:t>
      </w:r>
      <w:r>
        <w:rPr>
          <w:rFonts w:hint="eastAsia" w:ascii="宋体" w:hAnsi="宋体" w:cs="宋体"/>
          <w:color w:val="auto"/>
          <w:sz w:val="24"/>
          <w:szCs w:val="24"/>
          <w:highlight w:val="none"/>
        </w:rPr>
        <w:t>评审报告</w:t>
      </w:r>
      <w:r>
        <w:rPr>
          <w:rFonts w:hint="eastAsia" w:hAnsi="宋体"/>
          <w:color w:val="auto"/>
          <w:sz w:val="24"/>
          <w:szCs w:val="24"/>
          <w:highlight w:val="none"/>
        </w:rPr>
        <w:t>通过电子交易平台向采购人、采购代理机构提交。</w:t>
      </w:r>
      <w:r>
        <w:rPr>
          <w:rFonts w:hint="eastAsia" w:ascii="宋体" w:hAnsi="宋体"/>
          <w:bCs/>
          <w:color w:val="auto"/>
          <w:sz w:val="24"/>
          <w:szCs w:val="24"/>
          <w:highlight w:val="none"/>
        </w:rPr>
        <w:t>评审得分相同的，按照最后报价由低到高的顺序推荐。评审得分且最后报价相同的，按照技术指标优劣顺序推荐（按技术得分由高到低排序，技术得分相同的按照</w:t>
      </w:r>
      <w:r>
        <w:rPr>
          <w:rFonts w:hint="eastAsia" w:ascii="宋体" w:hAnsi="宋体"/>
          <w:bCs/>
          <w:color w:val="auto"/>
          <w:sz w:val="24"/>
          <w:szCs w:val="24"/>
          <w:highlight w:val="none"/>
          <w:lang w:val="en-US" w:eastAsia="zh-CN"/>
        </w:rPr>
        <w:t>商务得</w:t>
      </w:r>
      <w:r>
        <w:rPr>
          <w:rFonts w:hint="eastAsia" w:ascii="宋体" w:hAnsi="宋体"/>
          <w:bCs/>
          <w:color w:val="auto"/>
          <w:sz w:val="24"/>
          <w:szCs w:val="24"/>
          <w:highlight w:val="none"/>
        </w:rPr>
        <w:t>分由高到低排序）。评审得分、最后报价、技术得分、</w:t>
      </w:r>
      <w:r>
        <w:rPr>
          <w:rFonts w:hint="eastAsia" w:ascii="宋体" w:hAnsi="宋体"/>
          <w:bCs/>
          <w:color w:val="auto"/>
          <w:sz w:val="24"/>
          <w:szCs w:val="24"/>
          <w:highlight w:val="none"/>
          <w:lang w:val="en-US" w:eastAsia="zh-CN"/>
        </w:rPr>
        <w:t>商务得</w:t>
      </w:r>
      <w:r>
        <w:rPr>
          <w:rFonts w:hint="eastAsia" w:ascii="宋体" w:hAnsi="宋体"/>
          <w:bCs/>
          <w:color w:val="auto"/>
          <w:sz w:val="24"/>
          <w:szCs w:val="24"/>
          <w:highlight w:val="none"/>
        </w:rPr>
        <w:t>分均相同的，由</w:t>
      </w:r>
      <w:r>
        <w:rPr>
          <w:rFonts w:hint="eastAsia" w:ascii="宋体" w:hAnsi="宋体"/>
          <w:bCs/>
          <w:color w:val="auto"/>
          <w:sz w:val="24"/>
          <w:szCs w:val="24"/>
          <w:highlight w:val="none"/>
          <w:lang w:val="en-US" w:eastAsia="zh-CN"/>
        </w:rPr>
        <w:t>磋商小组集体讨论推选</w:t>
      </w:r>
      <w:r>
        <w:rPr>
          <w:rFonts w:hint="eastAsia" w:ascii="宋体" w:hAnsi="宋体"/>
          <w:bCs/>
          <w:color w:val="auto"/>
          <w:sz w:val="24"/>
          <w:szCs w:val="24"/>
          <w:highlight w:val="none"/>
        </w:rPr>
        <w:t>。</w:t>
      </w:r>
    </w:p>
    <w:p w14:paraId="46E50348">
      <w:pPr>
        <w:widowControl/>
        <w:adjustRightInd/>
        <w:jc w:val="left"/>
        <w:rPr>
          <w:rFonts w:cs="仿宋_GB2312" w:asciiTheme="minorEastAsia" w:hAnsiTheme="minorEastAsia" w:eastAsiaTheme="minorEastAsia"/>
          <w:b/>
          <w:color w:val="auto"/>
          <w:sz w:val="36"/>
          <w:szCs w:val="36"/>
          <w:highlight w:val="none"/>
        </w:rPr>
      </w:pPr>
    </w:p>
    <w:p w14:paraId="158E1B05">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02F737EC">
      <w:pPr>
        <w:spacing w:line="360" w:lineRule="auto"/>
        <w:jc w:val="center"/>
        <w:outlineLvl w:val="0"/>
        <w:rPr>
          <w:rFonts w:cs="仿宋_GB2312" w:asciiTheme="minorEastAsia" w:hAnsiTheme="minorEastAsia" w:eastAsiaTheme="minorEastAsia"/>
          <w:b/>
          <w:color w:val="auto"/>
          <w:sz w:val="36"/>
          <w:szCs w:val="36"/>
          <w:highlight w:val="none"/>
        </w:rPr>
      </w:pPr>
      <w:bookmarkStart w:id="59" w:name="_Toc12434"/>
      <w:r>
        <w:rPr>
          <w:rFonts w:hint="eastAsia" w:cs="仿宋_GB2312" w:asciiTheme="minorEastAsia" w:hAnsiTheme="minorEastAsia" w:eastAsiaTheme="minorEastAsia"/>
          <w:b/>
          <w:color w:val="auto"/>
          <w:sz w:val="36"/>
          <w:szCs w:val="36"/>
          <w:highlight w:val="none"/>
        </w:rPr>
        <w:t>第六部分</w:t>
      </w:r>
      <w:bookmarkEnd w:id="58"/>
      <w:r>
        <w:rPr>
          <w:rFonts w:hint="eastAsia" w:cs="仿宋_GB2312" w:asciiTheme="minorEastAsia" w:hAnsiTheme="minorEastAsia" w:eastAsiaTheme="minorEastAsia"/>
          <w:b/>
          <w:color w:val="auto"/>
          <w:sz w:val="36"/>
          <w:szCs w:val="36"/>
          <w:highlight w:val="none"/>
        </w:rPr>
        <w:t xml:space="preserve">  拟签订的合同文本</w:t>
      </w:r>
      <w:bookmarkEnd w:id="59"/>
    </w:p>
    <w:p w14:paraId="75E328F8">
      <w:pPr>
        <w:spacing w:line="480" w:lineRule="auto"/>
        <w:jc w:val="center"/>
        <w:rPr>
          <w:rFonts w:ascii="宋体" w:hAnsi="宋体" w:cs="宋体"/>
          <w:b/>
          <w:color w:val="auto"/>
          <w:sz w:val="24"/>
          <w:highlight w:val="none"/>
        </w:rPr>
      </w:pPr>
      <w:bookmarkStart w:id="60" w:name="第五部分"/>
      <w:bookmarkStart w:id="61" w:name="_Toc86217003"/>
    </w:p>
    <w:p w14:paraId="165A64C3">
      <w:pPr>
        <w:spacing w:line="480" w:lineRule="auto"/>
        <w:jc w:val="center"/>
        <w:rPr>
          <w:rFonts w:ascii="宋体" w:hAnsi="宋体" w:cs="宋体"/>
          <w:b/>
          <w:color w:val="auto"/>
          <w:sz w:val="24"/>
          <w:highlight w:val="none"/>
        </w:rPr>
      </w:pPr>
    </w:p>
    <w:p w14:paraId="66A5BA56">
      <w:pPr>
        <w:pStyle w:val="631"/>
        <w:rPr>
          <w:color w:val="auto"/>
          <w:highlight w:val="none"/>
        </w:rPr>
      </w:pPr>
    </w:p>
    <w:p w14:paraId="5507FEC1">
      <w:pPr>
        <w:pStyle w:val="631"/>
        <w:rPr>
          <w:color w:val="auto"/>
          <w:highlight w:val="none"/>
        </w:rPr>
      </w:pPr>
    </w:p>
    <w:p w14:paraId="7D5243B4">
      <w:pPr>
        <w:pStyle w:val="631"/>
        <w:rPr>
          <w:color w:val="auto"/>
          <w:highlight w:val="none"/>
        </w:rPr>
      </w:pPr>
    </w:p>
    <w:p w14:paraId="14E4324F">
      <w:pPr>
        <w:pStyle w:val="31"/>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采购合同</w:t>
      </w:r>
    </w:p>
    <w:p w14:paraId="6DD71E93">
      <w:pPr>
        <w:pStyle w:val="31"/>
        <w:rPr>
          <w:rFonts w:hint="eastAsia" w:ascii="宋体" w:hAnsi="宋体" w:eastAsia="宋体" w:cs="宋体"/>
          <w:color w:val="auto"/>
          <w:highlight w:val="none"/>
        </w:rPr>
      </w:pPr>
    </w:p>
    <w:p w14:paraId="0F49D570">
      <w:pPr>
        <w:pStyle w:val="31"/>
        <w:rPr>
          <w:rFonts w:hint="eastAsia" w:ascii="宋体" w:hAnsi="宋体" w:eastAsia="宋体" w:cs="宋体"/>
          <w:color w:val="auto"/>
          <w:highlight w:val="none"/>
        </w:rPr>
      </w:pPr>
    </w:p>
    <w:p w14:paraId="3E03D400">
      <w:pPr>
        <w:pStyle w:val="31"/>
        <w:rPr>
          <w:rFonts w:hint="eastAsia" w:ascii="宋体" w:hAnsi="宋体" w:eastAsia="宋体" w:cs="宋体"/>
          <w:color w:val="auto"/>
          <w:highlight w:val="none"/>
        </w:rPr>
      </w:pPr>
    </w:p>
    <w:p w14:paraId="1FD17A1F">
      <w:pPr>
        <w:pStyle w:val="31"/>
        <w:rPr>
          <w:rFonts w:hint="eastAsia" w:ascii="宋体" w:hAnsi="宋体" w:eastAsia="宋体" w:cs="宋体"/>
          <w:color w:val="auto"/>
          <w:highlight w:val="none"/>
        </w:rPr>
      </w:pPr>
    </w:p>
    <w:p w14:paraId="11D028C5">
      <w:pPr>
        <w:pStyle w:val="31"/>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32"/>
          <w:szCs w:val="32"/>
          <w:highlight w:val="none"/>
          <w:u w:val="single"/>
        </w:rPr>
        <w:t xml:space="preserve">                            </w:t>
      </w:r>
    </w:p>
    <w:p w14:paraId="32BA6782">
      <w:pPr>
        <w:pStyle w:val="31"/>
        <w:ind w:firstLine="1590" w:firstLineChars="495"/>
        <w:rPr>
          <w:rFonts w:hint="eastAsia" w:ascii="宋体" w:hAnsi="宋体" w:eastAsia="宋体" w:cs="宋体"/>
          <w:b/>
          <w:color w:val="auto"/>
          <w:sz w:val="32"/>
          <w:szCs w:val="32"/>
          <w:highlight w:val="none"/>
        </w:rPr>
      </w:pPr>
    </w:p>
    <w:p w14:paraId="183FAC0D">
      <w:pPr>
        <w:pStyle w:val="31"/>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合同编号：</w:t>
      </w:r>
      <w:r>
        <w:rPr>
          <w:rFonts w:hint="eastAsia" w:ascii="宋体" w:hAnsi="宋体" w:eastAsia="宋体" w:cs="宋体"/>
          <w:b/>
          <w:color w:val="auto"/>
          <w:sz w:val="32"/>
          <w:szCs w:val="32"/>
          <w:highlight w:val="none"/>
          <w:u w:val="single"/>
        </w:rPr>
        <w:t xml:space="preserve">                            </w:t>
      </w:r>
    </w:p>
    <w:p w14:paraId="700A37B6">
      <w:pPr>
        <w:pStyle w:val="31"/>
        <w:jc w:val="center"/>
        <w:rPr>
          <w:rFonts w:hint="eastAsia" w:ascii="宋体" w:hAnsi="宋体" w:eastAsia="宋体" w:cs="宋体"/>
          <w:color w:val="auto"/>
          <w:highlight w:val="none"/>
        </w:rPr>
      </w:pPr>
    </w:p>
    <w:p w14:paraId="58E46B2B">
      <w:pPr>
        <w:pStyle w:val="31"/>
        <w:jc w:val="center"/>
        <w:rPr>
          <w:rFonts w:hint="eastAsia" w:ascii="宋体" w:hAnsi="宋体" w:eastAsia="宋体" w:cs="宋体"/>
          <w:color w:val="auto"/>
          <w:highlight w:val="none"/>
        </w:rPr>
      </w:pPr>
    </w:p>
    <w:p w14:paraId="01581086">
      <w:pPr>
        <w:pStyle w:val="31"/>
        <w:jc w:val="center"/>
        <w:rPr>
          <w:rFonts w:hint="eastAsia" w:ascii="宋体" w:hAnsi="宋体" w:eastAsia="宋体" w:cs="宋体"/>
          <w:color w:val="auto"/>
          <w:highlight w:val="none"/>
        </w:rPr>
      </w:pPr>
    </w:p>
    <w:p w14:paraId="70A59238">
      <w:pPr>
        <w:pStyle w:val="31"/>
        <w:spacing w:after="120" w:afterLines="50" w:line="340" w:lineRule="exact"/>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采购单位（甲方）</w:t>
      </w:r>
      <w:r>
        <w:rPr>
          <w:rFonts w:hint="eastAsia" w:ascii="宋体" w:hAnsi="宋体" w:eastAsia="宋体" w:cs="宋体"/>
          <w:b/>
          <w:color w:val="auto"/>
          <w:sz w:val="32"/>
          <w:szCs w:val="32"/>
          <w:highlight w:val="none"/>
          <w:u w:val="single"/>
        </w:rPr>
        <w:t xml:space="preserve">                      </w:t>
      </w:r>
    </w:p>
    <w:p w14:paraId="68DD3D77">
      <w:pPr>
        <w:pStyle w:val="31"/>
        <w:spacing w:line="340" w:lineRule="exact"/>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住   所：</w:t>
      </w:r>
      <w:r>
        <w:rPr>
          <w:rFonts w:hint="eastAsia" w:ascii="宋体" w:hAnsi="宋体" w:eastAsia="宋体" w:cs="宋体"/>
          <w:b/>
          <w:color w:val="auto"/>
          <w:sz w:val="32"/>
          <w:szCs w:val="32"/>
          <w:highlight w:val="none"/>
          <w:u w:val="single"/>
        </w:rPr>
        <w:t xml:space="preserve">                            </w:t>
      </w:r>
    </w:p>
    <w:p w14:paraId="1D57822C">
      <w:pPr>
        <w:pStyle w:val="31"/>
        <w:spacing w:line="340" w:lineRule="exact"/>
        <w:ind w:firstLine="1590" w:firstLineChars="495"/>
        <w:rPr>
          <w:rFonts w:hint="eastAsia" w:ascii="宋体" w:hAnsi="宋体" w:eastAsia="宋体" w:cs="宋体"/>
          <w:b/>
          <w:color w:val="auto"/>
          <w:sz w:val="32"/>
          <w:szCs w:val="32"/>
          <w:highlight w:val="none"/>
        </w:rPr>
      </w:pPr>
    </w:p>
    <w:p w14:paraId="549866B7">
      <w:pPr>
        <w:pStyle w:val="31"/>
        <w:spacing w:line="340" w:lineRule="exact"/>
        <w:ind w:firstLine="1590" w:firstLineChars="495"/>
        <w:rPr>
          <w:rFonts w:hint="eastAsia" w:ascii="宋体" w:hAnsi="宋体" w:eastAsia="宋体" w:cs="宋体"/>
          <w:b/>
          <w:color w:val="auto"/>
          <w:sz w:val="32"/>
          <w:szCs w:val="32"/>
          <w:highlight w:val="none"/>
        </w:rPr>
      </w:pPr>
    </w:p>
    <w:p w14:paraId="79D336F4">
      <w:pPr>
        <w:pStyle w:val="31"/>
        <w:spacing w:after="120" w:afterLines="50" w:line="340" w:lineRule="exact"/>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供 应 商（乙方）</w:t>
      </w:r>
      <w:r>
        <w:rPr>
          <w:rFonts w:hint="eastAsia" w:ascii="宋体" w:hAnsi="宋体" w:eastAsia="宋体" w:cs="宋体"/>
          <w:b/>
          <w:color w:val="auto"/>
          <w:sz w:val="32"/>
          <w:szCs w:val="32"/>
          <w:highlight w:val="none"/>
          <w:u w:val="single"/>
        </w:rPr>
        <w:t xml:space="preserve">                      </w:t>
      </w:r>
    </w:p>
    <w:p w14:paraId="1B1BD719">
      <w:pPr>
        <w:pStyle w:val="31"/>
        <w:spacing w:line="340" w:lineRule="exact"/>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住   所：</w:t>
      </w:r>
      <w:r>
        <w:rPr>
          <w:rFonts w:hint="eastAsia" w:ascii="宋体" w:hAnsi="宋体" w:eastAsia="宋体" w:cs="宋体"/>
          <w:b/>
          <w:color w:val="auto"/>
          <w:sz w:val="32"/>
          <w:szCs w:val="32"/>
          <w:highlight w:val="none"/>
          <w:u w:val="single"/>
        </w:rPr>
        <w:t xml:space="preserve">                            </w:t>
      </w:r>
    </w:p>
    <w:p w14:paraId="370BAC19">
      <w:pPr>
        <w:pStyle w:val="31"/>
        <w:spacing w:line="340" w:lineRule="exact"/>
        <w:ind w:firstLine="1590" w:firstLineChars="495"/>
        <w:rPr>
          <w:rFonts w:hint="eastAsia" w:ascii="宋体" w:hAnsi="宋体" w:eastAsia="宋体" w:cs="宋体"/>
          <w:b/>
          <w:color w:val="auto"/>
          <w:sz w:val="32"/>
          <w:szCs w:val="32"/>
          <w:highlight w:val="none"/>
        </w:rPr>
      </w:pPr>
    </w:p>
    <w:p w14:paraId="6A90FB31">
      <w:pPr>
        <w:pStyle w:val="31"/>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65906FD">
      <w:pPr>
        <w:pStyle w:val="31"/>
        <w:jc w:val="center"/>
        <w:rPr>
          <w:rFonts w:hint="eastAsia" w:ascii="宋体" w:hAnsi="宋体" w:eastAsia="宋体" w:cs="宋体"/>
          <w:color w:val="auto"/>
          <w:highlight w:val="none"/>
        </w:rPr>
      </w:pPr>
    </w:p>
    <w:p w14:paraId="6ADED584">
      <w:pPr>
        <w:pStyle w:val="31"/>
        <w:jc w:val="center"/>
        <w:rPr>
          <w:rFonts w:hint="eastAsia" w:ascii="宋体" w:hAnsi="宋体" w:eastAsia="宋体" w:cs="宋体"/>
          <w:color w:val="auto"/>
          <w:highlight w:val="none"/>
        </w:rPr>
      </w:pPr>
    </w:p>
    <w:p w14:paraId="0F164E9F">
      <w:pPr>
        <w:pStyle w:val="31"/>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签订合同地点：</w:t>
      </w:r>
      <w:r>
        <w:rPr>
          <w:rFonts w:hint="eastAsia" w:ascii="宋体" w:hAnsi="宋体" w:eastAsia="宋体" w:cs="宋体"/>
          <w:b/>
          <w:color w:val="auto"/>
          <w:sz w:val="32"/>
          <w:szCs w:val="32"/>
          <w:highlight w:val="none"/>
          <w:u w:val="single"/>
        </w:rPr>
        <w:t xml:space="preserve">                       </w:t>
      </w:r>
    </w:p>
    <w:p w14:paraId="4200817B">
      <w:pPr>
        <w:pStyle w:val="31"/>
        <w:ind w:firstLine="1590" w:firstLineChars="495"/>
        <w:rPr>
          <w:rFonts w:hint="eastAsia" w:ascii="宋体" w:hAnsi="宋体" w:eastAsia="宋体" w:cs="宋体"/>
          <w:b/>
          <w:color w:val="auto"/>
          <w:sz w:val="32"/>
          <w:szCs w:val="32"/>
          <w:highlight w:val="none"/>
        </w:rPr>
      </w:pPr>
    </w:p>
    <w:p w14:paraId="192DA666">
      <w:pPr>
        <w:pStyle w:val="31"/>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签订合同时间：</w:t>
      </w:r>
      <w:r>
        <w:rPr>
          <w:rFonts w:hint="eastAsia" w:ascii="宋体" w:hAnsi="宋体" w:eastAsia="宋体" w:cs="宋体"/>
          <w:b/>
          <w:color w:val="auto"/>
          <w:sz w:val="32"/>
          <w:szCs w:val="32"/>
          <w:highlight w:val="none"/>
          <w:u w:val="single"/>
        </w:rPr>
        <w:t xml:space="preserve">                       </w:t>
      </w:r>
    </w:p>
    <w:p w14:paraId="7819525E">
      <w:pPr>
        <w:pStyle w:val="31"/>
        <w:jc w:val="center"/>
        <w:rPr>
          <w:rFonts w:hint="eastAsia" w:ascii="宋体" w:hAnsi="宋体" w:eastAsia="宋体" w:cs="宋体"/>
          <w:color w:val="auto"/>
          <w:highlight w:val="none"/>
        </w:rPr>
      </w:pPr>
    </w:p>
    <w:p w14:paraId="3E7235FA">
      <w:pPr>
        <w:pStyle w:val="31"/>
        <w:jc w:val="both"/>
        <w:rPr>
          <w:rFonts w:hint="eastAsia" w:ascii="宋体" w:hAnsi="宋体" w:eastAsia="宋体" w:cs="宋体"/>
          <w:color w:val="auto"/>
          <w:highlight w:val="none"/>
        </w:rPr>
      </w:pPr>
    </w:p>
    <w:p w14:paraId="0583C94C">
      <w:pPr>
        <w:pStyle w:val="31"/>
        <w:jc w:val="center"/>
        <w:rPr>
          <w:rFonts w:hint="eastAsia" w:ascii="宋体" w:hAnsi="宋体" w:eastAsia="宋体" w:cs="宋体"/>
          <w:color w:val="auto"/>
          <w:highlight w:val="none"/>
        </w:rPr>
      </w:pPr>
    </w:p>
    <w:p w14:paraId="7CE7E369">
      <w:pPr>
        <w:snapToGrid w:val="0"/>
        <w:spacing w:line="36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Theme="minorEastAsia" w:hAnsiTheme="minorEastAsia" w:eastAsiaTheme="minorEastAsia" w:cstheme="minorEastAsia"/>
          <w:b/>
          <w:bCs/>
          <w:color w:val="auto"/>
          <w:sz w:val="32"/>
          <w:szCs w:val="32"/>
          <w:highlight w:val="none"/>
        </w:rPr>
        <w:t>采购合同</w:t>
      </w:r>
    </w:p>
    <w:p w14:paraId="1BD2DF85">
      <w:pPr>
        <w:snapToGrid w:val="0"/>
        <w:spacing w:line="400" w:lineRule="exact"/>
        <w:rPr>
          <w:rFonts w:hint="eastAsia" w:ascii="宋体" w:hAnsi="宋体" w:eastAsia="宋体" w:cs="宋体"/>
          <w:color w:val="auto"/>
          <w:szCs w:val="21"/>
          <w:highlight w:val="none"/>
        </w:rPr>
      </w:pPr>
    </w:p>
    <w:p w14:paraId="1930E6DE">
      <w:pPr>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采购单位（甲方）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0"/>
          <w:sz w:val="24"/>
          <w:szCs w:val="24"/>
          <w:highlight w:val="none"/>
          <w:lang w:val="en-US" w:eastAsia="zh-CN"/>
        </w:rPr>
        <w:t>合  同  编  号</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p>
    <w:p w14:paraId="3030A53B">
      <w:pPr>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 应 商（乙方）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0"/>
          <w:sz w:val="24"/>
          <w:szCs w:val="24"/>
          <w:highlight w:val="none"/>
        </w:rPr>
        <w:t>招  标  编  号</w:t>
      </w:r>
      <w:r>
        <w:rPr>
          <w:rFonts w:hint="eastAsia" w:ascii="宋体" w:hAnsi="宋体" w:eastAsia="宋体" w:cs="宋体"/>
          <w:color w:val="auto"/>
          <w:spacing w:val="-20"/>
          <w:sz w:val="24"/>
          <w:szCs w:val="24"/>
          <w:highlight w:val="none"/>
          <w:lang w:val="en-US" w:eastAsia="zh-CN"/>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0"/>
          <w:sz w:val="24"/>
          <w:szCs w:val="24"/>
          <w:highlight w:val="none"/>
          <w:u w:val="single"/>
        </w:rPr>
        <w:t xml:space="preserve">                                   </w:t>
      </w:r>
    </w:p>
    <w:p w14:paraId="523F8551">
      <w:pPr>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签  订  地  点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 订 时 间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w:t>
      </w:r>
      <w:r>
        <w:rPr>
          <w:rFonts w:hint="eastAsia" w:ascii="宋体" w:hAnsi="宋体" w:eastAsia="宋体" w:cs="宋体"/>
          <w:color w:val="auto"/>
          <w:spacing w:val="-20"/>
          <w:sz w:val="24"/>
          <w:szCs w:val="24"/>
          <w:highlight w:val="none"/>
          <w:u w:val="single"/>
        </w:rPr>
        <w:t xml:space="preserve">                                   </w:t>
      </w:r>
    </w:p>
    <w:p w14:paraId="5EAAF8A8">
      <w:pPr>
        <w:snapToGrid w:val="0"/>
        <w:spacing w:line="360" w:lineRule="auto"/>
        <w:ind w:firstLine="480" w:firstLineChars="200"/>
        <w:rPr>
          <w:rFonts w:hint="eastAsia" w:ascii="宋体" w:hAnsi="宋体" w:eastAsia="宋体" w:cs="宋体"/>
          <w:color w:val="auto"/>
          <w:sz w:val="24"/>
          <w:szCs w:val="24"/>
          <w:highlight w:val="none"/>
        </w:rPr>
      </w:pPr>
    </w:p>
    <w:p w14:paraId="74CC36D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《中华人民共和国政府采购法》等法律、法规规定，按照</w:t>
      </w:r>
      <w:r>
        <w:rPr>
          <w:rFonts w:hint="eastAsia" w:ascii="宋体" w:hAnsi="宋体" w:eastAsia="宋体" w:cs="宋体"/>
          <w:color w:val="auto"/>
          <w:sz w:val="24"/>
          <w:szCs w:val="24"/>
          <w:highlight w:val="none"/>
          <w:lang w:val="en-US" w:eastAsia="zh-CN"/>
        </w:rPr>
        <w:t>磋商文件要求、</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en-US" w:eastAsia="zh-CN"/>
        </w:rPr>
        <w:t>的承诺及响应文件内容</w:t>
      </w:r>
      <w:r>
        <w:rPr>
          <w:rFonts w:hint="eastAsia" w:ascii="宋体" w:hAnsi="宋体" w:eastAsia="宋体" w:cs="宋体"/>
          <w:color w:val="auto"/>
          <w:sz w:val="24"/>
          <w:szCs w:val="24"/>
          <w:highlight w:val="none"/>
        </w:rPr>
        <w:t>，甲、乙双方签订本合同。</w:t>
      </w:r>
    </w:p>
    <w:p w14:paraId="2916D060">
      <w:pPr>
        <w:pStyle w:val="104"/>
        <w:snapToGrid w:val="0"/>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合同标的</w:t>
      </w:r>
    </w:p>
    <w:tbl>
      <w:tblPr>
        <w:tblStyle w:val="638"/>
        <w:tblW w:w="9295"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789"/>
        <w:gridCol w:w="2651"/>
        <w:gridCol w:w="1116"/>
        <w:gridCol w:w="912"/>
        <w:gridCol w:w="1344"/>
        <w:gridCol w:w="861"/>
      </w:tblGrid>
      <w:tr w14:paraId="280A8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22" w:type="dxa"/>
            <w:noWrap w:val="0"/>
            <w:vAlign w:val="center"/>
          </w:tcPr>
          <w:p w14:paraId="63A22CD9">
            <w:pPr>
              <w:pStyle w:val="222"/>
              <w:kinsoku/>
              <w:overflowPunct w:val="0"/>
              <w:topLinePunct/>
              <w:spacing w:before="65" w:line="23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pacing w:val="6"/>
                <w:sz w:val="24"/>
                <w:szCs w:val="24"/>
                <w:highlight w:val="none"/>
              </w:rPr>
              <w:t>序号</w:t>
            </w:r>
          </w:p>
        </w:tc>
        <w:tc>
          <w:tcPr>
            <w:tcW w:w="1789" w:type="dxa"/>
            <w:noWrap w:val="0"/>
            <w:vAlign w:val="center"/>
          </w:tcPr>
          <w:p w14:paraId="1345FE22">
            <w:pPr>
              <w:pStyle w:val="222"/>
              <w:kinsoku/>
              <w:overflowPunct w:val="0"/>
              <w:topLinePunct/>
              <w:spacing w:before="65" w:line="228"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pacing w:val="8"/>
                <w:sz w:val="24"/>
                <w:szCs w:val="24"/>
                <w:highlight w:val="none"/>
              </w:rPr>
              <w:t>服务名称</w:t>
            </w:r>
          </w:p>
        </w:tc>
        <w:tc>
          <w:tcPr>
            <w:tcW w:w="2651" w:type="dxa"/>
            <w:noWrap w:val="0"/>
            <w:vAlign w:val="center"/>
          </w:tcPr>
          <w:p w14:paraId="28E04580">
            <w:pPr>
              <w:pStyle w:val="222"/>
              <w:kinsoku/>
              <w:overflowPunct w:val="0"/>
              <w:topLinePunct/>
              <w:spacing w:before="65" w:line="228"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pacing w:val="8"/>
                <w:sz w:val="24"/>
                <w:szCs w:val="24"/>
                <w:highlight w:val="none"/>
              </w:rPr>
              <w:t>服务内容</w:t>
            </w:r>
          </w:p>
        </w:tc>
        <w:tc>
          <w:tcPr>
            <w:tcW w:w="1116" w:type="dxa"/>
            <w:noWrap w:val="0"/>
            <w:vAlign w:val="center"/>
          </w:tcPr>
          <w:p w14:paraId="7FF17F7E">
            <w:pPr>
              <w:pStyle w:val="222"/>
              <w:kinsoku/>
              <w:overflowPunct w:val="0"/>
              <w:topLinePunct/>
              <w:spacing w:before="65" w:line="227"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pacing w:val="6"/>
                <w:sz w:val="24"/>
                <w:szCs w:val="24"/>
                <w:highlight w:val="none"/>
              </w:rPr>
              <w:t>单价（元）</w:t>
            </w:r>
          </w:p>
        </w:tc>
        <w:tc>
          <w:tcPr>
            <w:tcW w:w="912" w:type="dxa"/>
            <w:noWrap w:val="0"/>
            <w:vAlign w:val="center"/>
          </w:tcPr>
          <w:p w14:paraId="3421EDF6">
            <w:pPr>
              <w:pStyle w:val="222"/>
              <w:kinsoku/>
              <w:overflowPunct w:val="0"/>
              <w:topLinePunct/>
              <w:spacing w:before="65" w:line="227" w:lineRule="auto"/>
              <w:jc w:val="center"/>
              <w:rPr>
                <w:rFonts w:hint="eastAsia" w:ascii="宋体" w:hAnsi="宋体" w:eastAsia="宋体" w:cs="宋体"/>
                <w:snapToGrid w:val="0"/>
                <w:color w:val="auto"/>
                <w:spacing w:val="6"/>
                <w:sz w:val="24"/>
                <w:szCs w:val="24"/>
                <w:highlight w:val="none"/>
                <w:lang w:eastAsia="zh-CN"/>
              </w:rPr>
            </w:pPr>
            <w:r>
              <w:rPr>
                <w:rFonts w:hint="eastAsia" w:ascii="宋体" w:hAnsi="宋体" w:eastAsia="宋体" w:cs="宋体"/>
                <w:snapToGrid w:val="0"/>
                <w:color w:val="auto"/>
                <w:spacing w:val="6"/>
                <w:sz w:val="24"/>
                <w:szCs w:val="24"/>
                <w:highlight w:val="none"/>
                <w:lang w:eastAsia="zh-CN"/>
              </w:rPr>
              <w:t>单位及数量</w:t>
            </w:r>
          </w:p>
        </w:tc>
        <w:tc>
          <w:tcPr>
            <w:tcW w:w="1344" w:type="dxa"/>
            <w:noWrap w:val="0"/>
            <w:vAlign w:val="center"/>
          </w:tcPr>
          <w:p w14:paraId="7955DB97">
            <w:pPr>
              <w:pStyle w:val="222"/>
              <w:kinsoku/>
              <w:overflowPunct w:val="0"/>
              <w:topLinePunct/>
              <w:spacing w:before="65" w:line="229"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pacing w:val="6"/>
                <w:sz w:val="24"/>
                <w:szCs w:val="24"/>
                <w:highlight w:val="none"/>
              </w:rPr>
              <w:t>合计（元）</w:t>
            </w:r>
          </w:p>
        </w:tc>
        <w:tc>
          <w:tcPr>
            <w:tcW w:w="861" w:type="dxa"/>
            <w:noWrap w:val="0"/>
            <w:vAlign w:val="center"/>
          </w:tcPr>
          <w:p w14:paraId="12C358D2">
            <w:pPr>
              <w:pStyle w:val="222"/>
              <w:kinsoku/>
              <w:overflowPunct w:val="0"/>
              <w:topLinePunct/>
              <w:spacing w:before="65" w:line="23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pacing w:val="4"/>
                <w:sz w:val="24"/>
                <w:szCs w:val="24"/>
                <w:highlight w:val="none"/>
              </w:rPr>
              <w:t>备注</w:t>
            </w:r>
          </w:p>
        </w:tc>
      </w:tr>
      <w:tr w14:paraId="2D73F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22" w:type="dxa"/>
            <w:noWrap w:val="0"/>
            <w:vAlign w:val="center"/>
          </w:tcPr>
          <w:p w14:paraId="27377A51">
            <w:pPr>
              <w:pStyle w:val="222"/>
              <w:kinsoku/>
              <w:overflowPunct w:val="0"/>
              <w:topLinePunct/>
              <w:spacing w:before="65" w:line="189" w:lineRule="auto"/>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1</w:t>
            </w:r>
          </w:p>
        </w:tc>
        <w:tc>
          <w:tcPr>
            <w:tcW w:w="1789" w:type="dxa"/>
            <w:noWrap w:val="0"/>
            <w:vAlign w:val="center"/>
          </w:tcPr>
          <w:p w14:paraId="32E1AA54">
            <w:pPr>
              <w:pStyle w:val="222"/>
              <w:kinsoku/>
              <w:overflowPunct w:val="0"/>
              <w:topLinePunct/>
              <w:spacing w:before="219" w:line="229" w:lineRule="auto"/>
              <w:ind w:left="177"/>
              <w:jc w:val="center"/>
              <w:rPr>
                <w:rFonts w:hint="eastAsia" w:ascii="宋体" w:hAnsi="宋体" w:eastAsia="宋体" w:cs="宋体"/>
                <w:snapToGrid w:val="0"/>
                <w:color w:val="auto"/>
                <w:sz w:val="24"/>
                <w:szCs w:val="24"/>
                <w:highlight w:val="none"/>
              </w:rPr>
            </w:pPr>
            <w:r>
              <w:rPr>
                <w:rFonts w:hint="eastAsia" w:ascii="宋体" w:hAnsi="宋体" w:cs="宋体"/>
                <w:snapToGrid w:val="0"/>
                <w:color w:val="auto"/>
                <w:kern w:val="0"/>
                <w:sz w:val="24"/>
                <w:szCs w:val="24"/>
                <w:highlight w:val="none"/>
                <w:lang w:val="en-US" w:eastAsia="zh-CN"/>
              </w:rPr>
              <w:t>北海市涠洲实验学校2025-2026学年度营养餐配送服务</w:t>
            </w:r>
          </w:p>
        </w:tc>
        <w:tc>
          <w:tcPr>
            <w:tcW w:w="2651" w:type="dxa"/>
            <w:noWrap w:val="0"/>
            <w:vAlign w:val="center"/>
          </w:tcPr>
          <w:p w14:paraId="2F5A7E88">
            <w:pPr>
              <w:pStyle w:val="59"/>
              <w:numPr>
                <w:ilvl w:val="0"/>
                <w:numId w:val="0"/>
              </w:numPr>
              <w:spacing w:line="360" w:lineRule="auto"/>
              <w:ind w:firstLine="480" w:firstLineChars="20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北海市涠洲实验学校2025-2026学年度营养餐配送服务，负责配送北海市涠洲实验学校范围内义务教育阶段学生881人，约195个工作日，每人每天9:20配送学生饮用奶(纯奶≥200ML)1瓶（牛奶包装上必须印制中国学生饮用奶标志），面包或蛋糕(≥60克)1个，熟鸡蛋(40-60克)1个或时令水果，预算价每人每天5元。</w:t>
            </w:r>
          </w:p>
          <w:p w14:paraId="5BB0551F">
            <w:pPr>
              <w:pStyle w:val="222"/>
              <w:kinsoku/>
              <w:overflowPunct w:val="0"/>
              <w:topLinePunct/>
              <w:spacing w:before="217" w:line="229" w:lineRule="auto"/>
              <w:ind w:left="196"/>
              <w:jc w:val="center"/>
              <w:rPr>
                <w:rFonts w:hint="eastAsia" w:ascii="宋体" w:hAnsi="宋体" w:eastAsia="宋体" w:cs="宋体"/>
                <w:snapToGrid w:val="0"/>
                <w:color w:val="auto"/>
                <w:sz w:val="24"/>
                <w:szCs w:val="24"/>
                <w:highlight w:val="none"/>
              </w:rPr>
            </w:pPr>
          </w:p>
        </w:tc>
        <w:tc>
          <w:tcPr>
            <w:tcW w:w="1116" w:type="dxa"/>
            <w:noWrap w:val="0"/>
            <w:vAlign w:val="center"/>
          </w:tcPr>
          <w:p w14:paraId="2A4EED9C">
            <w:pPr>
              <w:pStyle w:val="222"/>
              <w:kinsoku/>
              <w:overflowPunct w:val="0"/>
              <w:topLinePunct/>
              <w:spacing w:before="65" w:line="189" w:lineRule="auto"/>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 xml:space="preserve"> </w:t>
            </w:r>
          </w:p>
        </w:tc>
        <w:tc>
          <w:tcPr>
            <w:tcW w:w="912" w:type="dxa"/>
            <w:noWrap w:val="0"/>
            <w:vAlign w:val="center"/>
          </w:tcPr>
          <w:p w14:paraId="1DFE30E5">
            <w:pPr>
              <w:kinsoku/>
              <w:overflowPunct w:val="0"/>
              <w:topLinePunct/>
              <w:jc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1项</w:t>
            </w:r>
          </w:p>
        </w:tc>
        <w:tc>
          <w:tcPr>
            <w:tcW w:w="1344" w:type="dxa"/>
            <w:noWrap w:val="0"/>
            <w:vAlign w:val="center"/>
          </w:tcPr>
          <w:p w14:paraId="4F3BE235">
            <w:pPr>
              <w:kinsoku/>
              <w:overflowPunct w:val="0"/>
              <w:topLinePunct/>
              <w:jc w:val="center"/>
              <w:rPr>
                <w:rFonts w:hint="eastAsia" w:ascii="宋体" w:hAnsi="宋体" w:eastAsia="宋体" w:cs="宋体"/>
                <w:snapToGrid w:val="0"/>
                <w:color w:val="auto"/>
                <w:sz w:val="24"/>
                <w:szCs w:val="24"/>
                <w:highlight w:val="none"/>
              </w:rPr>
            </w:pPr>
          </w:p>
        </w:tc>
        <w:tc>
          <w:tcPr>
            <w:tcW w:w="861" w:type="dxa"/>
            <w:noWrap w:val="0"/>
            <w:vAlign w:val="center"/>
          </w:tcPr>
          <w:p w14:paraId="306E5C7A">
            <w:pPr>
              <w:kinsoku/>
              <w:overflowPunct w:val="0"/>
              <w:topLinePunct/>
              <w:jc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详见报价明细表</w:t>
            </w:r>
          </w:p>
        </w:tc>
      </w:tr>
      <w:tr w14:paraId="5D613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295" w:type="dxa"/>
            <w:gridSpan w:val="7"/>
            <w:noWrap w:val="0"/>
            <w:vAlign w:val="center"/>
          </w:tcPr>
          <w:p w14:paraId="6803486B">
            <w:pPr>
              <w:kinsoku/>
              <w:overflowPunct w:val="0"/>
              <w:topLinePunct/>
              <w:jc w:val="both"/>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pacing w:val="-6"/>
                <w:sz w:val="24"/>
                <w:szCs w:val="24"/>
                <w:highlight w:val="none"/>
                <w:lang w:val="en-US" w:eastAsia="zh-CN"/>
              </w:rPr>
              <w:t>服务期限</w:t>
            </w:r>
            <w:r>
              <w:rPr>
                <w:rFonts w:hint="eastAsia" w:ascii="宋体" w:hAnsi="宋体" w:eastAsia="宋体" w:cs="宋体"/>
                <w:snapToGrid w:val="0"/>
                <w:color w:val="auto"/>
                <w:spacing w:val="-6"/>
                <w:sz w:val="24"/>
                <w:szCs w:val="24"/>
                <w:highlight w:val="none"/>
              </w:rPr>
              <w:t>：</w:t>
            </w:r>
          </w:p>
        </w:tc>
      </w:tr>
      <w:tr w14:paraId="07F55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295" w:type="dxa"/>
            <w:gridSpan w:val="7"/>
            <w:noWrap w:val="0"/>
            <w:vAlign w:val="center"/>
          </w:tcPr>
          <w:p w14:paraId="6E9558E4">
            <w:pPr>
              <w:kinsoku/>
              <w:overflowPunct w:val="0"/>
              <w:topLinePunct/>
              <w:jc w:val="both"/>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pacing w:val="-6"/>
                <w:sz w:val="24"/>
                <w:szCs w:val="24"/>
                <w:highlight w:val="none"/>
                <w:lang w:val="en-US" w:eastAsia="zh-CN"/>
              </w:rPr>
              <w:t>服务</w:t>
            </w:r>
            <w:r>
              <w:rPr>
                <w:rFonts w:hint="eastAsia" w:ascii="宋体" w:hAnsi="宋体" w:eastAsia="宋体" w:cs="宋体"/>
                <w:snapToGrid w:val="0"/>
                <w:color w:val="auto"/>
                <w:spacing w:val="-6"/>
                <w:sz w:val="24"/>
                <w:szCs w:val="24"/>
                <w:highlight w:val="none"/>
              </w:rPr>
              <w:t>地点：</w:t>
            </w:r>
          </w:p>
        </w:tc>
      </w:tr>
    </w:tbl>
    <w:p w14:paraId="7D6D6DA4">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p>
    <w:p w14:paraId="5F4413B4">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合同合计金额包括了实施和完成服务所需的各种费用及合同包含的所有风险、责任等各项应有的费用。如招</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对其另有规定的，从其规定。</w:t>
      </w:r>
    </w:p>
    <w:p w14:paraId="208E8B0C">
      <w:pPr>
        <w:pStyle w:val="104"/>
        <w:keepNext w:val="0"/>
        <w:keepLines w:val="0"/>
        <w:pageBreakBefore w:val="0"/>
        <w:widowControl w:val="0"/>
        <w:kinsoku/>
        <w:wordWrap/>
        <w:overflowPunct/>
        <w:topLinePunct w:val="0"/>
        <w:autoSpaceDE/>
        <w:autoSpaceDN/>
        <w:bidi w:val="0"/>
        <w:snapToGrid w:val="0"/>
        <w:spacing w:line="360" w:lineRule="auto"/>
        <w:ind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服务地点及范围</w:t>
      </w:r>
    </w:p>
    <w:p w14:paraId="4C38DEA8">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lang w:val="en-US" w:eastAsia="zh-CN"/>
        </w:rPr>
        <w:t>及范围</w:t>
      </w:r>
      <w:r>
        <w:rPr>
          <w:rFonts w:hint="eastAsia" w:ascii="宋体" w:hAnsi="宋体" w:eastAsia="宋体" w:cs="宋体"/>
          <w:color w:val="auto"/>
          <w:sz w:val="24"/>
          <w:szCs w:val="24"/>
          <w:highlight w:val="none"/>
        </w:rPr>
        <w:t>：</w:t>
      </w:r>
    </w:p>
    <w:p w14:paraId="0D72FEB0">
      <w:pPr>
        <w:pStyle w:val="104"/>
        <w:keepNext w:val="0"/>
        <w:keepLines w:val="0"/>
        <w:pageBreakBefore w:val="0"/>
        <w:widowControl w:val="0"/>
        <w:kinsoku/>
        <w:wordWrap/>
        <w:overflowPunct/>
        <w:topLinePunct w:val="0"/>
        <w:autoSpaceDE/>
        <w:autoSpaceDN/>
        <w:bidi w:val="0"/>
        <w:snapToGrid w:val="0"/>
        <w:spacing w:line="360" w:lineRule="auto"/>
        <w:ind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服务期限</w:t>
      </w:r>
    </w:p>
    <w:p w14:paraId="5050CA81">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1.服务期限：</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。自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日起至</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日止。本合同有效期限届满，本合同自动终止</w:t>
      </w:r>
      <w:r>
        <w:rPr>
          <w:rFonts w:hint="eastAsia" w:ascii="宋体" w:hAnsi="宋体" w:eastAsia="宋体" w:cs="宋体"/>
          <w:color w:val="auto"/>
          <w:sz w:val="24"/>
          <w:szCs w:val="24"/>
          <w:highlight w:val="none"/>
        </w:rPr>
        <w:t>。</w:t>
      </w:r>
    </w:p>
    <w:p w14:paraId="6222CAA1">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第四条 </w:t>
      </w:r>
      <w:r>
        <w:rPr>
          <w:rFonts w:hint="eastAsia" w:ascii="宋体" w:hAnsi="宋体" w:eastAsia="宋体" w:cs="宋体"/>
          <w:b/>
          <w:color w:val="auto"/>
          <w:sz w:val="24"/>
          <w:szCs w:val="24"/>
          <w:highlight w:val="none"/>
        </w:rPr>
        <w:t>付款方式</w:t>
      </w:r>
    </w:p>
    <w:p w14:paraId="151C7CEB">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付款方式：</w:t>
      </w:r>
    </w:p>
    <w:p w14:paraId="7681BC12">
      <w:pPr>
        <w:pStyle w:val="404"/>
        <w:keepNext w:val="0"/>
        <w:keepLines w:val="0"/>
        <w:pageBreakBefore w:val="0"/>
        <w:kinsoku/>
        <w:wordWrap/>
        <w:overflowPunct/>
        <w:topLinePunct w:val="0"/>
        <w:bidi w:val="0"/>
        <w:spacing w:before="0" w:after="0" w:line="360" w:lineRule="auto"/>
        <w:ind w:firstLine="46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成交供应商按照本协议约定提供服务后，</w:t>
      </w:r>
      <w:r>
        <w:rPr>
          <w:rFonts w:hint="eastAsia" w:ascii="宋体" w:hAnsi="宋体" w:eastAsia="宋体" w:cs="宋体"/>
          <w:color w:val="auto"/>
          <w:sz w:val="24"/>
          <w:szCs w:val="24"/>
          <w:highlight w:val="none"/>
          <w:lang w:val="en-US" w:eastAsia="zh-CN"/>
        </w:rPr>
        <w:t>每个月初</w:t>
      </w:r>
      <w:r>
        <w:rPr>
          <w:rFonts w:hint="eastAsia" w:ascii="宋体" w:hAnsi="宋体" w:eastAsia="宋体" w:cs="宋体"/>
          <w:color w:val="auto"/>
          <w:sz w:val="24"/>
          <w:szCs w:val="24"/>
          <w:highlight w:val="none"/>
        </w:rPr>
        <w:t>根据上月实际发生的供餐总金额向采购人开具发票，采购人在收到发票后的14日内以转账的形式向成交供应商付款，即每月结算一次</w:t>
      </w:r>
      <w:r>
        <w:rPr>
          <w:rFonts w:hint="eastAsia" w:ascii="宋体" w:hAnsi="宋体" w:eastAsia="宋体" w:cs="宋体"/>
          <w:color w:val="auto"/>
          <w:sz w:val="24"/>
          <w:szCs w:val="24"/>
          <w:highlight w:val="none"/>
          <w:lang w:val="en-US" w:eastAsia="zh-CN"/>
        </w:rPr>
        <w:t>。</w:t>
      </w:r>
    </w:p>
    <w:p w14:paraId="65DB29EF">
      <w:pPr>
        <w:pStyle w:val="404"/>
        <w:keepNext w:val="0"/>
        <w:keepLines w:val="0"/>
        <w:pageBreakBefore w:val="0"/>
        <w:kinsoku/>
        <w:wordWrap/>
        <w:overflowPunct/>
        <w:topLinePunct w:val="0"/>
        <w:bidi w:val="0"/>
        <w:spacing w:before="0" w:after="0" w:line="360" w:lineRule="auto"/>
        <w:ind w:firstLine="46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（2）结算时需出具发票。</w:t>
      </w:r>
    </w:p>
    <w:p w14:paraId="4BD9E75C">
      <w:pPr>
        <w:keepNext w:val="0"/>
        <w:keepLines w:val="0"/>
        <w:pageBreakBefore w:val="0"/>
        <w:widowControl w:val="0"/>
        <w:tabs>
          <w:tab w:val="left" w:pos="31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乙方的收款账户为：</w:t>
      </w:r>
    </w:p>
    <w:p w14:paraId="32FA7DB6">
      <w:pPr>
        <w:keepNext w:val="0"/>
        <w:keepLines w:val="0"/>
        <w:pageBreakBefore w:val="0"/>
        <w:widowControl w:val="0"/>
        <w:tabs>
          <w:tab w:val="left" w:pos="31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p w14:paraId="5749F83D">
      <w:pPr>
        <w:keepNext w:val="0"/>
        <w:keepLines w:val="0"/>
        <w:pageBreakBefore w:val="0"/>
        <w:widowControl w:val="0"/>
        <w:tabs>
          <w:tab w:val="left" w:pos="31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14:paraId="0898DA0E">
      <w:pPr>
        <w:keepNext w:val="0"/>
        <w:keepLines w:val="0"/>
        <w:pageBreakBefore w:val="0"/>
        <w:widowControl w:val="0"/>
        <w:tabs>
          <w:tab w:val="left" w:pos="31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550B34BA">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val="en-US" w:eastAsia="zh-CN"/>
        </w:rPr>
        <w:t xml:space="preserve"> 质量标准</w:t>
      </w:r>
    </w:p>
    <w:p w14:paraId="4D0290F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乙方所供应的</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不得</w:t>
      </w:r>
      <w:r>
        <w:rPr>
          <w:rFonts w:hint="eastAsia" w:ascii="宋体" w:hAnsi="宋体" w:eastAsia="宋体" w:cs="宋体"/>
          <w:color w:val="auto"/>
          <w:sz w:val="24"/>
          <w:szCs w:val="24"/>
          <w:highlight w:val="none"/>
        </w:rPr>
        <w:t>短缺，质量必须符合国家《食品安全法》《国务院关于加强食品等产品安全监督管理的特别规定》等有关法律法规，</w:t>
      </w:r>
      <w:r>
        <w:rPr>
          <w:rFonts w:hint="eastAsia" w:ascii="宋体" w:hAnsi="宋体" w:eastAsia="宋体" w:cs="宋体"/>
          <w:color w:val="auto"/>
          <w:sz w:val="24"/>
          <w:szCs w:val="24"/>
          <w:highlight w:val="none"/>
          <w:lang w:eastAsia="zh-CN"/>
        </w:rPr>
        <w:t>不得</w:t>
      </w:r>
      <w:r>
        <w:rPr>
          <w:rFonts w:hint="eastAsia" w:ascii="宋体" w:hAnsi="宋体" w:eastAsia="宋体" w:cs="宋体"/>
          <w:color w:val="auto"/>
          <w:sz w:val="24"/>
          <w:szCs w:val="24"/>
          <w:highlight w:val="none"/>
        </w:rPr>
        <w:t>以次充好，</w:t>
      </w:r>
      <w:r>
        <w:rPr>
          <w:rFonts w:hint="eastAsia" w:ascii="宋体" w:hAnsi="宋体" w:eastAsia="宋体" w:cs="宋体"/>
          <w:color w:val="auto"/>
          <w:sz w:val="24"/>
          <w:szCs w:val="24"/>
          <w:highlight w:val="none"/>
          <w:lang w:eastAsia="zh-CN"/>
        </w:rPr>
        <w:t>不得</w:t>
      </w:r>
      <w:r>
        <w:rPr>
          <w:rFonts w:hint="eastAsia" w:ascii="宋体" w:hAnsi="宋体" w:eastAsia="宋体" w:cs="宋体"/>
          <w:color w:val="auto"/>
          <w:sz w:val="24"/>
          <w:szCs w:val="24"/>
          <w:highlight w:val="none"/>
        </w:rPr>
        <w:t>有过期、变质、霉烂和不符合标准的</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合同未提及部分按商务要求中的条款执行</w:t>
      </w:r>
      <w:r>
        <w:rPr>
          <w:rFonts w:hint="eastAsia" w:ascii="宋体" w:hAnsi="宋体" w:eastAsia="宋体" w:cs="宋体"/>
          <w:color w:val="auto"/>
          <w:sz w:val="24"/>
          <w:szCs w:val="24"/>
          <w:highlight w:val="none"/>
          <w:lang w:eastAsia="zh-CN"/>
        </w:rPr>
        <w:t>）</w:t>
      </w:r>
    </w:p>
    <w:p w14:paraId="1A30899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食品质量、卫生与安全</w:t>
      </w:r>
    </w:p>
    <w:p w14:paraId="0AE72F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乙方保证提供</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货物及服务均符合《中华人民共与国食品卫生法》、《餐饮业食品卫生管理办法》等国家法律法规及地方政府有关规定。乙方对提供货物</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质量、卫生、食品安全承担全部责任。乙方保证提供</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货物均符合国家规定</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质量、卫生、安全标准、乙方提供</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货物属于实行生产许可证管理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,所供货物必须经过QS质量认证。</w:t>
      </w:r>
    </w:p>
    <w:p w14:paraId="7F1DE5A5">
      <w:pPr>
        <w:pStyle w:val="37"/>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货物装运</w:t>
      </w:r>
    </w:p>
    <w:p w14:paraId="7C089542">
      <w:pPr>
        <w:pStyle w:val="37"/>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保证周转包装容器与运输车辆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清洁卫生与防止食品在运输过程中受到污染就是乙方</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责任。运输车辆应当保持清洁,无霉斑、鼠迹、苍蝇、蟑螂,</w:t>
      </w:r>
      <w:r>
        <w:rPr>
          <w:rFonts w:hint="eastAsia" w:ascii="宋体" w:hAnsi="宋体" w:eastAsia="宋体" w:cs="宋体"/>
          <w:color w:val="auto"/>
          <w:sz w:val="24"/>
          <w:szCs w:val="24"/>
          <w:highlight w:val="none"/>
          <w:lang w:eastAsia="zh-CN"/>
        </w:rPr>
        <w:t>不得</w:t>
      </w:r>
      <w:r>
        <w:rPr>
          <w:rFonts w:hint="eastAsia" w:ascii="宋体" w:hAnsi="宋体" w:eastAsia="宋体" w:cs="宋体"/>
          <w:color w:val="auto"/>
          <w:sz w:val="24"/>
          <w:szCs w:val="24"/>
          <w:highlight w:val="none"/>
        </w:rPr>
        <w:t>存放有毒、有害物品及个人生活用品、周转包装容器与车辆在每次配送前应进行清洗消毒、货物装卸必须做到轻装轻卸。</w:t>
      </w:r>
    </w:p>
    <w:p w14:paraId="0C5BCB4A">
      <w:pPr>
        <w:pStyle w:val="37"/>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乙方负责将所有货物运至甲方指定地点,负责卸货并搬运至甲方指定堆放场地。</w:t>
      </w:r>
    </w:p>
    <w:p w14:paraId="7CC05D73">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val="en-US" w:eastAsia="zh-CN"/>
        </w:rPr>
        <w:t xml:space="preserve"> 验收</w:t>
      </w:r>
    </w:p>
    <w:p w14:paraId="6864BE91">
      <w:pPr>
        <w:pStyle w:val="404"/>
        <w:keepNext w:val="0"/>
        <w:keepLines w:val="0"/>
        <w:pageBreakBefore w:val="0"/>
        <w:widowControl w:val="0"/>
        <w:kinsoku/>
        <w:wordWrap/>
        <w:overflowPunct/>
        <w:topLinePunct w:val="0"/>
        <w:autoSpaceDE/>
        <w:autoSpaceDN/>
        <w:bidi w:val="0"/>
        <w:spacing w:line="360" w:lineRule="auto"/>
        <w:ind w:firstLine="46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甲方每天对供应</w:t>
      </w:r>
      <w:r>
        <w:rPr>
          <w:rFonts w:hint="eastAsia" w:ascii="宋体" w:hAnsi="宋体" w:eastAsia="宋体" w:cs="宋体"/>
          <w:bCs/>
          <w:color w:val="auto"/>
          <w:sz w:val="24"/>
          <w:szCs w:val="24"/>
          <w:highlight w:val="none"/>
          <w:lang w:eastAsia="zh-CN"/>
        </w:rPr>
        <w:t>货物</w:t>
      </w:r>
      <w:r>
        <w:rPr>
          <w:rFonts w:hint="eastAsia" w:ascii="宋体" w:hAnsi="宋体" w:eastAsia="宋体" w:cs="宋体"/>
          <w:bCs/>
          <w:color w:val="auto"/>
          <w:sz w:val="24"/>
          <w:szCs w:val="24"/>
          <w:highlight w:val="none"/>
        </w:rPr>
        <w:t>的品名、规格、数量、单价和质量进行现场验收。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合同未提及部分按商务要求中的条款执行</w:t>
      </w:r>
      <w:r>
        <w:rPr>
          <w:rFonts w:hint="eastAsia" w:ascii="宋体" w:hAnsi="宋体" w:eastAsia="宋体" w:cs="宋体"/>
          <w:bCs/>
          <w:color w:val="auto"/>
          <w:sz w:val="24"/>
          <w:szCs w:val="24"/>
          <w:highlight w:val="none"/>
          <w:lang w:eastAsia="zh-CN"/>
        </w:rPr>
        <w:t>）</w:t>
      </w:r>
    </w:p>
    <w:p w14:paraId="7D6E4CE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验收与检查</w:t>
      </w:r>
    </w:p>
    <w:p w14:paraId="5DE902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乙方按照甲方订单将货物运至甲方指定地点后,甲方人员应及时对乙方货物进行验收,甲方</w:t>
      </w:r>
      <w:r>
        <w:rPr>
          <w:rFonts w:hint="eastAsia" w:ascii="宋体" w:hAnsi="宋体" w:eastAsia="宋体" w:cs="宋体"/>
          <w:color w:val="auto"/>
          <w:sz w:val="24"/>
          <w:szCs w:val="24"/>
          <w:highlight w:val="none"/>
          <w:lang w:eastAsia="zh-CN"/>
        </w:rPr>
        <w:t>不得</w:t>
      </w:r>
      <w:r>
        <w:rPr>
          <w:rFonts w:hint="eastAsia" w:ascii="宋体" w:hAnsi="宋体" w:eastAsia="宋体" w:cs="宋体"/>
          <w:color w:val="auto"/>
          <w:sz w:val="24"/>
          <w:szCs w:val="24"/>
          <w:highlight w:val="none"/>
        </w:rPr>
        <w:t>无故拖延。交货验收程序如下</w:t>
      </w:r>
      <w:r>
        <w:rPr>
          <w:rFonts w:hint="eastAsia" w:ascii="宋体" w:hAnsi="宋体" w:eastAsia="宋体" w:cs="宋体"/>
          <w:color w:val="auto"/>
          <w:sz w:val="24"/>
          <w:szCs w:val="24"/>
          <w:highlight w:val="none"/>
          <w:lang w:eastAsia="zh-CN"/>
        </w:rPr>
        <w:t>：</w:t>
      </w:r>
    </w:p>
    <w:p w14:paraId="72EC838F">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（1）卸货前的检查：</w:t>
      </w:r>
      <w:r>
        <w:rPr>
          <w:rFonts w:hint="eastAsia" w:ascii="宋体" w:hAnsi="宋体" w:eastAsia="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双方的验收人员卸货前应对场地和验收设备做好准备，并对商品的外观质量进行初步了解。</w:t>
      </w:r>
    </w:p>
    <w:p w14:paraId="296A2D46">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（2）食品运输必须采用符合卫生标准的外包装和运输工具，保持清洁和定期消毒，车厢内无不良气味、异味。食品应清洁，无损伤、腐烂现象，外包装完整，无寄生虫或已受虫害现象。</w:t>
      </w:r>
    </w:p>
    <w:p w14:paraId="712F4D01">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（3）清点品种数量</w:t>
      </w:r>
    </w:p>
    <w:p w14:paraId="4235367E">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验收人员对需求清单和供应商提交的送货清单进行对比，无差错后，按照送货清单进行</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验收。</w:t>
      </w:r>
    </w:p>
    <w:p w14:paraId="0BC472AA">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现场验收</w:t>
      </w:r>
    </w:p>
    <w:p w14:paraId="0F3D1139">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甲方按照采购文件的质量要求</w:t>
      </w:r>
      <w:r>
        <w:rPr>
          <w:rFonts w:hint="eastAsia" w:ascii="宋体" w:hAnsi="宋体" w:eastAsia="宋体" w:cs="宋体"/>
          <w:color w:val="auto"/>
          <w:sz w:val="24"/>
          <w:szCs w:val="24"/>
          <w:highlight w:val="none"/>
        </w:rPr>
        <w:t>对产品质量进行检查，每批次每种货物均检查验收，如发现食品有质量、数量、规格问题，应在相关单据上记录所有损坏情况，并立即申请退（补）货。</w:t>
      </w:r>
    </w:p>
    <w:p w14:paraId="00D70A13">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（5）检查发现食品安全质量问题的处理：</w:t>
      </w:r>
    </w:p>
    <w:p w14:paraId="6267454F">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对危及人身安全的食品质量问题采取零容忍措施，一经发现，当日所送同批次产品全部退货，并按</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要求按时重新配送。</w:t>
      </w:r>
    </w:p>
    <w:p w14:paraId="01F18694">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）货物重量验收：</w:t>
      </w:r>
      <w:r>
        <w:rPr>
          <w:rFonts w:hint="eastAsia" w:ascii="宋体" w:hAnsi="宋体" w:eastAsia="宋体" w:cs="宋体"/>
          <w:color w:val="auto"/>
          <w:sz w:val="24"/>
          <w:szCs w:val="24"/>
          <w:highlight w:val="none"/>
        </w:rPr>
        <w:t>根据《定量包装商品计量监督管理办法》，标注净含量与实际含量之差</w:t>
      </w:r>
      <w:r>
        <w:rPr>
          <w:rFonts w:hint="eastAsia" w:ascii="宋体" w:hAnsi="宋体" w:eastAsia="宋体" w:cs="宋体"/>
          <w:color w:val="auto"/>
          <w:sz w:val="24"/>
          <w:szCs w:val="24"/>
          <w:highlight w:val="none"/>
          <w:lang w:eastAsia="zh-CN"/>
        </w:rPr>
        <w:t>不得</w:t>
      </w:r>
      <w:r>
        <w:rPr>
          <w:rFonts w:hint="eastAsia" w:ascii="宋体" w:hAnsi="宋体" w:eastAsia="宋体" w:cs="宋体"/>
          <w:color w:val="auto"/>
          <w:sz w:val="24"/>
          <w:szCs w:val="24"/>
          <w:highlight w:val="none"/>
        </w:rPr>
        <w:t>大于标注净含量的1％</w:t>
      </w:r>
      <w:r>
        <w:rPr>
          <w:rFonts w:hint="eastAsia" w:ascii="宋体" w:hAnsi="宋体" w:eastAsia="宋体" w:cs="宋体"/>
          <w:color w:val="auto"/>
          <w:sz w:val="24"/>
          <w:szCs w:val="24"/>
          <w:highlight w:val="none"/>
          <w:lang w:eastAsia="zh-CN"/>
        </w:rPr>
        <w:t>。</w:t>
      </w:r>
    </w:p>
    <w:p w14:paraId="317B53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甲方有权对乙方企业进行不定期检查,甲方检查人员到达乙方企业(仓库)时通知乙方,乙方应为甲方人员提供检查便利,甲方人员检查内容为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乙方就是否按照《中华人民共与国食品卫生法》、《餐饮业食品卫生管理办法》、等国家法律法规及地方政府有关规定为甲方提供服务;乙方就是否尽到了保证食品卫生、安全</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义务</w:t>
      </w:r>
      <w:r>
        <w:rPr>
          <w:rFonts w:hint="eastAsia" w:ascii="宋体" w:hAnsi="宋体" w:eastAsia="宋体" w:cs="宋体"/>
          <w:color w:val="auto"/>
          <w:sz w:val="24"/>
          <w:szCs w:val="24"/>
          <w:highlight w:val="none"/>
          <w:lang w:eastAsia="zh-CN"/>
        </w:rPr>
        <w:t>。</w:t>
      </w:r>
    </w:p>
    <w:p w14:paraId="006C5641">
      <w:pPr>
        <w:keepNext w:val="0"/>
        <w:keepLines w:val="0"/>
        <w:pageBreakBefore w:val="0"/>
        <w:widowControl w:val="0"/>
        <w:numPr>
          <w:ilvl w:val="0"/>
          <w:numId w:val="7"/>
        </w:numPr>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履约保证金</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264ABE4A">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条　税费</w:t>
      </w:r>
    </w:p>
    <w:p w14:paraId="7944266D">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本合同执行中相关的一切税费均由乙方承担。</w:t>
      </w:r>
    </w:p>
    <w:p w14:paraId="672D7866">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 xml:space="preserve">条 </w:t>
      </w:r>
      <w:r>
        <w:rPr>
          <w:rFonts w:hint="eastAsia" w:ascii="宋体" w:hAnsi="宋体" w:eastAsia="宋体" w:cs="宋体"/>
          <w:b/>
          <w:bCs/>
          <w:color w:val="auto"/>
          <w:sz w:val="24"/>
          <w:szCs w:val="24"/>
          <w:highlight w:val="none"/>
        </w:rPr>
        <w:t>合同的变更、终止与转让</w:t>
      </w:r>
    </w:p>
    <w:p w14:paraId="134C4BAC">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除《中华人民共和国政府采购法》第五十条规定的情形外，</w:t>
      </w:r>
      <w:r>
        <w:rPr>
          <w:rFonts w:hint="eastAsia" w:ascii="宋体" w:hAnsi="宋体" w:eastAsia="宋体" w:cs="宋体"/>
          <w:bCs/>
          <w:color w:val="auto"/>
          <w:sz w:val="24"/>
          <w:szCs w:val="24"/>
          <w:highlight w:val="none"/>
        </w:rPr>
        <w:t>本合同一经签订，甲、乙双方</w:t>
      </w:r>
      <w:r>
        <w:rPr>
          <w:rFonts w:hint="eastAsia" w:ascii="宋体" w:hAnsi="宋体" w:eastAsia="宋体" w:cs="宋体"/>
          <w:bCs/>
          <w:color w:val="auto"/>
          <w:sz w:val="24"/>
          <w:szCs w:val="24"/>
          <w:highlight w:val="none"/>
          <w:lang w:eastAsia="zh-CN"/>
        </w:rPr>
        <w:t>不得</w:t>
      </w:r>
      <w:r>
        <w:rPr>
          <w:rFonts w:hint="eastAsia" w:ascii="宋体" w:hAnsi="宋体" w:eastAsia="宋体" w:cs="宋体"/>
          <w:bCs/>
          <w:color w:val="auto"/>
          <w:sz w:val="24"/>
          <w:szCs w:val="24"/>
          <w:highlight w:val="none"/>
        </w:rPr>
        <w:t>擅自变更、中止或终止。</w:t>
      </w:r>
    </w:p>
    <w:p w14:paraId="14DE9611">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w:t>
      </w:r>
      <w:r>
        <w:rPr>
          <w:rFonts w:hint="eastAsia" w:ascii="宋体" w:hAnsi="宋体" w:eastAsia="宋体" w:cs="宋体"/>
          <w:bCs/>
          <w:color w:val="auto"/>
          <w:sz w:val="24"/>
          <w:szCs w:val="24"/>
          <w:highlight w:val="none"/>
          <w:lang w:eastAsia="zh-CN"/>
        </w:rPr>
        <w:t>不得</w:t>
      </w:r>
      <w:r>
        <w:rPr>
          <w:rFonts w:hint="eastAsia" w:ascii="宋体" w:hAnsi="宋体" w:eastAsia="宋体" w:cs="宋体"/>
          <w:bCs/>
          <w:color w:val="auto"/>
          <w:sz w:val="24"/>
          <w:szCs w:val="24"/>
          <w:highlight w:val="none"/>
        </w:rPr>
        <w:t>擅自转让其应履行的合同义务。</w:t>
      </w:r>
    </w:p>
    <w:p w14:paraId="04E629E3">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3．合同执行中涉及项目资金和招标内容修改或补充的，应当经甲、乙双方协商一致签订书面补充协议报</w:t>
      </w:r>
      <w:r>
        <w:rPr>
          <w:rFonts w:hint="eastAsia" w:ascii="宋体" w:hAnsi="宋体" w:eastAsia="宋体" w:cs="宋体"/>
          <w:bCs/>
          <w:color w:val="auto"/>
          <w:sz w:val="24"/>
          <w:szCs w:val="24"/>
          <w:highlight w:val="none"/>
          <w:lang w:val="en-US" w:eastAsia="zh-CN"/>
        </w:rPr>
        <w:t>北海</w:t>
      </w:r>
      <w:r>
        <w:rPr>
          <w:rFonts w:hint="eastAsia" w:ascii="宋体" w:hAnsi="宋体" w:eastAsia="宋体" w:cs="宋体"/>
          <w:bCs/>
          <w:color w:val="auto"/>
          <w:sz w:val="24"/>
          <w:szCs w:val="24"/>
          <w:highlight w:val="none"/>
        </w:rPr>
        <w:t>市财政局备案后，方可作为主合同不可分割的一部分。</w:t>
      </w:r>
    </w:p>
    <w:p w14:paraId="36460BFF">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4.本合同规定的服务期限届满，本合同自动终止。</w:t>
      </w:r>
    </w:p>
    <w:p w14:paraId="05503DCA">
      <w:pPr>
        <w:pStyle w:val="37"/>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5.突发食品卫生事件</w:t>
      </w:r>
    </w:p>
    <w:p w14:paraId="00BE1467">
      <w:pPr>
        <w:pStyle w:val="37"/>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保证供给甲方的货物的卫生与安全就是乙方的义务与责任,乙方应尽其可能履行义务与责任；</w:t>
      </w:r>
    </w:p>
    <w:p w14:paraId="5FCBBE53">
      <w:pPr>
        <w:pStyle w:val="37"/>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当发生非乙方原因导致的突发食品卫生事件时,甲乙双方各自承担损失,但因乙方能尽到而未尽到责任的,乙方应承担违约责任。</w:t>
      </w:r>
    </w:p>
    <w:p w14:paraId="4A649F07">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 违约责任及合同解除</w:t>
      </w:r>
    </w:p>
    <w:p w14:paraId="7F48CC82">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1．乙方所提供的服务</w:t>
      </w:r>
      <w:r>
        <w:rPr>
          <w:rFonts w:hint="eastAsia" w:ascii="宋体" w:hAnsi="宋体" w:eastAsia="宋体" w:cs="宋体"/>
          <w:color w:val="auto"/>
          <w:sz w:val="24"/>
          <w:szCs w:val="24"/>
          <w:highlight w:val="none"/>
        </w:rPr>
        <w:t>不符合招</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的规定及甲方要求的</w:t>
      </w:r>
      <w:r>
        <w:rPr>
          <w:rFonts w:hint="eastAsia" w:ascii="宋体" w:hAnsi="宋体" w:eastAsia="宋体" w:cs="宋体"/>
          <w:bCs/>
          <w:color w:val="auto"/>
          <w:sz w:val="24"/>
          <w:szCs w:val="24"/>
          <w:highlight w:val="none"/>
        </w:rPr>
        <w:t>；经甲方书面催告两次后仍不整改或整改后仍不符合要求的，甲方有权单方解除本合同，解除合同的通知送达乙方即生效，本合同即解除。</w:t>
      </w:r>
    </w:p>
    <w:p w14:paraId="1CB8E13D">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2．乙方提供的服务如侵犯了第三方合法权益而引发的任何纠纷或诉讼，均由乙方负责交涉并承担全部责任。</w:t>
      </w:r>
    </w:p>
    <w:p w14:paraId="38C40462">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3．乙方在提供服务的期限内，因技术质量、服务标准等缺陷和其它质量原因造成的问题，由乙方负责，相关费用甲方可直接从合同款中扣除，不足部分乙方须另补。</w:t>
      </w:r>
    </w:p>
    <w:p w14:paraId="20197FE3">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5.甲、乙双方有其它违约行为的，违约方按</w:t>
      </w:r>
      <w:r>
        <w:rPr>
          <w:rFonts w:hint="eastAsia" w:ascii="宋体" w:hAnsi="宋体" w:eastAsia="宋体" w:cs="宋体"/>
          <w:bCs/>
          <w:color w:val="auto"/>
          <w:sz w:val="24"/>
          <w:szCs w:val="24"/>
          <w:highlight w:val="none"/>
        </w:rPr>
        <w:t>合同总价的5%</w:t>
      </w:r>
      <w:r>
        <w:rPr>
          <w:rFonts w:hint="eastAsia" w:ascii="宋体" w:hAnsi="宋体" w:eastAsia="宋体" w:cs="宋体"/>
          <w:color w:val="auto"/>
          <w:sz w:val="24"/>
          <w:szCs w:val="24"/>
          <w:highlight w:val="none"/>
        </w:rPr>
        <w:t>向守约方支付违约金并赔偿守约方的全部经济损失。</w:t>
      </w:r>
    </w:p>
    <w:p w14:paraId="6D60A573">
      <w:pPr>
        <w:pStyle w:val="40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 合同未详尽的违约责任</w:t>
      </w:r>
      <w:r>
        <w:rPr>
          <w:rFonts w:hint="eastAsia" w:ascii="宋体" w:hAnsi="宋体" w:eastAsia="宋体" w:cs="宋体"/>
          <w:bCs/>
          <w:color w:val="auto"/>
          <w:sz w:val="24"/>
          <w:szCs w:val="24"/>
          <w:highlight w:val="none"/>
          <w:lang w:val="en-US" w:eastAsia="zh-CN"/>
        </w:rPr>
        <w:t>按商务要求中的条款执行</w:t>
      </w:r>
    </w:p>
    <w:p w14:paraId="260B7F05">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条 不可抗力事件处理</w:t>
      </w:r>
    </w:p>
    <w:p w14:paraId="5DED3F71">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1.不可抗力指下列事件：战争、动乱、瘟疫、严重自然灾害、部队撤并降改或部署调整，以及本合同各方不可预见、不可防止并不能避免或克服的一切其他事件。</w:t>
      </w:r>
    </w:p>
    <w:p w14:paraId="43D26883">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2.任何一方因不可抗力不能履行本合同规定的全部或部分义务，该方应尽快通知对方，并说明不可抗力对履行本合同的影响程度。</w:t>
      </w:r>
    </w:p>
    <w:p w14:paraId="72808C6C">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3.发生不可抗力事件，任何一方均不对因不可抗力而造成的损失承担责任。但遭受不可抗力影响的一方有责任尽可能及时采取适当或必要措施减少或消除不可抗力的影响。</w:t>
      </w:r>
    </w:p>
    <w:p w14:paraId="386F8080">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第十四条 合同争议解决</w:t>
      </w:r>
    </w:p>
    <w:p w14:paraId="7631E69B">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1．因服务质量问题发生争议的，应由国家认可的第三方检验机构对质量进行鉴定。符合标准的，鉴定费由甲方承担：不符合标准的，鉴定费由乙方承担。</w:t>
      </w:r>
    </w:p>
    <w:p w14:paraId="04358F44">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2．因履行本合同引起的或与本合同有关的争议，甲、乙双方应首先通过友好协商解决，如果协商不能解决，</w:t>
      </w:r>
      <w:r>
        <w:rPr>
          <w:rFonts w:hint="eastAsia" w:ascii="宋体" w:hAnsi="宋体" w:eastAsia="宋体" w:cs="宋体"/>
          <w:color w:val="auto"/>
          <w:sz w:val="24"/>
          <w:szCs w:val="24"/>
          <w:highlight w:val="none"/>
        </w:rPr>
        <w:t>任何一方均</w:t>
      </w:r>
      <w:r>
        <w:rPr>
          <w:rFonts w:hint="eastAsia" w:ascii="宋体" w:hAnsi="宋体" w:eastAsia="宋体" w:cs="宋体"/>
          <w:bCs/>
          <w:color w:val="auto"/>
          <w:sz w:val="24"/>
          <w:szCs w:val="24"/>
          <w:highlight w:val="none"/>
        </w:rPr>
        <w:t>可向甲方住所地有管辖权的人民法院提起诉讼解决。</w:t>
      </w:r>
    </w:p>
    <w:p w14:paraId="3771ECFE">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3．诉讼期间，本合同继续履行。</w:t>
      </w:r>
    </w:p>
    <w:p w14:paraId="6F06E124">
      <w:pPr>
        <w:pStyle w:val="31"/>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条</w:t>
      </w: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送达条款</w:t>
      </w:r>
    </w:p>
    <w:p w14:paraId="6860A25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乙双方在本协议中注明的通讯地址、电话、电子邮箱为双方往来信函等文件送达地址、电话、电子邮箱；若一方变更地址、电话、电子邮箱，应当自变更之日起三日内以书面形式通知对方，否则视为没有变更，该方自行承担由此导致的法律责任和后果。</w:t>
      </w:r>
    </w:p>
    <w:p w14:paraId="10D89C4B">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一方可以当面送交、邮寄快递、短信、电子邮件等方式向对方送达文件，对方应当予以签收当面送交、邮寄快递送达的文件。若对方不予以签收，以邮寄快递方式送达的，自发出之日起、信件交邮局或快递公司之日起三日届满即视为已送达。以电子邮件、短信方式发出的，电子邮件到达对方邮箱之日、短信送达对方手机之日视为已送达。</w:t>
      </w:r>
    </w:p>
    <w:p w14:paraId="7D241A99">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对于因本协议争议引起的纠纷，甲、乙双方确认司法机关可以通过以下任何一种或多种方式送达诉讼法律文书，送达时间以上述送达方式中最先送达的为准；双方共同确认：上述送达方式适用于各个司法阶段，包括但不限于一审、二审、再审、执行以及督促程序。同时双方保证送达地址准确、有效，如果提供的地址不确切，或者不及时告知变更后的地址，致使法律文书无法送达或未及时送达的，该方自行承担由此导致的法律责任及后果。</w:t>
      </w:r>
    </w:p>
    <w:p w14:paraId="408EABDB">
      <w:pPr>
        <w:keepNext w:val="0"/>
        <w:keepLines w:val="0"/>
        <w:pageBreakBefore w:val="0"/>
        <w:widowControl w:val="0"/>
        <w:kinsoku/>
        <w:wordWrap/>
        <w:overflowPunct/>
        <w:topLinePunct w:val="0"/>
        <w:autoSpaceDE/>
        <w:autoSpaceDN/>
        <w:bidi w:val="0"/>
        <w:snapToGrid w:val="0"/>
        <w:spacing w:line="360" w:lineRule="auto"/>
        <w:ind w:left="585"/>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条 合同生效及其它</w:t>
      </w:r>
    </w:p>
    <w:p w14:paraId="313D0AA4">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1．合同经甲、乙双方法定代表人或授权代表人签字并加盖单位公章之日起生效</w:t>
      </w:r>
      <w:r>
        <w:rPr>
          <w:rFonts w:hint="eastAsia" w:ascii="宋体" w:hAnsi="宋体" w:eastAsia="宋体" w:cs="宋体"/>
          <w:color w:val="auto"/>
          <w:sz w:val="24"/>
          <w:szCs w:val="24"/>
          <w:highlight w:val="none"/>
        </w:rPr>
        <w:t>。</w:t>
      </w:r>
    </w:p>
    <w:p w14:paraId="4F8C8948">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本合同一式五份，具有同等法律效力，，甲方两份，乙方</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份，采购代理机构一份（可根据需要另增加）。</w:t>
      </w:r>
    </w:p>
    <w:p w14:paraId="3A377EC1">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3.本合同未尽事宜，遵照</w:t>
      </w:r>
      <w:r>
        <w:rPr>
          <w:rFonts w:hint="eastAsia" w:ascii="宋体" w:hAnsi="宋体" w:eastAsia="宋体" w:cs="宋体"/>
          <w:color w:val="auto"/>
          <w:sz w:val="24"/>
          <w:szCs w:val="24"/>
          <w:highlight w:val="none"/>
        </w:rPr>
        <w:t>招投标相关法律法规及</w:t>
      </w:r>
      <w:r>
        <w:rPr>
          <w:rFonts w:hint="eastAsia" w:ascii="宋体" w:hAnsi="宋体" w:eastAsia="宋体" w:cs="宋体"/>
          <w:bCs/>
          <w:color w:val="auto"/>
          <w:sz w:val="24"/>
          <w:szCs w:val="24"/>
          <w:highlight w:val="none"/>
          <w:lang w:val="en-US" w:eastAsia="zh-CN"/>
        </w:rPr>
        <w:t>民法典</w:t>
      </w:r>
      <w:r>
        <w:rPr>
          <w:rFonts w:hint="eastAsia" w:ascii="宋体" w:hAnsi="宋体" w:eastAsia="宋体" w:cs="宋体"/>
          <w:bCs/>
          <w:color w:val="auto"/>
          <w:sz w:val="24"/>
          <w:szCs w:val="24"/>
          <w:highlight w:val="none"/>
        </w:rPr>
        <w:t>有关条文执行。</w:t>
      </w:r>
    </w:p>
    <w:p w14:paraId="78DED40D">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4.本合同附件系本合同不可分割的一部分。</w:t>
      </w:r>
    </w:p>
    <w:p w14:paraId="3A318156">
      <w:pPr>
        <w:pStyle w:val="31"/>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第十四条  签订本合同依据</w:t>
      </w:r>
    </w:p>
    <w:p w14:paraId="16A3FB8E">
      <w:pPr>
        <w:pStyle w:val="31"/>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1、采购文件；</w:t>
      </w:r>
    </w:p>
    <w:p w14:paraId="39772191">
      <w:pPr>
        <w:pStyle w:val="31"/>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2、乙方提供的响应文件；</w:t>
      </w:r>
    </w:p>
    <w:p w14:paraId="1A9C958F">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3、成交通知书。</w:t>
      </w:r>
    </w:p>
    <w:p w14:paraId="3B480768">
      <w:pPr>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本页无正文）</w:t>
      </w:r>
    </w:p>
    <w:p w14:paraId="3C3E52A2">
      <w:pPr>
        <w:bidi w:val="0"/>
        <w:rPr>
          <w:rFonts w:hint="default"/>
          <w:color w:val="auto"/>
          <w:highlight w:val="none"/>
          <w:lang w:val="en-US" w:eastAsia="zh-CN"/>
        </w:rPr>
      </w:pPr>
    </w:p>
    <w:tbl>
      <w:tblPr>
        <w:tblStyle w:val="60"/>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3F2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6D56809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甲方（章）           </w:t>
            </w:r>
          </w:p>
          <w:p w14:paraId="09A0A2E7">
            <w:pPr>
              <w:snapToGrid w:val="0"/>
              <w:spacing w:line="360" w:lineRule="auto"/>
              <w:jc w:val="left"/>
              <w:rPr>
                <w:rFonts w:hint="eastAsia" w:ascii="宋体" w:hAnsi="宋体" w:eastAsia="宋体" w:cs="宋体"/>
                <w:color w:val="auto"/>
                <w:sz w:val="24"/>
                <w:szCs w:val="24"/>
                <w:highlight w:val="none"/>
              </w:rPr>
            </w:pPr>
          </w:p>
          <w:p w14:paraId="72A87D06">
            <w:pPr>
              <w:snapToGrid w:val="0"/>
              <w:spacing w:line="360" w:lineRule="auto"/>
              <w:ind w:firstLine="1080" w:firstLineChars="4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517" w:type="dxa"/>
            <w:noWrap w:val="0"/>
            <w:vAlign w:val="center"/>
          </w:tcPr>
          <w:p w14:paraId="39909B2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乙方（章）              </w:t>
            </w:r>
          </w:p>
          <w:p w14:paraId="36C1C0A2">
            <w:pPr>
              <w:snapToGrid w:val="0"/>
              <w:spacing w:line="360" w:lineRule="auto"/>
              <w:jc w:val="left"/>
              <w:rPr>
                <w:rFonts w:hint="eastAsia" w:ascii="宋体" w:hAnsi="宋体" w:eastAsia="宋体" w:cs="宋体"/>
                <w:color w:val="auto"/>
                <w:sz w:val="24"/>
                <w:szCs w:val="24"/>
                <w:highlight w:val="none"/>
              </w:rPr>
            </w:pPr>
          </w:p>
          <w:p w14:paraId="1F07DFCD">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14:paraId="7667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783413AB">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p>
        </w:tc>
        <w:tc>
          <w:tcPr>
            <w:tcW w:w="4517" w:type="dxa"/>
            <w:noWrap w:val="0"/>
            <w:vAlign w:val="center"/>
          </w:tcPr>
          <w:p w14:paraId="3C6D3DCF">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p>
        </w:tc>
      </w:tr>
      <w:tr w14:paraId="07BE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0"/>
            <w:vAlign w:val="center"/>
          </w:tcPr>
          <w:p w14:paraId="4659F2BC">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4517" w:type="dxa"/>
            <w:noWrap w:val="0"/>
            <w:vAlign w:val="center"/>
          </w:tcPr>
          <w:p w14:paraId="1A257B84">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14:paraId="3330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14:paraId="244CCFF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c>
          <w:tcPr>
            <w:tcW w:w="4517" w:type="dxa"/>
            <w:noWrap w:val="0"/>
            <w:vAlign w:val="center"/>
          </w:tcPr>
          <w:p w14:paraId="2365A50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r>
      <w:tr w14:paraId="176D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4ACA745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517" w:type="dxa"/>
            <w:noWrap w:val="0"/>
            <w:vAlign w:val="center"/>
          </w:tcPr>
          <w:p w14:paraId="21D8426D">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4FDE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0478347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4517" w:type="dxa"/>
            <w:noWrap w:val="0"/>
            <w:vAlign w:val="center"/>
          </w:tcPr>
          <w:p w14:paraId="636C851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14:paraId="09F3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7D65BCF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517" w:type="dxa"/>
            <w:noWrap w:val="0"/>
            <w:vAlign w:val="center"/>
          </w:tcPr>
          <w:p w14:paraId="4CF536F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65FB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CF8168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517" w:type="dxa"/>
            <w:noWrap w:val="0"/>
            <w:vAlign w:val="center"/>
          </w:tcPr>
          <w:p w14:paraId="16DD1E8B">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5BAE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71891E4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517" w:type="dxa"/>
            <w:noWrap w:val="0"/>
            <w:vAlign w:val="center"/>
          </w:tcPr>
          <w:p w14:paraId="52B2DD3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bl>
    <w:p w14:paraId="7CCF5304">
      <w:pPr>
        <w:rPr>
          <w:rFonts w:hint="eastAsia" w:ascii="宋体" w:hAnsi="宋体" w:eastAsia="宋体" w:cs="宋体"/>
          <w:color w:val="auto"/>
          <w:sz w:val="24"/>
          <w:szCs w:val="24"/>
          <w:highlight w:val="none"/>
        </w:rPr>
      </w:pPr>
    </w:p>
    <w:p w14:paraId="37177BF2">
      <w:pPr>
        <w:pStyle w:val="31"/>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16244552">
      <w:pPr>
        <w:keepNext w:val="0"/>
        <w:pageBreakBefore w:val="0"/>
        <w:kinsoku/>
        <w:topLinePunct w:val="0"/>
        <w:bidi w:val="0"/>
        <w:spacing w:line="360" w:lineRule="exact"/>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br w:type="page"/>
      </w:r>
      <w:r>
        <w:rPr>
          <w:rFonts w:hint="eastAsia" w:ascii="宋体" w:hAnsi="宋体" w:eastAsia="宋体" w:cs="宋体"/>
          <w:bCs/>
          <w:color w:val="auto"/>
          <w:kern w:val="0"/>
          <w:sz w:val="24"/>
          <w:szCs w:val="24"/>
          <w:highlight w:val="none"/>
          <w:lang w:val="en-US" w:eastAsia="zh-CN"/>
        </w:rPr>
        <w:t>附件：</w:t>
      </w:r>
    </w:p>
    <w:p w14:paraId="34E1C19A">
      <w:pPr>
        <w:keepNext w:val="0"/>
        <w:pageBreakBefore w:val="0"/>
        <w:kinsoku/>
        <w:topLinePunct w:val="0"/>
        <w:bidi w:val="0"/>
        <w:spacing w:line="36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报价明细表</w:t>
      </w:r>
    </w:p>
    <w:p w14:paraId="6F864866">
      <w:pPr>
        <w:pStyle w:val="2"/>
        <w:numPr>
          <w:ilvl w:val="0"/>
          <w:numId w:val="0"/>
        </w:numPr>
        <w:ind w:leftChars="0"/>
        <w:rPr>
          <w:rFonts w:hint="eastAsia" w:ascii="宋体" w:hAnsi="宋体" w:eastAsia="宋体" w:cs="宋体"/>
          <w:color w:val="auto"/>
          <w:sz w:val="24"/>
          <w:szCs w:val="24"/>
          <w:highlight w:val="none"/>
          <w:lang w:val="en-US" w:eastAsia="zh-CN"/>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75"/>
        <w:gridCol w:w="1542"/>
        <w:gridCol w:w="1450"/>
        <w:gridCol w:w="1733"/>
        <w:gridCol w:w="1823"/>
      </w:tblGrid>
      <w:tr w14:paraId="6175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9" w:hRule="atLeast"/>
          <w:jc w:val="center"/>
        </w:trPr>
        <w:tc>
          <w:tcPr>
            <w:tcW w:w="662" w:type="dxa"/>
            <w:tcBorders>
              <w:bottom w:val="single" w:color="auto" w:sz="4" w:space="0"/>
            </w:tcBorders>
            <w:noWrap w:val="0"/>
            <w:vAlign w:val="center"/>
          </w:tcPr>
          <w:p w14:paraId="722BA78D">
            <w:pPr>
              <w:pStyle w:val="31"/>
              <w:spacing w:line="360" w:lineRule="exact"/>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序号</w:t>
            </w:r>
          </w:p>
        </w:tc>
        <w:tc>
          <w:tcPr>
            <w:tcW w:w="1975" w:type="dxa"/>
            <w:tcBorders>
              <w:bottom w:val="single" w:color="auto" w:sz="4" w:space="0"/>
            </w:tcBorders>
            <w:noWrap w:val="0"/>
            <w:vAlign w:val="center"/>
          </w:tcPr>
          <w:p w14:paraId="2544A188">
            <w:pPr>
              <w:tabs>
                <w:tab w:val="left" w:pos="180"/>
                <w:tab w:val="left" w:pos="162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服务名称</w:t>
            </w:r>
          </w:p>
        </w:tc>
        <w:tc>
          <w:tcPr>
            <w:tcW w:w="1542" w:type="dxa"/>
            <w:tcBorders>
              <w:bottom w:val="single" w:color="auto" w:sz="4" w:space="0"/>
            </w:tcBorders>
            <w:noWrap w:val="0"/>
            <w:vAlign w:val="center"/>
          </w:tcPr>
          <w:p w14:paraId="4CD2B985">
            <w:pPr>
              <w:tabs>
                <w:tab w:val="left" w:pos="180"/>
                <w:tab w:val="left" w:pos="1620"/>
              </w:tabs>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学生人数（人）</w:t>
            </w:r>
          </w:p>
        </w:tc>
        <w:tc>
          <w:tcPr>
            <w:tcW w:w="1450" w:type="dxa"/>
            <w:tcBorders>
              <w:bottom w:val="single" w:color="auto" w:sz="4" w:space="0"/>
            </w:tcBorders>
            <w:noWrap w:val="0"/>
            <w:vAlign w:val="center"/>
          </w:tcPr>
          <w:p w14:paraId="687EBC8B">
            <w:pPr>
              <w:tabs>
                <w:tab w:val="left" w:pos="180"/>
                <w:tab w:val="left" w:pos="1620"/>
              </w:tabs>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供餐天数（工作日）</w:t>
            </w:r>
          </w:p>
        </w:tc>
        <w:tc>
          <w:tcPr>
            <w:tcW w:w="1733" w:type="dxa"/>
            <w:tcBorders>
              <w:bottom w:val="single" w:color="auto" w:sz="4" w:space="0"/>
            </w:tcBorders>
            <w:noWrap w:val="0"/>
            <w:vAlign w:val="center"/>
          </w:tcPr>
          <w:p w14:paraId="4299B897">
            <w:pPr>
              <w:tabs>
                <w:tab w:val="left" w:pos="180"/>
                <w:tab w:val="left" w:pos="1620"/>
              </w:tabs>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每人每天餐费（元/天）</w:t>
            </w:r>
          </w:p>
        </w:tc>
        <w:tc>
          <w:tcPr>
            <w:tcW w:w="1823" w:type="dxa"/>
            <w:tcBorders>
              <w:bottom w:val="single" w:color="auto" w:sz="4" w:space="0"/>
            </w:tcBorders>
            <w:noWrap w:val="0"/>
            <w:vAlign w:val="center"/>
          </w:tcPr>
          <w:p w14:paraId="5DD1A738">
            <w:pPr>
              <w:pStyle w:val="31"/>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竞标报价总金额（元）</w:t>
            </w:r>
          </w:p>
        </w:tc>
      </w:tr>
      <w:tr w14:paraId="7134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662" w:type="dxa"/>
            <w:noWrap w:val="0"/>
            <w:vAlign w:val="center"/>
          </w:tcPr>
          <w:p w14:paraId="579F60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5" w:type="dxa"/>
            <w:noWrap w:val="0"/>
            <w:vAlign w:val="center"/>
          </w:tcPr>
          <w:p w14:paraId="0772C4BF">
            <w:pPr>
              <w:jc w:val="center"/>
              <w:rPr>
                <w:rFonts w:hint="eastAsia" w:ascii="宋体" w:hAnsi="宋体" w:eastAsia="宋体" w:cs="宋体"/>
                <w:color w:val="auto"/>
                <w:sz w:val="24"/>
                <w:szCs w:val="24"/>
                <w:highlight w:val="none"/>
              </w:rPr>
            </w:pPr>
          </w:p>
        </w:tc>
        <w:tc>
          <w:tcPr>
            <w:tcW w:w="1542" w:type="dxa"/>
            <w:noWrap w:val="0"/>
            <w:vAlign w:val="center"/>
          </w:tcPr>
          <w:p w14:paraId="40CEF1BD">
            <w:pPr>
              <w:jc w:val="center"/>
              <w:rPr>
                <w:rFonts w:hint="eastAsia" w:ascii="宋体" w:hAnsi="宋体" w:eastAsia="宋体" w:cs="宋体"/>
                <w:color w:val="auto"/>
                <w:sz w:val="24"/>
                <w:szCs w:val="24"/>
                <w:highlight w:val="none"/>
              </w:rPr>
            </w:pPr>
          </w:p>
        </w:tc>
        <w:tc>
          <w:tcPr>
            <w:tcW w:w="1450" w:type="dxa"/>
            <w:noWrap w:val="0"/>
            <w:vAlign w:val="center"/>
          </w:tcPr>
          <w:p w14:paraId="145CDA3E">
            <w:pPr>
              <w:pStyle w:val="31"/>
              <w:rPr>
                <w:rFonts w:hint="eastAsia" w:ascii="宋体" w:hAnsi="宋体" w:eastAsia="宋体" w:cs="宋体"/>
                <w:color w:val="auto"/>
                <w:sz w:val="24"/>
                <w:szCs w:val="24"/>
                <w:highlight w:val="none"/>
              </w:rPr>
            </w:pPr>
          </w:p>
        </w:tc>
        <w:tc>
          <w:tcPr>
            <w:tcW w:w="1733" w:type="dxa"/>
            <w:noWrap w:val="0"/>
            <w:vAlign w:val="center"/>
          </w:tcPr>
          <w:p w14:paraId="360153CF">
            <w:pPr>
              <w:pStyle w:val="31"/>
              <w:rPr>
                <w:rFonts w:hint="eastAsia" w:ascii="宋体" w:hAnsi="宋体" w:eastAsia="宋体" w:cs="宋体"/>
                <w:color w:val="auto"/>
                <w:sz w:val="24"/>
                <w:szCs w:val="24"/>
                <w:highlight w:val="none"/>
              </w:rPr>
            </w:pPr>
          </w:p>
        </w:tc>
        <w:tc>
          <w:tcPr>
            <w:tcW w:w="1823" w:type="dxa"/>
            <w:noWrap w:val="0"/>
            <w:vAlign w:val="center"/>
          </w:tcPr>
          <w:p w14:paraId="3010EAF0">
            <w:pPr>
              <w:pStyle w:val="31"/>
              <w:rPr>
                <w:rFonts w:hint="eastAsia" w:ascii="宋体" w:hAnsi="宋体" w:eastAsia="宋体" w:cs="宋体"/>
                <w:color w:val="auto"/>
                <w:spacing w:val="-6"/>
                <w:sz w:val="24"/>
                <w:szCs w:val="24"/>
                <w:highlight w:val="none"/>
              </w:rPr>
            </w:pPr>
          </w:p>
        </w:tc>
      </w:tr>
      <w:tr w14:paraId="2B3E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9185" w:type="dxa"/>
            <w:gridSpan w:val="6"/>
            <w:noWrap w:val="0"/>
            <w:vAlign w:val="center"/>
          </w:tcPr>
          <w:p w14:paraId="61129583">
            <w:pPr>
              <w:pStyle w:val="31"/>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lang w:val="en-US" w:eastAsia="zh-CN"/>
              </w:rPr>
              <w:t>北海市涠洲实验学校范围内义务教育阶段学生881人，约195个工作日，本项目报价为固定每人每天5元，最终按实际供餐天数结算。</w:t>
            </w:r>
          </w:p>
        </w:tc>
      </w:tr>
    </w:tbl>
    <w:p w14:paraId="7245999C">
      <w:pPr>
        <w:rPr>
          <w:rFonts w:hint="eastAsia" w:ascii="宋体" w:hAnsi="宋体" w:eastAsia="宋体" w:cs="宋体"/>
          <w:b/>
          <w:color w:val="auto"/>
          <w:sz w:val="21"/>
          <w:szCs w:val="21"/>
          <w:highlight w:val="none"/>
        </w:rPr>
      </w:pPr>
    </w:p>
    <w:p w14:paraId="181C7AC8">
      <w:pPr>
        <w:rPr>
          <w:rFonts w:hint="eastAsia" w:ascii="宋体" w:hAnsi="宋体" w:eastAsia="宋体" w:cs="宋体"/>
          <w:b/>
          <w:color w:val="auto"/>
          <w:sz w:val="21"/>
          <w:szCs w:val="21"/>
          <w:highlight w:val="none"/>
        </w:rPr>
      </w:pPr>
    </w:p>
    <w:p w14:paraId="3AFACBC8">
      <w:pPr>
        <w:spacing w:line="360" w:lineRule="auto"/>
        <w:ind w:firstLine="640" w:firstLineChars="200"/>
        <w:jc w:val="center"/>
        <w:rPr>
          <w:rFonts w:asciiTheme="minorEastAsia" w:hAnsiTheme="minorEastAsia" w:eastAsiaTheme="minorEastAsia"/>
          <w:b/>
          <w:color w:val="auto"/>
          <w:sz w:val="28"/>
          <w:szCs w:val="28"/>
          <w:highlight w:val="none"/>
        </w:rPr>
      </w:pPr>
      <w:r>
        <w:rPr>
          <w:rFonts w:hint="eastAsia" w:ascii="宋体" w:hAnsi="宋体" w:cs="宋体"/>
          <w:bCs w:val="0"/>
          <w:color w:val="auto"/>
          <w:kern w:val="0"/>
          <w:sz w:val="32"/>
          <w:szCs w:val="32"/>
          <w:highlight w:val="none"/>
        </w:rPr>
        <w:br w:type="page"/>
      </w:r>
    </w:p>
    <w:p w14:paraId="21D204C1">
      <w:pPr>
        <w:rPr>
          <w:rFonts w:hint="eastAsia" w:cs="仿宋_GB2312" w:asciiTheme="minorEastAsia" w:hAnsiTheme="minorEastAsia" w:eastAsiaTheme="minorEastAsia"/>
          <w:b/>
          <w:color w:val="auto"/>
          <w:sz w:val="36"/>
          <w:szCs w:val="20"/>
          <w:highlight w:val="none"/>
        </w:rPr>
      </w:pPr>
    </w:p>
    <w:p w14:paraId="2D3970D6">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62" w:name="_Toc23505"/>
      <w:r>
        <w:rPr>
          <w:rFonts w:hint="eastAsia" w:cs="仿宋_GB2312" w:asciiTheme="minorEastAsia" w:hAnsiTheme="minorEastAsia" w:eastAsiaTheme="minorEastAsia"/>
          <w:b/>
          <w:color w:val="auto"/>
          <w:sz w:val="36"/>
          <w:szCs w:val="20"/>
          <w:highlight w:val="none"/>
        </w:rPr>
        <w:t>第七部分</w:t>
      </w:r>
      <w:bookmarkEnd w:id="60"/>
      <w:r>
        <w:rPr>
          <w:rFonts w:hint="eastAsia" w:cs="仿宋_GB2312" w:asciiTheme="minorEastAsia" w:hAnsiTheme="minorEastAsia" w:eastAsiaTheme="minorEastAsia"/>
          <w:b/>
          <w:color w:val="auto"/>
          <w:sz w:val="36"/>
          <w:szCs w:val="20"/>
          <w:highlight w:val="none"/>
        </w:rPr>
        <w:t xml:space="preserve">  </w:t>
      </w:r>
      <w:bookmarkEnd w:id="61"/>
      <w:r>
        <w:rPr>
          <w:rFonts w:hint="eastAsia" w:cs="仿宋_GB2312" w:asciiTheme="minorEastAsia" w:hAnsiTheme="minorEastAsia" w:eastAsiaTheme="minorEastAsia"/>
          <w:b/>
          <w:color w:val="auto"/>
          <w:sz w:val="36"/>
          <w:szCs w:val="20"/>
          <w:highlight w:val="none"/>
        </w:rPr>
        <w:t>应提交的有关格式范例</w:t>
      </w:r>
      <w:bookmarkEnd w:id="62"/>
    </w:p>
    <w:p w14:paraId="0748FE77">
      <w:pPr>
        <w:rPr>
          <w:rFonts w:hint="eastAsia"/>
          <w:b/>
          <w:color w:val="auto"/>
          <w:sz w:val="24"/>
          <w:szCs w:val="24"/>
          <w:highlight w:val="none"/>
        </w:rPr>
      </w:pPr>
    </w:p>
    <w:p w14:paraId="75BC66A6">
      <w:pPr>
        <w:rPr>
          <w:b/>
          <w:color w:val="auto"/>
          <w:sz w:val="24"/>
          <w:szCs w:val="24"/>
          <w:highlight w:val="none"/>
        </w:rPr>
      </w:pPr>
      <w:r>
        <w:rPr>
          <w:rFonts w:hint="eastAsia"/>
          <w:b/>
          <w:color w:val="auto"/>
          <w:sz w:val="24"/>
          <w:szCs w:val="24"/>
          <w:highlight w:val="none"/>
        </w:rPr>
        <w:t>一、资格证明文件格式</w:t>
      </w:r>
    </w:p>
    <w:p w14:paraId="2F4D44F6">
      <w:pPr>
        <w:snapToGrid w:val="0"/>
        <w:spacing w:before="156" w:beforeLines="50" w:after="50" w:line="360" w:lineRule="auto"/>
        <w:jc w:val="left"/>
        <w:rPr>
          <w:rFonts w:ascii="宋体" w:hAnsi="宋体"/>
          <w:b/>
          <w:color w:val="auto"/>
          <w:sz w:val="24"/>
          <w:szCs w:val="24"/>
          <w:highlight w:val="none"/>
        </w:rPr>
      </w:pPr>
      <w:r>
        <w:rPr>
          <w:rFonts w:hint="eastAsia" w:ascii="宋体" w:hAnsi="宋体"/>
          <w:b/>
          <w:color w:val="auto"/>
          <w:sz w:val="24"/>
          <w:szCs w:val="24"/>
          <w:highlight w:val="none"/>
        </w:rPr>
        <w:t>1.资格证明文件封面格式</w:t>
      </w:r>
      <w:r>
        <w:rPr>
          <w:rFonts w:hint="eastAsia" w:ascii="宋体" w:hAnsi="宋体"/>
          <w:color w:val="auto"/>
          <w:sz w:val="24"/>
          <w:szCs w:val="24"/>
          <w:highlight w:val="none"/>
        </w:rPr>
        <w:t>：</w:t>
      </w:r>
      <w:r>
        <w:rPr>
          <w:rFonts w:hint="eastAsia" w:ascii="宋体" w:hAnsi="宋体"/>
          <w:b/>
          <w:color w:val="auto"/>
          <w:sz w:val="24"/>
          <w:szCs w:val="24"/>
          <w:highlight w:val="none"/>
        </w:rPr>
        <w:t xml:space="preserve"> </w:t>
      </w:r>
    </w:p>
    <w:p w14:paraId="353976CE">
      <w:pPr>
        <w:snapToGrid w:val="0"/>
        <w:spacing w:before="156" w:beforeLines="50" w:after="50"/>
        <w:jc w:val="center"/>
        <w:rPr>
          <w:rFonts w:ascii="宋体" w:hAnsi="宋体"/>
          <w:color w:val="auto"/>
          <w:sz w:val="44"/>
          <w:szCs w:val="44"/>
          <w:highlight w:val="none"/>
        </w:rPr>
      </w:pPr>
    </w:p>
    <w:p w14:paraId="59350C09">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314F556C">
      <w:pPr>
        <w:snapToGrid w:val="0"/>
        <w:spacing w:before="156" w:beforeLines="50" w:after="50"/>
        <w:rPr>
          <w:rFonts w:ascii="宋体" w:hAnsi="宋体"/>
          <w:color w:val="auto"/>
          <w:sz w:val="24"/>
          <w:szCs w:val="20"/>
          <w:highlight w:val="none"/>
        </w:rPr>
      </w:pPr>
    </w:p>
    <w:p w14:paraId="5F3AFD0A">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2BC8DF6">
      <w:pPr>
        <w:snapToGrid w:val="0"/>
        <w:spacing w:before="156" w:beforeLines="50" w:after="50"/>
        <w:rPr>
          <w:rFonts w:ascii="宋体" w:hAnsi="宋体"/>
          <w:bCs/>
          <w:color w:val="auto"/>
          <w:sz w:val="24"/>
          <w:szCs w:val="20"/>
          <w:highlight w:val="none"/>
        </w:rPr>
      </w:pPr>
    </w:p>
    <w:p w14:paraId="38F00B90">
      <w:pPr>
        <w:snapToGrid w:val="0"/>
        <w:spacing w:before="156" w:beforeLines="50" w:after="50"/>
        <w:rPr>
          <w:rFonts w:ascii="宋体" w:hAnsi="宋体"/>
          <w:bCs/>
          <w:color w:val="auto"/>
          <w:sz w:val="24"/>
          <w:szCs w:val="20"/>
          <w:highlight w:val="none"/>
        </w:rPr>
      </w:pPr>
    </w:p>
    <w:p w14:paraId="71CF94F4">
      <w:pPr>
        <w:snapToGrid w:val="0"/>
        <w:spacing w:before="156" w:beforeLines="50" w:after="50"/>
        <w:rPr>
          <w:rFonts w:ascii="宋体" w:hAnsi="宋体"/>
          <w:bCs/>
          <w:color w:val="auto"/>
          <w:sz w:val="24"/>
          <w:szCs w:val="20"/>
          <w:highlight w:val="none"/>
        </w:rPr>
      </w:pPr>
    </w:p>
    <w:p w14:paraId="014611EC">
      <w:pPr>
        <w:snapToGrid w:val="0"/>
        <w:spacing w:before="156" w:beforeLines="50" w:after="50"/>
        <w:rPr>
          <w:rFonts w:ascii="宋体" w:hAnsi="宋体"/>
          <w:bCs/>
          <w:color w:val="auto"/>
          <w:sz w:val="24"/>
          <w:szCs w:val="20"/>
          <w:highlight w:val="none"/>
        </w:rPr>
      </w:pPr>
    </w:p>
    <w:p w14:paraId="07AB7084">
      <w:pPr>
        <w:snapToGrid w:val="0"/>
        <w:spacing w:before="156" w:beforeLines="50" w:after="50"/>
        <w:rPr>
          <w:rFonts w:ascii="宋体" w:hAnsi="宋体"/>
          <w:bCs/>
          <w:color w:val="auto"/>
          <w:sz w:val="24"/>
          <w:szCs w:val="20"/>
          <w:highlight w:val="none"/>
        </w:rPr>
      </w:pPr>
    </w:p>
    <w:p w14:paraId="45C5254A">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B675509">
      <w:pPr>
        <w:snapToGrid w:val="0"/>
        <w:spacing w:before="156" w:beforeLines="50" w:after="50"/>
        <w:ind w:firstLine="720" w:firstLineChars="225"/>
        <w:rPr>
          <w:rFonts w:ascii="宋体" w:hAnsi="宋体" w:cs="仿宋_GB2312"/>
          <w:bCs/>
          <w:color w:val="auto"/>
          <w:sz w:val="32"/>
          <w:szCs w:val="32"/>
          <w:highlight w:val="none"/>
        </w:rPr>
      </w:pPr>
    </w:p>
    <w:p w14:paraId="728350F7">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0A664B4">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E143902">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6307B98">
      <w:pPr>
        <w:snapToGrid w:val="0"/>
        <w:spacing w:before="156" w:beforeLines="50" w:after="50"/>
        <w:ind w:firstLine="720" w:firstLineChars="225"/>
        <w:rPr>
          <w:rFonts w:ascii="宋体" w:hAnsi="宋体" w:cs="仿宋_GB2312"/>
          <w:bCs/>
          <w:color w:val="auto"/>
          <w:sz w:val="32"/>
          <w:szCs w:val="32"/>
          <w:highlight w:val="none"/>
        </w:rPr>
      </w:pPr>
    </w:p>
    <w:p w14:paraId="7770E4D0">
      <w:pPr>
        <w:pStyle w:val="15"/>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7B18001">
      <w:pPr>
        <w:snapToGrid w:val="0"/>
        <w:spacing w:before="156" w:beforeLines="50" w:after="50"/>
        <w:ind w:firstLine="640" w:firstLineChars="200"/>
        <w:rPr>
          <w:rFonts w:ascii="宋体" w:hAnsi="宋体" w:cs="仿宋_GB2312"/>
          <w:bCs/>
          <w:color w:val="auto"/>
          <w:sz w:val="32"/>
          <w:szCs w:val="32"/>
          <w:highlight w:val="none"/>
        </w:rPr>
      </w:pPr>
    </w:p>
    <w:p w14:paraId="68BCD091">
      <w:pPr>
        <w:pStyle w:val="15"/>
        <w:snapToGrid w:val="0"/>
        <w:spacing w:before="50" w:after="50"/>
        <w:ind w:firstLine="720" w:firstLineChars="225"/>
        <w:rPr>
          <w:rFonts w:ascii="宋体" w:hAnsi="宋体" w:cs="仿宋_GB2312"/>
          <w:bCs/>
          <w:color w:val="auto"/>
          <w:sz w:val="32"/>
          <w:szCs w:val="32"/>
          <w:highlight w:val="none"/>
        </w:rPr>
      </w:pPr>
    </w:p>
    <w:p w14:paraId="2C0A7903">
      <w:pPr>
        <w:pStyle w:val="15"/>
        <w:snapToGrid w:val="0"/>
        <w:spacing w:before="50" w:after="50"/>
        <w:ind w:firstLine="720" w:firstLineChars="225"/>
        <w:rPr>
          <w:rFonts w:ascii="宋体" w:hAnsi="宋体" w:cs="仿宋_GB2312"/>
          <w:bCs/>
          <w:color w:val="auto"/>
          <w:sz w:val="32"/>
          <w:szCs w:val="32"/>
          <w:highlight w:val="none"/>
        </w:rPr>
      </w:pPr>
    </w:p>
    <w:p w14:paraId="3291B43A">
      <w:pPr>
        <w:pStyle w:val="15"/>
        <w:snapToGrid w:val="0"/>
        <w:spacing w:before="50" w:after="50"/>
        <w:ind w:firstLine="1280" w:firstLineChars="400"/>
        <w:rPr>
          <w:rFonts w:ascii="宋体" w:hAnsi="宋体" w:cs="仿宋_GB2312"/>
          <w:bCs/>
          <w:color w:val="auto"/>
          <w:sz w:val="32"/>
          <w:szCs w:val="32"/>
          <w:highlight w:val="none"/>
        </w:rPr>
      </w:pPr>
    </w:p>
    <w:p w14:paraId="017F4761">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03147B5">
      <w:pPr>
        <w:snapToGrid w:val="0"/>
        <w:spacing w:before="156" w:beforeLines="50" w:after="50" w:line="360" w:lineRule="auto"/>
        <w:ind w:left="142"/>
        <w:jc w:val="left"/>
        <w:rPr>
          <w:rFonts w:ascii="宋体" w:hAnsi="宋体"/>
          <w:b/>
          <w:bCs/>
          <w:color w:val="auto"/>
          <w:sz w:val="24"/>
          <w:szCs w:val="24"/>
          <w:highlight w:val="none"/>
        </w:rPr>
      </w:pPr>
      <w:r>
        <w:rPr>
          <w:rFonts w:ascii="宋体" w:hAnsi="宋体"/>
          <w:color w:val="auto"/>
          <w:sz w:val="24"/>
          <w:highlight w:val="none"/>
        </w:rPr>
        <w:br w:type="page"/>
      </w:r>
      <w:r>
        <w:rPr>
          <w:rFonts w:hint="eastAsia" w:ascii="宋体" w:hAnsi="宋体"/>
          <w:b/>
          <w:bCs/>
          <w:color w:val="auto"/>
          <w:sz w:val="24"/>
          <w:szCs w:val="24"/>
          <w:highlight w:val="none"/>
        </w:rPr>
        <w:t>2.资格证明文件目录</w:t>
      </w:r>
    </w:p>
    <w:p w14:paraId="0D669782">
      <w:pPr>
        <w:snapToGrid w:val="0"/>
        <w:spacing w:before="156" w:beforeLines="50" w:after="50" w:line="360" w:lineRule="auto"/>
        <w:ind w:firstLine="645"/>
        <w:rPr>
          <w:rFonts w:ascii="宋体" w:hAnsi="宋体"/>
          <w:color w:val="auto"/>
          <w:sz w:val="24"/>
          <w:szCs w:val="24"/>
          <w:highlight w:val="none"/>
        </w:rPr>
      </w:pPr>
      <w:r>
        <w:rPr>
          <w:rFonts w:hint="eastAsia" w:ascii="宋体" w:hAnsi="宋体"/>
          <w:color w:val="auto"/>
          <w:sz w:val="24"/>
          <w:szCs w:val="24"/>
          <w:highlight w:val="none"/>
        </w:rPr>
        <w:t>根据磋商文件规定及供应商提供的材料自行编写目录（部分格式后附）。</w:t>
      </w:r>
    </w:p>
    <w:p w14:paraId="4B5A55CF">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509E3BBD">
      <w:pPr>
        <w:spacing w:line="300" w:lineRule="auto"/>
        <w:rPr>
          <w:rFonts w:ascii="宋体" w:hAnsi="宋体"/>
          <w:color w:val="auto"/>
          <w:szCs w:val="21"/>
          <w:highlight w:val="none"/>
        </w:rPr>
      </w:pPr>
    </w:p>
    <w:p w14:paraId="3DFC3DBE">
      <w:pPr>
        <w:spacing w:line="380" w:lineRule="exact"/>
        <w:ind w:left="360"/>
        <w:rPr>
          <w:rFonts w:ascii="宋体" w:hAnsi="宋体"/>
          <w:color w:val="auto"/>
          <w:szCs w:val="21"/>
          <w:highlight w:val="none"/>
        </w:rPr>
      </w:pPr>
    </w:p>
    <w:p w14:paraId="0734F8DD">
      <w:pPr>
        <w:spacing w:line="380" w:lineRule="exact"/>
        <w:ind w:left="360"/>
        <w:rPr>
          <w:rFonts w:ascii="宋体" w:hAnsi="宋体"/>
          <w:color w:val="auto"/>
          <w:szCs w:val="21"/>
          <w:highlight w:val="none"/>
        </w:rPr>
      </w:pPr>
      <w:r>
        <w:rPr>
          <w:rFonts w:hint="eastAsia" w:ascii="宋体" w:hAnsi="宋体"/>
          <w:color w:val="auto"/>
          <w:szCs w:val="21"/>
          <w:highlight w:val="none"/>
        </w:rPr>
        <w:br w:type="page"/>
      </w:r>
    </w:p>
    <w:p w14:paraId="123DDB00">
      <w:pPr>
        <w:spacing w:line="380" w:lineRule="exact"/>
        <w:rPr>
          <w:rFonts w:ascii="宋体" w:hAnsi="宋体"/>
          <w:b/>
          <w:bCs/>
          <w:color w:val="auto"/>
          <w:sz w:val="24"/>
          <w:highlight w:val="none"/>
        </w:rPr>
      </w:pPr>
      <w:r>
        <w:rPr>
          <w:rFonts w:hint="eastAsia" w:ascii="宋体" w:hAnsi="宋体"/>
          <w:b/>
          <w:bCs/>
          <w:color w:val="auto"/>
          <w:szCs w:val="21"/>
          <w:highlight w:val="none"/>
        </w:rPr>
        <w:t>3.</w:t>
      </w:r>
      <w:r>
        <w:rPr>
          <w:rFonts w:hint="eastAsia" w:ascii="宋体" w:hAnsi="宋体"/>
          <w:b/>
          <w:bCs/>
          <w:color w:val="auto"/>
          <w:sz w:val="24"/>
          <w:highlight w:val="none"/>
        </w:rPr>
        <w:t>北海市政府采购供应商信用承诺函（格式）</w:t>
      </w:r>
    </w:p>
    <w:p w14:paraId="7B6DFD8B">
      <w:pPr>
        <w:spacing w:line="380" w:lineRule="exact"/>
        <w:ind w:left="142"/>
        <w:rPr>
          <w:rFonts w:ascii="宋体" w:hAnsi="宋体"/>
          <w:b/>
          <w:bCs/>
          <w:color w:val="auto"/>
          <w:sz w:val="24"/>
          <w:highlight w:val="none"/>
        </w:rPr>
      </w:pPr>
    </w:p>
    <w:p w14:paraId="6C2A6D87">
      <w:pPr>
        <w:spacing w:line="380" w:lineRule="exact"/>
        <w:jc w:val="center"/>
        <w:rPr>
          <w:b/>
          <w:bCs/>
          <w:color w:val="auto"/>
          <w:kern w:val="0"/>
          <w:sz w:val="32"/>
          <w:szCs w:val="32"/>
          <w:highlight w:val="none"/>
        </w:rPr>
      </w:pPr>
      <w:r>
        <w:rPr>
          <w:rFonts w:hint="eastAsia"/>
          <w:b/>
          <w:bCs/>
          <w:color w:val="auto"/>
          <w:kern w:val="0"/>
          <w:sz w:val="32"/>
          <w:szCs w:val="32"/>
          <w:highlight w:val="none"/>
        </w:rPr>
        <w:t>北海市政府采购供应商信用承诺函</w:t>
      </w:r>
    </w:p>
    <w:p w14:paraId="017FD0B4">
      <w:pPr>
        <w:spacing w:line="380" w:lineRule="exact"/>
        <w:jc w:val="center"/>
        <w:rPr>
          <w:b/>
          <w:bCs/>
          <w:color w:val="auto"/>
          <w:kern w:val="0"/>
          <w:sz w:val="32"/>
          <w:szCs w:val="32"/>
          <w:highlight w:val="none"/>
        </w:rPr>
      </w:pPr>
    </w:p>
    <w:p w14:paraId="463A8CDE">
      <w:pPr>
        <w:wordWrap w:val="0"/>
        <w:spacing w:line="360" w:lineRule="auto"/>
        <w:rPr>
          <w:color w:val="auto"/>
          <w:kern w:val="0"/>
          <w:sz w:val="24"/>
          <w:highlight w:val="none"/>
        </w:rPr>
      </w:pPr>
      <w:r>
        <w:rPr>
          <w:rFonts w:hint="eastAsia"/>
          <w:color w:val="auto"/>
          <w:kern w:val="0"/>
          <w:sz w:val="24"/>
          <w:highlight w:val="none"/>
        </w:rPr>
        <w:t>致（采购人或采购代理机构）：</w:t>
      </w:r>
    </w:p>
    <w:p w14:paraId="0E76BE7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w:t>
      </w:r>
    </w:p>
    <w:p w14:paraId="09E3BE24">
      <w:pPr>
        <w:pStyle w:val="58"/>
        <w:ind w:firstLine="210"/>
        <w:rPr>
          <w:color w:val="auto"/>
          <w:highlight w:val="none"/>
        </w:rPr>
      </w:pPr>
    </w:p>
    <w:p w14:paraId="2A5861D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统一社会信用代码：</w:t>
      </w:r>
    </w:p>
    <w:p w14:paraId="081C9DB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供应商地址：</w:t>
      </w:r>
    </w:p>
    <w:p w14:paraId="7FFB7224">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018451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1.我单位具有符合采购文件资格要求独立承担民事责任的能力。</w:t>
      </w:r>
    </w:p>
    <w:p w14:paraId="33736FC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2.我单位具有符合采购文件资格要求的财务状况报告。</w:t>
      </w:r>
    </w:p>
    <w:p w14:paraId="5EF34E8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3.我单位具有符合采购文件资格要求的依法缴纳税收和社会保障记录的良好记录。</w:t>
      </w:r>
    </w:p>
    <w:p w14:paraId="183AFA4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4.我单位具有符合采购文件资格要求履行合同所必需的设备和专业技术能力。</w:t>
      </w:r>
    </w:p>
    <w:p w14:paraId="7C1DF71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5025A81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若我单位承诺不实，自愿承担提供虚假材料谋取中标、成交的法律责任。</w:t>
      </w:r>
    </w:p>
    <w:p w14:paraId="5BD7F7A1">
      <w:pPr>
        <w:snapToGrid w:val="0"/>
        <w:spacing w:line="360" w:lineRule="auto"/>
        <w:jc w:val="left"/>
        <w:rPr>
          <w:rFonts w:ascii="宋体" w:hAnsi="宋体"/>
          <w:color w:val="auto"/>
          <w:sz w:val="24"/>
          <w:highlight w:val="none"/>
        </w:rPr>
      </w:pPr>
    </w:p>
    <w:p w14:paraId="2CC13AE1">
      <w:pPr>
        <w:snapToGrid w:val="0"/>
        <w:spacing w:line="360" w:lineRule="auto"/>
        <w:ind w:left="-2" w:leftChars="-1" w:right="-817" w:rightChars="-389"/>
        <w:rPr>
          <w:rFonts w:ascii="宋体" w:hAnsi="宋体" w:cs="宋体"/>
          <w:color w:val="auto"/>
          <w:kern w:val="0"/>
          <w:sz w:val="24"/>
          <w:highlight w:val="none"/>
        </w:rPr>
      </w:pPr>
      <w:r>
        <w:rPr>
          <w:rFonts w:hint="eastAsia" w:ascii="宋体" w:hAnsi="宋体"/>
          <w:color w:val="auto"/>
          <w:sz w:val="24"/>
          <w:highlight w:val="none"/>
        </w:rPr>
        <w:t xml:space="preserve">                        </w:t>
      </w:r>
      <w:r>
        <w:rPr>
          <w:rFonts w:hint="eastAsia" w:ascii="宋体" w:hAnsi="宋体" w:cs="宋体"/>
          <w:color w:val="auto"/>
          <w:kern w:val="0"/>
          <w:sz w:val="24"/>
          <w:highlight w:val="none"/>
        </w:rPr>
        <w:t xml:space="preserve">   法定代表人或者委托代理人（签字或者电子签名）： </w:t>
      </w:r>
    </w:p>
    <w:p w14:paraId="286B3E60">
      <w:pPr>
        <w:snapToGrid w:val="0"/>
        <w:spacing w:line="360" w:lineRule="auto"/>
        <w:ind w:left="-3" w:leftChars="-15" w:right="-817" w:rightChars="-389" w:hanging="28" w:hangingChars="12"/>
        <w:rPr>
          <w:rFonts w:ascii="宋体" w:hAnsi="宋体" w:cs="宋体"/>
          <w:color w:val="auto"/>
          <w:kern w:val="0"/>
          <w:sz w:val="24"/>
          <w:highlight w:val="none"/>
        </w:rPr>
      </w:pPr>
      <w:r>
        <w:rPr>
          <w:rFonts w:hint="eastAsia" w:ascii="宋体" w:hAnsi="宋体" w:cs="宋体"/>
          <w:color w:val="auto"/>
          <w:kern w:val="0"/>
          <w:sz w:val="24"/>
          <w:highlight w:val="none"/>
        </w:rPr>
        <w:t xml:space="preserve">                                    供应商名称（电子签章）：</w:t>
      </w:r>
    </w:p>
    <w:p w14:paraId="74FAAB4B">
      <w:pPr>
        <w:wordWrap w:val="0"/>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日 期： 年 月 日</w:t>
      </w:r>
    </w:p>
    <w:p w14:paraId="6038F98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注：1.供应商须在响应文件中按此模板提供承诺函，未提供视为未实质性响应招标（采购）文件要求，按无效磋商处理。</w:t>
      </w:r>
    </w:p>
    <w:p w14:paraId="2C4AF9B6">
      <w:pPr>
        <w:spacing w:line="320" w:lineRule="exact"/>
        <w:jc w:val="left"/>
        <w:rPr>
          <w:rFonts w:ascii="宋体" w:hAnsi="宋体"/>
          <w:color w:val="auto"/>
          <w:szCs w:val="21"/>
          <w:highlight w:val="none"/>
        </w:rPr>
      </w:pPr>
      <w:r>
        <w:rPr>
          <w:rFonts w:hint="eastAsia" w:ascii="宋体" w:hAnsi="宋体" w:cs="宋体"/>
          <w:color w:val="auto"/>
          <w:kern w:val="0"/>
          <w:sz w:val="24"/>
          <w:highlight w:val="none"/>
        </w:rPr>
        <w:t>2.供应商的法定代表人（其他组织的为负责人）或者委托代理人的签名或盖章应真实、有效，如委托代理人签名或盖章的，应提供“法定代表人授权委托书”。</w:t>
      </w:r>
    </w:p>
    <w:p w14:paraId="6F3081CD">
      <w:pPr>
        <w:spacing w:line="300" w:lineRule="auto"/>
        <w:rPr>
          <w:rFonts w:ascii="宋体" w:hAnsi="宋体"/>
          <w:color w:val="auto"/>
          <w:szCs w:val="21"/>
          <w:highlight w:val="none"/>
        </w:rPr>
      </w:pPr>
    </w:p>
    <w:p w14:paraId="33772F48">
      <w:pPr>
        <w:spacing w:line="300" w:lineRule="auto"/>
        <w:rPr>
          <w:rFonts w:ascii="宋体" w:hAnsi="宋体"/>
          <w:color w:val="auto"/>
          <w:szCs w:val="21"/>
          <w:highlight w:val="none"/>
        </w:rPr>
      </w:pPr>
    </w:p>
    <w:p w14:paraId="0BEAB156">
      <w:pPr>
        <w:spacing w:line="300" w:lineRule="auto"/>
        <w:rPr>
          <w:rFonts w:ascii="宋体" w:hAnsi="宋体"/>
          <w:color w:val="auto"/>
          <w:szCs w:val="21"/>
          <w:highlight w:val="none"/>
        </w:rPr>
      </w:pPr>
    </w:p>
    <w:p w14:paraId="72643057">
      <w:pPr>
        <w:spacing w:line="300" w:lineRule="auto"/>
        <w:rPr>
          <w:rFonts w:ascii="宋体" w:hAnsi="宋体"/>
          <w:color w:val="auto"/>
          <w:szCs w:val="21"/>
          <w:highlight w:val="none"/>
        </w:rPr>
      </w:pPr>
    </w:p>
    <w:p w14:paraId="1514D531">
      <w:pPr>
        <w:spacing w:line="320" w:lineRule="exact"/>
        <w:jc w:val="left"/>
        <w:rPr>
          <w:rFonts w:ascii="宋体" w:hAnsi="宋体"/>
          <w:b/>
          <w:color w:val="auto"/>
          <w:sz w:val="24"/>
          <w:highlight w:val="none"/>
        </w:rPr>
      </w:pPr>
      <w:r>
        <w:rPr>
          <w:rFonts w:ascii="宋体" w:hAnsi="宋体"/>
          <w:color w:val="auto"/>
          <w:szCs w:val="21"/>
          <w:highlight w:val="none"/>
        </w:rPr>
        <w:br w:type="page"/>
      </w:r>
      <w:r>
        <w:rPr>
          <w:rFonts w:hint="eastAsia" w:ascii="宋体" w:hAnsi="宋体"/>
          <w:color w:val="auto"/>
          <w:sz w:val="24"/>
          <w:szCs w:val="24"/>
          <w:highlight w:val="none"/>
        </w:rPr>
        <w:t>4</w:t>
      </w:r>
      <w:r>
        <w:rPr>
          <w:rFonts w:hint="eastAsia" w:ascii="宋体" w:hAnsi="宋体"/>
          <w:b/>
          <w:color w:val="auto"/>
          <w:sz w:val="24"/>
          <w:szCs w:val="24"/>
          <w:highlight w:val="none"/>
        </w:rPr>
        <w:t>.供应商直接控股股东信息表</w:t>
      </w:r>
      <w:r>
        <w:rPr>
          <w:rFonts w:hint="eastAsia" w:ascii="宋体" w:hAnsi="宋体"/>
          <w:b/>
          <w:bCs/>
          <w:color w:val="auto"/>
          <w:sz w:val="24"/>
          <w:highlight w:val="none"/>
        </w:rPr>
        <w:t>（格式）</w:t>
      </w:r>
    </w:p>
    <w:p w14:paraId="3ED9A0A8">
      <w:pPr>
        <w:snapToGrid w:val="0"/>
        <w:spacing w:before="50" w:after="156" w:afterLines="50"/>
        <w:jc w:val="center"/>
        <w:rPr>
          <w:rFonts w:ascii="宋体" w:hAnsi="宋体"/>
          <w:b/>
          <w:color w:val="auto"/>
          <w:sz w:val="28"/>
          <w:szCs w:val="28"/>
          <w:highlight w:val="none"/>
        </w:rPr>
      </w:pPr>
    </w:p>
    <w:p w14:paraId="29A10A1F">
      <w:pPr>
        <w:snapToGrid w:val="0"/>
        <w:spacing w:before="50" w:after="156"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60"/>
        <w:tblW w:w="9476" w:type="dxa"/>
        <w:tblInd w:w="0" w:type="dxa"/>
        <w:shd w:val="clear" w:color="auto" w:fill="FBFBFB"/>
        <w:tblLayout w:type="fixed"/>
        <w:tblCellMar>
          <w:top w:w="0" w:type="dxa"/>
          <w:left w:w="0" w:type="dxa"/>
          <w:bottom w:w="0" w:type="dxa"/>
          <w:right w:w="0" w:type="dxa"/>
        </w:tblCellMar>
      </w:tblPr>
      <w:tblGrid>
        <w:gridCol w:w="828"/>
        <w:gridCol w:w="2269"/>
        <w:gridCol w:w="1657"/>
        <w:gridCol w:w="3304"/>
        <w:gridCol w:w="1418"/>
      </w:tblGrid>
      <w:tr w14:paraId="680C553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83AA1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83A2C1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65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1405A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3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9B8A8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260CC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BEBCAE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679E0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A271E5">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2B0216">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531ED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5C23E4">
            <w:pPr>
              <w:spacing w:line="360" w:lineRule="auto"/>
              <w:jc w:val="center"/>
              <w:rPr>
                <w:rFonts w:ascii="宋体" w:hAnsi="宋体" w:cs="宋体"/>
                <w:color w:val="auto"/>
                <w:kern w:val="0"/>
                <w:sz w:val="24"/>
                <w:highlight w:val="none"/>
              </w:rPr>
            </w:pPr>
          </w:p>
        </w:tc>
      </w:tr>
      <w:tr w14:paraId="334B730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1D9E6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40594B">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637F42">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6690A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D1AAF">
            <w:pPr>
              <w:spacing w:line="360" w:lineRule="auto"/>
              <w:jc w:val="center"/>
              <w:rPr>
                <w:rFonts w:ascii="宋体" w:hAnsi="宋体" w:cs="宋体"/>
                <w:color w:val="auto"/>
                <w:kern w:val="0"/>
                <w:sz w:val="24"/>
                <w:highlight w:val="none"/>
              </w:rPr>
            </w:pPr>
          </w:p>
        </w:tc>
      </w:tr>
      <w:tr w14:paraId="7E102AF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36EE8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42DC39">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AA88AE">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44741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D9F28E">
            <w:pPr>
              <w:spacing w:line="360" w:lineRule="auto"/>
              <w:jc w:val="center"/>
              <w:rPr>
                <w:rFonts w:ascii="宋体" w:hAnsi="宋体" w:cs="宋体"/>
                <w:color w:val="auto"/>
                <w:kern w:val="0"/>
                <w:sz w:val="24"/>
                <w:highlight w:val="none"/>
              </w:rPr>
            </w:pPr>
          </w:p>
        </w:tc>
      </w:tr>
      <w:tr w14:paraId="7168BF3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A098F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54CAE3">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DA6C74">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66F1B6">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377DBF">
            <w:pPr>
              <w:spacing w:line="360" w:lineRule="auto"/>
              <w:jc w:val="center"/>
              <w:rPr>
                <w:rFonts w:ascii="宋体" w:hAnsi="宋体" w:cs="宋体"/>
                <w:color w:val="auto"/>
                <w:kern w:val="0"/>
                <w:sz w:val="24"/>
                <w:highlight w:val="none"/>
              </w:rPr>
            </w:pPr>
          </w:p>
        </w:tc>
      </w:tr>
    </w:tbl>
    <w:p w14:paraId="20DEE9CA">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515D94BE">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0EBDBFA">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3571B454">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518D7D1F">
      <w:pPr>
        <w:snapToGrid w:val="0"/>
        <w:spacing w:line="360" w:lineRule="auto"/>
        <w:jc w:val="left"/>
        <w:rPr>
          <w:rFonts w:ascii="宋体" w:hAnsi="宋体"/>
          <w:color w:val="auto"/>
          <w:sz w:val="24"/>
          <w:highlight w:val="none"/>
        </w:rPr>
      </w:pPr>
    </w:p>
    <w:p w14:paraId="7099D8AB">
      <w:pPr>
        <w:snapToGrid w:val="0"/>
        <w:spacing w:line="360" w:lineRule="auto"/>
        <w:jc w:val="left"/>
        <w:rPr>
          <w:rFonts w:ascii="宋体" w:hAnsi="宋体"/>
          <w:color w:val="auto"/>
          <w:sz w:val="24"/>
          <w:highlight w:val="none"/>
        </w:rPr>
      </w:pPr>
    </w:p>
    <w:p w14:paraId="5EA90202">
      <w:pPr>
        <w:snapToGrid w:val="0"/>
        <w:spacing w:line="360" w:lineRule="auto"/>
        <w:jc w:val="left"/>
        <w:rPr>
          <w:rFonts w:ascii="宋体" w:hAnsi="宋体"/>
          <w:color w:val="auto"/>
          <w:sz w:val="24"/>
          <w:highlight w:val="none"/>
        </w:rPr>
      </w:pPr>
    </w:p>
    <w:p w14:paraId="71BEE08A">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4C60BCBA">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1D3C48F9">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02972BC4">
      <w:pPr>
        <w:snapToGrid w:val="0"/>
        <w:jc w:val="center"/>
        <w:rPr>
          <w:rFonts w:ascii="宋体" w:hAnsi="宋体"/>
          <w:b/>
          <w:color w:val="auto"/>
          <w:sz w:val="28"/>
          <w:szCs w:val="28"/>
          <w:highlight w:val="none"/>
        </w:rPr>
      </w:pPr>
    </w:p>
    <w:p w14:paraId="5C21E9BB">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szCs w:val="24"/>
          <w:highlight w:val="none"/>
        </w:rPr>
        <w:t>5.</w:t>
      </w:r>
      <w:r>
        <w:rPr>
          <w:color w:val="auto"/>
          <w:sz w:val="24"/>
          <w:szCs w:val="24"/>
          <w:highlight w:val="none"/>
        </w:rPr>
        <w:t xml:space="preserve"> </w:t>
      </w:r>
      <w:r>
        <w:rPr>
          <w:rFonts w:hint="eastAsia" w:ascii="宋体" w:hAnsi="宋体"/>
          <w:b/>
          <w:color w:val="auto"/>
          <w:sz w:val="24"/>
          <w:szCs w:val="24"/>
          <w:highlight w:val="none"/>
        </w:rPr>
        <w:t>供应商直接管理关系信息表</w:t>
      </w:r>
      <w:r>
        <w:rPr>
          <w:rFonts w:hint="eastAsia" w:ascii="宋体" w:hAnsi="宋体"/>
          <w:b/>
          <w:bCs/>
          <w:color w:val="auto"/>
          <w:sz w:val="24"/>
          <w:highlight w:val="none"/>
        </w:rPr>
        <w:t>（格式）</w:t>
      </w:r>
    </w:p>
    <w:p w14:paraId="08666F22">
      <w:pPr>
        <w:snapToGrid w:val="0"/>
        <w:spacing w:line="360" w:lineRule="auto"/>
        <w:jc w:val="center"/>
        <w:rPr>
          <w:rFonts w:hint="eastAsia" w:ascii="宋体" w:hAnsi="宋体"/>
          <w:b/>
          <w:color w:val="auto"/>
          <w:sz w:val="32"/>
          <w:szCs w:val="32"/>
          <w:highlight w:val="none"/>
        </w:rPr>
      </w:pPr>
    </w:p>
    <w:p w14:paraId="1BD84860">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60"/>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9B996E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A7061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51445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35157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0CF08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9E9F92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5624B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FF345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B22C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877FF7">
            <w:pPr>
              <w:spacing w:line="360" w:lineRule="auto"/>
              <w:jc w:val="center"/>
              <w:rPr>
                <w:rFonts w:ascii="宋体" w:hAnsi="宋体" w:cs="宋体"/>
                <w:color w:val="auto"/>
                <w:kern w:val="0"/>
                <w:sz w:val="24"/>
                <w:highlight w:val="none"/>
              </w:rPr>
            </w:pPr>
          </w:p>
        </w:tc>
      </w:tr>
      <w:tr w14:paraId="08E6290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1CFB0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E9606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9AE04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AB7F62">
            <w:pPr>
              <w:spacing w:line="360" w:lineRule="auto"/>
              <w:jc w:val="center"/>
              <w:rPr>
                <w:rFonts w:ascii="宋体" w:hAnsi="宋体" w:cs="宋体"/>
                <w:color w:val="auto"/>
                <w:kern w:val="0"/>
                <w:sz w:val="24"/>
                <w:highlight w:val="none"/>
              </w:rPr>
            </w:pPr>
          </w:p>
        </w:tc>
      </w:tr>
      <w:tr w14:paraId="5D7287C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AB353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D4CC2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574B7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8DD8E8">
            <w:pPr>
              <w:spacing w:line="360" w:lineRule="auto"/>
              <w:jc w:val="center"/>
              <w:rPr>
                <w:rFonts w:ascii="宋体" w:hAnsi="宋体" w:cs="宋体"/>
                <w:color w:val="auto"/>
                <w:kern w:val="0"/>
                <w:sz w:val="24"/>
                <w:highlight w:val="none"/>
              </w:rPr>
            </w:pPr>
          </w:p>
        </w:tc>
      </w:tr>
      <w:tr w14:paraId="5D4B1F8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28EDA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65CCF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80DA1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891E07">
            <w:pPr>
              <w:spacing w:line="360" w:lineRule="auto"/>
              <w:jc w:val="center"/>
              <w:rPr>
                <w:rFonts w:ascii="宋体" w:hAnsi="宋体" w:cs="宋体"/>
                <w:color w:val="auto"/>
                <w:kern w:val="0"/>
                <w:sz w:val="24"/>
                <w:highlight w:val="none"/>
              </w:rPr>
            </w:pPr>
          </w:p>
        </w:tc>
      </w:tr>
    </w:tbl>
    <w:p w14:paraId="061870DC">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1909CF2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7F7247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46797F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048B583D">
      <w:pPr>
        <w:snapToGrid w:val="0"/>
        <w:spacing w:line="360" w:lineRule="auto"/>
        <w:jc w:val="left"/>
        <w:rPr>
          <w:rFonts w:ascii="宋体" w:hAnsi="宋体"/>
          <w:color w:val="auto"/>
          <w:sz w:val="24"/>
          <w:highlight w:val="none"/>
        </w:rPr>
      </w:pPr>
    </w:p>
    <w:p w14:paraId="0FDA1840">
      <w:pPr>
        <w:snapToGrid w:val="0"/>
        <w:spacing w:line="360" w:lineRule="auto"/>
        <w:jc w:val="left"/>
        <w:rPr>
          <w:rFonts w:ascii="宋体" w:hAnsi="宋体"/>
          <w:color w:val="auto"/>
          <w:sz w:val="24"/>
          <w:highlight w:val="none"/>
        </w:rPr>
      </w:pPr>
    </w:p>
    <w:p w14:paraId="46A03A5A">
      <w:pPr>
        <w:snapToGrid w:val="0"/>
        <w:spacing w:line="360" w:lineRule="auto"/>
        <w:jc w:val="left"/>
        <w:rPr>
          <w:rFonts w:ascii="宋体" w:hAnsi="宋体"/>
          <w:color w:val="auto"/>
          <w:sz w:val="24"/>
          <w:highlight w:val="none"/>
        </w:rPr>
      </w:pPr>
    </w:p>
    <w:p w14:paraId="36C55EAB">
      <w:pPr>
        <w:snapToGrid w:val="0"/>
        <w:spacing w:line="360" w:lineRule="auto"/>
        <w:jc w:val="left"/>
        <w:rPr>
          <w:color w:val="auto"/>
          <w:sz w:val="24"/>
          <w:highlight w:val="none"/>
        </w:rPr>
      </w:pPr>
    </w:p>
    <w:p w14:paraId="7307F572">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6E25D8E3">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371E0030">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34E33E5C">
      <w:pPr>
        <w:snapToGrid w:val="0"/>
        <w:spacing w:before="156" w:beforeLines="50" w:after="50"/>
        <w:jc w:val="left"/>
        <w:rPr>
          <w:rFonts w:ascii="宋体" w:hAnsi="宋体"/>
          <w:color w:val="auto"/>
          <w:sz w:val="24"/>
          <w:highlight w:val="none"/>
        </w:rPr>
      </w:pPr>
    </w:p>
    <w:p w14:paraId="3A37FB74">
      <w:pPr>
        <w:spacing w:line="320" w:lineRule="exact"/>
        <w:rPr>
          <w:rFonts w:ascii="宋体" w:hAnsi="宋体"/>
          <w:b/>
          <w:color w:val="auto"/>
          <w:sz w:val="24"/>
          <w:szCs w:val="24"/>
          <w:highlight w:val="none"/>
        </w:rPr>
      </w:pPr>
      <w:r>
        <w:rPr>
          <w:rFonts w:ascii="宋体" w:hAnsi="宋体"/>
          <w:b/>
          <w:color w:val="auto"/>
          <w:sz w:val="28"/>
          <w:szCs w:val="28"/>
          <w:highlight w:val="none"/>
        </w:rPr>
        <w:br w:type="page"/>
      </w:r>
      <w:r>
        <w:rPr>
          <w:rFonts w:hint="eastAsia" w:ascii="宋体" w:hAnsi="宋体"/>
          <w:b/>
          <w:color w:val="auto"/>
          <w:sz w:val="24"/>
          <w:szCs w:val="24"/>
          <w:highlight w:val="none"/>
        </w:rPr>
        <w:t>6.竞标声明</w:t>
      </w:r>
      <w:r>
        <w:rPr>
          <w:rFonts w:hint="eastAsia" w:ascii="宋体" w:hAnsi="宋体"/>
          <w:b/>
          <w:bCs/>
          <w:color w:val="auto"/>
          <w:sz w:val="24"/>
          <w:highlight w:val="none"/>
        </w:rPr>
        <w:t>（格式）</w:t>
      </w:r>
    </w:p>
    <w:p w14:paraId="4C9F3AE0">
      <w:pPr>
        <w:spacing w:line="320" w:lineRule="exact"/>
        <w:jc w:val="center"/>
        <w:rPr>
          <w:rFonts w:ascii="宋体" w:hAnsi="宋体"/>
          <w:b/>
          <w:color w:val="auto"/>
          <w:sz w:val="32"/>
          <w:szCs w:val="32"/>
          <w:highlight w:val="none"/>
        </w:rPr>
      </w:pPr>
    </w:p>
    <w:p w14:paraId="436519E6">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29819607">
      <w:pPr>
        <w:spacing w:line="320" w:lineRule="exact"/>
        <w:jc w:val="center"/>
        <w:rPr>
          <w:rFonts w:ascii="宋体" w:hAnsi="宋体"/>
          <w:color w:val="auto"/>
          <w:sz w:val="24"/>
          <w:szCs w:val="20"/>
          <w:highlight w:val="none"/>
        </w:rPr>
      </w:pPr>
    </w:p>
    <w:p w14:paraId="05DCBF6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352D031">
      <w:pPr>
        <w:wordWrap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29848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FD8403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4CBE07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5C3B2C4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1893C8B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5A923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3543F3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8A555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5DE24DC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7B471BD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31F75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2175E1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E6DB07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998283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9D3AC6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72CB76F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A0214B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610787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7BA772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5CC9B20">
      <w:pPr>
        <w:pStyle w:val="31"/>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73984EE1">
      <w:pPr>
        <w:pStyle w:val="31"/>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566E441">
      <w:pPr>
        <w:pStyle w:val="2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4FD1AA79">
      <w:pPr>
        <w:pStyle w:val="25"/>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762DA0A6">
      <w:pPr>
        <w:pStyle w:val="2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00F890C7">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7E3A378F">
      <w:pPr>
        <w:spacing w:line="360" w:lineRule="auto"/>
        <w:contextualSpacing/>
        <w:jc w:val="left"/>
        <w:rPr>
          <w:rFonts w:ascii="宋体" w:hAnsi="宋体" w:cs="宋体"/>
          <w:color w:val="auto"/>
          <w:szCs w:val="21"/>
          <w:highlight w:val="none"/>
        </w:rPr>
      </w:pPr>
    </w:p>
    <w:p w14:paraId="333C9DFC">
      <w:pPr>
        <w:spacing w:line="360" w:lineRule="auto"/>
        <w:ind w:firstLine="1800" w:firstLineChars="750"/>
        <w:contextualSpacing/>
        <w:rPr>
          <w:color w:val="auto"/>
          <w:highlight w:val="none"/>
        </w:rPr>
      </w:pPr>
      <w:r>
        <w:rPr>
          <w:rFonts w:hint="eastAsia" w:ascii="宋体" w:hAnsi="宋体"/>
          <w:color w:val="auto"/>
          <w:sz w:val="24"/>
          <w:highlight w:val="none"/>
        </w:rPr>
        <w:t>法定代表人（签字或者盖章或者电子签名）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6A077304">
      <w:pPr>
        <w:spacing w:line="360" w:lineRule="auto"/>
        <w:ind w:firstLine="4320" w:firstLineChars="1800"/>
        <w:contextualSpacing/>
        <w:rPr>
          <w:rFonts w:ascii="宋体" w:hAnsi="宋体" w:cs="宋体"/>
          <w:color w:val="auto"/>
          <w:szCs w:val="21"/>
          <w:highlight w:val="none"/>
          <w:u w:val="single"/>
        </w:rPr>
      </w:pPr>
      <w:r>
        <w:rPr>
          <w:rFonts w:hint="eastAsia" w:ascii="宋体" w:hAnsi="宋体"/>
          <w:color w:val="auto"/>
          <w:sz w:val="24"/>
          <w:highlight w:val="none"/>
        </w:rPr>
        <w:t>供应商名称（电子签章）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2F00AC02">
      <w:pPr>
        <w:pStyle w:val="25"/>
        <w:tabs>
          <w:tab w:val="left" w:pos="939"/>
        </w:tabs>
        <w:spacing w:line="360" w:lineRule="auto"/>
        <w:ind w:left="0" w:leftChars="0" w:firstLine="420" w:firstLineChars="200"/>
        <w:rPr>
          <w:color w:val="auto"/>
          <w:sz w:val="24"/>
          <w:highlight w:val="none"/>
        </w:rPr>
      </w:pPr>
      <w:r>
        <w:rPr>
          <w:rFonts w:hint="eastAsia" w:ascii="宋体" w:hAnsi="宋体" w:cs="宋体"/>
          <w:color w:val="auto"/>
          <w:szCs w:val="21"/>
          <w:highlight w:val="none"/>
        </w:rPr>
        <w:t xml:space="preserve">                                                        </w:t>
      </w:r>
      <w:r>
        <w:rPr>
          <w:rFonts w:hint="eastAsia"/>
          <w:color w:val="auto"/>
          <w:sz w:val="24"/>
          <w:highlight w:val="none"/>
        </w:rPr>
        <w:t xml:space="preserve"> 年    月    日</w:t>
      </w:r>
    </w:p>
    <w:p w14:paraId="559BD761">
      <w:pPr>
        <w:spacing w:line="360" w:lineRule="auto"/>
        <w:ind w:right="420"/>
        <w:contextualSpacing/>
        <w:jc w:val="left"/>
        <w:rPr>
          <w:rFonts w:ascii="宋体" w:hAnsi="宋体"/>
          <w:b/>
          <w:color w:val="auto"/>
          <w:sz w:val="24"/>
          <w:szCs w:val="24"/>
          <w:highlight w:val="none"/>
        </w:rPr>
      </w:pPr>
      <w:r>
        <w:rPr>
          <w:rFonts w:hint="eastAsia"/>
          <w:color w:val="auto"/>
          <w:sz w:val="24"/>
          <w:highlight w:val="none"/>
        </w:rPr>
        <w:br w:type="page"/>
      </w:r>
      <w:r>
        <w:rPr>
          <w:rFonts w:hint="eastAsia" w:ascii="宋体" w:hAnsi="宋体"/>
          <w:b/>
          <w:bCs/>
          <w:color w:val="auto"/>
          <w:sz w:val="24"/>
          <w:szCs w:val="24"/>
          <w:highlight w:val="none"/>
        </w:rPr>
        <w:t>二、</w:t>
      </w:r>
      <w:r>
        <w:rPr>
          <w:rFonts w:hint="eastAsia" w:ascii="宋体" w:hAnsi="宋体"/>
          <w:b/>
          <w:color w:val="auto"/>
          <w:sz w:val="24"/>
          <w:szCs w:val="24"/>
          <w:highlight w:val="none"/>
        </w:rPr>
        <w:t xml:space="preserve">报价文件格式 </w:t>
      </w:r>
    </w:p>
    <w:p w14:paraId="1B81CA69">
      <w:pPr>
        <w:snapToGrid w:val="0"/>
        <w:spacing w:before="156" w:beforeLines="50" w:after="50" w:line="360" w:lineRule="auto"/>
        <w:jc w:val="left"/>
        <w:rPr>
          <w:rFonts w:ascii="宋体" w:hAnsi="宋体"/>
          <w:b/>
          <w:color w:val="auto"/>
          <w:sz w:val="24"/>
          <w:szCs w:val="24"/>
          <w:highlight w:val="none"/>
        </w:rPr>
      </w:pPr>
      <w:r>
        <w:rPr>
          <w:rFonts w:hint="eastAsia" w:ascii="宋体" w:hAnsi="宋体"/>
          <w:b/>
          <w:color w:val="auto"/>
          <w:sz w:val="24"/>
          <w:szCs w:val="24"/>
          <w:highlight w:val="none"/>
        </w:rPr>
        <w:t>1.报价文件封面格式</w:t>
      </w:r>
    </w:p>
    <w:p w14:paraId="7167278F">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ED2690E">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C45AF52">
      <w:pPr>
        <w:snapToGrid w:val="0"/>
        <w:spacing w:before="156" w:beforeLines="50" w:after="50"/>
        <w:rPr>
          <w:rFonts w:ascii="宋体" w:hAnsi="宋体"/>
          <w:color w:val="auto"/>
          <w:sz w:val="24"/>
          <w:szCs w:val="20"/>
          <w:highlight w:val="none"/>
        </w:rPr>
      </w:pPr>
    </w:p>
    <w:p w14:paraId="7422BC8F">
      <w:pPr>
        <w:snapToGrid w:val="0"/>
        <w:spacing w:before="156" w:beforeLines="50" w:after="50"/>
        <w:rPr>
          <w:rFonts w:ascii="宋体" w:hAnsi="宋体"/>
          <w:color w:val="auto"/>
          <w:sz w:val="24"/>
          <w:szCs w:val="20"/>
          <w:highlight w:val="none"/>
        </w:rPr>
      </w:pPr>
    </w:p>
    <w:p w14:paraId="4E7453D7">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7638BAAC">
      <w:pPr>
        <w:snapToGrid w:val="0"/>
        <w:spacing w:before="156" w:beforeLines="50" w:after="50"/>
        <w:rPr>
          <w:rFonts w:ascii="宋体" w:hAnsi="宋体"/>
          <w:bCs/>
          <w:color w:val="auto"/>
          <w:sz w:val="24"/>
          <w:szCs w:val="20"/>
          <w:highlight w:val="none"/>
        </w:rPr>
      </w:pPr>
    </w:p>
    <w:p w14:paraId="270BF633">
      <w:pPr>
        <w:snapToGrid w:val="0"/>
        <w:spacing w:before="156" w:beforeLines="50" w:after="50"/>
        <w:rPr>
          <w:rFonts w:ascii="宋体" w:hAnsi="宋体"/>
          <w:bCs/>
          <w:color w:val="auto"/>
          <w:sz w:val="24"/>
          <w:szCs w:val="20"/>
          <w:highlight w:val="none"/>
        </w:rPr>
      </w:pPr>
    </w:p>
    <w:p w14:paraId="063278AA">
      <w:pPr>
        <w:snapToGrid w:val="0"/>
        <w:spacing w:before="156" w:beforeLines="50" w:after="50"/>
        <w:rPr>
          <w:rFonts w:ascii="宋体" w:hAnsi="宋体"/>
          <w:bCs/>
          <w:color w:val="auto"/>
          <w:sz w:val="24"/>
          <w:szCs w:val="20"/>
          <w:highlight w:val="none"/>
        </w:rPr>
      </w:pPr>
    </w:p>
    <w:p w14:paraId="7F48DAFE">
      <w:pPr>
        <w:snapToGrid w:val="0"/>
        <w:spacing w:before="156" w:beforeLines="50" w:after="50"/>
        <w:rPr>
          <w:rFonts w:ascii="宋体" w:hAnsi="宋体"/>
          <w:bCs/>
          <w:color w:val="auto"/>
          <w:sz w:val="24"/>
          <w:szCs w:val="20"/>
          <w:highlight w:val="none"/>
        </w:rPr>
      </w:pPr>
    </w:p>
    <w:p w14:paraId="143AD08E">
      <w:pPr>
        <w:snapToGrid w:val="0"/>
        <w:spacing w:before="156" w:beforeLines="50" w:after="50"/>
        <w:rPr>
          <w:rFonts w:ascii="宋体" w:hAnsi="宋体"/>
          <w:bCs/>
          <w:color w:val="auto"/>
          <w:sz w:val="24"/>
          <w:szCs w:val="20"/>
          <w:highlight w:val="none"/>
        </w:rPr>
      </w:pPr>
    </w:p>
    <w:p w14:paraId="1A6F657D">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38C2E3B">
      <w:pPr>
        <w:snapToGrid w:val="0"/>
        <w:spacing w:before="156" w:beforeLines="50" w:after="50"/>
        <w:ind w:firstLine="720" w:firstLineChars="225"/>
        <w:rPr>
          <w:rFonts w:ascii="宋体" w:hAnsi="宋体" w:cs="仿宋_GB2312"/>
          <w:bCs/>
          <w:color w:val="auto"/>
          <w:sz w:val="32"/>
          <w:szCs w:val="32"/>
          <w:highlight w:val="none"/>
        </w:rPr>
      </w:pPr>
    </w:p>
    <w:p w14:paraId="59F03FE6">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B54C6A0">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BF13BE9">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59C21D8">
      <w:pPr>
        <w:snapToGrid w:val="0"/>
        <w:spacing w:before="156" w:beforeLines="50" w:after="50"/>
        <w:ind w:firstLine="720" w:firstLineChars="225"/>
        <w:rPr>
          <w:rFonts w:ascii="宋体" w:hAnsi="宋体" w:cs="仿宋_GB2312"/>
          <w:bCs/>
          <w:color w:val="auto"/>
          <w:sz w:val="32"/>
          <w:szCs w:val="32"/>
          <w:highlight w:val="none"/>
        </w:rPr>
      </w:pPr>
    </w:p>
    <w:p w14:paraId="1738FCD4">
      <w:pPr>
        <w:pStyle w:val="15"/>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1CBE6B5">
      <w:pPr>
        <w:pStyle w:val="15"/>
        <w:snapToGrid w:val="0"/>
        <w:spacing w:before="50" w:after="50"/>
        <w:ind w:firstLine="640" w:firstLineChars="200"/>
        <w:rPr>
          <w:rFonts w:ascii="宋体" w:hAnsi="宋体" w:cs="仿宋_GB2312"/>
          <w:bCs/>
          <w:color w:val="auto"/>
          <w:sz w:val="32"/>
          <w:szCs w:val="32"/>
          <w:highlight w:val="none"/>
        </w:rPr>
      </w:pPr>
    </w:p>
    <w:p w14:paraId="154FA35A">
      <w:pPr>
        <w:pStyle w:val="15"/>
        <w:snapToGrid w:val="0"/>
        <w:spacing w:before="50" w:after="50"/>
        <w:ind w:firstLine="720" w:firstLineChars="225"/>
        <w:rPr>
          <w:rFonts w:ascii="宋体" w:hAnsi="宋体" w:cs="仿宋_GB2312"/>
          <w:bCs/>
          <w:color w:val="auto"/>
          <w:sz w:val="32"/>
          <w:szCs w:val="32"/>
          <w:highlight w:val="none"/>
        </w:rPr>
      </w:pPr>
    </w:p>
    <w:p w14:paraId="3AB23A6B">
      <w:pPr>
        <w:pStyle w:val="15"/>
        <w:snapToGrid w:val="0"/>
        <w:spacing w:before="50" w:after="50"/>
        <w:ind w:firstLine="0"/>
        <w:rPr>
          <w:rFonts w:ascii="宋体" w:hAnsi="宋体" w:cs="仿宋_GB2312"/>
          <w:bCs/>
          <w:color w:val="auto"/>
          <w:sz w:val="32"/>
          <w:szCs w:val="32"/>
          <w:highlight w:val="none"/>
        </w:rPr>
      </w:pPr>
    </w:p>
    <w:p w14:paraId="1DC34F20">
      <w:pPr>
        <w:pStyle w:val="15"/>
        <w:snapToGrid w:val="0"/>
        <w:spacing w:before="50" w:after="50"/>
        <w:ind w:firstLine="1280" w:firstLineChars="400"/>
        <w:rPr>
          <w:rFonts w:ascii="宋体" w:hAnsi="宋体" w:cs="仿宋_GB2312"/>
          <w:bCs/>
          <w:color w:val="auto"/>
          <w:sz w:val="32"/>
          <w:szCs w:val="32"/>
          <w:highlight w:val="none"/>
        </w:rPr>
      </w:pPr>
    </w:p>
    <w:p w14:paraId="52F038E0">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20D6F30">
      <w:pPr>
        <w:snapToGrid w:val="0"/>
        <w:spacing w:before="156" w:beforeLines="50" w:after="50" w:line="360" w:lineRule="auto"/>
        <w:ind w:left="142"/>
        <w:jc w:val="left"/>
        <w:rPr>
          <w:rFonts w:ascii="宋体" w:hAnsi="宋体"/>
          <w:b/>
          <w:bCs/>
          <w:color w:val="auto"/>
          <w:sz w:val="24"/>
          <w:szCs w:val="24"/>
          <w:highlight w:val="none"/>
        </w:rPr>
      </w:pPr>
      <w:r>
        <w:rPr>
          <w:rFonts w:hint="eastAsia" w:ascii="宋体" w:hAnsi="宋体"/>
          <w:color w:val="auto"/>
          <w:szCs w:val="21"/>
          <w:highlight w:val="none"/>
        </w:rPr>
        <w:br w:type="page"/>
      </w:r>
      <w:r>
        <w:rPr>
          <w:rFonts w:hint="eastAsia" w:ascii="宋体" w:hAnsi="宋体"/>
          <w:b/>
          <w:bCs/>
          <w:color w:val="auto"/>
          <w:sz w:val="24"/>
          <w:szCs w:val="24"/>
          <w:highlight w:val="none"/>
        </w:rPr>
        <w:t>2.报价文件目录</w:t>
      </w:r>
    </w:p>
    <w:p w14:paraId="0084940A">
      <w:pPr>
        <w:spacing w:line="520" w:lineRule="exact"/>
        <w:jc w:val="center"/>
        <w:rPr>
          <w:rFonts w:ascii="宋体" w:hAnsi="宋体"/>
          <w:b/>
          <w:bCs/>
          <w:color w:val="auto"/>
          <w:sz w:val="32"/>
          <w:szCs w:val="32"/>
          <w:highlight w:val="none"/>
        </w:rPr>
      </w:pPr>
      <w:r>
        <w:rPr>
          <w:rFonts w:hint="eastAsia" w:ascii="宋体" w:hAnsi="宋体"/>
          <w:color w:val="auto"/>
          <w:sz w:val="24"/>
          <w:szCs w:val="24"/>
          <w:highlight w:val="none"/>
        </w:rPr>
        <w:t>根据磋商文件规定及供应商提供的材料自行编写目录（部分格式后附）。</w:t>
      </w:r>
      <w:r>
        <w:rPr>
          <w:rFonts w:ascii="宋体" w:hAnsi="宋体"/>
          <w:b/>
          <w:bCs/>
          <w:color w:val="auto"/>
          <w:sz w:val="32"/>
          <w:szCs w:val="32"/>
          <w:highlight w:val="none"/>
        </w:rPr>
        <w:br w:type="page"/>
      </w:r>
    </w:p>
    <w:p w14:paraId="3942434B">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eastAsia="宋体" w:cs="宋体"/>
          <w:b/>
          <w:bCs w:val="0"/>
          <w:color w:val="auto"/>
          <w:sz w:val="32"/>
          <w:szCs w:val="32"/>
          <w:highlight w:val="none"/>
        </w:rPr>
        <w:t>竞  标  报  价  表（格式）</w:t>
      </w:r>
    </w:p>
    <w:p w14:paraId="48A6445B">
      <w:pPr>
        <w:spacing w:line="440" w:lineRule="exact"/>
        <w:jc w:val="center"/>
        <w:rPr>
          <w:rFonts w:ascii="方正小标宋简体" w:hAnsi="方正小标宋简体" w:eastAsia="方正小标宋简体" w:cs="方正小标宋简体"/>
          <w:bCs/>
          <w:color w:val="auto"/>
          <w:sz w:val="32"/>
          <w:szCs w:val="32"/>
          <w:highlight w:val="none"/>
        </w:rPr>
      </w:pPr>
    </w:p>
    <w:p w14:paraId="45744406">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p>
    <w:p w14:paraId="0724F98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04FF5FA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3E85F0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rPr>
        <w:t>单位：元</w:t>
      </w:r>
    </w:p>
    <w:tbl>
      <w:tblPr>
        <w:tblStyle w:val="60"/>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57"/>
        <w:gridCol w:w="1551"/>
        <w:gridCol w:w="1088"/>
        <w:gridCol w:w="1444"/>
        <w:gridCol w:w="1800"/>
        <w:gridCol w:w="669"/>
      </w:tblGrid>
      <w:tr w14:paraId="2888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1E61A92">
            <w:pPr>
              <w:widowControl/>
              <w:wordWrap w:val="0"/>
              <w:spacing w:line="360" w:lineRule="exact"/>
              <w:jc w:val="center"/>
              <w:textAlignment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bidi="ar"/>
              </w:rPr>
              <w:t>序号</w:t>
            </w:r>
          </w:p>
        </w:tc>
        <w:tc>
          <w:tcPr>
            <w:tcW w:w="1957" w:type="dxa"/>
            <w:tcBorders>
              <w:top w:val="single" w:color="auto" w:sz="4" w:space="0"/>
              <w:left w:val="single" w:color="auto" w:sz="4" w:space="0"/>
              <w:bottom w:val="single" w:color="auto" w:sz="4" w:space="0"/>
              <w:right w:val="single" w:color="auto" w:sz="4" w:space="0"/>
            </w:tcBorders>
            <w:vAlign w:val="center"/>
          </w:tcPr>
          <w:p w14:paraId="21944433">
            <w:pPr>
              <w:tabs>
                <w:tab w:val="left" w:pos="180"/>
                <w:tab w:val="left" w:pos="1620"/>
              </w:tabs>
              <w:spacing w:line="360" w:lineRule="exact"/>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服务名称</w:t>
            </w:r>
          </w:p>
        </w:tc>
        <w:tc>
          <w:tcPr>
            <w:tcW w:w="1551" w:type="dxa"/>
            <w:tcBorders>
              <w:top w:val="single" w:color="auto" w:sz="4" w:space="0"/>
              <w:left w:val="single" w:color="auto" w:sz="4" w:space="0"/>
              <w:bottom w:val="single" w:color="auto" w:sz="4" w:space="0"/>
              <w:right w:val="single" w:color="auto" w:sz="4" w:space="0"/>
            </w:tcBorders>
            <w:vAlign w:val="center"/>
          </w:tcPr>
          <w:p w14:paraId="3310284E">
            <w:pPr>
              <w:tabs>
                <w:tab w:val="left" w:pos="180"/>
                <w:tab w:val="left" w:pos="1620"/>
              </w:tabs>
              <w:spacing w:line="360" w:lineRule="exact"/>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学生人数（人）</w:t>
            </w:r>
          </w:p>
        </w:tc>
        <w:tc>
          <w:tcPr>
            <w:tcW w:w="1088" w:type="dxa"/>
            <w:tcBorders>
              <w:top w:val="single" w:color="auto" w:sz="4" w:space="0"/>
              <w:left w:val="single" w:color="auto" w:sz="4" w:space="0"/>
              <w:bottom w:val="single" w:color="auto" w:sz="4" w:space="0"/>
              <w:right w:val="single" w:color="auto" w:sz="4" w:space="0"/>
            </w:tcBorders>
            <w:vAlign w:val="center"/>
          </w:tcPr>
          <w:p w14:paraId="70E9F83C">
            <w:pPr>
              <w:tabs>
                <w:tab w:val="left" w:pos="180"/>
                <w:tab w:val="left" w:pos="1620"/>
              </w:tabs>
              <w:spacing w:line="360" w:lineRule="exact"/>
              <w:jc w:val="center"/>
              <w:rPr>
                <w:rFonts w:ascii="宋体" w:hAnsi="宋体" w:cs="宋体"/>
                <w:b w:val="0"/>
                <w:bCs w:val="0"/>
                <w:color w:val="auto"/>
                <w:kern w:val="0"/>
                <w:sz w:val="24"/>
                <w:szCs w:val="24"/>
                <w:highlight w:val="none"/>
                <w:lang w:bidi="ar"/>
              </w:rPr>
            </w:pPr>
            <w:r>
              <w:rPr>
                <w:rFonts w:hint="eastAsia" w:ascii="宋体" w:hAnsi="宋体" w:cs="宋体"/>
                <w:b w:val="0"/>
                <w:bCs w:val="0"/>
                <w:color w:val="auto"/>
                <w:sz w:val="24"/>
                <w:szCs w:val="24"/>
                <w:highlight w:val="none"/>
                <w:lang w:val="en-US" w:eastAsia="zh-CN"/>
              </w:rPr>
              <w:t>供餐天数（工作日）</w:t>
            </w:r>
          </w:p>
        </w:tc>
        <w:tc>
          <w:tcPr>
            <w:tcW w:w="1444" w:type="dxa"/>
            <w:tcBorders>
              <w:top w:val="single" w:color="auto" w:sz="4" w:space="0"/>
              <w:left w:val="single" w:color="auto" w:sz="4" w:space="0"/>
              <w:bottom w:val="single" w:color="auto" w:sz="4" w:space="0"/>
              <w:right w:val="single" w:color="auto" w:sz="4" w:space="0"/>
            </w:tcBorders>
            <w:vAlign w:val="center"/>
          </w:tcPr>
          <w:p w14:paraId="2827F72B">
            <w:pPr>
              <w:tabs>
                <w:tab w:val="left" w:pos="180"/>
                <w:tab w:val="left" w:pos="1620"/>
              </w:tabs>
              <w:spacing w:line="360" w:lineRule="exact"/>
              <w:jc w:val="center"/>
              <w:rPr>
                <w:rFonts w:ascii="宋体" w:hAnsi="宋体" w:cs="宋体"/>
                <w:b w:val="0"/>
                <w:bCs w:val="0"/>
                <w:color w:val="auto"/>
                <w:kern w:val="0"/>
                <w:sz w:val="24"/>
                <w:szCs w:val="24"/>
                <w:highlight w:val="none"/>
                <w:lang w:bidi="ar"/>
              </w:rPr>
            </w:pPr>
            <w:r>
              <w:rPr>
                <w:rFonts w:hint="eastAsia" w:ascii="宋体" w:hAnsi="宋体" w:cs="宋体"/>
                <w:b w:val="0"/>
                <w:bCs w:val="0"/>
                <w:color w:val="auto"/>
                <w:sz w:val="24"/>
                <w:szCs w:val="24"/>
                <w:highlight w:val="none"/>
                <w:lang w:val="en-US" w:eastAsia="zh-CN"/>
              </w:rPr>
              <w:t>每人每天餐费（元/天）</w:t>
            </w:r>
          </w:p>
        </w:tc>
        <w:tc>
          <w:tcPr>
            <w:tcW w:w="1800" w:type="dxa"/>
            <w:tcBorders>
              <w:top w:val="single" w:color="auto" w:sz="4" w:space="0"/>
              <w:left w:val="single" w:color="auto" w:sz="4" w:space="0"/>
              <w:bottom w:val="single" w:color="auto" w:sz="4" w:space="0"/>
              <w:right w:val="single" w:color="auto" w:sz="4" w:space="0"/>
            </w:tcBorders>
            <w:vAlign w:val="center"/>
          </w:tcPr>
          <w:p w14:paraId="4839FF92">
            <w:pPr>
              <w:pStyle w:val="31"/>
              <w:spacing w:line="360" w:lineRule="exact"/>
              <w:jc w:val="center"/>
              <w:rPr>
                <w:rFonts w:ascii="宋体" w:hAnsi="宋体" w:cs="宋体"/>
                <w:b w:val="0"/>
                <w:bCs w:val="0"/>
                <w:color w:val="auto"/>
                <w:kern w:val="0"/>
                <w:sz w:val="24"/>
                <w:szCs w:val="24"/>
                <w:highlight w:val="none"/>
                <w:lang w:bidi="ar"/>
              </w:rPr>
            </w:pPr>
            <w:r>
              <w:rPr>
                <w:rFonts w:hint="eastAsia" w:hAnsi="宋体" w:cs="宋体"/>
                <w:b w:val="0"/>
                <w:bCs w:val="0"/>
                <w:color w:val="auto"/>
                <w:sz w:val="24"/>
                <w:szCs w:val="24"/>
                <w:highlight w:val="none"/>
                <w:lang w:val="en-US" w:eastAsia="zh-CN"/>
              </w:rPr>
              <w:t>报价总金额（元）</w:t>
            </w:r>
          </w:p>
        </w:tc>
        <w:tc>
          <w:tcPr>
            <w:tcW w:w="669" w:type="dxa"/>
            <w:tcBorders>
              <w:top w:val="single" w:color="auto" w:sz="4" w:space="0"/>
              <w:left w:val="single" w:color="auto" w:sz="4" w:space="0"/>
              <w:bottom w:val="single" w:color="auto" w:sz="4" w:space="0"/>
              <w:right w:val="single" w:color="auto" w:sz="4" w:space="0"/>
            </w:tcBorders>
            <w:vAlign w:val="center"/>
          </w:tcPr>
          <w:p w14:paraId="3DD992D9">
            <w:pPr>
              <w:widowControl/>
              <w:wordWrap w:val="0"/>
              <w:spacing w:line="360" w:lineRule="exact"/>
              <w:jc w:val="center"/>
              <w:textAlignment w:val="center"/>
              <w:rPr>
                <w:rFonts w:ascii="宋体" w:hAnsi="宋体" w:cs="宋体"/>
                <w:b w:val="0"/>
                <w:bCs w:val="0"/>
                <w:color w:val="auto"/>
                <w:kern w:val="0"/>
                <w:sz w:val="24"/>
                <w:szCs w:val="24"/>
                <w:highlight w:val="none"/>
                <w:lang w:bidi="ar"/>
              </w:rPr>
            </w:pPr>
            <w:r>
              <w:rPr>
                <w:rFonts w:hint="eastAsia" w:ascii="宋体" w:hAnsi="宋体" w:cs="宋体"/>
                <w:b w:val="0"/>
                <w:bCs w:val="0"/>
                <w:color w:val="auto"/>
                <w:kern w:val="0"/>
                <w:sz w:val="24"/>
                <w:szCs w:val="24"/>
                <w:highlight w:val="none"/>
                <w:lang w:bidi="ar"/>
              </w:rPr>
              <w:t>备注</w:t>
            </w:r>
          </w:p>
        </w:tc>
      </w:tr>
      <w:tr w14:paraId="7970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A5F2437">
            <w:pPr>
              <w:widowControl/>
              <w:wordWrap w:val="0"/>
              <w:spacing w:line="360" w:lineRule="exact"/>
              <w:jc w:val="center"/>
              <w:textAlignment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bidi="ar"/>
              </w:rPr>
              <w:t>1</w:t>
            </w:r>
          </w:p>
        </w:tc>
        <w:tc>
          <w:tcPr>
            <w:tcW w:w="1957" w:type="dxa"/>
            <w:tcBorders>
              <w:top w:val="single" w:color="auto" w:sz="4" w:space="0"/>
              <w:left w:val="single" w:color="auto" w:sz="4" w:space="0"/>
              <w:bottom w:val="single" w:color="auto" w:sz="4" w:space="0"/>
              <w:right w:val="single" w:color="auto" w:sz="4" w:space="0"/>
            </w:tcBorders>
            <w:vAlign w:val="center"/>
          </w:tcPr>
          <w:p w14:paraId="33366298">
            <w:pPr>
              <w:widowControl/>
              <w:wordWrap w:val="0"/>
              <w:spacing w:line="360" w:lineRule="exact"/>
              <w:jc w:val="center"/>
              <w:textAlignment w:val="center"/>
              <w:rPr>
                <w:rFonts w:ascii="宋体" w:hAnsi="宋体" w:cs="宋体"/>
                <w:b w:val="0"/>
                <w:bCs w:val="0"/>
                <w:color w:val="auto"/>
                <w:kern w:val="0"/>
                <w:sz w:val="24"/>
                <w:szCs w:val="24"/>
                <w:highlight w:val="none"/>
                <w:lang w:bidi="ar"/>
              </w:rPr>
            </w:pPr>
            <w:r>
              <w:rPr>
                <w:rFonts w:hint="eastAsia" w:ascii="宋体" w:hAnsi="宋体" w:cs="宋体"/>
                <w:b w:val="0"/>
                <w:bCs w:val="0"/>
                <w:color w:val="auto"/>
                <w:kern w:val="0"/>
                <w:sz w:val="24"/>
                <w:szCs w:val="24"/>
                <w:highlight w:val="none"/>
                <w:lang w:eastAsia="zh-CN" w:bidi="ar"/>
              </w:rPr>
              <w:t>北海市涠洲实验学校2025-2026学年度营养餐配送服务</w:t>
            </w:r>
          </w:p>
        </w:tc>
        <w:tc>
          <w:tcPr>
            <w:tcW w:w="1551" w:type="dxa"/>
            <w:tcBorders>
              <w:top w:val="single" w:color="auto" w:sz="4" w:space="0"/>
              <w:left w:val="single" w:color="auto" w:sz="4" w:space="0"/>
              <w:bottom w:val="single" w:color="auto" w:sz="4" w:space="0"/>
              <w:right w:val="single" w:color="auto" w:sz="4" w:space="0"/>
            </w:tcBorders>
            <w:vAlign w:val="center"/>
          </w:tcPr>
          <w:p w14:paraId="652D2931">
            <w:pPr>
              <w:widowControl/>
              <w:wordWrap w:val="0"/>
              <w:spacing w:line="360" w:lineRule="exact"/>
              <w:jc w:val="center"/>
              <w:textAlignment w:val="center"/>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881</w:t>
            </w:r>
          </w:p>
        </w:tc>
        <w:tc>
          <w:tcPr>
            <w:tcW w:w="1088" w:type="dxa"/>
            <w:tcBorders>
              <w:top w:val="single" w:color="auto" w:sz="4" w:space="0"/>
              <w:left w:val="single" w:color="auto" w:sz="4" w:space="0"/>
              <w:bottom w:val="single" w:color="auto" w:sz="4" w:space="0"/>
              <w:right w:val="single" w:color="auto" w:sz="4" w:space="0"/>
            </w:tcBorders>
            <w:vAlign w:val="center"/>
          </w:tcPr>
          <w:p w14:paraId="6CDEE191">
            <w:pPr>
              <w:widowControl/>
              <w:wordWrap w:val="0"/>
              <w:spacing w:line="360" w:lineRule="exact"/>
              <w:jc w:val="center"/>
              <w:textAlignment w:val="center"/>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195</w:t>
            </w:r>
          </w:p>
        </w:tc>
        <w:tc>
          <w:tcPr>
            <w:tcW w:w="1444" w:type="dxa"/>
            <w:tcBorders>
              <w:top w:val="single" w:color="auto" w:sz="4" w:space="0"/>
              <w:left w:val="single" w:color="auto" w:sz="4" w:space="0"/>
              <w:bottom w:val="single" w:color="auto" w:sz="4" w:space="0"/>
              <w:right w:val="single" w:color="auto" w:sz="4" w:space="0"/>
            </w:tcBorders>
            <w:vAlign w:val="center"/>
          </w:tcPr>
          <w:p w14:paraId="6B3E2AF7">
            <w:pPr>
              <w:widowControl/>
              <w:wordWrap w:val="0"/>
              <w:spacing w:line="360" w:lineRule="exact"/>
              <w:jc w:val="center"/>
              <w:textAlignment w:val="center"/>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5.00</w:t>
            </w:r>
          </w:p>
        </w:tc>
        <w:tc>
          <w:tcPr>
            <w:tcW w:w="1800" w:type="dxa"/>
            <w:tcBorders>
              <w:top w:val="single" w:color="auto" w:sz="4" w:space="0"/>
              <w:left w:val="single" w:color="auto" w:sz="4" w:space="0"/>
              <w:bottom w:val="single" w:color="auto" w:sz="4" w:space="0"/>
              <w:right w:val="single" w:color="auto" w:sz="4" w:space="0"/>
            </w:tcBorders>
            <w:vAlign w:val="center"/>
          </w:tcPr>
          <w:p w14:paraId="2B03323F">
            <w:pPr>
              <w:wordWrap w:val="0"/>
              <w:spacing w:line="360" w:lineRule="exact"/>
              <w:jc w:val="center"/>
              <w:rPr>
                <w:rFonts w:ascii="宋体" w:hAnsi="宋体" w:cs="宋体"/>
                <w:b w:val="0"/>
                <w:bCs w:val="0"/>
                <w:color w:val="auto"/>
                <w:sz w:val="24"/>
                <w:szCs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1FA51450">
            <w:pPr>
              <w:wordWrap w:val="0"/>
              <w:spacing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采用固定单价报价</w:t>
            </w:r>
          </w:p>
        </w:tc>
      </w:tr>
      <w:tr w14:paraId="6931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66D5207A">
            <w:pPr>
              <w:wordWrap w:val="0"/>
              <w:spacing w:line="360" w:lineRule="exac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磋商总报价（人民币）：</w:t>
            </w:r>
            <w:r>
              <w:rPr>
                <w:rFonts w:hint="eastAsia" w:ascii="宋体" w:hAnsi="宋体" w:cs="宋体"/>
                <w:b w:val="0"/>
                <w:bCs w:val="0"/>
                <w:color w:val="auto"/>
                <w:sz w:val="24"/>
                <w:szCs w:val="24"/>
                <w:highlight w:val="none"/>
                <w:u w:val="single"/>
              </w:rPr>
              <w:t xml:space="preserve">（大写）                 （小写）             </w:t>
            </w:r>
          </w:p>
        </w:tc>
      </w:tr>
      <w:tr w14:paraId="2AD5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239E5759">
            <w:pPr>
              <w:wordWrap w:val="0"/>
              <w:spacing w:line="360" w:lineRule="exac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服务</w:t>
            </w:r>
            <w:r>
              <w:rPr>
                <w:rFonts w:hint="eastAsia" w:ascii="宋体" w:hAnsi="宋体" w:cs="宋体"/>
                <w:b w:val="0"/>
                <w:bCs w:val="0"/>
                <w:color w:val="auto"/>
                <w:sz w:val="24"/>
                <w:szCs w:val="24"/>
                <w:highlight w:val="none"/>
              </w:rPr>
              <w:t>期限：</w:t>
            </w:r>
          </w:p>
        </w:tc>
      </w:tr>
      <w:tr w14:paraId="44B4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02A22336">
            <w:pPr>
              <w:wordWrap w:val="0"/>
              <w:spacing w:line="360" w:lineRule="exact"/>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北海市涠洲实验学校范围内义务教育阶段学生881人，约195个工作日，本项目报价为固定每人每天5元，最终按实际供餐天数结算。</w:t>
            </w:r>
          </w:p>
        </w:tc>
      </w:tr>
    </w:tbl>
    <w:p w14:paraId="18223D1D">
      <w:pPr>
        <w:spacing w:line="400" w:lineRule="exact"/>
        <w:contextualSpacing/>
        <w:jc w:val="left"/>
        <w:rPr>
          <w:rFonts w:ascii="宋体" w:hAnsi="宋体" w:cs="仿宋_GB2312"/>
          <w:color w:val="auto"/>
          <w:szCs w:val="21"/>
          <w:highlight w:val="none"/>
        </w:rPr>
      </w:pPr>
      <w:r>
        <w:rPr>
          <w:rFonts w:hint="eastAsia" w:ascii="宋体" w:hAnsi="宋体" w:cs="仿宋_GB2312"/>
          <w:color w:val="auto"/>
          <w:szCs w:val="21"/>
          <w:highlight w:val="none"/>
        </w:rPr>
        <w:t xml:space="preserve">注： </w:t>
      </w:r>
    </w:p>
    <w:p w14:paraId="0D826671">
      <w:pPr>
        <w:spacing w:line="400" w:lineRule="exact"/>
        <w:ind w:firstLine="420" w:firstLineChars="200"/>
        <w:contextualSpacing/>
        <w:jc w:val="left"/>
        <w:rPr>
          <w:rFonts w:ascii="宋体" w:hAnsi="宋体" w:cs="仿宋_GB2312"/>
          <w:color w:val="auto"/>
          <w:szCs w:val="21"/>
          <w:highlight w:val="none"/>
        </w:rPr>
      </w:pPr>
      <w:r>
        <w:rPr>
          <w:rFonts w:hint="eastAsia" w:ascii="宋体" w:hAnsi="宋体" w:cs="仿宋_GB2312"/>
          <w:color w:val="auto"/>
          <w:szCs w:val="21"/>
          <w:highlight w:val="none"/>
        </w:rPr>
        <w:t>1. 供应商的报价表必须加盖供应商电子签章并由法定代表人或者委托代理人签字或者电子签名，</w:t>
      </w:r>
      <w:r>
        <w:rPr>
          <w:rFonts w:hint="eastAsia" w:ascii="宋体" w:hAnsi="宋体" w:cs="仿宋_GB2312"/>
          <w:b/>
          <w:color w:val="auto"/>
          <w:szCs w:val="21"/>
          <w:highlight w:val="none"/>
        </w:rPr>
        <w:t>否则其响应文件按无效处理</w:t>
      </w:r>
      <w:r>
        <w:rPr>
          <w:rFonts w:hint="eastAsia" w:ascii="宋体" w:hAnsi="宋体" w:cs="仿宋_GB2312"/>
          <w:color w:val="auto"/>
          <w:szCs w:val="21"/>
          <w:highlight w:val="none"/>
        </w:rPr>
        <w:t>。</w:t>
      </w:r>
    </w:p>
    <w:p w14:paraId="741869B1">
      <w:pPr>
        <w:spacing w:line="400" w:lineRule="exact"/>
        <w:ind w:firstLine="420" w:firstLineChars="200"/>
        <w:contextualSpacing/>
        <w:rPr>
          <w:rFonts w:ascii="宋体" w:hAnsi="宋体" w:cs="仿宋_GB2312"/>
          <w:b/>
          <w:color w:val="auto"/>
          <w:szCs w:val="21"/>
          <w:highlight w:val="none"/>
        </w:rPr>
      </w:pPr>
      <w:r>
        <w:rPr>
          <w:rFonts w:hint="eastAsia" w:ascii="宋体" w:hAnsi="宋体" w:cs="仿宋_GB2312"/>
          <w:bCs/>
          <w:color w:val="auto"/>
          <w:szCs w:val="21"/>
          <w:highlight w:val="none"/>
        </w:rPr>
        <w:t>2.</w:t>
      </w:r>
      <w:r>
        <w:rPr>
          <w:rFonts w:hint="eastAsia" w:ascii="宋体" w:hAnsi="宋体" w:cs="仿宋_GB2312"/>
          <w:color w:val="auto"/>
          <w:szCs w:val="21"/>
          <w:highlight w:val="none"/>
        </w:rPr>
        <w:t xml:space="preserve"> 报价一经涂改，应在涂改处加盖供应商公章或者加盖电子签章或者由法定代表人或者授权委托人签字</w:t>
      </w:r>
      <w:r>
        <w:rPr>
          <w:rFonts w:hint="eastAsia" w:ascii="宋体" w:hAnsi="宋体"/>
          <w:color w:val="auto"/>
          <w:szCs w:val="21"/>
          <w:highlight w:val="none"/>
        </w:rPr>
        <w:t>（或者电子签名）</w:t>
      </w:r>
      <w:r>
        <w:rPr>
          <w:rFonts w:hint="eastAsia" w:ascii="宋体" w:hAnsi="宋体" w:cs="仿宋_GB2312"/>
          <w:b/>
          <w:color w:val="auto"/>
          <w:szCs w:val="21"/>
          <w:highlight w:val="none"/>
        </w:rPr>
        <w:t>，否则其响应文件按无效处理。</w:t>
      </w:r>
    </w:p>
    <w:p w14:paraId="06287C63">
      <w:pPr>
        <w:spacing w:line="400" w:lineRule="exact"/>
        <w:ind w:firstLine="422" w:firstLineChars="200"/>
        <w:contextualSpacing/>
        <w:rPr>
          <w:rFonts w:ascii="宋体" w:hAnsi="宋体" w:cs="仿宋_GB2312"/>
          <w:b/>
          <w:color w:val="auto"/>
          <w:spacing w:val="-6"/>
          <w:szCs w:val="21"/>
          <w:highlight w:val="none"/>
        </w:rPr>
      </w:pPr>
      <w:r>
        <w:rPr>
          <w:rFonts w:hint="eastAsia" w:ascii="宋体" w:hAnsi="宋体" w:cs="仿宋_GB2312"/>
          <w:b/>
          <w:color w:val="auto"/>
          <w:szCs w:val="21"/>
          <w:highlight w:val="none"/>
        </w:rPr>
        <w:t>3.</w:t>
      </w:r>
      <w:r>
        <w:rPr>
          <w:rFonts w:hint="eastAsia" w:ascii="宋体" w:hAnsi="宋体" w:cs="仿宋_GB2312"/>
          <w:b/>
          <w:color w:val="auto"/>
          <w:szCs w:val="21"/>
          <w:highlight w:val="none"/>
          <w:lang w:val="en-US" w:eastAsia="zh-CN"/>
        </w:rPr>
        <w:t>本项目采用固定单价报价</w:t>
      </w:r>
      <w:r>
        <w:rPr>
          <w:rFonts w:hint="eastAsia" w:ascii="宋体" w:hAnsi="宋体" w:cs="仿宋_GB2312"/>
          <w:b/>
          <w:color w:val="auto"/>
          <w:szCs w:val="21"/>
          <w:highlight w:val="none"/>
        </w:rPr>
        <w:t>，磋商报价</w:t>
      </w:r>
      <w:r>
        <w:rPr>
          <w:rFonts w:hint="eastAsia" w:ascii="宋体" w:hAnsi="宋体" w:cs="仿宋_GB2312"/>
          <w:b/>
          <w:color w:val="auto"/>
          <w:szCs w:val="21"/>
          <w:highlight w:val="none"/>
          <w:lang w:val="en-US" w:eastAsia="zh-CN"/>
        </w:rPr>
        <w:t>统一为每人每天5元，不按要求报价的，</w:t>
      </w:r>
      <w:r>
        <w:rPr>
          <w:rFonts w:hint="eastAsia" w:ascii="宋体" w:hAnsi="宋体" w:cs="仿宋_GB2312"/>
          <w:b/>
          <w:color w:val="auto"/>
          <w:szCs w:val="21"/>
          <w:highlight w:val="none"/>
        </w:rPr>
        <w:t>按无效磋商处理。</w:t>
      </w:r>
    </w:p>
    <w:p w14:paraId="25EFAF9C">
      <w:pPr>
        <w:spacing w:line="360" w:lineRule="auto"/>
        <w:ind w:right="-817" w:rightChars="-389" w:firstLine="2640" w:firstLineChars="1100"/>
        <w:contextualSpacing/>
        <w:rPr>
          <w:rFonts w:ascii="宋体" w:hAnsi="宋体" w:cs="仿宋_GB2312"/>
          <w:color w:val="auto"/>
          <w:sz w:val="24"/>
          <w:highlight w:val="none"/>
        </w:rPr>
      </w:pPr>
    </w:p>
    <w:p w14:paraId="0A5682CD">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6658124F">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0AF9B200">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30DC0E50">
      <w:pPr>
        <w:spacing w:line="360" w:lineRule="auto"/>
        <w:ind w:right="420"/>
        <w:contextualSpacing/>
        <w:jc w:val="left"/>
        <w:rPr>
          <w:rFonts w:ascii="宋体" w:hAnsi="宋体"/>
          <w:b/>
          <w:color w:val="auto"/>
          <w:sz w:val="24"/>
          <w:szCs w:val="24"/>
          <w:highlight w:val="none"/>
        </w:rPr>
      </w:pPr>
      <w:r>
        <w:rPr>
          <w:rFonts w:ascii="宋体" w:hAnsi="宋体"/>
          <w:b/>
          <w:bCs/>
          <w:color w:val="auto"/>
          <w:sz w:val="32"/>
          <w:szCs w:val="32"/>
          <w:highlight w:val="none"/>
        </w:rPr>
        <w:br w:type="page"/>
      </w:r>
      <w:r>
        <w:rPr>
          <w:rFonts w:hint="eastAsia" w:ascii="宋体" w:hAnsi="宋体"/>
          <w:b/>
          <w:bCs/>
          <w:color w:val="auto"/>
          <w:sz w:val="24"/>
          <w:szCs w:val="24"/>
          <w:highlight w:val="none"/>
        </w:rPr>
        <w:t>三、</w:t>
      </w:r>
      <w:r>
        <w:rPr>
          <w:rFonts w:hint="eastAsia" w:ascii="宋体" w:hAnsi="宋体"/>
          <w:b/>
          <w:color w:val="auto"/>
          <w:sz w:val="24"/>
          <w:szCs w:val="24"/>
          <w:highlight w:val="none"/>
        </w:rPr>
        <w:t xml:space="preserve">商务技术文件格式 </w:t>
      </w:r>
    </w:p>
    <w:p w14:paraId="1F6A4E70">
      <w:pPr>
        <w:snapToGrid w:val="0"/>
        <w:spacing w:before="156" w:beforeLines="50" w:after="50" w:line="360" w:lineRule="auto"/>
        <w:jc w:val="left"/>
        <w:rPr>
          <w:rFonts w:ascii="宋体" w:hAnsi="宋体"/>
          <w:b/>
          <w:color w:val="auto"/>
          <w:sz w:val="24"/>
          <w:szCs w:val="24"/>
          <w:highlight w:val="none"/>
        </w:rPr>
      </w:pPr>
      <w:r>
        <w:rPr>
          <w:rFonts w:hint="eastAsia" w:ascii="宋体" w:hAnsi="宋体"/>
          <w:b/>
          <w:color w:val="auto"/>
          <w:sz w:val="24"/>
          <w:szCs w:val="24"/>
          <w:highlight w:val="none"/>
        </w:rPr>
        <w:t>1.商务技术文件封面格式</w:t>
      </w:r>
    </w:p>
    <w:p w14:paraId="146545AD">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37B0B463">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3F9094FD">
      <w:pPr>
        <w:snapToGrid w:val="0"/>
        <w:spacing w:before="156" w:beforeLines="50" w:after="50"/>
        <w:rPr>
          <w:rFonts w:ascii="宋体" w:hAnsi="宋体"/>
          <w:color w:val="auto"/>
          <w:sz w:val="24"/>
          <w:szCs w:val="20"/>
          <w:highlight w:val="none"/>
        </w:rPr>
      </w:pPr>
    </w:p>
    <w:p w14:paraId="2424DD08">
      <w:pPr>
        <w:snapToGrid w:val="0"/>
        <w:spacing w:before="156" w:beforeLines="50" w:after="50"/>
        <w:rPr>
          <w:rFonts w:ascii="宋体" w:hAnsi="宋体"/>
          <w:color w:val="auto"/>
          <w:sz w:val="24"/>
          <w:szCs w:val="20"/>
          <w:highlight w:val="none"/>
        </w:rPr>
      </w:pPr>
    </w:p>
    <w:p w14:paraId="3778AB63">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0011F0C">
      <w:pPr>
        <w:snapToGrid w:val="0"/>
        <w:spacing w:before="156" w:beforeLines="50" w:after="50"/>
        <w:rPr>
          <w:rFonts w:ascii="宋体" w:hAnsi="宋体"/>
          <w:bCs/>
          <w:color w:val="auto"/>
          <w:sz w:val="24"/>
          <w:szCs w:val="20"/>
          <w:highlight w:val="none"/>
        </w:rPr>
      </w:pPr>
    </w:p>
    <w:p w14:paraId="05DB2AF9">
      <w:pPr>
        <w:snapToGrid w:val="0"/>
        <w:spacing w:before="156" w:beforeLines="50" w:after="50"/>
        <w:rPr>
          <w:rFonts w:ascii="宋体" w:hAnsi="宋体"/>
          <w:bCs/>
          <w:color w:val="auto"/>
          <w:sz w:val="24"/>
          <w:szCs w:val="20"/>
          <w:highlight w:val="none"/>
        </w:rPr>
      </w:pPr>
    </w:p>
    <w:p w14:paraId="1B2F8BCD">
      <w:pPr>
        <w:snapToGrid w:val="0"/>
        <w:spacing w:before="156" w:beforeLines="50" w:after="50"/>
        <w:rPr>
          <w:rFonts w:ascii="宋体" w:hAnsi="宋体"/>
          <w:bCs/>
          <w:color w:val="auto"/>
          <w:sz w:val="24"/>
          <w:szCs w:val="20"/>
          <w:highlight w:val="none"/>
        </w:rPr>
      </w:pPr>
    </w:p>
    <w:p w14:paraId="4CE387A2">
      <w:pPr>
        <w:snapToGrid w:val="0"/>
        <w:spacing w:before="156" w:beforeLines="50" w:after="50"/>
        <w:rPr>
          <w:rFonts w:ascii="宋体" w:hAnsi="宋体"/>
          <w:bCs/>
          <w:color w:val="auto"/>
          <w:sz w:val="24"/>
          <w:szCs w:val="20"/>
          <w:highlight w:val="none"/>
        </w:rPr>
      </w:pPr>
    </w:p>
    <w:p w14:paraId="0474CF1A">
      <w:pPr>
        <w:snapToGrid w:val="0"/>
        <w:spacing w:before="156" w:beforeLines="50" w:after="50"/>
        <w:rPr>
          <w:rFonts w:ascii="宋体" w:hAnsi="宋体"/>
          <w:bCs/>
          <w:color w:val="auto"/>
          <w:sz w:val="24"/>
          <w:szCs w:val="20"/>
          <w:highlight w:val="none"/>
        </w:rPr>
      </w:pPr>
    </w:p>
    <w:p w14:paraId="6BA930B1">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7364C0F">
      <w:pPr>
        <w:snapToGrid w:val="0"/>
        <w:spacing w:before="156" w:beforeLines="50" w:after="50"/>
        <w:ind w:firstLine="720" w:firstLineChars="225"/>
        <w:rPr>
          <w:rFonts w:ascii="宋体" w:hAnsi="宋体" w:cs="仿宋_GB2312"/>
          <w:bCs/>
          <w:color w:val="auto"/>
          <w:sz w:val="32"/>
          <w:szCs w:val="32"/>
          <w:highlight w:val="none"/>
        </w:rPr>
      </w:pPr>
    </w:p>
    <w:p w14:paraId="3449D31C">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26DB764">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4EF2042">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29DD9E1">
      <w:pPr>
        <w:snapToGrid w:val="0"/>
        <w:spacing w:before="156" w:beforeLines="50" w:after="50"/>
        <w:ind w:firstLine="720" w:firstLineChars="225"/>
        <w:rPr>
          <w:rFonts w:ascii="宋体" w:hAnsi="宋体" w:cs="仿宋_GB2312"/>
          <w:bCs/>
          <w:color w:val="auto"/>
          <w:sz w:val="32"/>
          <w:szCs w:val="32"/>
          <w:highlight w:val="none"/>
        </w:rPr>
      </w:pPr>
    </w:p>
    <w:p w14:paraId="4DF7A39A">
      <w:pPr>
        <w:pStyle w:val="15"/>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B5192E1">
      <w:pPr>
        <w:pStyle w:val="15"/>
        <w:snapToGrid w:val="0"/>
        <w:spacing w:before="50" w:after="50"/>
        <w:ind w:firstLine="640" w:firstLineChars="200"/>
        <w:rPr>
          <w:rFonts w:ascii="宋体" w:hAnsi="宋体" w:cs="仿宋_GB2312"/>
          <w:bCs/>
          <w:color w:val="auto"/>
          <w:sz w:val="32"/>
          <w:szCs w:val="32"/>
          <w:highlight w:val="none"/>
        </w:rPr>
      </w:pPr>
    </w:p>
    <w:p w14:paraId="109B65DD">
      <w:pPr>
        <w:pStyle w:val="15"/>
        <w:snapToGrid w:val="0"/>
        <w:spacing w:before="50" w:after="50"/>
        <w:ind w:firstLine="720" w:firstLineChars="225"/>
        <w:rPr>
          <w:rFonts w:ascii="宋体" w:hAnsi="宋体" w:cs="仿宋_GB2312"/>
          <w:bCs/>
          <w:color w:val="auto"/>
          <w:sz w:val="32"/>
          <w:szCs w:val="32"/>
          <w:highlight w:val="none"/>
        </w:rPr>
      </w:pPr>
    </w:p>
    <w:p w14:paraId="55C53444">
      <w:pPr>
        <w:pStyle w:val="15"/>
        <w:snapToGrid w:val="0"/>
        <w:spacing w:before="50" w:after="50"/>
        <w:ind w:firstLine="0"/>
        <w:rPr>
          <w:rFonts w:ascii="宋体" w:hAnsi="宋体" w:cs="仿宋_GB2312"/>
          <w:bCs/>
          <w:color w:val="auto"/>
          <w:sz w:val="32"/>
          <w:szCs w:val="32"/>
          <w:highlight w:val="none"/>
        </w:rPr>
      </w:pPr>
    </w:p>
    <w:p w14:paraId="4B2EB165">
      <w:pPr>
        <w:pStyle w:val="15"/>
        <w:snapToGrid w:val="0"/>
        <w:spacing w:before="50" w:after="50"/>
        <w:ind w:firstLine="1280" w:firstLineChars="400"/>
        <w:rPr>
          <w:rFonts w:ascii="宋体" w:hAnsi="宋体" w:cs="仿宋_GB2312"/>
          <w:bCs/>
          <w:color w:val="auto"/>
          <w:sz w:val="32"/>
          <w:szCs w:val="32"/>
          <w:highlight w:val="none"/>
        </w:rPr>
      </w:pPr>
    </w:p>
    <w:p w14:paraId="0814D4E3">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520CBF9">
      <w:pPr>
        <w:snapToGrid w:val="0"/>
        <w:spacing w:before="156" w:beforeLines="50" w:after="50" w:line="360" w:lineRule="auto"/>
        <w:ind w:right="480" w:firstLine="240" w:firstLineChars="100"/>
        <w:jc w:val="left"/>
        <w:rPr>
          <w:rFonts w:ascii="宋体" w:hAnsi="宋体"/>
          <w:b/>
          <w:bCs/>
          <w:color w:val="auto"/>
          <w:sz w:val="24"/>
          <w:szCs w:val="24"/>
          <w:highlight w:val="none"/>
        </w:rPr>
      </w:pPr>
      <w:r>
        <w:rPr>
          <w:rFonts w:ascii="宋体" w:hAnsi="宋体"/>
          <w:color w:val="auto"/>
          <w:sz w:val="24"/>
          <w:highlight w:val="none"/>
        </w:rPr>
        <w:br w:type="page"/>
      </w:r>
      <w:r>
        <w:rPr>
          <w:rFonts w:hint="eastAsia" w:ascii="宋体" w:hAnsi="宋体"/>
          <w:b/>
          <w:bCs/>
          <w:color w:val="auto"/>
          <w:sz w:val="24"/>
          <w:szCs w:val="24"/>
          <w:highlight w:val="none"/>
        </w:rPr>
        <w:t>2.商务技术文件目录</w:t>
      </w:r>
    </w:p>
    <w:p w14:paraId="19BD3C7A">
      <w:pPr>
        <w:snapToGrid w:val="0"/>
        <w:spacing w:before="156" w:beforeLines="50" w:after="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根据磋商文件规定及供应商提供的材料自行编写目录（部分格式后附）。</w:t>
      </w:r>
    </w:p>
    <w:p w14:paraId="6FAB5868">
      <w:pPr>
        <w:spacing w:line="400" w:lineRule="exact"/>
        <w:rPr>
          <w:rFonts w:ascii="仿宋_GB2312" w:hAnsi="仿宋_GB2312" w:eastAsia="仿宋_GB2312" w:cs="仿宋_GB2312"/>
          <w:color w:val="auto"/>
          <w:sz w:val="32"/>
          <w:szCs w:val="32"/>
          <w:highlight w:val="none"/>
        </w:rPr>
      </w:pPr>
    </w:p>
    <w:p w14:paraId="591F461F">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bCs/>
          <w:color w:val="auto"/>
          <w:sz w:val="32"/>
          <w:szCs w:val="32"/>
          <w:highlight w:val="none"/>
        </w:rPr>
        <w:t>无串通竞标行为的承诺函（格式）</w:t>
      </w:r>
    </w:p>
    <w:p w14:paraId="7E010083">
      <w:pPr>
        <w:spacing w:line="360" w:lineRule="auto"/>
        <w:ind w:firstLine="640" w:firstLineChars="200"/>
        <w:contextualSpacing/>
        <w:rPr>
          <w:rFonts w:ascii="仿宋_GB2312" w:hAnsi="仿宋_GB2312" w:eastAsia="仿宋_GB2312" w:cs="仿宋_GB2312"/>
          <w:color w:val="auto"/>
          <w:sz w:val="32"/>
          <w:szCs w:val="32"/>
          <w:highlight w:val="none"/>
        </w:rPr>
      </w:pPr>
    </w:p>
    <w:p w14:paraId="1C0A463A">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r>
        <w:rPr>
          <w:rFonts w:hint="eastAsia" w:ascii="宋体" w:hAnsi="宋体" w:cs="仿宋_GB2312"/>
          <w:bCs/>
          <w:color w:val="auto"/>
          <w:sz w:val="24"/>
          <w:highlight w:val="none"/>
        </w:rPr>
        <w:t>：</w:t>
      </w:r>
    </w:p>
    <w:p w14:paraId="339DC71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8D4940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A39DD3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7198932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19E982C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31FB28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52EF21BA">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r>
        <w:rPr>
          <w:rFonts w:hint="eastAsia" w:ascii="宋体" w:hAnsi="宋体" w:cs="仿宋_GB2312"/>
          <w:bCs/>
          <w:color w:val="auto"/>
          <w:sz w:val="24"/>
          <w:highlight w:val="none"/>
        </w:rPr>
        <w:t>：</w:t>
      </w:r>
    </w:p>
    <w:p w14:paraId="4762260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449113B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D4C49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66EAA66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6CFAAC1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F32D0A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3094E4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2334246A">
      <w:pPr>
        <w:spacing w:line="360" w:lineRule="auto"/>
        <w:ind w:firstLine="480" w:firstLineChars="200"/>
        <w:contextualSpacing/>
        <w:rPr>
          <w:rFonts w:ascii="宋体" w:hAnsi="宋体" w:cs="仿宋_GB2312"/>
          <w:color w:val="auto"/>
          <w:sz w:val="24"/>
          <w:highlight w:val="none"/>
        </w:rPr>
      </w:pPr>
    </w:p>
    <w:p w14:paraId="5BF7255D">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1760A639">
      <w:pPr>
        <w:spacing w:line="360" w:lineRule="auto"/>
        <w:contextualSpacing/>
        <w:rPr>
          <w:rFonts w:ascii="宋体" w:hAnsi="宋体" w:cs="仿宋_GB2312"/>
          <w:color w:val="auto"/>
          <w:sz w:val="24"/>
          <w:highlight w:val="none"/>
        </w:rPr>
      </w:pPr>
    </w:p>
    <w:p w14:paraId="3CC12DEC">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537DF52A">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797E111C">
      <w:pPr>
        <w:spacing w:line="520" w:lineRule="exact"/>
        <w:jc w:val="center"/>
        <w:rPr>
          <w:rFonts w:hint="default" w:ascii="仿宋_GB2312" w:hAnsi="仿宋_GB2312" w:eastAsia="宋体" w:cs="仿宋_GB2312"/>
          <w:color w:val="auto"/>
          <w:sz w:val="32"/>
          <w:szCs w:val="32"/>
          <w:highlight w:val="none"/>
          <w:lang w:val="en-US" w:eastAsia="zh-CN"/>
        </w:rPr>
      </w:pPr>
      <w:r>
        <w:rPr>
          <w:rFonts w:hint="eastAsia" w:ascii="方正小标宋简体" w:hAnsi="方正小标宋简体" w:eastAsia="方正小标宋简体" w:cs="方正小标宋简体"/>
          <w:bCs/>
          <w:color w:val="auto"/>
          <w:sz w:val="44"/>
          <w:szCs w:val="44"/>
          <w:highlight w:val="none"/>
        </w:rPr>
        <w:br w:type="page"/>
      </w:r>
      <w:r>
        <w:rPr>
          <w:rFonts w:hint="eastAsia" w:ascii="宋体" w:hAnsi="宋体" w:eastAsia="宋体" w:cs="宋体"/>
          <w:b/>
          <w:bCs w:val="0"/>
          <w:color w:val="auto"/>
          <w:sz w:val="32"/>
          <w:szCs w:val="32"/>
          <w:highlight w:val="none"/>
        </w:rPr>
        <w:t>法定代表人证明书（格式）</w:t>
      </w:r>
    </w:p>
    <w:p w14:paraId="7E0DB236">
      <w:pPr>
        <w:spacing w:line="360" w:lineRule="auto"/>
        <w:ind w:left="540"/>
        <w:contextualSpacing/>
        <w:rPr>
          <w:rFonts w:ascii="仿宋_GB2312" w:hAnsi="仿宋_GB2312" w:eastAsia="仿宋_GB2312" w:cs="仿宋_GB2312"/>
          <w:color w:val="auto"/>
          <w:sz w:val="32"/>
          <w:szCs w:val="32"/>
          <w:highlight w:val="none"/>
        </w:rPr>
      </w:pPr>
    </w:p>
    <w:p w14:paraId="242A2C63">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5BCAFB4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7766A68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0FC232D">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139791A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7AB8F45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536B9F13">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0E507F1E">
      <w:pPr>
        <w:spacing w:line="360" w:lineRule="auto"/>
        <w:ind w:left="540"/>
        <w:contextualSpacing/>
        <w:rPr>
          <w:rFonts w:ascii="宋体" w:hAnsi="宋体" w:cs="仿宋_GB2312"/>
          <w:color w:val="auto"/>
          <w:sz w:val="24"/>
          <w:highlight w:val="none"/>
        </w:rPr>
      </w:pPr>
    </w:p>
    <w:p w14:paraId="26B7D44D">
      <w:pPr>
        <w:spacing w:line="360" w:lineRule="auto"/>
        <w:ind w:left="540"/>
        <w:contextualSpacing/>
        <w:rPr>
          <w:rFonts w:ascii="宋体" w:hAnsi="宋体" w:cs="仿宋_GB2312"/>
          <w:color w:val="auto"/>
          <w:sz w:val="24"/>
          <w:highlight w:val="none"/>
        </w:rPr>
      </w:pPr>
    </w:p>
    <w:p w14:paraId="58B46AB9">
      <w:pPr>
        <w:spacing w:line="360" w:lineRule="auto"/>
        <w:ind w:left="540"/>
        <w:contextualSpacing/>
        <w:rPr>
          <w:rFonts w:ascii="宋体" w:hAnsi="宋体" w:cs="仿宋_GB2312"/>
          <w:color w:val="auto"/>
          <w:sz w:val="24"/>
          <w:highlight w:val="none"/>
        </w:rPr>
      </w:pPr>
    </w:p>
    <w:p w14:paraId="1614AAAE">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7886032">
      <w:pPr>
        <w:spacing w:line="360" w:lineRule="auto"/>
        <w:ind w:left="540"/>
        <w:contextualSpacing/>
        <w:rPr>
          <w:rFonts w:ascii="宋体" w:hAnsi="宋体" w:cs="仿宋_GB2312"/>
          <w:color w:val="auto"/>
          <w:sz w:val="24"/>
          <w:highlight w:val="none"/>
        </w:rPr>
      </w:pPr>
    </w:p>
    <w:p w14:paraId="7CF769A7">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2D0DD17F">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E993C4A">
      <w:pPr>
        <w:spacing w:line="360" w:lineRule="auto"/>
        <w:contextualSpacing/>
        <w:jc w:val="center"/>
        <w:rPr>
          <w:rFonts w:ascii="宋体" w:hAnsi="宋体" w:cs="仿宋_GB2312"/>
          <w:b/>
          <w:color w:val="auto"/>
          <w:sz w:val="24"/>
          <w:highlight w:val="none"/>
        </w:rPr>
      </w:pPr>
    </w:p>
    <w:p w14:paraId="36B2739A">
      <w:pPr>
        <w:spacing w:line="360" w:lineRule="auto"/>
        <w:contextualSpacing/>
        <w:jc w:val="left"/>
        <w:rPr>
          <w:rFonts w:ascii="宋体" w:hAnsi="宋体" w:cs="仿宋_GB2312"/>
          <w:color w:val="auto"/>
          <w:sz w:val="24"/>
          <w:highlight w:val="none"/>
        </w:rPr>
      </w:pPr>
    </w:p>
    <w:p w14:paraId="056E0D9E">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FEE1CA8">
      <w:pPr>
        <w:adjustRightInd w:val="0"/>
        <w:snapToGrid w:val="0"/>
        <w:spacing w:line="300" w:lineRule="auto"/>
        <w:jc w:val="left"/>
        <w:rPr>
          <w:rFonts w:ascii="宋体" w:hAnsi="宋体"/>
          <w:b/>
          <w:color w:val="auto"/>
          <w:szCs w:val="21"/>
          <w:highlight w:val="none"/>
        </w:rPr>
      </w:pPr>
    </w:p>
    <w:p w14:paraId="72CFB2FA">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654D5F9D">
      <w:pPr>
        <w:spacing w:line="520" w:lineRule="exact"/>
        <w:jc w:val="center"/>
        <w:rPr>
          <w:rFonts w:hint="default" w:ascii="宋体" w:hAnsi="宋体" w:eastAsia="宋体" w:cs="宋体"/>
          <w:b/>
          <w:bCs/>
          <w:color w:val="auto"/>
          <w:sz w:val="32"/>
          <w:szCs w:val="32"/>
          <w:highlight w:val="none"/>
          <w:lang w:val="en-US" w:eastAsia="zh-CN"/>
        </w:rPr>
      </w:pPr>
      <w:bookmarkStart w:id="63" w:name="_Hlk65853643"/>
      <w:r>
        <w:rPr>
          <w:rFonts w:hint="eastAsia" w:ascii="宋体" w:hAnsi="宋体" w:eastAsia="宋体" w:cs="宋体"/>
          <w:b/>
          <w:bCs/>
          <w:color w:val="auto"/>
          <w:sz w:val="32"/>
          <w:szCs w:val="32"/>
          <w:highlight w:val="none"/>
        </w:rPr>
        <w:t>授权委托书（格式）</w:t>
      </w:r>
    </w:p>
    <w:p w14:paraId="3247DA99">
      <w:pPr>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（如有委托时）</w:t>
      </w:r>
    </w:p>
    <w:p w14:paraId="340B6B7E">
      <w:pPr>
        <w:spacing w:line="520" w:lineRule="exact"/>
        <w:rPr>
          <w:rFonts w:ascii="仿宋_GB2312" w:hAnsi="仿宋_GB2312" w:eastAsia="仿宋_GB2312" w:cs="仿宋_GB2312"/>
          <w:color w:val="auto"/>
          <w:sz w:val="32"/>
          <w:szCs w:val="32"/>
          <w:highlight w:val="none"/>
        </w:rPr>
      </w:pPr>
    </w:p>
    <w:p w14:paraId="23DD35ED">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C465BF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327DA1CF">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6CAD0D2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52A536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4518B5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64D1E219">
      <w:pPr>
        <w:spacing w:line="360" w:lineRule="auto"/>
        <w:rPr>
          <w:rFonts w:ascii="宋体" w:hAnsi="宋体" w:cs="仿宋_GB2312"/>
          <w:color w:val="auto"/>
          <w:sz w:val="24"/>
          <w:highlight w:val="none"/>
        </w:rPr>
      </w:pPr>
    </w:p>
    <w:p w14:paraId="1B410217">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682DAEF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457DBBE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03601E0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0B34810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2C9C64B7">
      <w:pPr>
        <w:spacing w:line="360" w:lineRule="auto"/>
        <w:rPr>
          <w:rFonts w:ascii="宋体" w:hAnsi="宋体" w:cs="仿宋_GB2312"/>
          <w:color w:val="auto"/>
          <w:sz w:val="24"/>
          <w:highlight w:val="none"/>
        </w:rPr>
      </w:pPr>
    </w:p>
    <w:p w14:paraId="3ACF42B2">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74C78EAD">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64" w:name="_Hlk65853109"/>
      <w:bookmarkStart w:id="65" w:name="_Hlk65853542"/>
      <w:r>
        <w:rPr>
          <w:rFonts w:hint="eastAsia" w:ascii="宋体" w:hAnsi="宋体" w:cs="仿宋_GB2312"/>
          <w:color w:val="auto"/>
          <w:sz w:val="24"/>
          <w:highlight w:val="none"/>
        </w:rPr>
        <w:t>法人、其他组织竞标时“我方”是指“我单位”，自然人竞标时“我方”是指“本人”。</w:t>
      </w:r>
      <w:bookmarkEnd w:id="64"/>
    </w:p>
    <w:bookmarkEnd w:id="65"/>
    <w:p w14:paraId="59FD5393">
      <w:pPr>
        <w:spacing w:line="360" w:lineRule="auto"/>
        <w:ind w:firstLine="420" w:firstLineChars="200"/>
        <w:jc w:val="left"/>
        <w:rPr>
          <w:rFonts w:ascii="仿宋_GB2312" w:hAnsi="仿宋_GB2312" w:eastAsia="仿宋_GB2312" w:cs="仿宋_GB2312"/>
          <w:color w:val="auto"/>
          <w:szCs w:val="21"/>
          <w:highlight w:val="none"/>
        </w:rPr>
      </w:pPr>
    </w:p>
    <w:p w14:paraId="7BCBA562">
      <w:pPr>
        <w:spacing w:line="360" w:lineRule="auto"/>
        <w:ind w:firstLine="420" w:firstLineChars="200"/>
        <w:jc w:val="left"/>
        <w:rPr>
          <w:rFonts w:ascii="宋体" w:hAnsi="宋体" w:cs="仿宋_GB2312"/>
          <w:color w:val="auto"/>
          <w:spacing w:val="-11"/>
          <w:sz w:val="24"/>
          <w:highlight w:val="none"/>
        </w:rPr>
      </w:pPr>
      <w:r>
        <w:rPr>
          <w:rFonts w:ascii="仿宋_GB2312" w:hAnsi="仿宋_GB2312" w:eastAsia="仿宋_GB2312" w:cs="仿宋_GB2312"/>
          <w:color w:val="auto"/>
          <w:szCs w:val="21"/>
          <w:highlight w:val="none"/>
        </w:rPr>
        <w:br w:type="page"/>
      </w:r>
    </w:p>
    <w:bookmarkEnd w:id="63"/>
    <w:p w14:paraId="75C47174">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商务要求偏离表（格式）</w:t>
      </w:r>
    </w:p>
    <w:p w14:paraId="4ECE4D26">
      <w:pPr>
        <w:spacing w:line="50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（注：按采购需求具体条款修改）</w:t>
      </w:r>
    </w:p>
    <w:p w14:paraId="15A4E1DD">
      <w:pPr>
        <w:spacing w:line="360" w:lineRule="auto"/>
        <w:contextualSpacing/>
        <w:jc w:val="left"/>
        <w:rPr>
          <w:rFonts w:ascii="宋体" w:hAnsi="宋体"/>
          <w:color w:val="auto"/>
          <w:sz w:val="24"/>
          <w:highlight w:val="none"/>
        </w:rPr>
      </w:pPr>
    </w:p>
    <w:p w14:paraId="7CF217AA">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392716A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06B36D40">
      <w:pPr>
        <w:spacing w:line="360" w:lineRule="auto"/>
        <w:contextualSpacing/>
        <w:jc w:val="left"/>
        <w:rPr>
          <w:rFonts w:ascii="宋体" w:hAnsi="宋体" w:cs="仿宋_GB2312"/>
          <w:color w:val="auto"/>
          <w:sz w:val="24"/>
          <w:highlight w:val="none"/>
          <w:u w:val="single"/>
        </w:rPr>
      </w:pPr>
    </w:p>
    <w:tbl>
      <w:tblPr>
        <w:tblStyle w:val="60"/>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2525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178" w:type="dxa"/>
            <w:tcBorders>
              <w:top w:val="single" w:color="auto" w:sz="4" w:space="0"/>
              <w:left w:val="single" w:color="auto" w:sz="4" w:space="0"/>
              <w:bottom w:val="single" w:color="auto" w:sz="4" w:space="0"/>
              <w:right w:val="single" w:color="auto" w:sz="4" w:space="0"/>
            </w:tcBorders>
            <w:vAlign w:val="center"/>
          </w:tcPr>
          <w:p w14:paraId="3FA0260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ED2398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18214C5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1251E07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75669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8" w:type="dxa"/>
            <w:tcBorders>
              <w:top w:val="single" w:color="auto" w:sz="4" w:space="0"/>
              <w:left w:val="single" w:color="auto" w:sz="4" w:space="0"/>
              <w:bottom w:val="single" w:color="auto" w:sz="4" w:space="0"/>
              <w:right w:val="single" w:color="auto" w:sz="4" w:space="0"/>
            </w:tcBorders>
            <w:vAlign w:val="center"/>
          </w:tcPr>
          <w:p w14:paraId="2AB34A14">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D271D63">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98E2A2A">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2D7280F">
            <w:pPr>
              <w:spacing w:line="360" w:lineRule="auto"/>
              <w:contextualSpacing/>
              <w:jc w:val="center"/>
              <w:rPr>
                <w:rFonts w:ascii="宋体" w:hAnsi="宋体" w:cs="仿宋_GB2312"/>
                <w:color w:val="auto"/>
                <w:sz w:val="24"/>
                <w:highlight w:val="none"/>
              </w:rPr>
            </w:pPr>
          </w:p>
        </w:tc>
      </w:tr>
      <w:tr w14:paraId="08993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178" w:type="dxa"/>
            <w:tcBorders>
              <w:top w:val="single" w:color="auto" w:sz="4" w:space="0"/>
              <w:left w:val="single" w:color="auto" w:sz="4" w:space="0"/>
              <w:bottom w:val="single" w:color="auto" w:sz="4" w:space="0"/>
              <w:right w:val="single" w:color="auto" w:sz="4" w:space="0"/>
            </w:tcBorders>
            <w:vAlign w:val="center"/>
          </w:tcPr>
          <w:p w14:paraId="0767AFC9">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9040CAD">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E7DE62D">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1D99198">
            <w:pPr>
              <w:spacing w:line="360" w:lineRule="auto"/>
              <w:ind w:left="43"/>
              <w:contextualSpacing/>
              <w:jc w:val="center"/>
              <w:rPr>
                <w:rFonts w:ascii="宋体" w:hAnsi="宋体" w:cs="仿宋_GB2312"/>
                <w:color w:val="auto"/>
                <w:sz w:val="24"/>
                <w:highlight w:val="none"/>
              </w:rPr>
            </w:pPr>
          </w:p>
        </w:tc>
      </w:tr>
      <w:tr w14:paraId="23875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178" w:type="dxa"/>
            <w:tcBorders>
              <w:top w:val="single" w:color="auto" w:sz="4" w:space="0"/>
              <w:left w:val="single" w:color="auto" w:sz="4" w:space="0"/>
              <w:bottom w:val="single" w:color="auto" w:sz="4" w:space="0"/>
              <w:right w:val="single" w:color="auto" w:sz="4" w:space="0"/>
            </w:tcBorders>
            <w:vAlign w:val="center"/>
          </w:tcPr>
          <w:p w14:paraId="0AB315EC">
            <w:pPr>
              <w:spacing w:line="360" w:lineRule="auto"/>
              <w:contextualSpacing/>
              <w:jc w:val="center"/>
              <w:rPr>
                <w:rFonts w:ascii="宋体" w:hAnsi="宋体" w:cs="仿宋_GB2312"/>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E659A80">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9E73D74">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85AF58E">
            <w:pPr>
              <w:spacing w:line="360" w:lineRule="auto"/>
              <w:contextualSpacing/>
              <w:jc w:val="center"/>
              <w:rPr>
                <w:rFonts w:ascii="宋体" w:hAnsi="宋体" w:cs="仿宋_GB2312"/>
                <w:color w:val="auto"/>
                <w:sz w:val="24"/>
                <w:highlight w:val="none"/>
              </w:rPr>
            </w:pPr>
          </w:p>
        </w:tc>
      </w:tr>
    </w:tbl>
    <w:p w14:paraId="47DFA415">
      <w:pPr>
        <w:pStyle w:val="21"/>
        <w:spacing w:after="0" w:line="360" w:lineRule="auto"/>
        <w:contextualSpacing/>
        <w:jc w:val="both"/>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14:paraId="21234B01">
      <w:pPr>
        <w:pStyle w:val="21"/>
        <w:spacing w:after="0" w:line="360" w:lineRule="auto"/>
        <w:ind w:firstLine="420" w:firstLineChars="200"/>
        <w:contextualSpacing/>
        <w:jc w:val="both"/>
        <w:rPr>
          <w:rFonts w:ascii="宋体" w:hAnsi="宋体"/>
          <w:color w:val="auto"/>
          <w:kern w:val="0"/>
          <w:sz w:val="21"/>
          <w:szCs w:val="21"/>
          <w:highlight w:val="none"/>
        </w:rPr>
      </w:pPr>
      <w:r>
        <w:rPr>
          <w:rFonts w:hint="eastAsia" w:ascii="宋体" w:hAnsi="宋体"/>
          <w:color w:val="auto"/>
          <w:kern w:val="0"/>
          <w:sz w:val="21"/>
          <w:szCs w:val="21"/>
          <w:highlight w:val="none"/>
        </w:rPr>
        <w:t>1. 说明：应对照磋商文件“第三章 采购需求”中的“商务要求”逐条作出明确响应，并作出偏离说明。</w:t>
      </w:r>
    </w:p>
    <w:p w14:paraId="3FB96BD7">
      <w:pPr>
        <w:spacing w:line="360" w:lineRule="auto"/>
        <w:ind w:firstLine="420" w:firstLineChars="200"/>
        <w:contextualSpacing/>
        <w:jc w:val="left"/>
        <w:rPr>
          <w:rFonts w:ascii="宋体" w:hAnsi="宋体" w:cs="仿宋_GB2312"/>
          <w:color w:val="auto"/>
          <w:sz w:val="21"/>
          <w:szCs w:val="21"/>
          <w:highlight w:val="none"/>
          <w:u w:val="single"/>
        </w:rPr>
      </w:pPr>
      <w:r>
        <w:rPr>
          <w:rFonts w:hint="eastAsia" w:ascii="宋体" w:hAnsi="宋体"/>
          <w:color w:val="auto"/>
          <w:kern w:val="0"/>
          <w:sz w:val="21"/>
          <w:szCs w:val="21"/>
          <w:highlight w:val="none"/>
        </w:rPr>
        <w:t>2.供应商应根据自身的承诺，对照磋商文件要求在“偏离说明”中注明“正偏离”、“负偏离”或者“无偏离”。既不属于“正偏离”也不属于“负偏离”即为“无偏离”。</w:t>
      </w:r>
    </w:p>
    <w:p w14:paraId="3A59E9F4">
      <w:pPr>
        <w:spacing w:line="360" w:lineRule="auto"/>
        <w:ind w:right="-817" w:rightChars="-389"/>
        <w:contextualSpacing/>
        <w:rPr>
          <w:rFonts w:ascii="宋体" w:hAnsi="宋体" w:cs="仿宋_GB2312"/>
          <w:color w:val="auto"/>
          <w:sz w:val="24"/>
          <w:highlight w:val="none"/>
        </w:rPr>
      </w:pPr>
    </w:p>
    <w:p w14:paraId="5D5E529E">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953EEA4">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8605FD2">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2B5A1833">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FAD2395">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43374DF4">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19CC882">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2D5F487">
      <w:pPr>
        <w:adjustRightInd w:val="0"/>
        <w:snapToGrid w:val="0"/>
        <w:spacing w:line="520" w:lineRule="exact"/>
        <w:rPr>
          <w:rFonts w:ascii="宋体" w:hAnsi="宋体"/>
          <w:color w:val="auto"/>
          <w:szCs w:val="21"/>
          <w:highlight w:val="none"/>
          <w:u w:val="single"/>
        </w:rPr>
      </w:pPr>
    </w:p>
    <w:p w14:paraId="45BFE7EB">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6C4C6B7A">
      <w:pPr>
        <w:adjustRightInd w:val="0"/>
        <w:snapToGrid w:val="0"/>
        <w:spacing w:line="300" w:lineRule="auto"/>
        <w:jc w:val="center"/>
        <w:rPr>
          <w:rFonts w:hint="default"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技术要求偏离表（格式）</w:t>
      </w:r>
    </w:p>
    <w:p w14:paraId="3F18405F">
      <w:pPr>
        <w:spacing w:line="50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（注：按采购需求具体条款修改）</w:t>
      </w:r>
    </w:p>
    <w:p w14:paraId="69989C92">
      <w:pPr>
        <w:bidi w:val="0"/>
        <w:rPr>
          <w:rFonts w:hint="eastAsia"/>
          <w:color w:val="auto"/>
          <w:highlight w:val="none"/>
        </w:rPr>
      </w:pPr>
    </w:p>
    <w:p w14:paraId="3A36C0A8">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2912640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577C03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144600A">
            <w:pPr>
              <w:pStyle w:val="23"/>
              <w:spacing w:line="360" w:lineRule="auto"/>
              <w:ind w:firstLine="0" w:firstLineChars="0"/>
              <w:contextualSpacing/>
              <w:jc w:val="center"/>
              <w:rPr>
                <w:rFonts w:ascii="宋体" w:hAnsi="宋体" w:eastAsia="宋体" w:cs="仿宋_GB2312"/>
                <w:color w:val="auto"/>
                <w:kern w:val="2"/>
                <w:sz w:val="24"/>
                <w:szCs w:val="24"/>
                <w:highlight w:val="none"/>
              </w:rPr>
            </w:pPr>
            <w:bookmarkStart w:id="66" w:name="_Toc373333689"/>
            <w:bookmarkStart w:id="67" w:name="_Toc173211900"/>
            <w:bookmarkStart w:id="68" w:name="_Toc383699906"/>
            <w:bookmarkStart w:id="69" w:name="_Toc254970588"/>
            <w:bookmarkStart w:id="70" w:name="_Toc254970729"/>
            <w:bookmarkStart w:id="71" w:name="_Toc297193185"/>
            <w:bookmarkStart w:id="72" w:name="_Toc301781611"/>
            <w:bookmarkStart w:id="73" w:name="_Toc173066401"/>
            <w:bookmarkStart w:id="74" w:name="_Toc295404981"/>
            <w:r>
              <w:rPr>
                <w:rFonts w:hint="eastAsia" w:ascii="宋体" w:hAnsi="宋体" w:eastAsia="宋体" w:cs="仿宋_GB2312"/>
                <w:color w:val="auto"/>
                <w:kern w:val="2"/>
                <w:sz w:val="24"/>
                <w:szCs w:val="24"/>
                <w:highlight w:val="none"/>
              </w:rPr>
              <w:t>序号</w:t>
            </w:r>
            <w:bookmarkEnd w:id="66"/>
            <w:bookmarkEnd w:id="67"/>
            <w:bookmarkEnd w:id="68"/>
            <w:bookmarkEnd w:id="69"/>
            <w:bookmarkEnd w:id="70"/>
            <w:bookmarkEnd w:id="71"/>
            <w:bookmarkEnd w:id="72"/>
            <w:bookmarkEnd w:id="73"/>
            <w:bookmarkEnd w:id="74"/>
          </w:p>
        </w:tc>
        <w:tc>
          <w:tcPr>
            <w:tcW w:w="915" w:type="dxa"/>
            <w:tcBorders>
              <w:right w:val="single" w:color="auto" w:sz="4" w:space="0"/>
            </w:tcBorders>
            <w:vAlign w:val="center"/>
          </w:tcPr>
          <w:p w14:paraId="156B5081">
            <w:pPr>
              <w:pStyle w:val="23"/>
              <w:spacing w:line="360" w:lineRule="auto"/>
              <w:ind w:firstLine="0" w:firstLineChars="0"/>
              <w:contextualSpacing/>
              <w:jc w:val="center"/>
              <w:rPr>
                <w:rFonts w:hint="default" w:ascii="宋体" w:hAnsi="宋体" w:eastAsia="宋体" w:cs="仿宋_GB2312"/>
                <w:color w:val="auto"/>
                <w:kern w:val="2"/>
                <w:sz w:val="24"/>
                <w:szCs w:val="24"/>
                <w:highlight w:val="none"/>
                <w:lang w:val="en-US" w:eastAsia="zh-CN"/>
              </w:rPr>
            </w:pPr>
            <w:r>
              <w:rPr>
                <w:rFonts w:hint="eastAsia" w:cs="仿宋_GB2312"/>
                <w:color w:val="auto"/>
                <w:kern w:val="2"/>
                <w:sz w:val="24"/>
                <w:szCs w:val="24"/>
                <w:highlight w:val="none"/>
                <w:lang w:val="en-US" w:eastAsia="zh-CN"/>
              </w:rPr>
              <w:t>项目</w:t>
            </w:r>
          </w:p>
        </w:tc>
        <w:tc>
          <w:tcPr>
            <w:tcW w:w="3038" w:type="dxa"/>
            <w:tcBorders>
              <w:left w:val="single" w:color="auto" w:sz="4" w:space="0"/>
            </w:tcBorders>
            <w:vAlign w:val="center"/>
          </w:tcPr>
          <w:p w14:paraId="33245C73">
            <w:pPr>
              <w:pStyle w:val="23"/>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4" w:type="dxa"/>
            <w:vAlign w:val="center"/>
          </w:tcPr>
          <w:p w14:paraId="11BF5492">
            <w:pPr>
              <w:pStyle w:val="23"/>
              <w:spacing w:line="360" w:lineRule="auto"/>
              <w:ind w:firstLine="0" w:firstLineChars="0"/>
              <w:contextualSpacing/>
              <w:jc w:val="center"/>
              <w:rPr>
                <w:rFonts w:ascii="宋体" w:hAnsi="宋体" w:eastAsia="宋体" w:cs="仿宋_GB2312"/>
                <w:color w:val="auto"/>
                <w:kern w:val="2"/>
                <w:sz w:val="24"/>
                <w:szCs w:val="24"/>
                <w:highlight w:val="none"/>
              </w:rPr>
            </w:pPr>
            <w:bookmarkStart w:id="75" w:name="_Toc295404983"/>
            <w:bookmarkStart w:id="76" w:name="_Toc173211902"/>
            <w:bookmarkStart w:id="77" w:name="_Toc254970731"/>
            <w:bookmarkStart w:id="78" w:name="_Toc373333691"/>
            <w:bookmarkStart w:id="79" w:name="_Toc301781613"/>
            <w:bookmarkStart w:id="80" w:name="_Toc383699908"/>
            <w:bookmarkStart w:id="81" w:name="_Toc297193187"/>
            <w:bookmarkStart w:id="82" w:name="_Toc254970590"/>
            <w:bookmarkStart w:id="83" w:name="_Toc173066403"/>
            <w:r>
              <w:rPr>
                <w:rFonts w:hint="eastAsia" w:cs="仿宋_GB2312"/>
                <w:color w:val="auto"/>
                <w:kern w:val="2"/>
                <w:sz w:val="24"/>
                <w:szCs w:val="24"/>
                <w:highlight w:val="none"/>
                <w:lang w:val="en-US" w:eastAsia="zh-CN"/>
              </w:rPr>
              <w:t>供应商的</w:t>
            </w:r>
            <w:r>
              <w:rPr>
                <w:rFonts w:hint="eastAsia" w:ascii="宋体" w:hAnsi="宋体" w:eastAsia="宋体" w:cs="仿宋_GB2312"/>
                <w:color w:val="auto"/>
                <w:kern w:val="2"/>
                <w:sz w:val="24"/>
                <w:szCs w:val="24"/>
                <w:highlight w:val="none"/>
              </w:rPr>
              <w:t>响应</w:t>
            </w:r>
            <w:bookmarkEnd w:id="75"/>
            <w:bookmarkEnd w:id="76"/>
            <w:bookmarkEnd w:id="77"/>
            <w:bookmarkEnd w:id="78"/>
            <w:bookmarkEnd w:id="79"/>
            <w:bookmarkEnd w:id="80"/>
            <w:bookmarkEnd w:id="81"/>
            <w:bookmarkEnd w:id="82"/>
            <w:bookmarkEnd w:id="83"/>
          </w:p>
        </w:tc>
        <w:tc>
          <w:tcPr>
            <w:tcW w:w="1492" w:type="dxa"/>
            <w:vAlign w:val="center"/>
          </w:tcPr>
          <w:p w14:paraId="7B7EB396">
            <w:pPr>
              <w:pStyle w:val="23"/>
              <w:spacing w:line="360" w:lineRule="auto"/>
              <w:ind w:firstLine="0" w:firstLineChars="0"/>
              <w:contextualSpacing/>
              <w:jc w:val="center"/>
              <w:rPr>
                <w:rFonts w:ascii="宋体" w:hAnsi="宋体" w:eastAsia="宋体" w:cs="仿宋_GB2312"/>
                <w:color w:val="auto"/>
                <w:kern w:val="2"/>
                <w:sz w:val="24"/>
                <w:szCs w:val="24"/>
                <w:highlight w:val="none"/>
              </w:rPr>
            </w:pPr>
            <w:bookmarkStart w:id="84" w:name="_Toc254970591"/>
            <w:bookmarkStart w:id="85" w:name="_Toc254970732"/>
            <w:bookmarkStart w:id="86" w:name="_Toc383699909"/>
            <w:bookmarkStart w:id="87" w:name="_Toc295404984"/>
            <w:bookmarkStart w:id="88" w:name="_Toc301781614"/>
            <w:bookmarkStart w:id="89" w:name="_Toc173211903"/>
            <w:bookmarkStart w:id="90" w:name="_Toc173066404"/>
            <w:bookmarkStart w:id="91" w:name="_Toc297193188"/>
            <w:bookmarkStart w:id="92" w:name="_Toc373333692"/>
            <w:r>
              <w:rPr>
                <w:rFonts w:hint="eastAsia" w:ascii="宋体" w:hAnsi="宋体" w:eastAsia="宋体" w:cs="仿宋_GB2312"/>
                <w:color w:val="auto"/>
                <w:kern w:val="2"/>
                <w:sz w:val="24"/>
                <w:szCs w:val="24"/>
                <w:highlight w:val="none"/>
              </w:rPr>
              <w:t>偏离</w:t>
            </w:r>
            <w:bookmarkEnd w:id="84"/>
            <w:bookmarkEnd w:id="85"/>
            <w:bookmarkEnd w:id="86"/>
            <w:bookmarkEnd w:id="87"/>
            <w:bookmarkEnd w:id="88"/>
            <w:bookmarkEnd w:id="89"/>
            <w:bookmarkEnd w:id="90"/>
            <w:bookmarkEnd w:id="91"/>
            <w:bookmarkEnd w:id="92"/>
            <w:bookmarkStart w:id="93" w:name="_Toc383699910"/>
            <w:bookmarkStart w:id="94" w:name="_Toc301781615"/>
            <w:bookmarkStart w:id="95" w:name="_Toc373333693"/>
            <w:bookmarkStart w:id="96" w:name="_Toc254970733"/>
            <w:bookmarkStart w:id="97" w:name="_Toc254970592"/>
            <w:bookmarkStart w:id="98" w:name="_Toc173211904"/>
            <w:bookmarkStart w:id="99" w:name="_Toc297193189"/>
            <w:bookmarkStart w:id="100" w:name="_Toc173066405"/>
            <w:bookmarkStart w:id="101" w:name="_Toc295404985"/>
            <w:r>
              <w:rPr>
                <w:rFonts w:hint="eastAsia" w:ascii="宋体" w:hAnsi="宋体" w:eastAsia="宋体" w:cs="仿宋_GB2312"/>
                <w:color w:val="auto"/>
                <w:kern w:val="2"/>
                <w:sz w:val="24"/>
                <w:szCs w:val="24"/>
                <w:highlight w:val="none"/>
              </w:rPr>
              <w:t>说明</w:t>
            </w:r>
            <w:bookmarkEnd w:id="93"/>
            <w:bookmarkEnd w:id="94"/>
            <w:bookmarkEnd w:id="95"/>
            <w:bookmarkEnd w:id="96"/>
            <w:bookmarkEnd w:id="97"/>
            <w:bookmarkEnd w:id="98"/>
            <w:bookmarkEnd w:id="99"/>
            <w:bookmarkEnd w:id="100"/>
            <w:bookmarkEnd w:id="101"/>
          </w:p>
        </w:tc>
      </w:tr>
      <w:tr w14:paraId="1254EB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199BF3C">
            <w:pPr>
              <w:pStyle w:val="23"/>
              <w:spacing w:line="360" w:lineRule="auto"/>
              <w:ind w:firstLine="0" w:firstLineChars="0"/>
              <w:contextualSpacing/>
              <w:jc w:val="center"/>
              <w:rPr>
                <w:rFonts w:ascii="宋体" w:hAnsi="宋体" w:eastAsia="宋体" w:cs="仿宋_GB2312"/>
                <w:color w:val="auto"/>
                <w:kern w:val="2"/>
                <w:sz w:val="24"/>
                <w:szCs w:val="24"/>
                <w:highlight w:val="none"/>
              </w:rPr>
            </w:pPr>
            <w:bookmarkStart w:id="102" w:name="_Toc254970593"/>
            <w:bookmarkStart w:id="103" w:name="_Toc301781616"/>
            <w:bookmarkStart w:id="104" w:name="_Toc173211905"/>
            <w:bookmarkStart w:id="105" w:name="_Toc295404986"/>
            <w:bookmarkStart w:id="106" w:name="_Toc373333694"/>
            <w:bookmarkStart w:id="107" w:name="_Toc383699911"/>
            <w:bookmarkStart w:id="108" w:name="_Toc297193190"/>
            <w:bookmarkStart w:id="109" w:name="_Toc254970734"/>
            <w:bookmarkStart w:id="110" w:name="_Toc173066406"/>
            <w:r>
              <w:rPr>
                <w:rFonts w:hint="eastAsia" w:ascii="宋体" w:hAnsi="宋体" w:eastAsia="宋体" w:cs="仿宋_GB2312"/>
                <w:color w:val="auto"/>
                <w:kern w:val="2"/>
                <w:sz w:val="24"/>
                <w:szCs w:val="24"/>
                <w:highlight w:val="none"/>
              </w:rPr>
              <w:t>1</w:t>
            </w:r>
            <w:bookmarkEnd w:id="102"/>
            <w:bookmarkEnd w:id="103"/>
            <w:bookmarkEnd w:id="104"/>
            <w:bookmarkEnd w:id="105"/>
            <w:bookmarkEnd w:id="106"/>
            <w:bookmarkEnd w:id="107"/>
            <w:bookmarkEnd w:id="108"/>
            <w:bookmarkEnd w:id="109"/>
            <w:bookmarkEnd w:id="110"/>
          </w:p>
        </w:tc>
        <w:tc>
          <w:tcPr>
            <w:tcW w:w="915" w:type="dxa"/>
            <w:tcBorders>
              <w:right w:val="single" w:color="auto" w:sz="4" w:space="0"/>
            </w:tcBorders>
            <w:vAlign w:val="center"/>
          </w:tcPr>
          <w:p w14:paraId="5694B977">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B76E766">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25EE4187">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4C201221">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6922C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CBA3BED">
            <w:pPr>
              <w:pStyle w:val="23"/>
              <w:spacing w:line="360" w:lineRule="auto"/>
              <w:ind w:firstLine="0" w:firstLineChars="0"/>
              <w:contextualSpacing/>
              <w:jc w:val="center"/>
              <w:rPr>
                <w:rFonts w:ascii="宋体" w:hAnsi="宋体" w:eastAsia="宋体" w:cs="仿宋_GB2312"/>
                <w:color w:val="auto"/>
                <w:kern w:val="2"/>
                <w:sz w:val="24"/>
                <w:szCs w:val="24"/>
                <w:highlight w:val="none"/>
              </w:rPr>
            </w:pPr>
            <w:bookmarkStart w:id="111" w:name="_Toc297193191"/>
            <w:bookmarkStart w:id="112" w:name="_Toc173066407"/>
            <w:bookmarkStart w:id="113" w:name="_Toc383699912"/>
            <w:bookmarkStart w:id="114" w:name="_Toc254970594"/>
            <w:bookmarkStart w:id="115" w:name="_Toc254970735"/>
            <w:bookmarkStart w:id="116" w:name="_Toc173211906"/>
            <w:bookmarkStart w:id="117" w:name="_Toc373333695"/>
            <w:bookmarkStart w:id="118" w:name="_Toc295404987"/>
            <w:bookmarkStart w:id="119" w:name="_Toc301781617"/>
            <w:r>
              <w:rPr>
                <w:rFonts w:hint="eastAsia" w:ascii="宋体" w:hAnsi="宋体" w:eastAsia="宋体" w:cs="仿宋_GB2312"/>
                <w:color w:val="auto"/>
                <w:kern w:val="2"/>
                <w:sz w:val="24"/>
                <w:szCs w:val="24"/>
                <w:highlight w:val="none"/>
              </w:rPr>
              <w:t>2</w:t>
            </w:r>
            <w:bookmarkEnd w:id="111"/>
            <w:bookmarkEnd w:id="112"/>
            <w:bookmarkEnd w:id="113"/>
            <w:bookmarkEnd w:id="114"/>
            <w:bookmarkEnd w:id="115"/>
            <w:bookmarkEnd w:id="116"/>
            <w:bookmarkEnd w:id="117"/>
            <w:bookmarkEnd w:id="118"/>
            <w:bookmarkEnd w:id="119"/>
          </w:p>
        </w:tc>
        <w:tc>
          <w:tcPr>
            <w:tcW w:w="915" w:type="dxa"/>
            <w:tcBorders>
              <w:right w:val="single" w:color="auto" w:sz="4" w:space="0"/>
            </w:tcBorders>
            <w:vAlign w:val="center"/>
          </w:tcPr>
          <w:p w14:paraId="55225DF2">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30D1E449">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1B4EF7DF">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3435D0C7">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FE47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464C0E6">
            <w:pPr>
              <w:pStyle w:val="23"/>
              <w:spacing w:line="360" w:lineRule="auto"/>
              <w:ind w:firstLine="0" w:firstLineChars="0"/>
              <w:contextualSpacing/>
              <w:jc w:val="center"/>
              <w:rPr>
                <w:rFonts w:ascii="宋体" w:hAnsi="宋体" w:eastAsia="宋体" w:cs="仿宋_GB2312"/>
                <w:color w:val="auto"/>
                <w:kern w:val="2"/>
                <w:sz w:val="24"/>
                <w:szCs w:val="24"/>
                <w:highlight w:val="none"/>
              </w:rPr>
            </w:pPr>
            <w:bookmarkStart w:id="120" w:name="_Toc373333696"/>
            <w:bookmarkStart w:id="121" w:name="_Toc254970595"/>
            <w:bookmarkStart w:id="122" w:name="_Toc295404988"/>
            <w:bookmarkStart w:id="123" w:name="_Toc383699913"/>
            <w:bookmarkStart w:id="124" w:name="_Toc297193192"/>
            <w:bookmarkStart w:id="125" w:name="_Toc173066408"/>
            <w:bookmarkStart w:id="126" w:name="_Toc173211907"/>
            <w:bookmarkStart w:id="127" w:name="_Toc254970736"/>
            <w:bookmarkStart w:id="128" w:name="_Toc301781618"/>
            <w:r>
              <w:rPr>
                <w:rFonts w:hint="eastAsia" w:ascii="宋体" w:hAnsi="宋体" w:eastAsia="宋体" w:cs="仿宋_GB2312"/>
                <w:color w:val="auto"/>
                <w:kern w:val="2"/>
                <w:sz w:val="24"/>
                <w:szCs w:val="24"/>
                <w:highlight w:val="none"/>
              </w:rPr>
              <w:t>3</w:t>
            </w:r>
            <w:bookmarkEnd w:id="120"/>
            <w:bookmarkEnd w:id="121"/>
            <w:bookmarkEnd w:id="122"/>
            <w:bookmarkEnd w:id="123"/>
            <w:bookmarkEnd w:id="124"/>
            <w:bookmarkEnd w:id="125"/>
            <w:bookmarkEnd w:id="126"/>
            <w:bookmarkEnd w:id="127"/>
            <w:bookmarkEnd w:id="128"/>
          </w:p>
        </w:tc>
        <w:tc>
          <w:tcPr>
            <w:tcW w:w="915" w:type="dxa"/>
            <w:tcBorders>
              <w:right w:val="single" w:color="auto" w:sz="4" w:space="0"/>
            </w:tcBorders>
            <w:vAlign w:val="center"/>
          </w:tcPr>
          <w:p w14:paraId="1FD32022">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29C132C6">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C46B2AA">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71B34F18">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6FFE3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ADCFB2C">
            <w:pPr>
              <w:pStyle w:val="23"/>
              <w:spacing w:line="360" w:lineRule="auto"/>
              <w:ind w:firstLine="0" w:firstLineChars="0"/>
              <w:contextualSpacing/>
              <w:jc w:val="center"/>
              <w:rPr>
                <w:rFonts w:ascii="宋体" w:hAnsi="宋体" w:eastAsia="宋体" w:cs="仿宋_GB2312"/>
                <w:color w:val="auto"/>
                <w:kern w:val="2"/>
                <w:sz w:val="24"/>
                <w:szCs w:val="24"/>
                <w:highlight w:val="none"/>
              </w:rPr>
            </w:pPr>
            <w:bookmarkStart w:id="129" w:name="_Toc383699914"/>
            <w:bookmarkStart w:id="130" w:name="_Toc254970596"/>
            <w:bookmarkStart w:id="131" w:name="_Toc297193193"/>
            <w:bookmarkStart w:id="132" w:name="_Toc173211908"/>
            <w:bookmarkStart w:id="133" w:name="_Toc254970737"/>
            <w:bookmarkStart w:id="134" w:name="_Toc295404989"/>
            <w:bookmarkStart w:id="135" w:name="_Toc373333697"/>
            <w:bookmarkStart w:id="136" w:name="_Toc173066409"/>
            <w:bookmarkStart w:id="137" w:name="_Toc301781619"/>
            <w:r>
              <w:rPr>
                <w:rFonts w:hint="eastAsia" w:ascii="宋体" w:hAnsi="宋体" w:eastAsia="宋体" w:cs="仿宋_GB2312"/>
                <w:color w:val="auto"/>
                <w:kern w:val="2"/>
                <w:sz w:val="24"/>
                <w:szCs w:val="24"/>
                <w:highlight w:val="none"/>
              </w:rPr>
              <w:t>4</w:t>
            </w:r>
            <w:bookmarkEnd w:id="129"/>
            <w:bookmarkEnd w:id="130"/>
            <w:bookmarkEnd w:id="131"/>
            <w:bookmarkEnd w:id="132"/>
            <w:bookmarkEnd w:id="133"/>
            <w:bookmarkEnd w:id="134"/>
            <w:bookmarkEnd w:id="135"/>
            <w:bookmarkEnd w:id="136"/>
            <w:bookmarkEnd w:id="137"/>
          </w:p>
        </w:tc>
        <w:tc>
          <w:tcPr>
            <w:tcW w:w="915" w:type="dxa"/>
            <w:tcBorders>
              <w:right w:val="single" w:color="auto" w:sz="4" w:space="0"/>
            </w:tcBorders>
            <w:vAlign w:val="center"/>
          </w:tcPr>
          <w:p w14:paraId="7BD16054">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5C8C313C">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CD28755">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2FACB6D4">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962E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90A080A">
            <w:pPr>
              <w:pStyle w:val="23"/>
              <w:spacing w:line="360" w:lineRule="auto"/>
              <w:ind w:firstLine="0" w:firstLineChars="0"/>
              <w:contextualSpacing/>
              <w:jc w:val="center"/>
              <w:rPr>
                <w:rFonts w:ascii="宋体" w:hAnsi="宋体" w:eastAsia="宋体" w:cs="仿宋_GB2312"/>
                <w:color w:val="auto"/>
                <w:kern w:val="2"/>
                <w:sz w:val="24"/>
                <w:szCs w:val="24"/>
                <w:highlight w:val="none"/>
              </w:rPr>
            </w:pPr>
            <w:bookmarkStart w:id="138" w:name="_Toc295404990"/>
            <w:bookmarkStart w:id="139" w:name="_Toc373333698"/>
            <w:bookmarkStart w:id="140" w:name="_Toc297193194"/>
            <w:bookmarkStart w:id="141" w:name="_Toc173066410"/>
            <w:bookmarkStart w:id="142" w:name="_Toc301781620"/>
            <w:bookmarkStart w:id="143" w:name="_Toc383699915"/>
            <w:bookmarkStart w:id="144" w:name="_Toc173211909"/>
            <w:bookmarkStart w:id="145" w:name="_Toc254970597"/>
            <w:bookmarkStart w:id="146" w:name="_Toc254970738"/>
            <w:r>
              <w:rPr>
                <w:rFonts w:hint="eastAsia" w:ascii="宋体" w:hAnsi="宋体" w:eastAsia="宋体" w:cs="仿宋_GB2312"/>
                <w:color w:val="auto"/>
                <w:kern w:val="2"/>
                <w:sz w:val="24"/>
                <w:szCs w:val="24"/>
                <w:highlight w:val="none"/>
              </w:rPr>
              <w:t>5</w:t>
            </w:r>
            <w:bookmarkEnd w:id="138"/>
            <w:bookmarkEnd w:id="139"/>
            <w:bookmarkEnd w:id="140"/>
            <w:bookmarkEnd w:id="141"/>
            <w:bookmarkEnd w:id="142"/>
            <w:bookmarkEnd w:id="143"/>
            <w:bookmarkEnd w:id="144"/>
            <w:bookmarkEnd w:id="145"/>
            <w:bookmarkEnd w:id="146"/>
          </w:p>
        </w:tc>
        <w:tc>
          <w:tcPr>
            <w:tcW w:w="915" w:type="dxa"/>
            <w:tcBorders>
              <w:right w:val="single" w:color="auto" w:sz="4" w:space="0"/>
            </w:tcBorders>
            <w:vAlign w:val="center"/>
          </w:tcPr>
          <w:p w14:paraId="40E6A0E8">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717F7E71">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5ED94B15">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557C2190">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203FF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34FE1565">
            <w:pPr>
              <w:pStyle w:val="23"/>
              <w:spacing w:line="360" w:lineRule="auto"/>
              <w:ind w:firstLine="0" w:firstLineChars="0"/>
              <w:contextualSpacing/>
              <w:jc w:val="center"/>
              <w:rPr>
                <w:rFonts w:ascii="宋体" w:hAnsi="宋体" w:eastAsia="宋体" w:cs="仿宋_GB2312"/>
                <w:color w:val="auto"/>
                <w:kern w:val="2"/>
                <w:sz w:val="24"/>
                <w:szCs w:val="24"/>
                <w:highlight w:val="none"/>
              </w:rPr>
            </w:pPr>
            <w:bookmarkStart w:id="147" w:name="_Toc373333699"/>
            <w:bookmarkStart w:id="148" w:name="_Toc383699916"/>
            <w:bookmarkStart w:id="149" w:name="_Toc295404991"/>
            <w:bookmarkStart w:id="150" w:name="_Toc254970743"/>
            <w:bookmarkStart w:id="151" w:name="_Toc301781621"/>
            <w:bookmarkStart w:id="152" w:name="_Toc173066415"/>
            <w:bookmarkStart w:id="153" w:name="_Toc297193195"/>
            <w:bookmarkStart w:id="154" w:name="_Toc254970602"/>
            <w:bookmarkStart w:id="155" w:name="_Toc173211914"/>
            <w:r>
              <w:rPr>
                <w:rFonts w:hint="eastAsia" w:ascii="宋体" w:hAnsi="宋体" w:eastAsia="宋体" w:cs="仿宋_GB2312"/>
                <w:color w:val="auto"/>
                <w:kern w:val="2"/>
                <w:sz w:val="24"/>
                <w:szCs w:val="24"/>
                <w:highlight w:val="none"/>
              </w:rPr>
              <w:t>…</w:t>
            </w:r>
            <w:bookmarkEnd w:id="147"/>
            <w:bookmarkEnd w:id="148"/>
            <w:bookmarkEnd w:id="149"/>
            <w:bookmarkEnd w:id="150"/>
            <w:bookmarkEnd w:id="151"/>
            <w:bookmarkEnd w:id="152"/>
            <w:bookmarkEnd w:id="153"/>
            <w:bookmarkEnd w:id="154"/>
            <w:bookmarkEnd w:id="155"/>
          </w:p>
        </w:tc>
        <w:tc>
          <w:tcPr>
            <w:tcW w:w="915" w:type="dxa"/>
            <w:tcBorders>
              <w:right w:val="single" w:color="auto" w:sz="4" w:space="0"/>
            </w:tcBorders>
            <w:vAlign w:val="center"/>
          </w:tcPr>
          <w:p w14:paraId="6894C224">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7AD21E4A">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33BFDF98">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5C813038">
            <w:pPr>
              <w:pStyle w:val="23"/>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58A7A8AF">
      <w:pPr>
        <w:pStyle w:val="23"/>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204FD92F">
      <w:pPr>
        <w:pStyle w:val="23"/>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采购需求”中的所有技术要求逐条作出明确响应，并作出偏离说明。</w:t>
      </w:r>
    </w:p>
    <w:p w14:paraId="32A7BCBF">
      <w:pPr>
        <w:pStyle w:val="23"/>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5487E4D7">
      <w:pPr>
        <w:spacing w:line="360" w:lineRule="auto"/>
        <w:ind w:right="-817" w:rightChars="-389"/>
        <w:contextualSpacing/>
        <w:rPr>
          <w:rFonts w:ascii="宋体" w:hAnsi="宋体" w:cs="仿宋_GB2312"/>
          <w:color w:val="auto"/>
          <w:sz w:val="24"/>
          <w:highlight w:val="none"/>
        </w:rPr>
      </w:pPr>
    </w:p>
    <w:p w14:paraId="0756410A">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95C468E">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58677FD4">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BAF73E5">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p>
    <w:p w14:paraId="4DA20B1A">
      <w:pPr>
        <w:snapToGrid w:val="0"/>
        <w:spacing w:before="156" w:beforeLines="50" w:after="50"/>
        <w:ind w:left="142"/>
        <w:jc w:val="left"/>
        <w:rPr>
          <w:rFonts w:ascii="宋体" w:hAnsi="宋体"/>
          <w:b/>
          <w:color w:val="auto"/>
          <w:sz w:val="24"/>
          <w:highlight w:val="none"/>
        </w:rPr>
      </w:pPr>
    </w:p>
    <w:p w14:paraId="592ACEFC">
      <w:pPr>
        <w:spacing w:line="360"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项目实施人员一览表（格式）</w:t>
      </w:r>
    </w:p>
    <w:p w14:paraId="4D5704F3">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项目名称：</w:t>
      </w:r>
    </w:p>
    <w:p w14:paraId="6BC568EC">
      <w:pPr>
        <w:bidi w:val="0"/>
        <w:spacing w:line="360" w:lineRule="auto"/>
        <w:rPr>
          <w:rFonts w:hint="default"/>
          <w:color w:val="auto"/>
          <w:sz w:val="24"/>
          <w:szCs w:val="24"/>
          <w:highlight w:val="none"/>
          <w:lang w:val="en-US" w:eastAsia="zh-CN"/>
        </w:rPr>
      </w:pPr>
      <w:r>
        <w:rPr>
          <w:rFonts w:hint="eastAsia"/>
          <w:color w:val="auto"/>
          <w:sz w:val="24"/>
          <w:szCs w:val="24"/>
          <w:highlight w:val="none"/>
          <w:lang w:val="en-US" w:eastAsia="zh-CN"/>
        </w:rPr>
        <w:t>项目编号：</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163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51BF6C">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71CFEB7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5618F3F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2EB8F10E">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327A2E9D">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3909FFDC">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32F6F12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69FC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606D86">
            <w:pPr>
              <w:spacing w:line="360" w:lineRule="auto"/>
              <w:contextualSpacing/>
              <w:jc w:val="center"/>
              <w:rPr>
                <w:rFonts w:ascii="宋体" w:hAnsi="宋体"/>
                <w:color w:val="auto"/>
                <w:sz w:val="24"/>
                <w:szCs w:val="20"/>
                <w:highlight w:val="none"/>
              </w:rPr>
            </w:pPr>
          </w:p>
        </w:tc>
        <w:tc>
          <w:tcPr>
            <w:tcW w:w="709" w:type="dxa"/>
            <w:vAlign w:val="center"/>
          </w:tcPr>
          <w:p w14:paraId="2613BA93">
            <w:pPr>
              <w:spacing w:line="360" w:lineRule="auto"/>
              <w:contextualSpacing/>
              <w:jc w:val="center"/>
              <w:rPr>
                <w:rFonts w:ascii="宋体" w:hAnsi="宋体"/>
                <w:color w:val="auto"/>
                <w:sz w:val="24"/>
                <w:szCs w:val="20"/>
                <w:highlight w:val="none"/>
              </w:rPr>
            </w:pPr>
          </w:p>
        </w:tc>
        <w:tc>
          <w:tcPr>
            <w:tcW w:w="1701" w:type="dxa"/>
            <w:vAlign w:val="center"/>
          </w:tcPr>
          <w:p w14:paraId="7FFDCC1F">
            <w:pPr>
              <w:spacing w:line="360" w:lineRule="auto"/>
              <w:contextualSpacing/>
              <w:jc w:val="center"/>
              <w:rPr>
                <w:rFonts w:ascii="宋体" w:hAnsi="宋体"/>
                <w:color w:val="auto"/>
                <w:sz w:val="24"/>
                <w:szCs w:val="20"/>
                <w:highlight w:val="none"/>
              </w:rPr>
            </w:pPr>
          </w:p>
        </w:tc>
        <w:tc>
          <w:tcPr>
            <w:tcW w:w="1420" w:type="dxa"/>
            <w:vAlign w:val="center"/>
          </w:tcPr>
          <w:p w14:paraId="6259607A">
            <w:pPr>
              <w:spacing w:line="360" w:lineRule="auto"/>
              <w:contextualSpacing/>
              <w:jc w:val="center"/>
              <w:rPr>
                <w:rFonts w:ascii="宋体" w:hAnsi="宋体"/>
                <w:color w:val="auto"/>
                <w:sz w:val="24"/>
                <w:szCs w:val="20"/>
                <w:highlight w:val="none"/>
              </w:rPr>
            </w:pPr>
          </w:p>
        </w:tc>
        <w:tc>
          <w:tcPr>
            <w:tcW w:w="1698" w:type="dxa"/>
            <w:vAlign w:val="center"/>
          </w:tcPr>
          <w:p w14:paraId="0F0AFBB5">
            <w:pPr>
              <w:spacing w:line="360" w:lineRule="auto"/>
              <w:contextualSpacing/>
              <w:jc w:val="center"/>
              <w:rPr>
                <w:rFonts w:ascii="宋体" w:hAnsi="宋体"/>
                <w:color w:val="auto"/>
                <w:sz w:val="24"/>
                <w:szCs w:val="20"/>
                <w:highlight w:val="none"/>
              </w:rPr>
            </w:pPr>
          </w:p>
        </w:tc>
        <w:tc>
          <w:tcPr>
            <w:tcW w:w="1843" w:type="dxa"/>
            <w:vAlign w:val="center"/>
          </w:tcPr>
          <w:p w14:paraId="60515CBC">
            <w:pPr>
              <w:spacing w:line="360" w:lineRule="auto"/>
              <w:contextualSpacing/>
              <w:jc w:val="center"/>
              <w:rPr>
                <w:rFonts w:ascii="宋体" w:hAnsi="宋体"/>
                <w:color w:val="auto"/>
                <w:sz w:val="24"/>
                <w:szCs w:val="20"/>
                <w:highlight w:val="none"/>
              </w:rPr>
            </w:pPr>
          </w:p>
        </w:tc>
      </w:tr>
      <w:tr w14:paraId="3AA3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5B0CA0A">
            <w:pPr>
              <w:spacing w:line="360" w:lineRule="auto"/>
              <w:contextualSpacing/>
              <w:jc w:val="center"/>
              <w:rPr>
                <w:rFonts w:ascii="宋体" w:hAnsi="宋体"/>
                <w:color w:val="auto"/>
                <w:sz w:val="24"/>
                <w:szCs w:val="20"/>
                <w:highlight w:val="none"/>
              </w:rPr>
            </w:pPr>
          </w:p>
        </w:tc>
        <w:tc>
          <w:tcPr>
            <w:tcW w:w="709" w:type="dxa"/>
            <w:vAlign w:val="center"/>
          </w:tcPr>
          <w:p w14:paraId="6E1AC904">
            <w:pPr>
              <w:spacing w:line="360" w:lineRule="auto"/>
              <w:contextualSpacing/>
              <w:jc w:val="center"/>
              <w:rPr>
                <w:rFonts w:ascii="宋体" w:hAnsi="宋体"/>
                <w:color w:val="auto"/>
                <w:sz w:val="24"/>
                <w:szCs w:val="20"/>
                <w:highlight w:val="none"/>
              </w:rPr>
            </w:pPr>
          </w:p>
        </w:tc>
        <w:tc>
          <w:tcPr>
            <w:tcW w:w="1701" w:type="dxa"/>
            <w:vAlign w:val="center"/>
          </w:tcPr>
          <w:p w14:paraId="0E49EA08">
            <w:pPr>
              <w:spacing w:line="360" w:lineRule="auto"/>
              <w:contextualSpacing/>
              <w:jc w:val="center"/>
              <w:rPr>
                <w:rFonts w:ascii="宋体" w:hAnsi="宋体"/>
                <w:color w:val="auto"/>
                <w:sz w:val="24"/>
                <w:szCs w:val="20"/>
                <w:highlight w:val="none"/>
              </w:rPr>
            </w:pPr>
          </w:p>
        </w:tc>
        <w:tc>
          <w:tcPr>
            <w:tcW w:w="1420" w:type="dxa"/>
            <w:vAlign w:val="center"/>
          </w:tcPr>
          <w:p w14:paraId="3AE13DEA">
            <w:pPr>
              <w:spacing w:line="360" w:lineRule="auto"/>
              <w:contextualSpacing/>
              <w:jc w:val="center"/>
              <w:rPr>
                <w:rFonts w:ascii="宋体" w:hAnsi="宋体"/>
                <w:color w:val="auto"/>
                <w:sz w:val="24"/>
                <w:szCs w:val="20"/>
                <w:highlight w:val="none"/>
              </w:rPr>
            </w:pPr>
          </w:p>
        </w:tc>
        <w:tc>
          <w:tcPr>
            <w:tcW w:w="1698" w:type="dxa"/>
            <w:vAlign w:val="center"/>
          </w:tcPr>
          <w:p w14:paraId="6A51BE33">
            <w:pPr>
              <w:spacing w:line="360" w:lineRule="auto"/>
              <w:contextualSpacing/>
              <w:jc w:val="center"/>
              <w:rPr>
                <w:rFonts w:ascii="宋体" w:hAnsi="宋体"/>
                <w:color w:val="auto"/>
                <w:sz w:val="24"/>
                <w:szCs w:val="20"/>
                <w:highlight w:val="none"/>
              </w:rPr>
            </w:pPr>
          </w:p>
        </w:tc>
        <w:tc>
          <w:tcPr>
            <w:tcW w:w="1843" w:type="dxa"/>
            <w:vAlign w:val="center"/>
          </w:tcPr>
          <w:p w14:paraId="038A1E62">
            <w:pPr>
              <w:spacing w:line="360" w:lineRule="auto"/>
              <w:contextualSpacing/>
              <w:jc w:val="center"/>
              <w:rPr>
                <w:rFonts w:ascii="宋体" w:hAnsi="宋体"/>
                <w:color w:val="auto"/>
                <w:sz w:val="24"/>
                <w:szCs w:val="20"/>
                <w:highlight w:val="none"/>
              </w:rPr>
            </w:pPr>
          </w:p>
        </w:tc>
      </w:tr>
      <w:tr w14:paraId="6F27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382E0A">
            <w:pPr>
              <w:spacing w:line="360" w:lineRule="auto"/>
              <w:contextualSpacing/>
              <w:jc w:val="center"/>
              <w:rPr>
                <w:rFonts w:ascii="宋体" w:hAnsi="宋体"/>
                <w:color w:val="auto"/>
                <w:sz w:val="24"/>
                <w:szCs w:val="20"/>
                <w:highlight w:val="none"/>
              </w:rPr>
            </w:pPr>
          </w:p>
        </w:tc>
        <w:tc>
          <w:tcPr>
            <w:tcW w:w="709" w:type="dxa"/>
            <w:vAlign w:val="center"/>
          </w:tcPr>
          <w:p w14:paraId="69CEDD2E">
            <w:pPr>
              <w:spacing w:line="360" w:lineRule="auto"/>
              <w:contextualSpacing/>
              <w:jc w:val="center"/>
              <w:rPr>
                <w:rFonts w:ascii="宋体" w:hAnsi="宋体"/>
                <w:color w:val="auto"/>
                <w:sz w:val="24"/>
                <w:szCs w:val="20"/>
                <w:highlight w:val="none"/>
              </w:rPr>
            </w:pPr>
          </w:p>
        </w:tc>
        <w:tc>
          <w:tcPr>
            <w:tcW w:w="1701" w:type="dxa"/>
            <w:vAlign w:val="center"/>
          </w:tcPr>
          <w:p w14:paraId="51421F43">
            <w:pPr>
              <w:spacing w:line="360" w:lineRule="auto"/>
              <w:contextualSpacing/>
              <w:jc w:val="center"/>
              <w:rPr>
                <w:rFonts w:ascii="宋体" w:hAnsi="宋体"/>
                <w:color w:val="auto"/>
                <w:sz w:val="24"/>
                <w:szCs w:val="20"/>
                <w:highlight w:val="none"/>
              </w:rPr>
            </w:pPr>
          </w:p>
        </w:tc>
        <w:tc>
          <w:tcPr>
            <w:tcW w:w="1420" w:type="dxa"/>
            <w:vAlign w:val="center"/>
          </w:tcPr>
          <w:p w14:paraId="74D06495">
            <w:pPr>
              <w:spacing w:line="360" w:lineRule="auto"/>
              <w:contextualSpacing/>
              <w:jc w:val="center"/>
              <w:rPr>
                <w:rFonts w:ascii="宋体" w:hAnsi="宋体"/>
                <w:color w:val="auto"/>
                <w:sz w:val="24"/>
                <w:szCs w:val="20"/>
                <w:highlight w:val="none"/>
              </w:rPr>
            </w:pPr>
          </w:p>
        </w:tc>
        <w:tc>
          <w:tcPr>
            <w:tcW w:w="1698" w:type="dxa"/>
            <w:vAlign w:val="center"/>
          </w:tcPr>
          <w:p w14:paraId="542F1A9B">
            <w:pPr>
              <w:spacing w:line="360" w:lineRule="auto"/>
              <w:contextualSpacing/>
              <w:jc w:val="center"/>
              <w:rPr>
                <w:rFonts w:ascii="宋体" w:hAnsi="宋体"/>
                <w:color w:val="auto"/>
                <w:sz w:val="24"/>
                <w:szCs w:val="20"/>
                <w:highlight w:val="none"/>
              </w:rPr>
            </w:pPr>
          </w:p>
        </w:tc>
        <w:tc>
          <w:tcPr>
            <w:tcW w:w="1843" w:type="dxa"/>
            <w:vAlign w:val="center"/>
          </w:tcPr>
          <w:p w14:paraId="1A08E2A1">
            <w:pPr>
              <w:spacing w:line="360" w:lineRule="auto"/>
              <w:contextualSpacing/>
              <w:jc w:val="center"/>
              <w:rPr>
                <w:rFonts w:ascii="宋体" w:hAnsi="宋体"/>
                <w:color w:val="auto"/>
                <w:sz w:val="24"/>
                <w:szCs w:val="20"/>
                <w:highlight w:val="none"/>
              </w:rPr>
            </w:pPr>
          </w:p>
        </w:tc>
      </w:tr>
    </w:tbl>
    <w:p w14:paraId="6161DE94">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048977C4">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5375EF3C">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09152315">
      <w:pPr>
        <w:spacing w:line="360" w:lineRule="auto"/>
        <w:contextualSpacing/>
        <w:rPr>
          <w:rFonts w:ascii="宋体" w:hAnsi="宋体"/>
          <w:color w:val="auto"/>
          <w:sz w:val="24"/>
          <w:highlight w:val="none"/>
        </w:rPr>
      </w:pPr>
    </w:p>
    <w:p w14:paraId="1EF13DA2">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178DAB8C">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供应商</w:t>
      </w:r>
      <w:r>
        <w:rPr>
          <w:rFonts w:hint="eastAsia" w:ascii="宋体" w:hAnsi="宋体" w:cs="仿宋_GB2312"/>
          <w:color w:val="auto"/>
          <w:sz w:val="24"/>
          <w:highlight w:val="none"/>
        </w:rPr>
        <w:t>名称</w:t>
      </w:r>
      <w:r>
        <w:rPr>
          <w:rFonts w:hint="eastAsia" w:ascii="宋体" w:hAnsi="宋体"/>
          <w:color w:val="auto"/>
          <w:spacing w:val="20"/>
          <w:sz w:val="24"/>
          <w:highlight w:val="none"/>
        </w:rPr>
        <w:t>（电子签章）：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591F739E">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12CB4D6A">
      <w:pPr>
        <w:snapToGrid w:val="0"/>
        <w:spacing w:before="50" w:after="156" w:afterLines="50"/>
        <w:jc w:val="left"/>
        <w:rPr>
          <w:rFonts w:ascii="宋体" w:hAnsi="宋体"/>
          <w:color w:val="auto"/>
          <w:sz w:val="24"/>
          <w:szCs w:val="20"/>
          <w:highlight w:val="none"/>
        </w:rPr>
      </w:pPr>
    </w:p>
    <w:p w14:paraId="515E4B08">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203D84CC">
      <w:pPr>
        <w:snapToGrid w:val="0"/>
        <w:spacing w:before="156" w:beforeLines="50" w:after="50"/>
        <w:jc w:val="left"/>
        <w:rPr>
          <w:rFonts w:ascii="方正小标宋简体" w:hAnsi="方正小标宋简体" w:eastAsia="方正小标宋简体" w:cs="方正小标宋简体"/>
          <w:bCs/>
          <w:color w:val="auto"/>
          <w:szCs w:val="21"/>
          <w:highlight w:val="none"/>
        </w:rPr>
      </w:pPr>
      <w:r>
        <w:rPr>
          <w:rFonts w:hint="eastAsia" w:ascii="方正小标宋简体" w:hAnsi="方正小标宋简体" w:eastAsia="方正小标宋简体" w:cs="方正小标宋简体"/>
          <w:bCs/>
          <w:color w:val="auto"/>
          <w:szCs w:val="21"/>
          <w:highlight w:val="none"/>
        </w:rPr>
        <w:br w:type="page"/>
      </w:r>
    </w:p>
    <w:p w14:paraId="55466139">
      <w:pPr>
        <w:snapToGrid w:val="0"/>
        <w:spacing w:before="156" w:beforeLines="50" w:after="50"/>
        <w:jc w:val="left"/>
        <w:rPr>
          <w:rFonts w:ascii="方正小标宋简体" w:hAnsi="方正小标宋简体" w:eastAsia="方正小标宋简体" w:cs="方正小标宋简体"/>
          <w:bCs/>
          <w:color w:val="auto"/>
          <w:szCs w:val="21"/>
          <w:highlight w:val="none"/>
        </w:rPr>
      </w:pPr>
    </w:p>
    <w:p w14:paraId="38DDA7AB">
      <w:pPr>
        <w:snapToGrid w:val="0"/>
        <w:spacing w:line="360" w:lineRule="auto"/>
        <w:ind w:right="480" w:firstLine="241" w:firstLineChars="100"/>
        <w:jc w:val="left"/>
        <w:rPr>
          <w:rFonts w:ascii="宋体" w:hAnsi="宋体"/>
          <w:color w:val="auto"/>
          <w:szCs w:val="21"/>
          <w:highlight w:val="none"/>
        </w:rPr>
      </w:pPr>
      <w:r>
        <w:rPr>
          <w:rFonts w:hint="eastAsia" w:ascii="宋体" w:hAnsi="宋体"/>
          <w:b/>
          <w:bCs/>
          <w:color w:val="auto"/>
          <w:sz w:val="24"/>
          <w:highlight w:val="none"/>
        </w:rPr>
        <w:t>其他文书、文件格式</w:t>
      </w:r>
    </w:p>
    <w:p w14:paraId="7F750176">
      <w:pPr>
        <w:jc w:val="center"/>
        <w:rPr>
          <w:rFonts w:hint="eastAsia" w:ascii="宋体" w:hAnsi="宋体" w:eastAsia="宋体" w:cs="宋体"/>
          <w:b/>
          <w:bCs/>
          <w:color w:val="auto"/>
          <w:sz w:val="32"/>
          <w:szCs w:val="32"/>
          <w:highlight w:val="none"/>
        </w:rPr>
      </w:pPr>
      <w:bookmarkStart w:id="156" w:name="_Toc71365926"/>
      <w:r>
        <w:rPr>
          <w:rFonts w:hint="eastAsia" w:ascii="宋体" w:hAnsi="宋体" w:eastAsia="宋体" w:cs="宋体"/>
          <w:b/>
          <w:bCs/>
          <w:color w:val="auto"/>
          <w:sz w:val="32"/>
          <w:szCs w:val="32"/>
          <w:highlight w:val="none"/>
        </w:rPr>
        <w:t>中小企业声明函（服务）</w:t>
      </w:r>
      <w:bookmarkEnd w:id="156"/>
    </w:p>
    <w:p w14:paraId="1F1AAA40">
      <w:pPr>
        <w:spacing w:before="2" w:line="500" w:lineRule="exact"/>
        <w:ind w:firstLine="708" w:firstLineChars="294"/>
        <w:rPr>
          <w:rFonts w:ascii="宋体" w:hAnsi="宋体" w:cs="宋体"/>
          <w:b/>
          <w:bCs/>
          <w:color w:val="auto"/>
          <w:sz w:val="24"/>
          <w:highlight w:val="none"/>
        </w:rPr>
      </w:pPr>
    </w:p>
    <w:p w14:paraId="18A5F665">
      <w:pPr>
        <w:pStyle w:val="2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6282655D">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22390B5">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FF046E2">
      <w:pPr>
        <w:pStyle w:val="2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47293731">
      <w:pPr>
        <w:pStyle w:val="2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5C07E5D5">
      <w:pPr>
        <w:pStyle w:val="2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B0CC2A4">
      <w:pPr>
        <w:pStyle w:val="22"/>
        <w:spacing w:before="56" w:line="500" w:lineRule="exact"/>
        <w:ind w:right="1808" w:firstLine="705" w:firstLineChars="294"/>
        <w:rPr>
          <w:rFonts w:ascii="宋体" w:hAnsi="宋体"/>
          <w:color w:val="auto"/>
          <w:sz w:val="24"/>
          <w:highlight w:val="none"/>
        </w:rPr>
      </w:pPr>
    </w:p>
    <w:p w14:paraId="11B32A08">
      <w:pPr>
        <w:pStyle w:val="2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企业名称（章）</w:t>
      </w:r>
      <w:r>
        <w:rPr>
          <w:rFonts w:hint="eastAsia" w:ascii="宋体" w:hAnsi="宋体"/>
          <w:color w:val="auto"/>
          <w:sz w:val="24"/>
          <w:highlight w:val="none"/>
        </w:rPr>
        <w:t>：</w:t>
      </w:r>
      <w:r>
        <w:rPr>
          <w:rFonts w:ascii="宋体" w:hAnsi="宋体"/>
          <w:color w:val="auto"/>
          <w:sz w:val="24"/>
          <w:highlight w:val="none"/>
        </w:rPr>
        <w:t xml:space="preserve"> </w:t>
      </w:r>
    </w:p>
    <w:p w14:paraId="00BCD2DB">
      <w:pPr>
        <w:pStyle w:val="2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r>
        <w:rPr>
          <w:rFonts w:hint="eastAsia" w:ascii="宋体" w:hAnsi="宋体"/>
          <w:color w:val="auto"/>
          <w:sz w:val="24"/>
          <w:highlight w:val="none"/>
        </w:rPr>
        <w:t>：</w:t>
      </w:r>
    </w:p>
    <w:p w14:paraId="05C0A0B6">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DC8C569">
      <w:pPr>
        <w:spacing w:line="520" w:lineRule="exact"/>
        <w:jc w:val="center"/>
        <w:rPr>
          <w:rFonts w:ascii="宋体" w:hAnsi="宋体"/>
          <w:color w:val="auto"/>
          <w:sz w:val="24"/>
          <w:highlight w:val="none"/>
        </w:rPr>
      </w:pPr>
      <w:r>
        <w:rPr>
          <w:rFonts w:ascii="宋体" w:hAnsi="宋体"/>
          <w:color w:val="auto"/>
          <w:sz w:val="24"/>
          <w:highlight w:val="none"/>
        </w:rPr>
        <w:br w:type="page"/>
      </w:r>
    </w:p>
    <w:p w14:paraId="7D50AD2F">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5C1D4140">
      <w:pPr>
        <w:spacing w:line="360" w:lineRule="auto"/>
        <w:contextualSpacing/>
        <w:rPr>
          <w:rFonts w:ascii="仿宋_GB2312" w:hAnsi="仿宋_GB2312" w:eastAsia="仿宋_GB2312" w:cs="仿宋_GB2312"/>
          <w:color w:val="auto"/>
          <w:sz w:val="32"/>
          <w:szCs w:val="32"/>
          <w:highlight w:val="none"/>
        </w:rPr>
      </w:pPr>
    </w:p>
    <w:p w14:paraId="7CFF439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4466AA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BC8409C">
      <w:pPr>
        <w:spacing w:line="360" w:lineRule="auto"/>
        <w:contextualSpacing/>
        <w:rPr>
          <w:rFonts w:ascii="宋体" w:hAnsi="宋体" w:cs="仿宋_GB2312"/>
          <w:color w:val="auto"/>
          <w:sz w:val="24"/>
          <w:highlight w:val="none"/>
        </w:rPr>
      </w:pPr>
    </w:p>
    <w:p w14:paraId="20090A5D">
      <w:pPr>
        <w:spacing w:line="360" w:lineRule="auto"/>
        <w:contextualSpacing/>
        <w:rPr>
          <w:rFonts w:ascii="宋体" w:hAnsi="宋体" w:cs="仿宋_GB2312"/>
          <w:color w:val="auto"/>
          <w:sz w:val="24"/>
          <w:highlight w:val="none"/>
        </w:rPr>
      </w:pPr>
    </w:p>
    <w:p w14:paraId="1A71C3FC">
      <w:pPr>
        <w:spacing w:line="360" w:lineRule="auto"/>
        <w:contextualSpacing/>
        <w:rPr>
          <w:rFonts w:ascii="宋体" w:hAnsi="宋体" w:cs="仿宋_GB2312"/>
          <w:color w:val="auto"/>
          <w:sz w:val="24"/>
          <w:highlight w:val="none"/>
        </w:rPr>
      </w:pPr>
    </w:p>
    <w:p w14:paraId="37A36DE0">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345A5EBB">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3C93F9B1">
      <w:pPr>
        <w:spacing w:line="360" w:lineRule="auto"/>
        <w:contextualSpacing/>
        <w:rPr>
          <w:rFonts w:ascii="宋体" w:hAnsi="宋体" w:cs="仿宋_GB2312"/>
          <w:color w:val="auto"/>
          <w:sz w:val="24"/>
          <w:highlight w:val="none"/>
        </w:rPr>
      </w:pPr>
    </w:p>
    <w:p w14:paraId="61E643A1">
      <w:pPr>
        <w:spacing w:line="360" w:lineRule="auto"/>
        <w:contextualSpacing/>
        <w:rPr>
          <w:rFonts w:ascii="宋体" w:hAnsi="宋体" w:cs="仿宋_GB2312"/>
          <w:color w:val="auto"/>
          <w:sz w:val="24"/>
          <w:highlight w:val="none"/>
        </w:rPr>
      </w:pPr>
    </w:p>
    <w:p w14:paraId="6465025F">
      <w:pPr>
        <w:spacing w:line="360" w:lineRule="auto"/>
        <w:contextualSpacing/>
        <w:rPr>
          <w:rFonts w:ascii="宋体" w:hAnsi="宋体" w:cs="仿宋_GB2312"/>
          <w:color w:val="auto"/>
          <w:sz w:val="24"/>
          <w:highlight w:val="none"/>
        </w:rPr>
      </w:pPr>
    </w:p>
    <w:p w14:paraId="3B0E488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48B2BE43">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4F3466BF">
      <w:pPr>
        <w:pStyle w:val="392"/>
        <w:ind w:firstLine="0" w:firstLineChars="0"/>
        <w:jc w:val="center"/>
        <w:outlineLvl w:val="0"/>
        <w:rPr>
          <w:rFonts w:cs="仿宋_GB2312" w:asciiTheme="minorEastAsia" w:hAnsiTheme="minorEastAsia" w:eastAsiaTheme="minorEastAsia"/>
          <w:b/>
          <w:color w:val="auto"/>
          <w:sz w:val="36"/>
          <w:szCs w:val="36"/>
          <w:highlight w:val="none"/>
        </w:rPr>
      </w:pPr>
      <w:bookmarkStart w:id="157" w:name="_Toc9840"/>
      <w:r>
        <w:rPr>
          <w:rFonts w:hint="eastAsia" w:cs="仿宋_GB2312" w:asciiTheme="minorEastAsia" w:hAnsiTheme="minorEastAsia" w:eastAsiaTheme="minorEastAsia"/>
          <w:b/>
          <w:color w:val="auto"/>
          <w:sz w:val="36"/>
          <w:szCs w:val="36"/>
          <w:highlight w:val="none"/>
        </w:rPr>
        <w:t>第八部分  最后报价格式</w:t>
      </w:r>
      <w:bookmarkEnd w:id="157"/>
    </w:p>
    <w:p w14:paraId="4CC1B0C4">
      <w:pPr>
        <w:pStyle w:val="631"/>
        <w:jc w:val="center"/>
        <w:rPr>
          <w:b/>
          <w:color w:val="auto"/>
          <w:sz w:val="32"/>
          <w:szCs w:val="32"/>
          <w:highlight w:val="none"/>
        </w:rPr>
      </w:pPr>
      <w:r>
        <w:rPr>
          <w:rFonts w:hint="eastAsia"/>
          <w:b/>
          <w:color w:val="auto"/>
          <w:sz w:val="32"/>
          <w:szCs w:val="32"/>
          <w:highlight w:val="none"/>
        </w:rPr>
        <w:t>（一）报价一览表</w:t>
      </w:r>
    </w:p>
    <w:p w14:paraId="7AA5F9D4">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2192F6B">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725E0AE7">
      <w:pPr>
        <w:snapToGrid w:val="0"/>
        <w:spacing w:line="360" w:lineRule="auto"/>
        <w:ind w:left="480"/>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报价一览表</w:t>
      </w:r>
    </w:p>
    <w:p w14:paraId="24E15436">
      <w:pPr>
        <w:snapToGrid w:val="0"/>
        <w:spacing w:line="360" w:lineRule="auto"/>
        <w:ind w:left="480"/>
        <w:jc w:val="right"/>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(单位均为人民币元)</w:t>
      </w:r>
    </w:p>
    <w:tbl>
      <w:tblPr>
        <w:tblStyle w:val="60"/>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57"/>
        <w:gridCol w:w="1551"/>
        <w:gridCol w:w="1088"/>
        <w:gridCol w:w="1444"/>
        <w:gridCol w:w="1449"/>
        <w:gridCol w:w="1020"/>
      </w:tblGrid>
      <w:tr w14:paraId="112F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C681097">
            <w:pPr>
              <w:widowControl/>
              <w:wordWrap w:val="0"/>
              <w:spacing w:line="360" w:lineRule="exact"/>
              <w:jc w:val="center"/>
              <w:textAlignment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bidi="ar"/>
              </w:rPr>
              <w:t>序号</w:t>
            </w:r>
          </w:p>
        </w:tc>
        <w:tc>
          <w:tcPr>
            <w:tcW w:w="1957" w:type="dxa"/>
            <w:tcBorders>
              <w:top w:val="single" w:color="auto" w:sz="4" w:space="0"/>
              <w:left w:val="single" w:color="auto" w:sz="4" w:space="0"/>
              <w:bottom w:val="single" w:color="auto" w:sz="4" w:space="0"/>
              <w:right w:val="single" w:color="auto" w:sz="4" w:space="0"/>
            </w:tcBorders>
            <w:vAlign w:val="center"/>
          </w:tcPr>
          <w:p w14:paraId="22EE187B">
            <w:pPr>
              <w:tabs>
                <w:tab w:val="left" w:pos="180"/>
                <w:tab w:val="left" w:pos="1620"/>
              </w:tabs>
              <w:spacing w:line="360" w:lineRule="exact"/>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服务名称</w:t>
            </w:r>
          </w:p>
        </w:tc>
        <w:tc>
          <w:tcPr>
            <w:tcW w:w="1551" w:type="dxa"/>
            <w:tcBorders>
              <w:top w:val="single" w:color="auto" w:sz="4" w:space="0"/>
              <w:left w:val="single" w:color="auto" w:sz="4" w:space="0"/>
              <w:bottom w:val="single" w:color="auto" w:sz="4" w:space="0"/>
              <w:right w:val="single" w:color="auto" w:sz="4" w:space="0"/>
            </w:tcBorders>
            <w:vAlign w:val="center"/>
          </w:tcPr>
          <w:p w14:paraId="788A1376">
            <w:pPr>
              <w:tabs>
                <w:tab w:val="left" w:pos="180"/>
                <w:tab w:val="left" w:pos="1620"/>
              </w:tabs>
              <w:spacing w:line="360" w:lineRule="exact"/>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学生人数（人）</w:t>
            </w:r>
          </w:p>
        </w:tc>
        <w:tc>
          <w:tcPr>
            <w:tcW w:w="1088" w:type="dxa"/>
            <w:tcBorders>
              <w:top w:val="single" w:color="auto" w:sz="4" w:space="0"/>
              <w:left w:val="single" w:color="auto" w:sz="4" w:space="0"/>
              <w:bottom w:val="single" w:color="auto" w:sz="4" w:space="0"/>
              <w:right w:val="single" w:color="auto" w:sz="4" w:space="0"/>
            </w:tcBorders>
            <w:vAlign w:val="center"/>
          </w:tcPr>
          <w:p w14:paraId="163115C9">
            <w:pPr>
              <w:tabs>
                <w:tab w:val="left" w:pos="180"/>
                <w:tab w:val="left" w:pos="1620"/>
              </w:tabs>
              <w:spacing w:line="360" w:lineRule="exact"/>
              <w:jc w:val="center"/>
              <w:rPr>
                <w:rFonts w:ascii="宋体" w:hAnsi="宋体" w:cs="宋体"/>
                <w:b w:val="0"/>
                <w:bCs w:val="0"/>
                <w:color w:val="auto"/>
                <w:kern w:val="0"/>
                <w:sz w:val="24"/>
                <w:szCs w:val="24"/>
                <w:highlight w:val="none"/>
                <w:lang w:bidi="ar"/>
              </w:rPr>
            </w:pPr>
            <w:r>
              <w:rPr>
                <w:rFonts w:hint="eastAsia" w:ascii="宋体" w:hAnsi="宋体" w:cs="宋体"/>
                <w:b w:val="0"/>
                <w:bCs w:val="0"/>
                <w:color w:val="auto"/>
                <w:sz w:val="24"/>
                <w:szCs w:val="24"/>
                <w:highlight w:val="none"/>
                <w:lang w:val="en-US" w:eastAsia="zh-CN"/>
              </w:rPr>
              <w:t>供餐天数（工作日）</w:t>
            </w:r>
          </w:p>
        </w:tc>
        <w:tc>
          <w:tcPr>
            <w:tcW w:w="1444" w:type="dxa"/>
            <w:tcBorders>
              <w:top w:val="single" w:color="auto" w:sz="4" w:space="0"/>
              <w:left w:val="single" w:color="auto" w:sz="4" w:space="0"/>
              <w:bottom w:val="single" w:color="auto" w:sz="4" w:space="0"/>
              <w:right w:val="single" w:color="auto" w:sz="4" w:space="0"/>
            </w:tcBorders>
            <w:vAlign w:val="center"/>
          </w:tcPr>
          <w:p w14:paraId="61493EE2">
            <w:pPr>
              <w:tabs>
                <w:tab w:val="left" w:pos="180"/>
                <w:tab w:val="left" w:pos="1620"/>
              </w:tabs>
              <w:spacing w:line="360" w:lineRule="exact"/>
              <w:jc w:val="center"/>
              <w:rPr>
                <w:rFonts w:ascii="宋体" w:hAnsi="宋体" w:cs="宋体"/>
                <w:b w:val="0"/>
                <w:bCs w:val="0"/>
                <w:color w:val="auto"/>
                <w:kern w:val="0"/>
                <w:sz w:val="24"/>
                <w:szCs w:val="24"/>
                <w:highlight w:val="none"/>
                <w:lang w:bidi="ar"/>
              </w:rPr>
            </w:pPr>
            <w:r>
              <w:rPr>
                <w:rFonts w:hint="eastAsia" w:ascii="宋体" w:hAnsi="宋体" w:cs="宋体"/>
                <w:b w:val="0"/>
                <w:bCs w:val="0"/>
                <w:color w:val="auto"/>
                <w:sz w:val="24"/>
                <w:szCs w:val="24"/>
                <w:highlight w:val="none"/>
                <w:lang w:val="en-US" w:eastAsia="zh-CN"/>
              </w:rPr>
              <w:t>每人每天餐费（元/天）</w:t>
            </w:r>
          </w:p>
        </w:tc>
        <w:tc>
          <w:tcPr>
            <w:tcW w:w="1449" w:type="dxa"/>
            <w:tcBorders>
              <w:top w:val="single" w:color="auto" w:sz="4" w:space="0"/>
              <w:left w:val="single" w:color="auto" w:sz="4" w:space="0"/>
              <w:bottom w:val="single" w:color="auto" w:sz="4" w:space="0"/>
              <w:right w:val="single" w:color="auto" w:sz="4" w:space="0"/>
            </w:tcBorders>
            <w:vAlign w:val="center"/>
          </w:tcPr>
          <w:p w14:paraId="4B6D171E">
            <w:pPr>
              <w:pStyle w:val="31"/>
              <w:spacing w:line="360" w:lineRule="exact"/>
              <w:jc w:val="center"/>
              <w:rPr>
                <w:rFonts w:ascii="宋体" w:hAnsi="宋体" w:cs="宋体"/>
                <w:b w:val="0"/>
                <w:bCs w:val="0"/>
                <w:color w:val="auto"/>
                <w:kern w:val="0"/>
                <w:sz w:val="24"/>
                <w:szCs w:val="24"/>
                <w:highlight w:val="none"/>
                <w:lang w:bidi="ar"/>
              </w:rPr>
            </w:pPr>
            <w:r>
              <w:rPr>
                <w:rFonts w:hint="eastAsia" w:hAnsi="宋体" w:cs="宋体"/>
                <w:b w:val="0"/>
                <w:bCs w:val="0"/>
                <w:color w:val="auto"/>
                <w:sz w:val="24"/>
                <w:szCs w:val="24"/>
                <w:highlight w:val="none"/>
                <w:lang w:val="en-US" w:eastAsia="zh-CN"/>
              </w:rPr>
              <w:t>报价总金额（元）</w:t>
            </w:r>
          </w:p>
        </w:tc>
        <w:tc>
          <w:tcPr>
            <w:tcW w:w="1020" w:type="dxa"/>
            <w:tcBorders>
              <w:top w:val="single" w:color="auto" w:sz="4" w:space="0"/>
              <w:left w:val="single" w:color="auto" w:sz="4" w:space="0"/>
              <w:bottom w:val="single" w:color="auto" w:sz="4" w:space="0"/>
              <w:right w:val="single" w:color="auto" w:sz="4" w:space="0"/>
            </w:tcBorders>
            <w:vAlign w:val="center"/>
          </w:tcPr>
          <w:p w14:paraId="659E764C">
            <w:pPr>
              <w:widowControl/>
              <w:wordWrap w:val="0"/>
              <w:spacing w:line="360" w:lineRule="exact"/>
              <w:jc w:val="center"/>
              <w:textAlignment w:val="center"/>
              <w:rPr>
                <w:rFonts w:ascii="宋体" w:hAnsi="宋体" w:cs="宋体"/>
                <w:b w:val="0"/>
                <w:bCs w:val="0"/>
                <w:color w:val="auto"/>
                <w:kern w:val="0"/>
                <w:sz w:val="24"/>
                <w:szCs w:val="24"/>
                <w:highlight w:val="none"/>
                <w:lang w:bidi="ar"/>
              </w:rPr>
            </w:pPr>
            <w:r>
              <w:rPr>
                <w:rFonts w:hint="eastAsia" w:ascii="宋体" w:hAnsi="宋体" w:cs="宋体"/>
                <w:b w:val="0"/>
                <w:bCs w:val="0"/>
                <w:color w:val="auto"/>
                <w:kern w:val="0"/>
                <w:sz w:val="24"/>
                <w:szCs w:val="24"/>
                <w:highlight w:val="none"/>
                <w:lang w:bidi="ar"/>
              </w:rPr>
              <w:t>备注</w:t>
            </w:r>
          </w:p>
        </w:tc>
      </w:tr>
      <w:tr w14:paraId="7D24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4942E23">
            <w:pPr>
              <w:widowControl/>
              <w:wordWrap w:val="0"/>
              <w:spacing w:line="360" w:lineRule="exact"/>
              <w:jc w:val="center"/>
              <w:textAlignment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bidi="ar"/>
              </w:rPr>
              <w:t>1</w:t>
            </w:r>
          </w:p>
        </w:tc>
        <w:tc>
          <w:tcPr>
            <w:tcW w:w="1957" w:type="dxa"/>
            <w:tcBorders>
              <w:top w:val="single" w:color="auto" w:sz="4" w:space="0"/>
              <w:left w:val="single" w:color="auto" w:sz="4" w:space="0"/>
              <w:bottom w:val="single" w:color="auto" w:sz="4" w:space="0"/>
              <w:right w:val="single" w:color="auto" w:sz="4" w:space="0"/>
            </w:tcBorders>
            <w:vAlign w:val="center"/>
          </w:tcPr>
          <w:p w14:paraId="13EE204B">
            <w:pPr>
              <w:widowControl/>
              <w:wordWrap w:val="0"/>
              <w:spacing w:line="360" w:lineRule="exact"/>
              <w:jc w:val="center"/>
              <w:textAlignment w:val="center"/>
              <w:rPr>
                <w:rFonts w:ascii="宋体" w:hAnsi="宋体" w:cs="宋体"/>
                <w:b w:val="0"/>
                <w:bCs w:val="0"/>
                <w:color w:val="auto"/>
                <w:kern w:val="0"/>
                <w:sz w:val="24"/>
                <w:szCs w:val="24"/>
                <w:highlight w:val="none"/>
                <w:lang w:bidi="ar"/>
              </w:rPr>
            </w:pPr>
            <w:r>
              <w:rPr>
                <w:rFonts w:hint="eastAsia" w:ascii="宋体" w:hAnsi="宋体" w:cs="宋体"/>
                <w:b w:val="0"/>
                <w:bCs w:val="0"/>
                <w:color w:val="auto"/>
                <w:kern w:val="0"/>
                <w:sz w:val="24"/>
                <w:szCs w:val="24"/>
                <w:highlight w:val="none"/>
                <w:lang w:eastAsia="zh-CN" w:bidi="ar"/>
              </w:rPr>
              <w:t>北海市涠洲实验学校2025-2026学年度营养餐配送服务</w:t>
            </w:r>
          </w:p>
        </w:tc>
        <w:tc>
          <w:tcPr>
            <w:tcW w:w="1551" w:type="dxa"/>
            <w:tcBorders>
              <w:top w:val="single" w:color="auto" w:sz="4" w:space="0"/>
              <w:left w:val="single" w:color="auto" w:sz="4" w:space="0"/>
              <w:bottom w:val="single" w:color="auto" w:sz="4" w:space="0"/>
              <w:right w:val="single" w:color="auto" w:sz="4" w:space="0"/>
            </w:tcBorders>
            <w:vAlign w:val="center"/>
          </w:tcPr>
          <w:p w14:paraId="68340655">
            <w:pPr>
              <w:widowControl/>
              <w:wordWrap w:val="0"/>
              <w:spacing w:line="360" w:lineRule="exact"/>
              <w:jc w:val="center"/>
              <w:textAlignment w:val="center"/>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881</w:t>
            </w:r>
          </w:p>
        </w:tc>
        <w:tc>
          <w:tcPr>
            <w:tcW w:w="1088" w:type="dxa"/>
            <w:tcBorders>
              <w:top w:val="single" w:color="auto" w:sz="4" w:space="0"/>
              <w:left w:val="single" w:color="auto" w:sz="4" w:space="0"/>
              <w:bottom w:val="single" w:color="auto" w:sz="4" w:space="0"/>
              <w:right w:val="single" w:color="auto" w:sz="4" w:space="0"/>
            </w:tcBorders>
            <w:vAlign w:val="center"/>
          </w:tcPr>
          <w:p w14:paraId="2D19431F">
            <w:pPr>
              <w:widowControl/>
              <w:wordWrap w:val="0"/>
              <w:spacing w:line="360" w:lineRule="exact"/>
              <w:jc w:val="center"/>
              <w:textAlignment w:val="center"/>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195</w:t>
            </w:r>
          </w:p>
        </w:tc>
        <w:tc>
          <w:tcPr>
            <w:tcW w:w="1444" w:type="dxa"/>
            <w:tcBorders>
              <w:top w:val="single" w:color="auto" w:sz="4" w:space="0"/>
              <w:left w:val="single" w:color="auto" w:sz="4" w:space="0"/>
              <w:bottom w:val="single" w:color="auto" w:sz="4" w:space="0"/>
              <w:right w:val="single" w:color="auto" w:sz="4" w:space="0"/>
            </w:tcBorders>
            <w:vAlign w:val="center"/>
          </w:tcPr>
          <w:p w14:paraId="2BEDCFBF">
            <w:pPr>
              <w:widowControl/>
              <w:wordWrap w:val="0"/>
              <w:spacing w:line="360" w:lineRule="exact"/>
              <w:jc w:val="center"/>
              <w:textAlignment w:val="center"/>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5.00</w:t>
            </w:r>
          </w:p>
        </w:tc>
        <w:tc>
          <w:tcPr>
            <w:tcW w:w="1449" w:type="dxa"/>
            <w:tcBorders>
              <w:top w:val="single" w:color="auto" w:sz="4" w:space="0"/>
              <w:left w:val="single" w:color="auto" w:sz="4" w:space="0"/>
              <w:bottom w:val="single" w:color="auto" w:sz="4" w:space="0"/>
              <w:right w:val="single" w:color="auto" w:sz="4" w:space="0"/>
            </w:tcBorders>
            <w:vAlign w:val="center"/>
          </w:tcPr>
          <w:p w14:paraId="6964D39F">
            <w:pPr>
              <w:wordWrap w:val="0"/>
              <w:spacing w:line="360" w:lineRule="exact"/>
              <w:jc w:val="center"/>
              <w:rPr>
                <w:rFonts w:ascii="宋体" w:hAnsi="宋体" w:cs="宋体"/>
                <w:b w:val="0"/>
                <w:bCs w:val="0"/>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E4F975A">
            <w:pPr>
              <w:wordWrap w:val="0"/>
              <w:spacing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采用固定单价报价</w:t>
            </w:r>
          </w:p>
        </w:tc>
      </w:tr>
      <w:tr w14:paraId="4F57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5B6243A8">
            <w:pPr>
              <w:wordWrap w:val="0"/>
              <w:spacing w:line="360" w:lineRule="exac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磋商总报价（人民币）：</w:t>
            </w:r>
            <w:r>
              <w:rPr>
                <w:rFonts w:hint="eastAsia" w:ascii="宋体" w:hAnsi="宋体" w:cs="宋体"/>
                <w:b w:val="0"/>
                <w:bCs w:val="0"/>
                <w:color w:val="auto"/>
                <w:sz w:val="24"/>
                <w:szCs w:val="24"/>
                <w:highlight w:val="none"/>
                <w:u w:val="single"/>
              </w:rPr>
              <w:t xml:space="preserve">（大写）                 （小写）             </w:t>
            </w:r>
          </w:p>
        </w:tc>
      </w:tr>
      <w:tr w14:paraId="2E3B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0F702054">
            <w:pPr>
              <w:wordWrap w:val="0"/>
              <w:spacing w:line="360" w:lineRule="exac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服务</w:t>
            </w:r>
            <w:r>
              <w:rPr>
                <w:rFonts w:hint="eastAsia" w:ascii="宋体" w:hAnsi="宋体" w:cs="宋体"/>
                <w:b w:val="0"/>
                <w:bCs w:val="0"/>
                <w:color w:val="auto"/>
                <w:sz w:val="24"/>
                <w:szCs w:val="24"/>
                <w:highlight w:val="none"/>
              </w:rPr>
              <w:t>期限：</w:t>
            </w:r>
          </w:p>
        </w:tc>
      </w:tr>
      <w:tr w14:paraId="4F9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763805EE">
            <w:pPr>
              <w:wordWrap w:val="0"/>
              <w:spacing w:line="360" w:lineRule="exact"/>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北海市涠洲实验学校范围内义务教育阶段学生881人，约195个工作日，本项目报价为固定每人每天5元，最终按实际供餐天数结算。</w:t>
            </w:r>
          </w:p>
        </w:tc>
      </w:tr>
    </w:tbl>
    <w:p w14:paraId="799692E8">
      <w:pPr>
        <w:spacing w:line="360" w:lineRule="auto"/>
        <w:ind w:left="-2" w:leftChars="-1" w:firstLine="480" w:firstLineChars="200"/>
        <w:rPr>
          <w:rFonts w:hint="eastAsia" w:cs="仿宋_GB2312" w:asciiTheme="minorEastAsia" w:hAnsiTheme="minorEastAsia" w:eastAsiaTheme="minorEastAsia"/>
          <w:color w:val="auto"/>
          <w:sz w:val="24"/>
          <w:highlight w:val="none"/>
        </w:rPr>
      </w:pPr>
    </w:p>
    <w:p w14:paraId="1027134A">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326B9AD7">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98810D3">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62ED632F">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9B75A4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cs="仿宋_GB2312" w:asciiTheme="minorEastAsia" w:hAnsiTheme="minorEastAsia" w:eastAsiaTheme="minorEastAsia"/>
          <w:color w:val="auto"/>
          <w:kern w:val="0"/>
          <w:sz w:val="24"/>
          <w:highlight w:val="none"/>
          <w:lang w:val="zh-CN"/>
        </w:rPr>
        <w:t>如有多轮报价，则每轮报价</w:t>
      </w:r>
      <w:r>
        <w:rPr>
          <w:rFonts w:hint="eastAsia" w:cs="宋体" w:asciiTheme="minorEastAsia" w:hAnsiTheme="minorEastAsia" w:eastAsiaTheme="minorEastAsia"/>
          <w:color w:val="auto"/>
          <w:kern w:val="0"/>
          <w:sz w:val="24"/>
          <w:highlight w:val="none"/>
          <w:lang w:val="zh-CN"/>
        </w:rPr>
        <w:t>供应商均</w:t>
      </w:r>
      <w:r>
        <w:rPr>
          <w:rFonts w:hint="eastAsia" w:ascii="宋体" w:hAnsi="宋体" w:cs="宋体"/>
          <w:color w:val="auto"/>
          <w:kern w:val="0"/>
          <w:sz w:val="24"/>
          <w:highlight w:val="none"/>
          <w:lang w:val="zh-CN"/>
        </w:rPr>
        <w:t>需按本表格式填写</w:t>
      </w:r>
      <w:r>
        <w:rPr>
          <w:rFonts w:cs="仿宋_GB2312" w:asciiTheme="minorEastAsia" w:hAnsiTheme="minorEastAsia" w:eastAsiaTheme="minorEastAsia"/>
          <w:color w:val="auto"/>
          <w:kern w:val="0"/>
          <w:sz w:val="24"/>
          <w:highlight w:val="none"/>
          <w:lang w:val="zh-CN"/>
        </w:rPr>
        <w:t>。</w:t>
      </w:r>
    </w:p>
    <w:p w14:paraId="669DEFFA">
      <w:pPr>
        <w:spacing w:line="360" w:lineRule="auto"/>
        <w:ind w:right="-874" w:rightChars="-416"/>
        <w:rPr>
          <w:rFonts w:cs="仿宋_GB2312" w:asciiTheme="minorEastAsia" w:hAnsiTheme="minorEastAsia" w:eastAsiaTheme="minorEastAsia"/>
          <w:color w:val="auto"/>
          <w:sz w:val="24"/>
          <w:highlight w:val="none"/>
        </w:rPr>
      </w:pPr>
    </w:p>
    <w:p w14:paraId="620DE638">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磋商供应商名称(公章)： </w:t>
      </w:r>
    </w:p>
    <w:p w14:paraId="7D7882B9">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p>
    <w:p w14:paraId="2A2CA2C7">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748084C">
      <w:pPr>
        <w:spacing w:line="360" w:lineRule="auto"/>
        <w:rPr>
          <w:rFonts w:hint="eastAsia" w:cs="仿宋_GB2312" w:asciiTheme="minorEastAsia" w:hAnsiTheme="minorEastAsia" w:eastAsiaTheme="minorEastAsia"/>
          <w:color w:val="auto"/>
          <w:kern w:val="0"/>
          <w:sz w:val="24"/>
          <w:highlight w:val="none"/>
          <w:lang w:val="zh-CN"/>
        </w:rPr>
      </w:pPr>
    </w:p>
    <w:p w14:paraId="45D324BD">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64092ACE">
      <w:pPr>
        <w:spacing w:line="360" w:lineRule="auto"/>
        <w:ind w:right="-874" w:rightChars="-416"/>
        <w:rPr>
          <w:rFonts w:cs="仿宋_GB2312" w:asciiTheme="minorEastAsia" w:hAnsiTheme="minorEastAsia" w:eastAsiaTheme="minorEastAsia"/>
          <w:color w:val="auto"/>
          <w:kern w:val="0"/>
          <w:sz w:val="24"/>
          <w:highlight w:val="none"/>
          <w:lang w:val="zh-CN"/>
        </w:rPr>
        <w:sectPr>
          <w:footerReference r:id="rId5" w:type="first"/>
          <w:footerReference r:id="rId4" w:type="default"/>
          <w:pgSz w:w="11906" w:h="16838"/>
          <w:pgMar w:top="1417" w:right="1417" w:bottom="1417" w:left="1417" w:header="851" w:footer="992" w:gutter="0"/>
          <w:pgNumType w:fmt="decimal" w:start="1"/>
          <w:cols w:space="0" w:num="1"/>
          <w:titlePg/>
          <w:rtlGutter w:val="0"/>
          <w:docGrid w:linePitch="312" w:charSpace="0"/>
        </w:sectPr>
      </w:pPr>
    </w:p>
    <w:p w14:paraId="0DDF5D56">
      <w:pPr>
        <w:widowControl/>
        <w:adjustRightInd/>
        <w:jc w:val="left"/>
        <w:rPr>
          <w:rFonts w:cs="仿宋_GB2312" w:asciiTheme="minorEastAsia" w:hAnsiTheme="minorEastAsia" w:eastAsiaTheme="minorEastAsia"/>
          <w:b/>
          <w:color w:val="auto"/>
          <w:sz w:val="24"/>
          <w:highlight w:val="none"/>
        </w:rPr>
      </w:pPr>
    </w:p>
    <w:p w14:paraId="71F60E30">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1</w:t>
      </w:r>
      <w:r>
        <w:rPr>
          <w:rFonts w:hint="eastAsia" w:cs="仿宋_GB2312" w:asciiTheme="minorEastAsia" w:hAnsiTheme="minorEastAsia" w:eastAsiaTheme="minorEastAsia"/>
          <w:b/>
          <w:color w:val="auto"/>
          <w:sz w:val="32"/>
          <w:szCs w:val="32"/>
          <w:highlight w:val="none"/>
        </w:rPr>
        <w:t>：</w:t>
      </w:r>
    </w:p>
    <w:p w14:paraId="35D883F5">
      <w:pPr>
        <w:spacing w:line="360" w:lineRule="auto"/>
        <w:rPr>
          <w:rFonts w:asciiTheme="minorEastAsia" w:hAnsiTheme="minorEastAsia" w:eastAsiaTheme="minorEastAsia"/>
          <w:b/>
          <w:color w:val="auto"/>
          <w:spacing w:val="6"/>
          <w:sz w:val="32"/>
          <w:szCs w:val="32"/>
          <w:highlight w:val="none"/>
        </w:rPr>
      </w:pPr>
    </w:p>
    <w:p w14:paraId="5AF7C672">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B37A6ED">
      <w:pPr>
        <w:spacing w:line="360" w:lineRule="auto"/>
        <w:rPr>
          <w:rFonts w:asciiTheme="minorEastAsia" w:hAnsiTheme="minorEastAsia" w:eastAsiaTheme="minorEastAsia"/>
          <w:b/>
          <w:color w:val="auto"/>
          <w:spacing w:val="6"/>
          <w:sz w:val="30"/>
          <w:szCs w:val="30"/>
          <w:highlight w:val="none"/>
        </w:rPr>
      </w:pPr>
    </w:p>
    <w:p w14:paraId="1693F33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9F760A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6FF1B9F0">
      <w:pPr>
        <w:spacing w:line="360" w:lineRule="auto"/>
        <w:ind w:firstLine="480" w:firstLineChars="200"/>
        <w:rPr>
          <w:rFonts w:cs="仿宋_GB2312" w:asciiTheme="minorEastAsia" w:hAnsiTheme="minorEastAsia" w:eastAsiaTheme="minorEastAsia"/>
          <w:color w:val="auto"/>
          <w:sz w:val="24"/>
          <w:highlight w:val="none"/>
        </w:rPr>
      </w:pPr>
    </w:p>
    <w:p w14:paraId="60C8F752">
      <w:pPr>
        <w:spacing w:line="360" w:lineRule="auto"/>
        <w:ind w:firstLine="480" w:firstLineChars="200"/>
        <w:rPr>
          <w:rFonts w:cs="仿宋_GB2312" w:asciiTheme="minorEastAsia" w:hAnsiTheme="minorEastAsia" w:eastAsiaTheme="minorEastAsia"/>
          <w:color w:val="auto"/>
          <w:sz w:val="24"/>
          <w:highlight w:val="none"/>
        </w:rPr>
      </w:pPr>
    </w:p>
    <w:p w14:paraId="4B40EC0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磋商供应商名称(公章)</w:t>
      </w:r>
      <w:r>
        <w:rPr>
          <w:rFonts w:hint="eastAsia" w:cs="仿宋_GB2312" w:asciiTheme="minorEastAsia" w:hAnsiTheme="minorEastAsia" w:eastAsiaTheme="minorEastAsia"/>
          <w:color w:val="auto"/>
          <w:sz w:val="24"/>
          <w:highlight w:val="none"/>
        </w:rPr>
        <w:t>：</w:t>
      </w:r>
    </w:p>
    <w:p w14:paraId="46EC956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2988469">
      <w:pPr>
        <w:spacing w:line="360" w:lineRule="auto"/>
        <w:ind w:firstLine="480" w:firstLineChars="200"/>
        <w:rPr>
          <w:rFonts w:cs="仿宋_GB2312" w:asciiTheme="minorEastAsia" w:hAnsiTheme="minorEastAsia" w:eastAsiaTheme="minorEastAsia"/>
          <w:color w:val="auto"/>
          <w:sz w:val="24"/>
          <w:highlight w:val="none"/>
        </w:rPr>
      </w:pPr>
    </w:p>
    <w:p w14:paraId="6B19020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5D3B084">
      <w:pPr>
        <w:autoSpaceDE w:val="0"/>
        <w:autoSpaceDN w:val="0"/>
        <w:jc w:val="left"/>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2</w:t>
      </w:r>
    </w:p>
    <w:p w14:paraId="765D9F76">
      <w:pPr>
        <w:spacing w:line="360" w:lineRule="auto"/>
        <w:jc w:val="center"/>
        <w:rPr>
          <w:rFonts w:cs="宋体" w:asciiTheme="minorEastAsia" w:hAnsiTheme="minorEastAsia" w:eastAsiaTheme="minorEastAsia"/>
          <w:b/>
          <w:color w:val="auto"/>
          <w:sz w:val="32"/>
          <w:szCs w:val="32"/>
          <w:highlight w:val="none"/>
        </w:rPr>
      </w:pPr>
    </w:p>
    <w:p w14:paraId="7FC709DC">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67A866D">
      <w:pPr>
        <w:spacing w:line="360" w:lineRule="auto"/>
        <w:jc w:val="center"/>
        <w:rPr>
          <w:rFonts w:cs="宋体" w:asciiTheme="minorEastAsia" w:hAnsiTheme="minorEastAsia" w:eastAsiaTheme="minorEastAsia"/>
          <w:b/>
          <w:color w:val="auto"/>
          <w:sz w:val="32"/>
          <w:szCs w:val="32"/>
          <w:highlight w:val="none"/>
        </w:rPr>
      </w:pPr>
    </w:p>
    <w:p w14:paraId="0FD544B7">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EA4F6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FF824C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AACD69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06DF3F4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A1FBC4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0085AC4B">
      <w:pPr>
        <w:spacing w:line="360" w:lineRule="auto"/>
        <w:ind w:right="1760"/>
        <w:jc w:val="right"/>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磋商供应商名称(公章)</w:t>
      </w:r>
      <w:r>
        <w:rPr>
          <w:rFonts w:hint="eastAsia" w:cs="宋体" w:asciiTheme="minorEastAsia" w:hAnsiTheme="minorEastAsia" w:eastAsiaTheme="minorEastAsia"/>
          <w:color w:val="auto"/>
          <w:sz w:val="24"/>
          <w:highlight w:val="none"/>
        </w:rPr>
        <w:t>：</w:t>
      </w:r>
    </w:p>
    <w:p w14:paraId="5022C63A">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204534A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2D5D7D85">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26D4A35">
      <w:pPr>
        <w:spacing w:line="360" w:lineRule="auto"/>
        <w:ind w:right="420"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B7B7DA6">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67AB9E5C">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3</w:t>
      </w:r>
      <w:r>
        <w:rPr>
          <w:rFonts w:hint="eastAsia" w:cs="仿宋_GB2312" w:asciiTheme="minorEastAsia" w:hAnsiTheme="minorEastAsia" w:eastAsiaTheme="minorEastAsia"/>
          <w:b/>
          <w:color w:val="auto"/>
          <w:sz w:val="32"/>
          <w:szCs w:val="32"/>
          <w:highlight w:val="none"/>
        </w:rPr>
        <w:t>：</w:t>
      </w:r>
    </w:p>
    <w:p w14:paraId="1CAB64FA">
      <w:pPr>
        <w:spacing w:line="360" w:lineRule="auto"/>
        <w:jc w:val="left"/>
        <w:rPr>
          <w:rFonts w:cs="仿宋_GB2312" w:asciiTheme="minorEastAsia" w:hAnsiTheme="minorEastAsia" w:eastAsiaTheme="minorEastAsia"/>
          <w:b/>
          <w:color w:val="auto"/>
          <w:sz w:val="24"/>
          <w:highlight w:val="none"/>
        </w:rPr>
      </w:pPr>
    </w:p>
    <w:p w14:paraId="22FA1FE7">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684E8809">
      <w:pPr>
        <w:autoSpaceDE w:val="0"/>
        <w:autoSpaceDN w:val="0"/>
        <w:jc w:val="center"/>
        <w:rPr>
          <w:rFonts w:asciiTheme="minorEastAsia" w:hAnsiTheme="minorEastAsia" w:eastAsiaTheme="minorEastAsia"/>
          <w:b/>
          <w:bCs/>
          <w:color w:val="auto"/>
          <w:sz w:val="32"/>
          <w:szCs w:val="32"/>
          <w:highlight w:val="none"/>
        </w:rPr>
      </w:pPr>
    </w:p>
    <w:p w14:paraId="2E7363D8">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C694E9C">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843F64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8AE3A81">
      <w:pPr>
        <w:spacing w:line="360" w:lineRule="auto"/>
        <w:ind w:firstLine="494"/>
        <w:rPr>
          <w:rFonts w:cs="宋体" w:asciiTheme="minorEastAsia" w:hAnsiTheme="minorEastAsia" w:eastAsiaTheme="minorEastAsia"/>
          <w:color w:val="auto"/>
          <w:sz w:val="24"/>
          <w:highlight w:val="none"/>
        </w:rPr>
      </w:pPr>
    </w:p>
    <w:p w14:paraId="45B6C95E">
      <w:pPr>
        <w:spacing w:line="360" w:lineRule="auto"/>
        <w:ind w:firstLine="494"/>
        <w:rPr>
          <w:rFonts w:cs="宋体" w:asciiTheme="minorEastAsia" w:hAnsiTheme="minorEastAsia" w:eastAsiaTheme="minorEastAsia"/>
          <w:color w:val="auto"/>
          <w:sz w:val="24"/>
          <w:highlight w:val="none"/>
        </w:rPr>
      </w:pPr>
    </w:p>
    <w:p w14:paraId="27AD1E7B">
      <w:pPr>
        <w:spacing w:line="360" w:lineRule="auto"/>
        <w:ind w:firstLine="494"/>
        <w:rPr>
          <w:rFonts w:cs="宋体" w:asciiTheme="minorEastAsia" w:hAnsiTheme="minorEastAsia" w:eastAsiaTheme="minorEastAsia"/>
          <w:color w:val="auto"/>
          <w:sz w:val="24"/>
          <w:highlight w:val="none"/>
        </w:rPr>
      </w:pPr>
    </w:p>
    <w:p w14:paraId="41C8AEA3">
      <w:pPr>
        <w:spacing w:line="360" w:lineRule="auto"/>
        <w:ind w:firstLine="494"/>
        <w:rPr>
          <w:rFonts w:cs="宋体" w:asciiTheme="minorEastAsia" w:hAnsiTheme="minorEastAsia" w:eastAsiaTheme="minorEastAsia"/>
          <w:color w:val="auto"/>
          <w:sz w:val="24"/>
          <w:highlight w:val="none"/>
        </w:rPr>
      </w:pPr>
    </w:p>
    <w:p w14:paraId="62602368">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061A3C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B9F6966">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70A4B61">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a/nn8zMCAABwBAAADgAAAGRycy9lMm9Eb2MueG1srVTB&#10;jtMwEL0j8Q+W7zRtSLtstOlq1aoIaYGVFj7AdZzGwvaYsdu0/AwSNz6Cz0H8BhOnu3QXDnsgB8vj&#10;GT/PezOTi8u9NWynMGhwFZ+MxpwpJ6HWblPxjx9WL15xFqJwtTDgVMUPKvDL+fNnF50vVQ4tmFoh&#10;IxAXys5XvI3Rl1kWZKusCCPwypGzAbQikombrEbREbo1WT4ez7IOsPYIUoVAp8vByY+I+BRAaBot&#10;1RLk1ioXB1RURkSiFFrtA5+nbJtGyfi+aYKKzFScmMa00iO0X/drNr8Q5QaFb7U8piCeksIjTlZo&#10;R4/eQy1FFGyL+i8oqyVCgCaOJNhsIJIUIRaT8SNtblvhVeJCUgd/L3r4f7Dy3e4Gma4rXnDmhKWC&#10;//r6/eePb6zotel8KCnk1t9gzy74a5CfAnOwaIXbqCtE6Folaspo0sdnDy70RqCrbN29hZqgxTZC&#10;kmnfoO0BSQC2T9U43FdD7SOTdJifjYtiNuVMki/Ppy9nk2l6Q5R31z2G+FqBZf2m4kjlTvBidx1i&#10;n44o70JS+mB0vdLGJAM364VBthPUGqv0HdHDaZhxrKv4+TSfJuQHvnAKMU7fvyCsjjQxRluicRpk&#10;3FGwXqNB6zXUB9ILYWhUGlPatIBfOOuoSSsePm8FKs7MG0ean0+Kou/qZBTTs5wMPPWsTz3CSYKq&#10;eORs2C7iMAlbj3rT0kuTxNHBFdWp0UnBvoZDVsdkqRGTsMeh6Tv91E5Rf34U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1kA8/2AAAAAoBAAAPAAAAAAAAAAEAIAAAACIAAABkcnMvZG93bnJldi54&#10;bWxQSwECFAAUAAAACACHTuJAa/nn8zMCAABwBAAADgAAAAAAAAABACAAAAAnAQAAZHJzL2Uyb0Rv&#10;Yy54bWxQSwUGAAAAAAYABgBZAQAAzAU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7jjpuzQCAABwBAAADgAAAGRycy9lMm9Eb2MueG1srVTN&#10;jtMwEL4j8Q6W72za0B8aNV2tWi1CWmClhQdwHaexsD1m7DYtL4PEjYfgcRCvwcTplu7CYQ/kYHk8&#10;48/zfTOT+eXeGrZTGDS4kg8vBpwpJ6HSblPyjx+uX7ziLEThKmHAqZIfVOCXi+fP5q0vVA4NmEoh&#10;IxAXitaXvInRF1kWZKOsCBfglSNnDWhFJBM3WYWiJXRrsnwwmGQtYOURpAqBTle9kx8R8SmAUNda&#10;qhXIrVUu9qiojIhEKTTaB75I2da1kvF9XQcVmSk5MY1ppUdov+7WbDEXxQaFb7Q8piCeksIjTlZo&#10;R4+eoFYiCrZF/ReU1RIhQB0vJNisJ5IUIRbDwSNt7hrhVeJCUgd/Ej38P1j5bneLTFcln3LmhKWC&#10;//r6/eePb2zaadP6UFDInb/Fjl3wNyA/BeZg2Qi3UVeI0DZKVJTRsIvPHlzojEBX2bp9CxVBi22E&#10;JNO+RtsBkgBsn6pxOFVD7SOTdJhPRtPZmAolyZfn45eT4Ti9IYr76x5DfK3Asm5TcqRyJ3ixuwmx&#10;S0cU9yEpfTC6utbGJAM366VBthPUGtfpO6KH8zDjWFvy2TgfJ+QHvnAOMUjfvyCsjjQxRluicR5k&#10;3FGwTqNe6zVUB9ILoW9UGlPaNIBfOGupSUsePm8FKs7MG0eaz4ajUdfVyRiNpzkZeO5Zn3uEkwRV&#10;8shZv13GfhK2HvWmoZeGiaODK6pTrZOCXQ37rI7JUiMmYY9D03X6uZ2i/vwo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O446bs0AgAAcAQAAA4AAAAAAAAAAQAgAAAAJwEAAGRycy9lMm9E&#10;b2MueG1sUEsFBgAAAAAGAAYAWQEAAM0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7185BFC3">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430D5065">
      <w:pPr>
        <w:snapToGrid w:val="0"/>
        <w:spacing w:line="360" w:lineRule="auto"/>
        <w:jc w:val="center"/>
        <w:rPr>
          <w:rFonts w:cs="仿宋_GB2312" w:asciiTheme="minorEastAsia" w:hAnsiTheme="minorEastAsia" w:eastAsiaTheme="minorEastAsia"/>
          <w:b/>
          <w:color w:val="auto"/>
          <w:sz w:val="24"/>
          <w:highlight w:val="none"/>
        </w:rPr>
      </w:pPr>
    </w:p>
    <w:p w14:paraId="1D3EF6A8">
      <w:pPr>
        <w:widowControl/>
        <w:adjustRightInd/>
        <w:jc w:val="left"/>
        <w:rPr>
          <w:rFonts w:cs="仿宋_GB2312" w:asciiTheme="minorEastAsia" w:hAnsiTheme="minorEastAsia" w:eastAsiaTheme="minorEastAsia"/>
          <w:b/>
          <w:color w:val="auto"/>
          <w:sz w:val="24"/>
          <w:highlight w:val="none"/>
        </w:rPr>
      </w:pPr>
    </w:p>
    <w:sectPr>
      <w:pgSz w:w="11906"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altName w:val="仿宋_GB2312"/>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9B4F3">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1011B">
                          <w:pPr>
                            <w:pStyle w:val="3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51011B">
                    <w:pPr>
                      <w:pStyle w:val="3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80F4">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3342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73342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40BD">
    <w:pPr>
      <w:pStyle w:val="3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F7E4FE8"/>
    <w:multiLevelType w:val="singleLevel"/>
    <w:tmpl w:val="0F7E4FE8"/>
    <w:lvl w:ilvl="0" w:tentative="0">
      <w:start w:val="7"/>
      <w:numFmt w:val="chineseCounting"/>
      <w:suff w:val="space"/>
      <w:lvlText w:val="第%1条"/>
      <w:lvlJc w:val="left"/>
      <w:rPr>
        <w:rFonts w:hint="eastAsia"/>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FfCpq7Hjc9QZQrmwizfZd3yyzn4=" w:salt="5yy5N+NUGWi9NvuvIbu9lQ=="/>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6D2"/>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ACE"/>
    <w:rsid w:val="00273C5F"/>
    <w:rsid w:val="00274C6D"/>
    <w:rsid w:val="00274C70"/>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AA"/>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4A"/>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91F"/>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5FBD"/>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337"/>
    <w:rsid w:val="00882474"/>
    <w:rsid w:val="008824DF"/>
    <w:rsid w:val="00884371"/>
    <w:rsid w:val="00884D47"/>
    <w:rsid w:val="00884FD4"/>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40EE"/>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2F6B"/>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20D"/>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269"/>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07F0A"/>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6BA2"/>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4B95"/>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4949"/>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725"/>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4E64"/>
    <w:rsid w:val="00E05A06"/>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422"/>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2DA0C0E"/>
    <w:rsid w:val="03DD35E4"/>
    <w:rsid w:val="04FF212C"/>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1A10400"/>
    <w:rsid w:val="127723A9"/>
    <w:rsid w:val="13072A44"/>
    <w:rsid w:val="132F4D9D"/>
    <w:rsid w:val="13BC3675"/>
    <w:rsid w:val="145044FA"/>
    <w:rsid w:val="186742B0"/>
    <w:rsid w:val="19D61256"/>
    <w:rsid w:val="1B2A271F"/>
    <w:rsid w:val="1B890139"/>
    <w:rsid w:val="1BF011CD"/>
    <w:rsid w:val="1D266CE1"/>
    <w:rsid w:val="1D3963AF"/>
    <w:rsid w:val="1E3F780D"/>
    <w:rsid w:val="1E714A66"/>
    <w:rsid w:val="1EF818CE"/>
    <w:rsid w:val="1FE868A9"/>
    <w:rsid w:val="211E26D6"/>
    <w:rsid w:val="21283D08"/>
    <w:rsid w:val="25B440B3"/>
    <w:rsid w:val="2AA1365A"/>
    <w:rsid w:val="2D774FDA"/>
    <w:rsid w:val="2DD15014"/>
    <w:rsid w:val="2FD25781"/>
    <w:rsid w:val="301A71E6"/>
    <w:rsid w:val="319C6071"/>
    <w:rsid w:val="32DB72BE"/>
    <w:rsid w:val="342E63AB"/>
    <w:rsid w:val="345D260B"/>
    <w:rsid w:val="347B4A7C"/>
    <w:rsid w:val="365302AE"/>
    <w:rsid w:val="37F142D2"/>
    <w:rsid w:val="39A13F14"/>
    <w:rsid w:val="3B183024"/>
    <w:rsid w:val="3C5F759A"/>
    <w:rsid w:val="3D5C78D4"/>
    <w:rsid w:val="3ECF5844"/>
    <w:rsid w:val="3FFF72A6"/>
    <w:rsid w:val="42E1381E"/>
    <w:rsid w:val="42E142C5"/>
    <w:rsid w:val="43FB717C"/>
    <w:rsid w:val="451E447A"/>
    <w:rsid w:val="45345B76"/>
    <w:rsid w:val="47307808"/>
    <w:rsid w:val="48012A94"/>
    <w:rsid w:val="486F747C"/>
    <w:rsid w:val="487C3CE4"/>
    <w:rsid w:val="4D861CF6"/>
    <w:rsid w:val="4E2476C6"/>
    <w:rsid w:val="4FA56238"/>
    <w:rsid w:val="51A0432A"/>
    <w:rsid w:val="527140E5"/>
    <w:rsid w:val="5292508F"/>
    <w:rsid w:val="52A96B6F"/>
    <w:rsid w:val="52DA44E6"/>
    <w:rsid w:val="54CD4A28"/>
    <w:rsid w:val="550764A4"/>
    <w:rsid w:val="551926E0"/>
    <w:rsid w:val="561279B9"/>
    <w:rsid w:val="56515F3B"/>
    <w:rsid w:val="572B71CA"/>
    <w:rsid w:val="57763155"/>
    <w:rsid w:val="57B04BED"/>
    <w:rsid w:val="57E958DA"/>
    <w:rsid w:val="58AE4F0C"/>
    <w:rsid w:val="5947124D"/>
    <w:rsid w:val="5A2A7C7B"/>
    <w:rsid w:val="5C80234E"/>
    <w:rsid w:val="5D1D42CB"/>
    <w:rsid w:val="5E261785"/>
    <w:rsid w:val="5FCC5339"/>
    <w:rsid w:val="5FE70807"/>
    <w:rsid w:val="60E53485"/>
    <w:rsid w:val="61054A27"/>
    <w:rsid w:val="611D2366"/>
    <w:rsid w:val="62885958"/>
    <w:rsid w:val="64CE2EAA"/>
    <w:rsid w:val="662E75B1"/>
    <w:rsid w:val="66342C2E"/>
    <w:rsid w:val="663E784C"/>
    <w:rsid w:val="685867EC"/>
    <w:rsid w:val="6BCB3A02"/>
    <w:rsid w:val="6E8E12EF"/>
    <w:rsid w:val="6F65297D"/>
    <w:rsid w:val="71D43752"/>
    <w:rsid w:val="73DD6243"/>
    <w:rsid w:val="74200410"/>
    <w:rsid w:val="743055A7"/>
    <w:rsid w:val="749C4185"/>
    <w:rsid w:val="75DA2C18"/>
    <w:rsid w:val="7605620A"/>
    <w:rsid w:val="773B78A9"/>
    <w:rsid w:val="775319EF"/>
    <w:rsid w:val="790F1C77"/>
    <w:rsid w:val="7A67303B"/>
    <w:rsid w:val="7AAB1D04"/>
    <w:rsid w:val="7ABA4368"/>
    <w:rsid w:val="7B257FFD"/>
    <w:rsid w:val="7C2B1DA5"/>
    <w:rsid w:val="7DF4317E"/>
    <w:rsid w:val="7E64308B"/>
    <w:rsid w:val="7F82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link w:val="636"/>
    <w:qFormat/>
    <w:uiPriority w:val="99"/>
    <w:pPr>
      <w:tabs>
        <w:tab w:val="center" w:pos="4153"/>
        <w:tab w:val="right" w:pos="8306"/>
      </w:tabs>
      <w:snapToGrid w:val="0"/>
      <w:jc w:val="left"/>
    </w:pPr>
    <w:rPr>
      <w:sz w:val="18"/>
      <w:szCs w:val="18"/>
    </w:rPr>
  </w:style>
  <w:style w:type="paragraph" w:styleId="38">
    <w:name w:val="header"/>
    <w:basedOn w:val="1"/>
    <w:link w:val="637"/>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next w:val="1"/>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23"/>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character" w:customStyle="1" w:styleId="636">
    <w:name w:val="页脚 Char2"/>
    <w:link w:val="37"/>
    <w:qFormat/>
    <w:locked/>
    <w:uiPriority w:val="99"/>
    <w:rPr>
      <w:kern w:val="2"/>
      <w:sz w:val="18"/>
      <w:szCs w:val="18"/>
    </w:rPr>
  </w:style>
  <w:style w:type="character" w:customStyle="1" w:styleId="637">
    <w:name w:val="页眉 Char2"/>
    <w:link w:val="38"/>
    <w:qFormat/>
    <w:uiPriority w:val="99"/>
    <w:rPr>
      <w:kern w:val="2"/>
      <w:sz w:val="18"/>
      <w:szCs w:val="18"/>
    </w:rPr>
  </w:style>
  <w:style w:type="table" w:customStyle="1" w:styleId="638">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4C4EB-AE93-487C-929B-1516B443BD4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7215</Words>
  <Characters>8107</Characters>
  <Lines>386</Lines>
  <Paragraphs>108</Paragraphs>
  <TotalTime>53</TotalTime>
  <ScaleCrop>false</ScaleCrop>
  <LinksUpToDate>false</LinksUpToDate>
  <CharactersWithSpaces>8282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陈彦</cp:lastModifiedBy>
  <cp:lastPrinted>2021-10-22T18:37:00Z</cp:lastPrinted>
  <dcterms:modified xsi:type="dcterms:W3CDTF">2025-08-14T04:43:46Z</dcterms:modified>
  <dc:title>北海市政府采购中心</dc:title>
  <cp:revision>775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A40DD065588E48E1A31DFC6DE7F44309_13</vt:lpwstr>
  </property>
  <property fmtid="{D5CDD505-2E9C-101B-9397-08002B2CF9AE}" pid="4" name="KSOTemplateDocerSaveRecord">
    <vt:lpwstr>eyJoZGlkIjoiMTljMTY3MWI0NGEzZDZkZTJkNTM2M2Y3MjgwNGQ1N2QiLCJ1c2VySWQiOiI0MTc4NDQzNjAifQ==</vt:lpwstr>
  </property>
</Properties>
</file>