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317DE">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34BE9BA3">
      <w:pPr>
        <w:spacing w:line="360" w:lineRule="auto"/>
        <w:jc w:val="center"/>
        <w:rPr>
          <w:rFonts w:hint="eastAsia" w:ascii="宋体" w:hAnsi="宋体" w:cs="仿宋_GB2312"/>
          <w:b/>
          <w:bCs/>
          <w:color w:val="000000" w:themeColor="text1"/>
          <w:w w:val="95"/>
          <w:sz w:val="48"/>
          <w:szCs w:val="48"/>
          <w:lang w:val="zh-CN" w:eastAsia="zh-CN"/>
          <w14:textFill>
            <w14:solidFill>
              <w14:schemeClr w14:val="tx1"/>
            </w14:solidFill>
          </w14:textFill>
        </w:rPr>
      </w:pPr>
      <w:r>
        <w:rPr>
          <w:rFonts w:hint="eastAsia" w:ascii="宋体" w:hAnsi="宋体" w:cs="仿宋_GB2312"/>
          <w:b/>
          <w:bCs/>
          <w:color w:val="000000" w:themeColor="text1"/>
          <w:w w:val="95"/>
          <w:sz w:val="48"/>
          <w:szCs w:val="48"/>
          <w:lang w:val="zh-CN" w:eastAsia="zh-CN"/>
          <w14:textFill>
            <w14:solidFill>
              <w14:schemeClr w14:val="tx1"/>
            </w14:solidFill>
          </w14:textFill>
        </w:rPr>
        <w:t>新建合浦至湛江铁路—铁山港跨海特大桥</w:t>
      </w:r>
    </w:p>
    <w:p w14:paraId="10677556">
      <w:pPr>
        <w:spacing w:line="360" w:lineRule="auto"/>
        <w:jc w:val="center"/>
        <w:rPr>
          <w:rFonts w:hint="default" w:ascii="宋体" w:hAnsi="宋体" w:cs="仿宋_GB2312"/>
          <w:b/>
          <w:bCs/>
          <w:color w:val="000000" w:themeColor="text1"/>
          <w:w w:val="95"/>
          <w:sz w:val="48"/>
          <w:szCs w:val="48"/>
          <w:lang w:val="en-US" w:eastAsia="zh-CN"/>
          <w14:textFill>
            <w14:solidFill>
              <w14:schemeClr w14:val="tx1"/>
            </w14:solidFill>
          </w14:textFill>
        </w:rPr>
      </w:pPr>
      <w:bookmarkStart w:id="181" w:name="_GoBack"/>
      <w:bookmarkEnd w:id="181"/>
      <w:r>
        <w:rPr>
          <w:rFonts w:hint="eastAsia" w:ascii="宋体" w:hAnsi="宋体" w:cs="仿宋_GB2312"/>
          <w:b/>
          <w:bCs/>
          <w:color w:val="000000" w:themeColor="text1"/>
          <w:w w:val="95"/>
          <w:sz w:val="48"/>
          <w:szCs w:val="48"/>
          <w:lang w:val="zh-CN" w:eastAsia="zh-CN"/>
          <w14:textFill>
            <w14:solidFill>
              <w14:schemeClr w14:val="tx1"/>
            </w14:solidFill>
          </w14:textFill>
        </w:rPr>
        <w:t>工程红树林试验性移植项目</w:t>
      </w:r>
    </w:p>
    <w:p w14:paraId="25BA923E">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14:textFill>
            <w14:solidFill>
              <w14:schemeClr w14:val="tx1"/>
            </w14:solidFill>
          </w14:textFill>
        </w:rPr>
        <w:t>文件</w:t>
      </w:r>
    </w:p>
    <w:p w14:paraId="67502DF1">
      <w:pPr>
        <w:adjustRightInd/>
        <w:spacing w:line="360" w:lineRule="auto"/>
        <w:jc w:val="center"/>
        <w:rPr>
          <w:rFonts w:hint="eastAsia" w:ascii="宋体" w:hAnsi="宋体" w:eastAsia="宋体" w:cs="宋体"/>
          <w:sz w:val="32"/>
          <w:lang w:eastAsia="zh-CN"/>
        </w:rPr>
      </w:pPr>
      <w:r>
        <w:rPr>
          <w:rFonts w:hint="eastAsia" w:ascii="宋体" w:hAnsi="宋体" w:eastAsia="宋体" w:cs="宋体"/>
          <w:sz w:val="32"/>
          <w:lang w:eastAsia="zh-CN"/>
        </w:rPr>
        <w:drawing>
          <wp:inline distT="0" distB="0" distL="114300" distR="114300">
            <wp:extent cx="1641475" cy="1644015"/>
            <wp:effectExtent l="0" t="0" r="15875" b="13335"/>
            <wp:docPr id="20" name="图片 20" descr="a71b7dfbdd1443345c8fce859a41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71b7dfbdd1443345c8fce859a41ee1"/>
                    <pic:cNvPicPr>
                      <a:picLocks noChangeAspect="1"/>
                    </pic:cNvPicPr>
                  </pic:nvPicPr>
                  <pic:blipFill>
                    <a:blip r:embed="rId12"/>
                    <a:stretch>
                      <a:fillRect/>
                    </a:stretch>
                  </pic:blipFill>
                  <pic:spPr>
                    <a:xfrm>
                      <a:off x="0" y="0"/>
                      <a:ext cx="1641475" cy="1644015"/>
                    </a:xfrm>
                    <a:prstGeom prst="rect">
                      <a:avLst/>
                    </a:prstGeom>
                    <a:noFill/>
                    <a:ln>
                      <a:noFill/>
                    </a:ln>
                  </pic:spPr>
                </pic:pic>
              </a:graphicData>
            </a:graphic>
          </wp:inline>
        </w:drawing>
      </w:r>
    </w:p>
    <w:p w14:paraId="0664D51E">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（电子交易）</w:t>
      </w:r>
    </w:p>
    <w:p w14:paraId="4C1DF8BD">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p>
    <w:p w14:paraId="40729807">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w:t>
      </w:r>
      <w:r>
        <w:rPr>
          <w:rFonts w:hint="eastAsia" w:cs="仿宋_GB2312" w:asciiTheme="minorEastAsia" w:hAnsiTheme="minorEastAsia" w:eastAsiaTheme="minorEastAsia"/>
          <w:color w:val="000000" w:themeColor="text1"/>
          <w:sz w:val="30"/>
          <w:szCs w:val="30"/>
          <w14:textFill>
            <w14:solidFill>
              <w14:schemeClr w14:val="tx1"/>
            </w14:solidFill>
          </w14:textFill>
        </w:rPr>
        <w:fldChar w:fldCharType="begin"/>
      </w:r>
      <w:r>
        <w:rPr>
          <w:rFonts w:hint="eastAsia" w:cs="仿宋_GB2312" w:asciiTheme="minorEastAsia" w:hAnsiTheme="minorEastAsia" w:eastAsiaTheme="minorEastAsia"/>
          <w:color w:val="000000" w:themeColor="text1"/>
          <w:sz w:val="30"/>
          <w:szCs w:val="30"/>
          <w14:textFill>
            <w14:solidFill>
              <w14:schemeClr w14:val="tx1"/>
            </w14:solidFill>
          </w14:textFill>
        </w:rPr>
        <w:instrText xml:space="preserve"> HYPERLINK "https://pay.gcy.zfcg.gxzf.gov.cn/purchaseplan_front/" \l "/plan/list/view?id=1000000000025773633&amp;_app_=zcy.procurement" \t "https://www.gcy.zfcg.gxzf.gov.cn/delegation-order/_procurement_/order/_blank" </w:instrText>
      </w:r>
      <w:r>
        <w:rPr>
          <w:rFonts w:hint="eastAsia" w:cs="仿宋_GB2312" w:asciiTheme="minorEastAsia" w:hAnsiTheme="minorEastAsia" w:eastAsiaTheme="minorEastAsia"/>
          <w:color w:val="000000" w:themeColor="text1"/>
          <w:sz w:val="30"/>
          <w:szCs w:val="30"/>
          <w14:textFill>
            <w14:solidFill>
              <w14:schemeClr w14:val="tx1"/>
            </w14:solidFill>
          </w14:textFill>
        </w:rPr>
        <w:fldChar w:fldCharType="separate"/>
      </w:r>
      <w:r>
        <w:rPr>
          <w:rFonts w:hint="eastAsia" w:cs="仿宋_GB2312" w:asciiTheme="minorEastAsia" w:hAnsiTheme="minorEastAsia" w:eastAsiaTheme="minorEastAsia"/>
          <w:color w:val="000000" w:themeColor="text1"/>
          <w:sz w:val="30"/>
          <w:szCs w:val="30"/>
          <w:lang w:eastAsia="zh-CN"/>
          <w14:textFill>
            <w14:solidFill>
              <w14:schemeClr w14:val="tx1"/>
            </w14:solidFill>
          </w14:textFill>
        </w:rPr>
        <w:t>BHZC2025-C3-990172-BHZG</w:t>
      </w:r>
      <w:r>
        <w:rPr>
          <w:rFonts w:hint="eastAsia" w:cs="仿宋_GB2312" w:asciiTheme="minorEastAsia" w:hAnsiTheme="minorEastAsia" w:eastAsiaTheme="minorEastAsia"/>
          <w:color w:val="000000" w:themeColor="text1"/>
          <w:sz w:val="30"/>
          <w:szCs w:val="30"/>
          <w14:textFill>
            <w14:solidFill>
              <w14:schemeClr w14:val="tx1"/>
            </w14:solidFill>
          </w14:textFill>
        </w:rPr>
        <w:fldChar w:fldCharType="end"/>
      </w:r>
    </w:p>
    <w:p w14:paraId="79AAB620">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14:paraId="3C5E9651">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56A85C64">
      <w:pPr>
        <w:snapToGrid w:val="0"/>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p>
    <w:p w14:paraId="0C9247C4">
      <w:pPr>
        <w:adjustRightInd w:val="0"/>
        <w:snapToGrid w:val="0"/>
        <w:spacing w:line="480" w:lineRule="auto"/>
        <w:ind w:firstLine="960" w:firstLineChars="300"/>
        <w:jc w:val="both"/>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采购人：北海市交通运输局</w:t>
      </w:r>
    </w:p>
    <w:p w14:paraId="0CA48F23">
      <w:pPr>
        <w:adjustRightInd w:val="0"/>
        <w:spacing w:line="480" w:lineRule="auto"/>
        <w:ind w:firstLine="960" w:firstLineChars="300"/>
        <w:jc w:val="both"/>
        <w:rPr>
          <w:rFonts w:hint="eastAsia" w:ascii="宋体" w:hAnsi="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：北海中桂工程管理咨询有限公司</w:t>
      </w:r>
    </w:p>
    <w:p w14:paraId="7B37A87C">
      <w:pPr>
        <w:snapToGrid w:val="0"/>
        <w:spacing w:line="360" w:lineRule="auto"/>
        <w:jc w:val="center"/>
        <w:rPr>
          <w:rFonts w:cs="仿宋_GB2312" w:asciiTheme="minorEastAsia" w:hAnsiTheme="minorEastAsia" w:eastAsiaTheme="minorEastAsia"/>
          <w:bCs/>
          <w:color w:val="000000" w:themeColor="text1"/>
          <w:sz w:val="32"/>
          <w:szCs w:val="32"/>
          <w14:textFill>
            <w14:solidFill>
              <w14:schemeClr w14:val="tx1"/>
            </w14:solidFill>
          </w14:textFill>
        </w:rPr>
      </w:pP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宋体" w:asciiTheme="minorEastAsia" w:hAnsiTheme="minorEastAsia" w:eastAsiaTheme="minorEastAsia"/>
          <w:bCs/>
          <w:color w:val="000000" w:themeColor="text1"/>
          <w:sz w:val="32"/>
          <w:szCs w:val="32"/>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五</w:t>
      </w:r>
      <w:r>
        <w:rPr>
          <w:rFonts w:hint="eastAsia" w:cs="仿宋_GB2312" w:asciiTheme="minorEastAsia" w:hAnsiTheme="minorEastAsia" w:eastAsiaTheme="minorEastAsia"/>
          <w:bCs/>
          <w:color w:val="000000" w:themeColor="text1"/>
          <w:sz w:val="32"/>
          <w:szCs w:val="32"/>
          <w14:textFill>
            <w14:solidFill>
              <w14:schemeClr w14:val="tx1"/>
            </w14:solidFill>
          </w14:textFill>
        </w:rPr>
        <w:t>年</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七</w:t>
      </w:r>
      <w:r>
        <w:rPr>
          <w:rFonts w:hint="eastAsia" w:cs="仿宋_GB2312" w:asciiTheme="minorEastAsia" w:hAnsiTheme="minorEastAsia" w:eastAsiaTheme="minorEastAsia"/>
          <w:bCs/>
          <w:color w:val="000000" w:themeColor="text1"/>
          <w:sz w:val="32"/>
          <w:szCs w:val="32"/>
          <w14:textFill>
            <w14:solidFill>
              <w14:schemeClr w14:val="tx1"/>
            </w14:solidFill>
          </w14:textFill>
        </w:rPr>
        <w:t>月</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二十八</w:t>
      </w:r>
      <w:r>
        <w:rPr>
          <w:rFonts w:hint="eastAsia" w:cs="仿宋_GB2312" w:asciiTheme="minorEastAsia" w:hAnsiTheme="minorEastAsia" w:eastAsiaTheme="minorEastAsia"/>
          <w:bCs/>
          <w:color w:val="000000" w:themeColor="text1"/>
          <w:sz w:val="32"/>
          <w:szCs w:val="32"/>
          <w14:textFill>
            <w14:solidFill>
              <w14:schemeClr w14:val="tx1"/>
            </w14:solidFill>
          </w14:textFill>
        </w:rPr>
        <w:t>日</w:t>
      </w:r>
    </w:p>
    <w:p w14:paraId="0CCAA3E6">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sectPr>
          <w:footerReference r:id="rId3" w:type="even"/>
          <w:pgSz w:w="11906" w:h="16838"/>
          <w:pgMar w:top="1247" w:right="1418" w:bottom="1276" w:left="1418" w:header="851" w:footer="992" w:gutter="0"/>
          <w:cols w:space="720" w:num="1"/>
          <w:titlePg/>
          <w:docGrid w:linePitch="312" w:charSpace="0"/>
        </w:sectPr>
      </w:pPr>
    </w:p>
    <w:p w14:paraId="01375426">
      <w:pPr>
        <w:pStyle w:val="2"/>
        <w:numPr>
          <w:ilvl w:val="3"/>
          <w:numId w:val="0"/>
        </w:numPr>
        <w:ind w:leftChars="0"/>
      </w:pPr>
    </w:p>
    <w:p w14:paraId="32FBAA10">
      <w:pPr>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bookmarkStart w:id="0" w:name="_Hlt91233176"/>
      <w:bookmarkEnd w:id="0"/>
      <w:bookmarkStart w:id="1"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hint="eastAsia" w:cs="仿宋_GB2312" w:asciiTheme="minorEastAsia" w:hAnsiTheme="minorEastAsia" w:eastAsiaTheme="minorEastAsia"/>
          <w:color w:val="000000" w:themeColor="text1"/>
          <w:sz w:val="32"/>
          <w:szCs w:val="32"/>
          <w14:textFill>
            <w14:solidFill>
              <w14:schemeClr w14:val="tx1"/>
            </w14:solidFill>
          </w14:textFill>
        </w:rPr>
        <w:instrText xml:space="preserve">TOC \o "1-1" \h \z \u</w:instrText>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p>
    <w:sdt>
      <w:sdtPr>
        <w:rPr>
          <w:rFonts w:ascii="宋体" w:hAnsi="宋体" w:eastAsia="宋体" w:cs="Times New Roman"/>
          <w:kern w:val="2"/>
          <w:sz w:val="21"/>
          <w:szCs w:val="24"/>
          <w:lang w:val="en-US" w:eastAsia="zh-CN" w:bidi="ar-SA"/>
        </w:rPr>
        <w:id w:val="147452485"/>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64403EE9">
          <w:pPr>
            <w:spacing w:before="0" w:beforeLines="0" w:after="0" w:afterLines="0" w:line="240" w:lineRule="auto"/>
            <w:ind w:left="0" w:leftChars="0" w:right="0" w:rightChars="0" w:firstLine="0" w:firstLineChars="0"/>
            <w:jc w:val="center"/>
          </w:pPr>
        </w:p>
        <w:p w14:paraId="4FDE11DB">
          <w:pPr>
            <w:pStyle w:val="41"/>
            <w:tabs>
              <w:tab w:val="right" w:leader="dot" w:pos="9070"/>
            </w:tabs>
            <w:spacing w:line="480" w:lineRule="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_Toc7081 </w:instrText>
          </w:r>
          <w:r>
            <w:rPr>
              <w:sz w:val="28"/>
              <w:szCs w:val="28"/>
            </w:rPr>
            <w:fldChar w:fldCharType="separate"/>
          </w:r>
          <w:r>
            <w:rPr>
              <w:rFonts w:hint="eastAsia" w:cs="仿宋_GB2312" w:asciiTheme="minorEastAsia" w:hAnsiTheme="minorEastAsia" w:eastAsiaTheme="minorEastAsia"/>
              <w:sz w:val="28"/>
              <w:szCs w:val="28"/>
            </w:rPr>
            <w:t>第一部分  竞争性磋商公告</w:t>
          </w:r>
          <w:r>
            <w:rPr>
              <w:sz w:val="28"/>
              <w:szCs w:val="28"/>
            </w:rPr>
            <w:tab/>
          </w:r>
          <w:r>
            <w:rPr>
              <w:sz w:val="28"/>
              <w:szCs w:val="28"/>
            </w:rPr>
            <w:fldChar w:fldCharType="begin"/>
          </w:r>
          <w:r>
            <w:rPr>
              <w:sz w:val="28"/>
              <w:szCs w:val="28"/>
            </w:rPr>
            <w:instrText xml:space="preserve"> PAGEREF _Toc7081 \h </w:instrText>
          </w:r>
          <w:r>
            <w:rPr>
              <w:sz w:val="28"/>
              <w:szCs w:val="28"/>
            </w:rPr>
            <w:fldChar w:fldCharType="separate"/>
          </w:r>
          <w:r>
            <w:rPr>
              <w:sz w:val="28"/>
              <w:szCs w:val="28"/>
            </w:rPr>
            <w:t>2</w:t>
          </w:r>
          <w:r>
            <w:rPr>
              <w:sz w:val="28"/>
              <w:szCs w:val="28"/>
            </w:rPr>
            <w:fldChar w:fldCharType="end"/>
          </w:r>
          <w:r>
            <w:rPr>
              <w:sz w:val="28"/>
              <w:szCs w:val="28"/>
            </w:rPr>
            <w:fldChar w:fldCharType="end"/>
          </w:r>
        </w:p>
        <w:p w14:paraId="1592146A">
          <w:pPr>
            <w:pStyle w:val="41"/>
            <w:tabs>
              <w:tab w:val="right" w:leader="dot" w:pos="9070"/>
            </w:tabs>
            <w:spacing w:line="480" w:lineRule="auto"/>
            <w:rPr>
              <w:sz w:val="28"/>
              <w:szCs w:val="28"/>
            </w:rPr>
          </w:pPr>
          <w:r>
            <w:rPr>
              <w:sz w:val="28"/>
              <w:szCs w:val="28"/>
            </w:rPr>
            <w:fldChar w:fldCharType="begin"/>
          </w:r>
          <w:r>
            <w:rPr>
              <w:sz w:val="28"/>
              <w:szCs w:val="28"/>
            </w:rPr>
            <w:instrText xml:space="preserve"> HYPERLINK \l _Toc31487 </w:instrText>
          </w:r>
          <w:r>
            <w:rPr>
              <w:sz w:val="28"/>
              <w:szCs w:val="28"/>
            </w:rPr>
            <w:fldChar w:fldCharType="separate"/>
          </w:r>
          <w:r>
            <w:rPr>
              <w:rFonts w:hint="eastAsia" w:cs="仿宋_GB2312" w:asciiTheme="minorEastAsia" w:hAnsiTheme="minorEastAsia" w:eastAsiaTheme="minorEastAsia"/>
              <w:sz w:val="28"/>
              <w:szCs w:val="28"/>
            </w:rPr>
            <w:t>第二部分  竞争性磋商流程</w:t>
          </w:r>
          <w:r>
            <w:rPr>
              <w:sz w:val="28"/>
              <w:szCs w:val="28"/>
            </w:rPr>
            <w:tab/>
          </w:r>
          <w:r>
            <w:rPr>
              <w:sz w:val="28"/>
              <w:szCs w:val="28"/>
            </w:rPr>
            <w:fldChar w:fldCharType="begin"/>
          </w:r>
          <w:r>
            <w:rPr>
              <w:sz w:val="28"/>
              <w:szCs w:val="28"/>
            </w:rPr>
            <w:instrText xml:space="preserve"> PAGEREF _Toc31487 \h </w:instrText>
          </w:r>
          <w:r>
            <w:rPr>
              <w:sz w:val="28"/>
              <w:szCs w:val="28"/>
            </w:rPr>
            <w:fldChar w:fldCharType="separate"/>
          </w:r>
          <w:r>
            <w:rPr>
              <w:sz w:val="28"/>
              <w:szCs w:val="28"/>
            </w:rPr>
            <w:t>6</w:t>
          </w:r>
          <w:r>
            <w:rPr>
              <w:sz w:val="28"/>
              <w:szCs w:val="28"/>
            </w:rPr>
            <w:fldChar w:fldCharType="end"/>
          </w:r>
          <w:r>
            <w:rPr>
              <w:sz w:val="28"/>
              <w:szCs w:val="28"/>
            </w:rPr>
            <w:fldChar w:fldCharType="end"/>
          </w:r>
        </w:p>
        <w:p w14:paraId="2324BCB3">
          <w:pPr>
            <w:pStyle w:val="41"/>
            <w:tabs>
              <w:tab w:val="right" w:leader="dot" w:pos="9070"/>
            </w:tabs>
            <w:spacing w:line="480" w:lineRule="auto"/>
            <w:rPr>
              <w:sz w:val="28"/>
              <w:szCs w:val="28"/>
            </w:rPr>
          </w:pPr>
          <w:r>
            <w:rPr>
              <w:sz w:val="28"/>
              <w:szCs w:val="28"/>
            </w:rPr>
            <w:fldChar w:fldCharType="begin"/>
          </w:r>
          <w:r>
            <w:rPr>
              <w:sz w:val="28"/>
              <w:szCs w:val="28"/>
            </w:rPr>
            <w:instrText xml:space="preserve"> HYPERLINK \l _Toc21227 </w:instrText>
          </w:r>
          <w:r>
            <w:rPr>
              <w:sz w:val="28"/>
              <w:szCs w:val="28"/>
            </w:rPr>
            <w:fldChar w:fldCharType="separate"/>
          </w:r>
          <w:r>
            <w:rPr>
              <w:rFonts w:hint="eastAsia" w:cs="仿宋_GB2312" w:asciiTheme="minorEastAsia" w:hAnsiTheme="minorEastAsia" w:eastAsiaTheme="minorEastAsia"/>
              <w:sz w:val="28"/>
              <w:szCs w:val="28"/>
            </w:rPr>
            <w:t>第三部分  供应商须知</w:t>
          </w:r>
          <w:r>
            <w:rPr>
              <w:sz w:val="28"/>
              <w:szCs w:val="28"/>
            </w:rPr>
            <w:tab/>
          </w:r>
          <w:r>
            <w:rPr>
              <w:sz w:val="28"/>
              <w:szCs w:val="28"/>
            </w:rPr>
            <w:fldChar w:fldCharType="begin"/>
          </w:r>
          <w:r>
            <w:rPr>
              <w:sz w:val="28"/>
              <w:szCs w:val="28"/>
            </w:rPr>
            <w:instrText xml:space="preserve"> PAGEREF _Toc21227 \h </w:instrText>
          </w:r>
          <w:r>
            <w:rPr>
              <w:sz w:val="28"/>
              <w:szCs w:val="28"/>
            </w:rPr>
            <w:fldChar w:fldCharType="separate"/>
          </w:r>
          <w:r>
            <w:rPr>
              <w:sz w:val="28"/>
              <w:szCs w:val="28"/>
            </w:rPr>
            <w:t>10</w:t>
          </w:r>
          <w:r>
            <w:rPr>
              <w:sz w:val="28"/>
              <w:szCs w:val="28"/>
            </w:rPr>
            <w:fldChar w:fldCharType="end"/>
          </w:r>
          <w:r>
            <w:rPr>
              <w:sz w:val="28"/>
              <w:szCs w:val="28"/>
            </w:rPr>
            <w:fldChar w:fldCharType="end"/>
          </w:r>
        </w:p>
        <w:p w14:paraId="59926EC2">
          <w:pPr>
            <w:pStyle w:val="41"/>
            <w:tabs>
              <w:tab w:val="right" w:leader="dot" w:pos="9070"/>
            </w:tabs>
            <w:spacing w:line="480" w:lineRule="auto"/>
            <w:rPr>
              <w:sz w:val="28"/>
              <w:szCs w:val="28"/>
            </w:rPr>
          </w:pPr>
          <w:r>
            <w:rPr>
              <w:sz w:val="28"/>
              <w:szCs w:val="28"/>
            </w:rPr>
            <w:fldChar w:fldCharType="begin"/>
          </w:r>
          <w:r>
            <w:rPr>
              <w:sz w:val="28"/>
              <w:szCs w:val="28"/>
            </w:rPr>
            <w:instrText xml:space="preserve"> HYPERLINK \l _Toc22602 </w:instrText>
          </w:r>
          <w:r>
            <w:rPr>
              <w:sz w:val="28"/>
              <w:szCs w:val="28"/>
            </w:rPr>
            <w:fldChar w:fldCharType="separate"/>
          </w:r>
          <w:r>
            <w:rPr>
              <w:rFonts w:hint="eastAsia" w:cs="仿宋_GB2312" w:asciiTheme="minorEastAsia" w:hAnsiTheme="minorEastAsia" w:eastAsiaTheme="minorEastAsia"/>
              <w:sz w:val="28"/>
              <w:szCs w:val="28"/>
            </w:rPr>
            <w:t>第四部分 采购需求</w:t>
          </w:r>
          <w:r>
            <w:rPr>
              <w:sz w:val="28"/>
              <w:szCs w:val="28"/>
            </w:rPr>
            <w:tab/>
          </w:r>
          <w:r>
            <w:rPr>
              <w:sz w:val="28"/>
              <w:szCs w:val="28"/>
            </w:rPr>
            <w:fldChar w:fldCharType="begin"/>
          </w:r>
          <w:r>
            <w:rPr>
              <w:sz w:val="28"/>
              <w:szCs w:val="28"/>
            </w:rPr>
            <w:instrText xml:space="preserve"> PAGEREF _Toc22602 \h </w:instrText>
          </w:r>
          <w:r>
            <w:rPr>
              <w:sz w:val="28"/>
              <w:szCs w:val="28"/>
            </w:rPr>
            <w:fldChar w:fldCharType="separate"/>
          </w:r>
          <w:r>
            <w:rPr>
              <w:sz w:val="28"/>
              <w:szCs w:val="28"/>
            </w:rPr>
            <w:t>30</w:t>
          </w:r>
          <w:r>
            <w:rPr>
              <w:sz w:val="28"/>
              <w:szCs w:val="28"/>
            </w:rPr>
            <w:fldChar w:fldCharType="end"/>
          </w:r>
          <w:r>
            <w:rPr>
              <w:sz w:val="28"/>
              <w:szCs w:val="28"/>
            </w:rPr>
            <w:fldChar w:fldCharType="end"/>
          </w:r>
        </w:p>
        <w:p w14:paraId="1B867DEA">
          <w:pPr>
            <w:pStyle w:val="41"/>
            <w:tabs>
              <w:tab w:val="right" w:leader="dot" w:pos="9070"/>
            </w:tabs>
            <w:spacing w:line="480" w:lineRule="auto"/>
            <w:rPr>
              <w:sz w:val="28"/>
              <w:szCs w:val="28"/>
            </w:rPr>
          </w:pPr>
          <w:r>
            <w:rPr>
              <w:sz w:val="28"/>
              <w:szCs w:val="28"/>
            </w:rPr>
            <w:fldChar w:fldCharType="begin"/>
          </w:r>
          <w:r>
            <w:rPr>
              <w:sz w:val="28"/>
              <w:szCs w:val="28"/>
            </w:rPr>
            <w:instrText xml:space="preserve"> HYPERLINK \l _Toc5108 </w:instrText>
          </w:r>
          <w:r>
            <w:rPr>
              <w:sz w:val="28"/>
              <w:szCs w:val="28"/>
            </w:rPr>
            <w:fldChar w:fldCharType="separate"/>
          </w:r>
          <w:r>
            <w:rPr>
              <w:rFonts w:hint="eastAsia" w:cs="仿宋_GB2312" w:asciiTheme="minorEastAsia" w:hAnsiTheme="minorEastAsia" w:eastAsiaTheme="minorEastAsia"/>
              <w:sz w:val="28"/>
              <w:szCs w:val="28"/>
            </w:rPr>
            <w:t>第五部分  评审方法及评审标准</w:t>
          </w:r>
          <w:r>
            <w:rPr>
              <w:sz w:val="28"/>
              <w:szCs w:val="28"/>
            </w:rPr>
            <w:tab/>
          </w:r>
          <w:r>
            <w:rPr>
              <w:sz w:val="28"/>
              <w:szCs w:val="28"/>
            </w:rPr>
            <w:fldChar w:fldCharType="begin"/>
          </w:r>
          <w:r>
            <w:rPr>
              <w:sz w:val="28"/>
              <w:szCs w:val="28"/>
            </w:rPr>
            <w:instrText xml:space="preserve"> PAGEREF _Toc5108 \h </w:instrText>
          </w:r>
          <w:r>
            <w:rPr>
              <w:sz w:val="28"/>
              <w:szCs w:val="28"/>
            </w:rPr>
            <w:fldChar w:fldCharType="separate"/>
          </w:r>
          <w:r>
            <w:rPr>
              <w:sz w:val="28"/>
              <w:szCs w:val="28"/>
            </w:rPr>
            <w:t>34</w:t>
          </w:r>
          <w:r>
            <w:rPr>
              <w:sz w:val="28"/>
              <w:szCs w:val="28"/>
            </w:rPr>
            <w:fldChar w:fldCharType="end"/>
          </w:r>
          <w:r>
            <w:rPr>
              <w:sz w:val="28"/>
              <w:szCs w:val="28"/>
            </w:rPr>
            <w:fldChar w:fldCharType="end"/>
          </w:r>
        </w:p>
        <w:p w14:paraId="484D408C">
          <w:pPr>
            <w:pStyle w:val="41"/>
            <w:tabs>
              <w:tab w:val="right" w:leader="dot" w:pos="9070"/>
            </w:tabs>
            <w:spacing w:line="480" w:lineRule="auto"/>
            <w:rPr>
              <w:sz w:val="28"/>
              <w:szCs w:val="28"/>
            </w:rPr>
          </w:pPr>
          <w:r>
            <w:rPr>
              <w:sz w:val="28"/>
              <w:szCs w:val="28"/>
            </w:rPr>
            <w:fldChar w:fldCharType="begin"/>
          </w:r>
          <w:r>
            <w:rPr>
              <w:sz w:val="28"/>
              <w:szCs w:val="28"/>
            </w:rPr>
            <w:instrText xml:space="preserve"> HYPERLINK \l _Toc25619 </w:instrText>
          </w:r>
          <w:r>
            <w:rPr>
              <w:sz w:val="28"/>
              <w:szCs w:val="28"/>
            </w:rPr>
            <w:fldChar w:fldCharType="separate"/>
          </w:r>
          <w:r>
            <w:rPr>
              <w:rFonts w:hint="eastAsia" w:cs="仿宋_GB2312" w:asciiTheme="minorEastAsia" w:hAnsiTheme="minorEastAsia" w:eastAsiaTheme="minorEastAsia"/>
              <w:sz w:val="28"/>
              <w:szCs w:val="28"/>
            </w:rPr>
            <w:t>第六部分  拟签订的合同文本</w:t>
          </w:r>
          <w:r>
            <w:rPr>
              <w:sz w:val="28"/>
              <w:szCs w:val="28"/>
            </w:rPr>
            <w:tab/>
          </w:r>
          <w:r>
            <w:rPr>
              <w:sz w:val="28"/>
              <w:szCs w:val="28"/>
            </w:rPr>
            <w:fldChar w:fldCharType="begin"/>
          </w:r>
          <w:r>
            <w:rPr>
              <w:sz w:val="28"/>
              <w:szCs w:val="28"/>
            </w:rPr>
            <w:instrText xml:space="preserve"> PAGEREF _Toc25619 \h </w:instrText>
          </w:r>
          <w:r>
            <w:rPr>
              <w:sz w:val="28"/>
              <w:szCs w:val="28"/>
            </w:rPr>
            <w:fldChar w:fldCharType="separate"/>
          </w:r>
          <w:r>
            <w:rPr>
              <w:sz w:val="28"/>
              <w:szCs w:val="28"/>
            </w:rPr>
            <w:t>43</w:t>
          </w:r>
          <w:r>
            <w:rPr>
              <w:sz w:val="28"/>
              <w:szCs w:val="28"/>
            </w:rPr>
            <w:fldChar w:fldCharType="end"/>
          </w:r>
          <w:r>
            <w:rPr>
              <w:sz w:val="28"/>
              <w:szCs w:val="28"/>
            </w:rPr>
            <w:fldChar w:fldCharType="end"/>
          </w:r>
        </w:p>
        <w:p w14:paraId="70868A2E">
          <w:pPr>
            <w:pStyle w:val="41"/>
            <w:tabs>
              <w:tab w:val="right" w:leader="dot" w:pos="9070"/>
            </w:tabs>
            <w:spacing w:line="480" w:lineRule="auto"/>
          </w:pPr>
          <w:r>
            <w:rPr>
              <w:sz w:val="28"/>
              <w:szCs w:val="28"/>
            </w:rPr>
            <w:fldChar w:fldCharType="begin"/>
          </w:r>
          <w:r>
            <w:rPr>
              <w:sz w:val="28"/>
              <w:szCs w:val="28"/>
            </w:rPr>
            <w:instrText xml:space="preserve"> HYPERLINK \l _Toc30483 </w:instrText>
          </w:r>
          <w:r>
            <w:rPr>
              <w:sz w:val="28"/>
              <w:szCs w:val="28"/>
            </w:rPr>
            <w:fldChar w:fldCharType="separate"/>
          </w:r>
          <w:r>
            <w:rPr>
              <w:rFonts w:hint="eastAsia" w:cs="仿宋_GB2312" w:asciiTheme="minorEastAsia" w:hAnsiTheme="minorEastAsia" w:eastAsiaTheme="minorEastAsia"/>
              <w:sz w:val="28"/>
              <w:szCs w:val="28"/>
            </w:rPr>
            <w:t>第七部分  应提交的有关格式范例</w:t>
          </w:r>
          <w:r>
            <w:rPr>
              <w:sz w:val="28"/>
              <w:szCs w:val="28"/>
            </w:rPr>
            <w:tab/>
          </w:r>
          <w:r>
            <w:rPr>
              <w:sz w:val="28"/>
              <w:szCs w:val="28"/>
            </w:rPr>
            <w:fldChar w:fldCharType="begin"/>
          </w:r>
          <w:r>
            <w:rPr>
              <w:sz w:val="28"/>
              <w:szCs w:val="28"/>
            </w:rPr>
            <w:instrText xml:space="preserve"> PAGEREF _Toc30483 \h </w:instrText>
          </w:r>
          <w:r>
            <w:rPr>
              <w:sz w:val="28"/>
              <w:szCs w:val="28"/>
            </w:rPr>
            <w:fldChar w:fldCharType="separate"/>
          </w:r>
          <w:r>
            <w:rPr>
              <w:sz w:val="28"/>
              <w:szCs w:val="28"/>
            </w:rPr>
            <w:t>53</w:t>
          </w:r>
          <w:r>
            <w:rPr>
              <w:sz w:val="28"/>
              <w:szCs w:val="28"/>
            </w:rPr>
            <w:fldChar w:fldCharType="end"/>
          </w:r>
          <w:r>
            <w:rPr>
              <w:sz w:val="28"/>
              <w:szCs w:val="28"/>
            </w:rPr>
            <w:fldChar w:fldCharType="end"/>
          </w:r>
        </w:p>
        <w:p w14:paraId="262BAEA3">
          <w:pPr>
            <w:rPr>
              <w:rFonts w:ascii="Times New Roman" w:hAnsi="Times New Roman" w:eastAsia="宋体" w:cs="Times New Roman"/>
              <w:kern w:val="2"/>
              <w:sz w:val="21"/>
              <w:szCs w:val="24"/>
              <w:lang w:val="en-US" w:eastAsia="zh-CN" w:bidi="ar-SA"/>
            </w:rPr>
          </w:pPr>
          <w:r>
            <w:fldChar w:fldCharType="end"/>
          </w:r>
        </w:p>
      </w:sdtContent>
    </w:sdt>
    <w:p w14:paraId="5D6DDFDA">
      <w:pPr>
        <w:pStyle w:val="2"/>
        <w:numPr>
          <w:ilvl w:val="3"/>
          <w:numId w:val="0"/>
        </w:numPr>
        <w:ind w:leftChars="0"/>
      </w:pPr>
    </w:p>
    <w:p w14:paraId="7A1196F0">
      <w:pPr>
        <w:spacing w:line="360" w:lineRule="auto"/>
        <w:ind w:firstLine="732" w:firstLineChars="229"/>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32"/>
          <w:szCs w:val="32"/>
          <w14:textFill>
            <w14:solidFill>
              <w14:schemeClr w14:val="tx1"/>
            </w14:solidFill>
          </w14:textFill>
        </w:rPr>
        <w:fldChar w:fldCharType="end"/>
      </w:r>
    </w:p>
    <w:p w14:paraId="03662468">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A79D67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749265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1E361D8">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5CDDBF14">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B2192D7">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0C0F235">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BE49C1B">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2B932DC">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1EA4F5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ECD6333">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2DE6410">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2" w:name="第一部分"/>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_Toc181203094"/>
      <w:bookmarkStart w:id="8" w:name="_Toc7081"/>
      <w:bookmarkStart w:id="9" w:name="第二部分"/>
      <w:bookmarkStart w:id="10" w:name="_Toc91899870"/>
      <w:bookmarkStart w:id="11" w:name="_Toc91899871"/>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第一部分  </w:t>
      </w:r>
      <w:bookmarkEnd w:id="7"/>
      <w:r>
        <w:rPr>
          <w:rFonts w:hint="eastAsia" w:cs="仿宋_GB2312" w:asciiTheme="minorEastAsia" w:hAnsiTheme="minorEastAsia" w:eastAsiaTheme="minorEastAsia"/>
          <w:b/>
          <w:color w:val="000000" w:themeColor="text1"/>
          <w:sz w:val="36"/>
          <w:szCs w:val="20"/>
          <w14:textFill>
            <w14:solidFill>
              <w14:schemeClr w14:val="tx1"/>
            </w14:solidFill>
          </w14:textFill>
        </w:rPr>
        <w:t>竞争性磋商公告</w:t>
      </w:r>
      <w:bookmarkEnd w:id="8"/>
    </w:p>
    <w:p w14:paraId="343FEC36">
      <w:pPr>
        <w:adjustRightInd/>
        <w:spacing w:line="360"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b/>
          <w:color w:val="000000" w:themeColor="text1"/>
          <w:sz w:val="24"/>
          <w:szCs w:val="15"/>
          <w:lang w:eastAsia="zh-CN"/>
          <w14:textFill>
            <w14:solidFill>
              <w14:schemeClr w14:val="tx1"/>
            </w14:solidFill>
          </w14:textFill>
        </w:rPr>
        <w:t>北海中桂工程管理咨询有限公司</w:t>
      </w:r>
      <w:r>
        <w:rPr>
          <w:rFonts w:hint="eastAsia" w:cs="仿宋_GB2312" w:asciiTheme="minorEastAsia" w:hAnsiTheme="minorEastAsia" w:eastAsiaTheme="minorEastAsia"/>
          <w:b/>
          <w:color w:val="000000" w:themeColor="text1"/>
          <w:sz w:val="24"/>
          <w:szCs w:val="15"/>
          <w14:textFill>
            <w14:solidFill>
              <w14:schemeClr w14:val="tx1"/>
            </w14:solidFill>
          </w14:textFill>
        </w:rPr>
        <w:t>关于</w:t>
      </w:r>
      <w:r>
        <w:rPr>
          <w:rFonts w:hint="eastAsia" w:cs="仿宋_GB2312" w:asciiTheme="minorEastAsia" w:hAnsiTheme="minorEastAsia" w:eastAsiaTheme="minorEastAsia"/>
          <w:b/>
          <w:color w:val="000000" w:themeColor="text1"/>
          <w:sz w:val="24"/>
          <w:szCs w:val="15"/>
          <w:lang w:eastAsia="zh-CN"/>
          <w14:textFill>
            <w14:solidFill>
              <w14:schemeClr w14:val="tx1"/>
            </w14:solidFill>
          </w14:textFill>
        </w:rPr>
        <w:t>新建合浦至湛江铁路—铁山港跨海特大桥工程红树林试验性移植项目</w:t>
      </w:r>
      <w:r>
        <w:rPr>
          <w:rFonts w:hint="eastAsia" w:cs="仿宋_GB2312" w:asciiTheme="minorEastAsia" w:hAnsiTheme="minorEastAsia" w:eastAsiaTheme="minorEastAsia"/>
          <w:b/>
          <w:color w:val="000000" w:themeColor="text1"/>
          <w:sz w:val="24"/>
          <w:szCs w:val="15"/>
          <w14:textFill>
            <w14:solidFill>
              <w14:schemeClr w14:val="tx1"/>
            </w14:solidFill>
          </w14:textFill>
        </w:rPr>
        <w:t>（</w:t>
      </w:r>
      <w:r>
        <w:rPr>
          <w:rFonts w:hint="eastAsia" w:cs="仿宋_GB2312" w:asciiTheme="minorEastAsia" w:hAnsiTheme="minorEastAsia" w:eastAsiaTheme="minorEastAsia"/>
          <w:b/>
          <w:color w:val="000000" w:themeColor="text1"/>
          <w:sz w:val="24"/>
          <w:szCs w:val="15"/>
          <w:lang w:eastAsia="zh-CN"/>
          <w14:textFill>
            <w14:solidFill>
              <w14:schemeClr w14:val="tx1"/>
            </w14:solidFill>
          </w14:textFill>
        </w:rPr>
        <w:t>项目编号：</w:t>
      </w:r>
      <w:r>
        <w:rPr>
          <w:rFonts w:hint="eastAsia" w:cs="仿宋_GB2312" w:asciiTheme="minorEastAsia" w:hAnsiTheme="minorEastAsia" w:eastAsiaTheme="minorEastAsia"/>
          <w:b/>
          <w:color w:val="000000" w:themeColor="text1"/>
          <w:sz w:val="24"/>
          <w:szCs w:val="15"/>
          <w:lang w:eastAsia="zh-CN"/>
          <w14:textFill>
            <w14:solidFill>
              <w14:schemeClr w14:val="tx1"/>
            </w14:solidFill>
          </w14:textFill>
        </w:rPr>
        <w:fldChar w:fldCharType="begin"/>
      </w:r>
      <w:r>
        <w:rPr>
          <w:rFonts w:hint="eastAsia" w:cs="仿宋_GB2312" w:asciiTheme="minorEastAsia" w:hAnsiTheme="minorEastAsia" w:eastAsiaTheme="minorEastAsia"/>
          <w:b/>
          <w:color w:val="000000" w:themeColor="text1"/>
          <w:sz w:val="24"/>
          <w:szCs w:val="15"/>
          <w:lang w:eastAsia="zh-CN"/>
          <w14:textFill>
            <w14:solidFill>
              <w14:schemeClr w14:val="tx1"/>
            </w14:solidFill>
          </w14:textFill>
        </w:rPr>
        <w:instrText xml:space="preserve"> HYPERLINK "https://pay.gcy.zfcg.gxzf.gov.cn/purchaseplan_front/" \l "/plan/list/view?id=1000000000025773633&amp;_app_=zcy.procurement" \t "https://www.gcy.zfcg.gxzf.gov.cn/delegation-order/_procurement_/order/_blank" </w:instrText>
      </w:r>
      <w:r>
        <w:rPr>
          <w:rFonts w:hint="eastAsia" w:cs="仿宋_GB2312" w:asciiTheme="minorEastAsia" w:hAnsiTheme="minorEastAsia" w:eastAsiaTheme="minorEastAsia"/>
          <w:b/>
          <w:color w:val="000000" w:themeColor="text1"/>
          <w:sz w:val="24"/>
          <w:szCs w:val="15"/>
          <w:lang w:eastAsia="zh-CN"/>
          <w14:textFill>
            <w14:solidFill>
              <w14:schemeClr w14:val="tx1"/>
            </w14:solidFill>
          </w14:textFill>
        </w:rPr>
        <w:fldChar w:fldCharType="separate"/>
      </w:r>
      <w:r>
        <w:rPr>
          <w:rFonts w:hint="eastAsia" w:cs="仿宋_GB2312" w:asciiTheme="minorEastAsia" w:hAnsiTheme="minorEastAsia" w:eastAsiaTheme="minorEastAsia"/>
          <w:b/>
          <w:color w:val="000000" w:themeColor="text1"/>
          <w:sz w:val="24"/>
          <w:szCs w:val="15"/>
          <w:lang w:eastAsia="zh-CN"/>
          <w14:textFill>
            <w14:solidFill>
              <w14:schemeClr w14:val="tx1"/>
            </w14:solidFill>
          </w14:textFill>
        </w:rPr>
        <w:t>BHZC2025-C3-990172-BHZG</w:t>
      </w:r>
      <w:r>
        <w:rPr>
          <w:rFonts w:hint="eastAsia" w:cs="仿宋_GB2312" w:asciiTheme="minorEastAsia" w:hAnsiTheme="minorEastAsia" w:eastAsiaTheme="minorEastAsia"/>
          <w:b/>
          <w:color w:val="000000" w:themeColor="text1"/>
          <w:sz w:val="24"/>
          <w:szCs w:val="15"/>
          <w:lang w:eastAsia="zh-CN"/>
          <w14:textFill>
            <w14:solidFill>
              <w14:schemeClr w14:val="tx1"/>
            </w14:solidFill>
          </w14:textFill>
        </w:rPr>
        <w:fldChar w:fldCharType="end"/>
      </w:r>
      <w:r>
        <w:rPr>
          <w:rFonts w:hint="eastAsia" w:cs="仿宋_GB2312" w:asciiTheme="minorEastAsia" w:hAnsiTheme="minorEastAsia" w:eastAsiaTheme="minorEastAsia"/>
          <w:b/>
          <w:color w:val="000000" w:themeColor="text1"/>
          <w:sz w:val="24"/>
          <w:szCs w:val="15"/>
          <w14:textFill>
            <w14:solidFill>
              <w14:schemeClr w14:val="tx1"/>
            </w14:solidFill>
          </w14:textFill>
        </w:rPr>
        <w:t>）的竞争性磋商公告（远程异地评标）</w:t>
      </w:r>
    </w:p>
    <w:p w14:paraId="341D3FF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7B7DA41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lang w:eastAsia="zh-CN"/>
          <w14:textFill>
            <w14:solidFill>
              <w14:schemeClr w14:val="tx1"/>
            </w14:solidFill>
          </w14:textFill>
        </w:rPr>
        <w:t>新建合浦至湛江铁路—铁山港跨海特大桥工程红树林试验性移植项目</w:t>
      </w:r>
      <w:r>
        <w:rPr>
          <w:rFonts w:hint="eastAsia" w:asciiTheme="minorEastAsia" w:hAnsiTheme="minorEastAsia" w:eastAsiaTheme="minorEastAsia"/>
          <w:color w:val="000000" w:themeColor="text1"/>
          <w:sz w:val="24"/>
          <w14:textFill>
            <w14:solidFill>
              <w14:schemeClr w14:val="tx1"/>
            </w14:solidFill>
          </w14:textFill>
        </w:rPr>
        <w:t>采购项目的潜在供应商应在</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获取采购文件，并于</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08</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08</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15</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（北京时间）前提交响应文件</w:t>
      </w:r>
      <w:r>
        <w:rPr>
          <w:rFonts w:hint="eastAsia" w:asciiTheme="minorEastAsia" w:hAnsiTheme="minorEastAsia" w:eastAsiaTheme="minorEastAsia"/>
          <w:color w:val="000000" w:themeColor="text1"/>
          <w:sz w:val="24"/>
          <w14:textFill>
            <w14:solidFill>
              <w14:schemeClr w14:val="tx1"/>
            </w14:solidFill>
          </w14:textFill>
        </w:rPr>
        <w:t>。</w:t>
      </w:r>
    </w:p>
    <w:p w14:paraId="491E709D">
      <w:pPr>
        <w:spacing w:line="360" w:lineRule="auto"/>
        <w:rPr>
          <w:rFonts w:asciiTheme="minorEastAsia" w:hAnsiTheme="minorEastAsia" w:eastAsiaTheme="minorEastAsia"/>
          <w:color w:val="000000" w:themeColor="text1"/>
          <w:sz w:val="24"/>
          <w14:textFill>
            <w14:solidFill>
              <w14:schemeClr w14:val="tx1"/>
            </w14:solidFill>
          </w14:textFill>
        </w:rPr>
      </w:pPr>
    </w:p>
    <w:p w14:paraId="2920E703">
      <w:pPr>
        <w:pStyle w:val="632"/>
        <w:ind w:firstLine="0"/>
        <w:rPr>
          <w:b/>
          <w:color w:val="000000" w:themeColor="text1"/>
          <w14:textFill>
            <w14:solidFill>
              <w14:schemeClr w14:val="tx1"/>
            </w14:solidFill>
          </w14:textFill>
        </w:rPr>
      </w:pPr>
      <w:bookmarkStart w:id="12" w:name="_Toc35393629"/>
      <w:bookmarkStart w:id="13" w:name="_Toc35393798"/>
      <w:bookmarkStart w:id="14" w:name="_Toc28359089"/>
      <w:bookmarkStart w:id="15" w:name="_Toc28359012"/>
      <w:r>
        <w:rPr>
          <w:rFonts w:hint="eastAsia"/>
          <w:b/>
          <w:color w:val="000000" w:themeColor="text1"/>
          <w14:textFill>
            <w14:solidFill>
              <w14:schemeClr w14:val="tx1"/>
            </w14:solidFill>
          </w14:textFill>
        </w:rPr>
        <w:t>一、项目基本情况</w:t>
      </w:r>
      <w:bookmarkEnd w:id="12"/>
      <w:bookmarkEnd w:id="13"/>
      <w:bookmarkEnd w:id="14"/>
      <w:bookmarkEnd w:id="15"/>
    </w:p>
    <w:p w14:paraId="370350E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项目编号：</w:t>
      </w:r>
      <w:r>
        <w:rPr>
          <w:rFonts w:hint="eastAsia" w:asciiTheme="minorEastAsia" w:hAnsiTheme="minorEastAsia" w:eastAsiaTheme="minorEastAsia"/>
          <w:color w:val="000000" w:themeColor="text1"/>
          <w:sz w:val="24"/>
          <w14:textFill>
            <w14:solidFill>
              <w14:schemeClr w14:val="tx1"/>
            </w14:solidFill>
          </w14:textFill>
        </w:rPr>
        <w:fldChar w:fldCharType="begin"/>
      </w:r>
      <w:r>
        <w:rPr>
          <w:rFonts w:hint="eastAsia" w:asciiTheme="minorEastAsia" w:hAnsiTheme="minorEastAsia" w:eastAsiaTheme="minorEastAsia"/>
          <w:color w:val="000000" w:themeColor="text1"/>
          <w:sz w:val="24"/>
          <w14:textFill>
            <w14:solidFill>
              <w14:schemeClr w14:val="tx1"/>
            </w14:solidFill>
          </w14:textFill>
        </w:rPr>
        <w:instrText xml:space="preserve"> HYPERLINK "https://pay.gcy.zfcg.gxzf.gov.cn/purchaseplan_front/" \l "/plan/list/view?id=1000000000025773633&amp;_app_=zcy.procurement" \t "https://www.gcy.zfcg.gxzf.gov.cn/delegation-order/_procurement_/order/_blank" </w:instrText>
      </w:r>
      <w:r>
        <w:rPr>
          <w:rFonts w:hint="eastAsia" w:asciiTheme="minorEastAsia" w:hAnsiTheme="minorEastAsia" w:eastAsiaTheme="minorEastAsia"/>
          <w:color w:val="000000" w:themeColor="text1"/>
          <w:sz w:val="24"/>
          <w14:textFill>
            <w14:solidFill>
              <w14:schemeClr w14:val="tx1"/>
            </w14:solidFill>
          </w14:textFill>
        </w:rPr>
        <w:fldChar w:fldCharType="separate"/>
      </w:r>
      <w:r>
        <w:rPr>
          <w:rFonts w:hint="eastAsia" w:asciiTheme="minorEastAsia" w:hAnsiTheme="minorEastAsia" w:eastAsiaTheme="minorEastAsia"/>
          <w:color w:val="000000" w:themeColor="text1"/>
          <w:sz w:val="24"/>
          <w:lang w:eastAsia="zh-CN"/>
          <w14:textFill>
            <w14:solidFill>
              <w14:schemeClr w14:val="tx1"/>
            </w14:solidFill>
          </w14:textFill>
        </w:rPr>
        <w:t>BHZC2025-C3-990172-BHZG</w:t>
      </w:r>
      <w:r>
        <w:rPr>
          <w:rFonts w:hint="eastAsia" w:asciiTheme="minorEastAsia" w:hAnsiTheme="minorEastAsia" w:eastAsiaTheme="minorEastAsia"/>
          <w:color w:val="000000" w:themeColor="text1"/>
          <w:sz w:val="24"/>
          <w14:textFill>
            <w14:solidFill>
              <w14:schemeClr w14:val="tx1"/>
            </w14:solidFill>
          </w14:textFill>
        </w:rPr>
        <w:fldChar w:fldCharType="end"/>
      </w:r>
    </w:p>
    <w:p w14:paraId="70E3CCB7">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r>
        <w:rPr>
          <w:rFonts w:hint="eastAsia" w:asciiTheme="minorEastAsia" w:hAnsiTheme="minorEastAsia" w:eastAsiaTheme="minorEastAsia"/>
          <w:color w:val="000000" w:themeColor="text1"/>
          <w:sz w:val="24"/>
          <w:lang w:eastAsia="zh-CN"/>
          <w14:textFill>
            <w14:solidFill>
              <w14:schemeClr w14:val="tx1"/>
            </w14:solidFill>
          </w14:textFill>
        </w:rPr>
        <w:t>新建合浦至湛江铁路—铁山港跨海特大桥工程红树林试验性移植项目</w:t>
      </w:r>
    </w:p>
    <w:p w14:paraId="2A44117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采购方式：竞争性磋商</w:t>
      </w:r>
    </w:p>
    <w:p w14:paraId="2C420AB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1256737.83</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1F54B018">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最高限价（元）：</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1256737.83</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19A6151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r>
        <w:rPr>
          <w:rFonts w:hint="eastAsia" w:asciiTheme="minorEastAsia" w:hAnsiTheme="minorEastAsia" w:eastAsiaTheme="minorEastAsia"/>
          <w:color w:val="000000" w:themeColor="text1"/>
          <w:sz w:val="24"/>
          <w:lang w:eastAsia="zh-CN"/>
          <w14:textFill>
            <w14:solidFill>
              <w14:schemeClr w14:val="tx1"/>
            </w14:solidFill>
          </w14:textFill>
        </w:rPr>
        <w:t>新建合浦至湛江铁路—铁山港跨海特大桥工程红树林试验性移植项目。</w:t>
      </w:r>
      <w:r>
        <w:rPr>
          <w:rFonts w:hint="eastAsia" w:hAnsi="宋体" w:cs="宋体"/>
          <w:bCs/>
          <w:color w:val="000000" w:themeColor="text1"/>
          <w:sz w:val="24"/>
          <w14:textFill>
            <w14:solidFill>
              <w14:schemeClr w14:val="tx1"/>
            </w14:solidFill>
          </w14:textFill>
        </w:rPr>
        <w:t>主要内容：</w:t>
      </w:r>
      <w:r>
        <w:rPr>
          <w:rFonts w:hint="eastAsia" w:cs="仿宋_GB2312" w:asciiTheme="minorEastAsia" w:hAnsiTheme="minorEastAsia" w:eastAsiaTheme="minorEastAsia"/>
          <w:color w:val="000000" w:themeColor="text1"/>
          <w:sz w:val="24"/>
          <w14:textFill>
            <w14:solidFill>
              <w14:schemeClr w14:val="tx1"/>
            </w14:solidFill>
          </w14:textFill>
        </w:rPr>
        <w:t>详见磋商文件。</w:t>
      </w:r>
    </w:p>
    <w:p w14:paraId="366B3457">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olor w:val="000000" w:themeColor="text1"/>
          <w:sz w:val="24"/>
          <w14:textFill>
            <w14:solidFill>
              <w14:schemeClr w14:val="tx1"/>
            </w14:solidFill>
          </w14:textFill>
        </w:rPr>
        <w:t>合同履行期限：</w:t>
      </w:r>
      <w:r>
        <w:rPr>
          <w:rFonts w:hint="eastAsia" w:asciiTheme="minorEastAsia" w:hAnsiTheme="minorEastAsia" w:eastAsiaTheme="minorEastAsia" w:cstheme="minorEastAsia"/>
          <w:bCs/>
          <w:sz w:val="24"/>
          <w:highlight w:val="none"/>
        </w:rPr>
        <w:t>从项目合同签订起开始计算，其中</w:t>
      </w:r>
      <w:r>
        <w:rPr>
          <w:rFonts w:hint="eastAsia" w:asciiTheme="minorEastAsia" w:hAnsiTheme="minorEastAsia" w:eastAsiaTheme="minorEastAsia" w:cstheme="minorEastAsia"/>
          <w:bCs/>
          <w:sz w:val="24"/>
          <w:highlight w:val="none"/>
          <w:lang w:eastAsia="zh-CN"/>
        </w:rPr>
        <w:t>移植</w:t>
      </w:r>
      <w:r>
        <w:rPr>
          <w:rFonts w:hint="eastAsia" w:asciiTheme="minorEastAsia" w:hAnsiTheme="minorEastAsia" w:eastAsiaTheme="minorEastAsia" w:cstheme="minorEastAsia"/>
          <w:bCs/>
          <w:sz w:val="24"/>
          <w:highlight w:val="none"/>
        </w:rPr>
        <w:t>工期</w:t>
      </w:r>
      <w:r>
        <w:rPr>
          <w:rFonts w:hint="eastAsia" w:asciiTheme="minorEastAsia" w:hAnsiTheme="minorEastAsia" w:eastAsiaTheme="minorEastAsia" w:cstheme="minorEastAsia"/>
          <w:bCs/>
          <w:sz w:val="24"/>
          <w:highlight w:val="none"/>
          <w:lang w:val="en-US" w:eastAsia="zh-CN"/>
        </w:rPr>
        <w:t>120日历天</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eastAsia="zh-CN"/>
        </w:rPr>
        <w:t>管护期</w:t>
      </w:r>
      <w:r>
        <w:rPr>
          <w:rFonts w:hint="eastAsia" w:asciiTheme="minorEastAsia" w:hAnsiTheme="minorEastAsia" w:eastAsiaTheme="minorEastAsia" w:cstheme="minorEastAsia"/>
          <w:bCs/>
          <w:sz w:val="24"/>
          <w:highlight w:val="none"/>
          <w:lang w:val="en-US" w:eastAsia="zh-CN"/>
        </w:rPr>
        <w:t>5年，</w:t>
      </w:r>
      <w:r>
        <w:rPr>
          <w:rFonts w:hint="eastAsia" w:asciiTheme="minorEastAsia" w:hAnsiTheme="minorEastAsia" w:eastAsiaTheme="minorEastAsia" w:cstheme="minorEastAsia"/>
          <w:bCs/>
          <w:sz w:val="24"/>
          <w:highlight w:val="none"/>
        </w:rPr>
        <w:t>监测期5年</w:t>
      </w:r>
      <w:r>
        <w:rPr>
          <w:rFonts w:hint="eastAsia" w:asciiTheme="minorEastAsia" w:hAnsiTheme="minorEastAsia" w:eastAsiaTheme="minorEastAsia" w:cstheme="minorEastAsia"/>
          <w:sz w:val="24"/>
          <w:highlight w:val="none"/>
        </w:rPr>
        <w:t>。</w:t>
      </w:r>
    </w:p>
    <w:p w14:paraId="55C00C7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本项目是否接受联合体磋商：是。</w:t>
      </w:r>
    </w:p>
    <w:p w14:paraId="1F6954EE">
      <w:pPr>
        <w:pStyle w:val="632"/>
        <w:ind w:firstLine="0"/>
        <w:rPr>
          <w:b/>
          <w:color w:val="000000" w:themeColor="text1"/>
          <w14:textFill>
            <w14:solidFill>
              <w14:schemeClr w14:val="tx1"/>
            </w14:solidFill>
          </w14:textFill>
        </w:rPr>
      </w:pPr>
      <w:bookmarkStart w:id="16" w:name="_Toc28359090"/>
      <w:bookmarkStart w:id="17" w:name="_Toc35393630"/>
      <w:bookmarkStart w:id="18" w:name="_Toc35393799"/>
      <w:bookmarkStart w:id="19" w:name="_Toc28359013"/>
      <w:r>
        <w:rPr>
          <w:rFonts w:hint="eastAsia"/>
          <w:b/>
          <w:color w:val="000000" w:themeColor="text1"/>
          <w14:textFill>
            <w14:solidFill>
              <w14:schemeClr w14:val="tx1"/>
            </w14:solidFill>
          </w14:textFill>
        </w:rPr>
        <w:t>二、申请人的资格要求：</w:t>
      </w:r>
      <w:bookmarkEnd w:id="16"/>
      <w:bookmarkEnd w:id="17"/>
      <w:bookmarkEnd w:id="18"/>
      <w:bookmarkEnd w:id="19"/>
    </w:p>
    <w:p w14:paraId="2C8EB47A">
      <w:pPr>
        <w:spacing w:line="360" w:lineRule="auto"/>
        <w:ind w:firstLine="480"/>
        <w:rPr>
          <w:rFonts w:cs="宋体" w:asciiTheme="minorEastAsia" w:hAnsiTheme="minorEastAsia" w:eastAsiaTheme="minorEastAsia"/>
          <w:snapToGrid w:val="0"/>
          <w:color w:val="000000" w:themeColor="text1"/>
          <w:kern w:val="28"/>
          <w:sz w:val="24"/>
          <w:szCs w:val="20"/>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813D897">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lang w:val="en-US" w:eastAsia="zh-CN"/>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szCs w:val="20"/>
          <w:lang w:eastAsia="zh-CN"/>
          <w14:textFill>
            <w14:solidFill>
              <w14:schemeClr w14:val="tx1"/>
            </w14:solidFill>
          </w14:textFill>
        </w:rPr>
        <w:t>无；</w:t>
      </w:r>
    </w:p>
    <w:p w14:paraId="4019116C">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.本项目的特定资格要求：无</w:t>
      </w:r>
      <w:r>
        <w:rPr>
          <w:rFonts w:hint="eastAsia" w:cs="宋体" w:asciiTheme="minorEastAsia" w:hAnsiTheme="minorEastAsia" w:eastAsiaTheme="minorEastAsia"/>
          <w:color w:val="000000" w:themeColor="text1"/>
          <w:sz w:val="24"/>
          <w:lang w:eastAsia="zh-CN"/>
          <w14:textFill>
            <w14:solidFill>
              <w14:schemeClr w14:val="tx1"/>
            </w14:solidFill>
          </w14:textFill>
        </w:rPr>
        <w:t>。</w:t>
      </w:r>
    </w:p>
    <w:p w14:paraId="1C099BEE">
      <w:pPr>
        <w:pStyle w:val="632"/>
        <w:ind w:firstLine="0"/>
        <w:rPr>
          <w:b/>
          <w:color w:val="000000" w:themeColor="text1"/>
          <w14:textFill>
            <w14:solidFill>
              <w14:schemeClr w14:val="tx1"/>
            </w14:solidFill>
          </w14:textFill>
        </w:rPr>
      </w:pPr>
      <w:bookmarkStart w:id="20" w:name="_Toc28359014"/>
      <w:bookmarkStart w:id="21" w:name="_Toc28359091"/>
      <w:bookmarkStart w:id="22" w:name="_Toc35393631"/>
      <w:bookmarkStart w:id="23" w:name="_Toc35393800"/>
      <w:r>
        <w:rPr>
          <w:rFonts w:hint="eastAsia"/>
          <w:b/>
          <w:color w:val="000000" w:themeColor="text1"/>
          <w14:textFill>
            <w14:solidFill>
              <w14:schemeClr w14:val="tx1"/>
            </w14:solidFill>
          </w14:textFill>
        </w:rPr>
        <w:t>三、获取（下载）采购文件</w:t>
      </w:r>
      <w:bookmarkEnd w:id="20"/>
      <w:bookmarkEnd w:id="21"/>
      <w:bookmarkEnd w:id="22"/>
      <w:bookmarkEnd w:id="23"/>
    </w:p>
    <w:p w14:paraId="5C66D38C">
      <w:pPr>
        <w:spacing w:line="360" w:lineRule="auto"/>
        <w:ind w:firstLine="5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时间：202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 xml:space="preserve"> 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07</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28</w:t>
      </w:r>
      <w:r>
        <w:rPr>
          <w:rFonts w:hint="eastAsia" w:cs="宋体" w:asciiTheme="minorEastAsia" w:hAnsiTheme="minorEastAsia" w:eastAsiaTheme="minorEastAsia"/>
          <w:color w:val="000000" w:themeColor="text1"/>
          <w:sz w:val="24"/>
          <w14:textFill>
            <w14:solidFill>
              <w14:schemeClr w14:val="tx1"/>
            </w14:solidFill>
          </w14:textFill>
        </w:rPr>
        <w:t>日至202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08</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04</w:t>
      </w:r>
      <w:r>
        <w:rPr>
          <w:rFonts w:hint="eastAsia" w:cs="宋体" w:asciiTheme="minorEastAsia" w:hAnsiTheme="minorEastAsia" w:eastAsiaTheme="minorEastAsia"/>
          <w:color w:val="000000" w:themeColor="text1"/>
          <w:sz w:val="24"/>
          <w14:textFill>
            <w14:solidFill>
              <w14:schemeClr w14:val="tx1"/>
            </w14:solidFill>
          </w14:textFill>
        </w:rPr>
        <w:t>日，每天上午</w:t>
      </w:r>
      <w:r>
        <w:rPr>
          <w:rFonts w:hint="eastAsia" w:asciiTheme="minorEastAsia" w:hAnsiTheme="minorEastAsia" w:eastAsiaTheme="minorEastAsia"/>
          <w:color w:val="000000" w:themeColor="text1"/>
          <w:sz w:val="24"/>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14:textFill>
            <w14:solidFill>
              <w14:schemeClr w14:val="tx1"/>
            </w14:solidFill>
          </w14:textFill>
        </w:rPr>
        <w:t>（北京时间，法定节假日除外）；</w:t>
      </w:r>
    </w:p>
    <w:p w14:paraId="12498F2F">
      <w:pPr>
        <w:spacing w:line="360" w:lineRule="auto"/>
        <w:ind w:firstLine="540"/>
        <w:rPr>
          <w:rFonts w:cs="宋体" w:asciiTheme="minorEastAsia" w:hAnsiTheme="minorEastAsia" w:eastAsiaTheme="minorEastAsia"/>
          <w:color w:val="000000" w:themeColor="text1"/>
          <w:sz w:val="28"/>
          <w:szCs w:val="28"/>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1F6333C3">
      <w:pPr>
        <w:spacing w:line="360" w:lineRule="auto"/>
        <w:ind w:firstLine="54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方式：供应商登录</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在线申请获取采购文件（进入“项目采购”应用，在获取采购文件菜单中选择项目，申请获取采购文件）。</w:t>
      </w:r>
    </w:p>
    <w:p w14:paraId="2557879E">
      <w:pPr>
        <w:spacing w:line="360" w:lineRule="auto"/>
        <w:ind w:firstLine="54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售价：</w:t>
      </w:r>
      <w:r>
        <w:rPr>
          <w:rFonts w:hint="eastAsia" w:cs="仿宋_GB2312" w:asciiTheme="minorEastAsia" w:hAnsiTheme="minorEastAsia" w:eastAsiaTheme="minorEastAsia"/>
          <w:color w:val="000000" w:themeColor="text1"/>
          <w:sz w:val="24"/>
          <w14:textFill>
            <w14:solidFill>
              <w14:schemeClr w14:val="tx1"/>
            </w14:solidFill>
          </w14:textFill>
        </w:rPr>
        <w:t>0。</w:t>
      </w:r>
    </w:p>
    <w:p w14:paraId="79F62C82">
      <w:pPr>
        <w:pStyle w:val="632"/>
        <w:ind w:firstLine="0"/>
        <w:rPr>
          <w:b/>
          <w:color w:val="000000" w:themeColor="text1"/>
          <w14:textFill>
            <w14:solidFill>
              <w14:schemeClr w14:val="tx1"/>
            </w14:solidFill>
          </w14:textFill>
        </w:rPr>
      </w:pPr>
      <w:bookmarkStart w:id="24" w:name="_Toc28359092"/>
      <w:bookmarkStart w:id="25" w:name="_Toc28359015"/>
      <w:bookmarkStart w:id="26" w:name="_Toc35393632"/>
      <w:bookmarkStart w:id="27" w:name="_Toc35393801"/>
      <w:r>
        <w:rPr>
          <w:rFonts w:hint="eastAsia"/>
          <w:b/>
          <w:color w:val="000000" w:themeColor="text1"/>
          <w14:textFill>
            <w14:solidFill>
              <w14:schemeClr w14:val="tx1"/>
            </w14:solidFill>
          </w14:textFill>
        </w:rPr>
        <w:t>四、响应文件提交</w:t>
      </w:r>
      <w:bookmarkEnd w:id="24"/>
      <w:bookmarkEnd w:id="25"/>
      <w:bookmarkEnd w:id="26"/>
      <w:bookmarkEnd w:id="27"/>
      <w:r>
        <w:rPr>
          <w:rFonts w:hint="eastAsia"/>
          <w:b/>
          <w:color w:val="000000" w:themeColor="text1"/>
          <w14:textFill>
            <w14:solidFill>
              <w14:schemeClr w14:val="tx1"/>
            </w14:solidFill>
          </w14:textFill>
        </w:rPr>
        <w:t>（上传）</w:t>
      </w:r>
    </w:p>
    <w:p w14:paraId="3FFD1BD3">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截止时间：</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08</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08</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15</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14:paraId="04F573E0">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仿宋_GB2312" w:asciiTheme="minorEastAsia" w:hAnsiTheme="minorEastAsia" w:eastAsiaTheme="minorEastAsia"/>
          <w:b/>
          <w:color w:val="000000" w:themeColor="text1"/>
          <w:sz w:val="24"/>
          <w14:textFill>
            <w14:solidFill>
              <w14:schemeClr w14:val="tx1"/>
            </w14:solidFill>
          </w14:textFill>
        </w:rPr>
        <w:t>。</w:t>
      </w:r>
    </w:p>
    <w:p w14:paraId="2DD08998">
      <w:pPr>
        <w:pStyle w:val="632"/>
        <w:ind w:firstLine="0"/>
        <w:rPr>
          <w:b/>
          <w:color w:val="000000" w:themeColor="text1"/>
          <w14:textFill>
            <w14:solidFill>
              <w14:schemeClr w14:val="tx1"/>
            </w14:solidFill>
          </w14:textFill>
        </w:rPr>
      </w:pPr>
      <w:bookmarkStart w:id="28" w:name="_Toc35393633"/>
      <w:bookmarkStart w:id="29" w:name="_Toc35393802"/>
      <w:bookmarkStart w:id="30" w:name="_Toc28359093"/>
      <w:bookmarkStart w:id="31" w:name="_Toc28359016"/>
      <w:r>
        <w:rPr>
          <w:rFonts w:hint="eastAsia"/>
          <w:b/>
          <w:color w:val="000000" w:themeColor="text1"/>
          <w14:textFill>
            <w14:solidFill>
              <w14:schemeClr w14:val="tx1"/>
            </w14:solidFill>
          </w14:textFill>
        </w:rPr>
        <w:t>五、响应文件开启</w:t>
      </w:r>
      <w:bookmarkEnd w:id="28"/>
      <w:bookmarkEnd w:id="29"/>
      <w:bookmarkEnd w:id="30"/>
      <w:bookmarkEnd w:id="31"/>
    </w:p>
    <w:p w14:paraId="35912891">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08</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08</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15</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14:paraId="24CE1BC6">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w:t>
      </w:r>
    </w:p>
    <w:p w14:paraId="403CEC16">
      <w:pPr>
        <w:pStyle w:val="632"/>
        <w:ind w:firstLine="0"/>
        <w:rPr>
          <w:b/>
          <w:color w:val="000000" w:themeColor="text1"/>
          <w14:textFill>
            <w14:solidFill>
              <w14:schemeClr w14:val="tx1"/>
            </w14:solidFill>
          </w14:textFill>
        </w:rPr>
      </w:pPr>
      <w:bookmarkStart w:id="32" w:name="_Toc35393803"/>
      <w:bookmarkStart w:id="33" w:name="_Toc28359017"/>
      <w:bookmarkStart w:id="34" w:name="_Toc28359094"/>
      <w:bookmarkStart w:id="35" w:name="_Toc35393634"/>
      <w:r>
        <w:rPr>
          <w:rFonts w:hint="eastAsia"/>
          <w:b/>
          <w:color w:val="000000" w:themeColor="text1"/>
          <w14:textFill>
            <w14:solidFill>
              <w14:schemeClr w14:val="tx1"/>
            </w14:solidFill>
          </w14:textFill>
        </w:rPr>
        <w:t>六、公告期限</w:t>
      </w:r>
      <w:bookmarkEnd w:id="32"/>
      <w:bookmarkEnd w:id="33"/>
      <w:bookmarkEnd w:id="34"/>
      <w:bookmarkEnd w:id="35"/>
    </w:p>
    <w:p w14:paraId="6F08E04E">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自本公告发布之日起</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24"/>
          <w14:textFill>
            <w14:solidFill>
              <w14:schemeClr w14:val="tx1"/>
            </w14:solidFill>
          </w14:textFill>
        </w:rPr>
        <w:t>个工作日。</w:t>
      </w:r>
    </w:p>
    <w:p w14:paraId="5597BF7A">
      <w:pPr>
        <w:pStyle w:val="632"/>
        <w:ind w:firstLine="0"/>
        <w:rPr>
          <w:b/>
          <w:color w:val="000000" w:themeColor="text1"/>
          <w14:textFill>
            <w14:solidFill>
              <w14:schemeClr w14:val="tx1"/>
            </w14:solidFill>
          </w14:textFill>
        </w:rPr>
      </w:pPr>
      <w:bookmarkStart w:id="36" w:name="_Toc35393804"/>
      <w:bookmarkStart w:id="37" w:name="_Toc35393635"/>
      <w:r>
        <w:rPr>
          <w:rFonts w:hint="eastAsia"/>
          <w:b/>
          <w:color w:val="000000" w:themeColor="text1"/>
          <w14:textFill>
            <w14:solidFill>
              <w14:schemeClr w14:val="tx1"/>
            </w14:solidFill>
          </w14:textFill>
        </w:rPr>
        <w:t>七、其他补充事宜</w:t>
      </w:r>
      <w:bookmarkEnd w:id="36"/>
      <w:bookmarkEnd w:id="37"/>
    </w:p>
    <w:p w14:paraId="5A81DF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w:t>
      </w:r>
      <w:r>
        <w:rPr>
          <w:rFonts w:hint="eastAsia" w:ascii="宋体" w:hAnsi="宋体" w:cs="宋体"/>
          <w:color w:val="000000" w:themeColor="text1"/>
          <w:sz w:val="24"/>
          <w:lang w:eastAsia="zh-CN"/>
          <w14:textFill>
            <w14:solidFill>
              <w14:schemeClr w14:val="tx1"/>
            </w14:solidFill>
          </w14:textFill>
        </w:rPr>
        <w:t>本项目不收取</w:t>
      </w:r>
      <w:r>
        <w:rPr>
          <w:rFonts w:hint="eastAsia" w:ascii="宋体" w:hAnsi="宋体" w:cs="宋体"/>
          <w:color w:val="000000" w:themeColor="text1"/>
          <w:sz w:val="24"/>
          <w14:textFill>
            <w14:solidFill>
              <w14:schemeClr w14:val="tx1"/>
            </w14:solidFill>
          </w14:textFill>
        </w:rPr>
        <w:t>磋商保证金。</w:t>
      </w:r>
    </w:p>
    <w:p w14:paraId="6D2B2B2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C9AD3F4">
      <w:pPr>
        <w:spacing w:line="360" w:lineRule="auto"/>
        <w:ind w:firstLine="480" w:firstLineChars="200"/>
        <w:rPr>
          <w:color w:val="000000" w:themeColor="text1"/>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ED92E4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4.网上公告媒体查询：中国政府采购网、广西政府采购网</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北海中桂工程管理咨询有限公司网站</w:t>
      </w:r>
      <w:r>
        <w:rPr>
          <w:rFonts w:hint="eastAsia" w:ascii="宋体" w:hAnsi="宋体" w:cs="宋体"/>
          <w:color w:val="000000" w:themeColor="text1"/>
          <w:sz w:val="24"/>
          <w14:textFill>
            <w14:solidFill>
              <w14:schemeClr w14:val="tx1"/>
            </w14:solidFill>
          </w14:textFill>
        </w:rPr>
        <w:t>。</w:t>
      </w:r>
    </w:p>
    <w:p w14:paraId="3FF721C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7DED990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A5BB08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7.本项目采用远程异地评标。</w:t>
      </w:r>
    </w:p>
    <w:p w14:paraId="16FDADE9">
      <w:pPr>
        <w:pStyle w:val="632"/>
        <w:ind w:firstLine="0"/>
        <w:rPr>
          <w:b/>
          <w:color w:val="000000" w:themeColor="text1"/>
          <w14:textFill>
            <w14:solidFill>
              <w14:schemeClr w14:val="tx1"/>
            </w14:solidFill>
          </w14:textFill>
        </w:rPr>
      </w:pPr>
      <w:bookmarkStart w:id="38" w:name="_Toc35393636"/>
      <w:bookmarkStart w:id="39" w:name="_Toc28359018"/>
      <w:bookmarkStart w:id="40" w:name="_Toc28359095"/>
      <w:bookmarkStart w:id="41" w:name="_Toc35393805"/>
      <w:r>
        <w:rPr>
          <w:rFonts w:hint="eastAsia"/>
          <w:b/>
          <w:color w:val="000000" w:themeColor="text1"/>
          <w14:textFill>
            <w14:solidFill>
              <w14:schemeClr w14:val="tx1"/>
            </w14:solidFill>
          </w14:textFill>
        </w:rPr>
        <w:t>八、凡对本次采购提出询问、质疑、投诉，请按以下方式联系</w:t>
      </w:r>
      <w:bookmarkEnd w:id="38"/>
      <w:bookmarkEnd w:id="39"/>
      <w:bookmarkEnd w:id="40"/>
      <w:bookmarkEnd w:id="41"/>
    </w:p>
    <w:p w14:paraId="5F640F3A">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54FC9B6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北海市交通运输局</w:t>
      </w:r>
      <w:r>
        <w:rPr>
          <w:rFonts w:hint="eastAsia" w:ascii="宋体" w:hAnsi="宋体" w:cs="宋体"/>
          <w:color w:val="000000" w:themeColor="text1"/>
          <w:sz w:val="24"/>
          <w14:textFill>
            <w14:solidFill>
              <w14:schemeClr w14:val="tx1"/>
            </w14:solidFill>
          </w14:textFill>
        </w:rPr>
        <w:t xml:space="preserve"> </w:t>
      </w:r>
    </w:p>
    <w:p w14:paraId="70A4C0B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lang w:val="en-US" w:eastAsia="zh-CN"/>
          <w14:textFill>
            <w14:solidFill>
              <w14:schemeClr w14:val="tx1"/>
            </w14:solidFill>
          </w14:textFill>
        </w:rPr>
        <w:t>北海市海城区北海大道124号</w:t>
      </w:r>
      <w:r>
        <w:rPr>
          <w:rFonts w:hint="eastAsia" w:ascii="宋体" w:hAnsi="宋体" w:cs="宋体"/>
          <w:color w:val="000000" w:themeColor="text1"/>
          <w:sz w:val="24"/>
          <w14:textFill>
            <w14:solidFill>
              <w14:schemeClr w14:val="tx1"/>
            </w14:solidFill>
          </w14:textFill>
        </w:rPr>
        <w:t xml:space="preserve">       </w:t>
      </w:r>
    </w:p>
    <w:p w14:paraId="3D6A612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cs="宋体"/>
          <w:color w:val="000000" w:themeColor="text1"/>
          <w:sz w:val="24"/>
          <w:lang w:eastAsia="zh-CN"/>
          <w14:textFill>
            <w14:solidFill>
              <w14:schemeClr w14:val="tx1"/>
            </w14:solidFill>
          </w14:textFill>
        </w:rPr>
        <w:t>王工</w:t>
      </w:r>
      <w:r>
        <w:rPr>
          <w:rFonts w:hint="eastAsia" w:ascii="宋体" w:hAnsi="宋体" w:cs="宋体"/>
          <w:color w:val="000000" w:themeColor="text1"/>
          <w:sz w:val="24"/>
          <w14:textFill>
            <w14:solidFill>
              <w14:schemeClr w14:val="tx1"/>
            </w14:solidFill>
          </w14:textFill>
        </w:rPr>
        <w:t xml:space="preserve">  </w:t>
      </w:r>
    </w:p>
    <w:p w14:paraId="2B7795B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w:t>
      </w:r>
      <w:r>
        <w:rPr>
          <w:rFonts w:hint="eastAsia" w:ascii="宋体" w:hAnsi="宋体" w:cs="宋体"/>
          <w:color w:val="000000" w:themeColor="text1"/>
          <w:sz w:val="24"/>
          <w:lang w:val="en-US" w:eastAsia="zh-CN"/>
          <w14:textFill>
            <w14:solidFill>
              <w14:schemeClr w14:val="tx1"/>
            </w14:solidFill>
          </w14:textFill>
        </w:rPr>
        <w:t xml:space="preserve"> 0779-2057069</w:t>
      </w:r>
      <w:r>
        <w:rPr>
          <w:rFonts w:hint="eastAsia" w:ascii="宋体" w:hAnsi="宋体" w:cs="宋体"/>
          <w:color w:val="000000" w:themeColor="text1"/>
          <w:sz w:val="24"/>
          <w14:textFill>
            <w14:solidFill>
              <w14:schemeClr w14:val="tx1"/>
            </w14:solidFill>
          </w14:textFill>
        </w:rPr>
        <w:t xml:space="preserve"> </w:t>
      </w:r>
    </w:p>
    <w:p w14:paraId="4CFA2FE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B7D12E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3896C74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北海中桂工程管理咨询有限公司</w:t>
      </w:r>
    </w:p>
    <w:p w14:paraId="3F11D12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eastAsia="zh-CN"/>
          <w14:textFill>
            <w14:solidFill>
              <w14:schemeClr w14:val="tx1"/>
            </w14:solidFill>
          </w14:textFill>
        </w:rPr>
        <w:t>北海市海城区茶亭路37号鲁班楼3楼</w:t>
      </w:r>
    </w:p>
    <w:p w14:paraId="70E5F30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eastAsia="宋体" w:cs="宋体"/>
          <w:color w:val="auto"/>
          <w:kern w:val="0"/>
          <w:szCs w:val="21"/>
          <w:highlight w:val="none"/>
          <w:lang w:eastAsia="zh-CN"/>
        </w:rPr>
        <w:t>黄</w:t>
      </w:r>
      <w:r>
        <w:rPr>
          <w:rFonts w:hint="eastAsia" w:ascii="宋体" w:hAnsi="宋体" w:eastAsia="宋体" w:cs="宋体"/>
          <w:color w:val="auto"/>
          <w:kern w:val="0"/>
          <w:szCs w:val="21"/>
          <w:highlight w:val="none"/>
        </w:rPr>
        <w:t>工</w:t>
      </w:r>
      <w:r>
        <w:rPr>
          <w:rFonts w:hint="eastAsia" w:ascii="宋体" w:hAnsi="宋体" w:cs="宋体"/>
          <w:color w:val="000000" w:themeColor="text1"/>
          <w:sz w:val="24"/>
          <w14:textFill>
            <w14:solidFill>
              <w14:schemeClr w14:val="tx1"/>
            </w14:solidFill>
          </w14:textFill>
        </w:rPr>
        <w:t xml:space="preserve"> </w:t>
      </w:r>
    </w:p>
    <w:p w14:paraId="53FC4BC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eastAsia="zh-CN"/>
          <w14:textFill>
            <w14:solidFill>
              <w14:schemeClr w14:val="tx1"/>
            </w14:solidFill>
          </w14:textFill>
        </w:rPr>
        <w:t>0779-3998333</w:t>
      </w:r>
    </w:p>
    <w:p w14:paraId="07255B5B">
      <w:pPr>
        <w:pStyle w:val="632"/>
        <w:rPr>
          <w:color w:val="000000" w:themeColor="text1"/>
          <w14:textFill>
            <w14:solidFill>
              <w14:schemeClr w14:val="tx1"/>
            </w14:solidFill>
          </w14:textFill>
        </w:rPr>
      </w:pPr>
    </w:p>
    <w:p w14:paraId="647B188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3FDEE16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780F6B6D">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1F775BEE">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437AFF14">
      <w:pPr>
        <w:adjustRightInd/>
        <w:spacing w:line="360" w:lineRule="auto"/>
        <w:jc w:val="center"/>
        <w:outlineLvl w:val="0"/>
        <w:rPr>
          <w:rFonts w:cs="仿宋_GB2312" w:asciiTheme="minorEastAsia" w:hAnsiTheme="minorEastAsia" w:eastAsiaTheme="minorEastAsia"/>
          <w:b/>
          <w:color w:val="000000" w:themeColor="text1"/>
          <w:sz w:val="32"/>
          <w:szCs w:val="20"/>
          <w14:textFill>
            <w14:solidFill>
              <w14:schemeClr w14:val="tx1"/>
            </w14:solidFill>
          </w14:textFill>
        </w:rPr>
      </w:pPr>
      <w:bookmarkStart w:id="42" w:name="_Toc181203095"/>
      <w:bookmarkStart w:id="43" w:name="_Toc31487"/>
      <w:r>
        <w:rPr>
          <w:rFonts w:hint="eastAsia" w:cs="仿宋_GB2312" w:asciiTheme="minorEastAsia" w:hAnsiTheme="minorEastAsia" w:eastAsiaTheme="minorEastAsia"/>
          <w:b/>
          <w:color w:val="000000" w:themeColor="text1"/>
          <w:sz w:val="36"/>
          <w:szCs w:val="20"/>
          <w14:textFill>
            <w14:solidFill>
              <w14:schemeClr w14:val="tx1"/>
            </w14:solidFill>
          </w14:textFill>
        </w:rPr>
        <w:t>第二部分  竞争性磋商流程</w:t>
      </w:r>
      <w:bookmarkEnd w:id="42"/>
      <w:bookmarkEnd w:id="43"/>
    </w:p>
    <w:p w14:paraId="19BCABD6">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1.征集供应商</w:t>
      </w:r>
    </w:p>
    <w:p w14:paraId="2E68DC5A">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1.1邀请供应商。</w:t>
      </w:r>
    </w:p>
    <w:p w14:paraId="1641087D">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2FCD8F76">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1.2供应商获取磋商文件。</w:t>
      </w:r>
    </w:p>
    <w:p w14:paraId="05A2E602">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w:t>
      </w:r>
      <w:r>
        <w:rPr>
          <w:rFonts w:hint="eastAsia" w:asciiTheme="minorEastAsia" w:hAnsiTheme="minorEastAsia" w:eastAsiaTheme="minorEastAsia"/>
          <w:color w:val="000000" w:themeColor="text1"/>
          <w:szCs w:val="24"/>
          <w:lang w:val="en-US" w:eastAsia="zh-CN"/>
          <w14:textFill>
            <w14:solidFill>
              <w14:schemeClr w14:val="tx1"/>
            </w14:solidFill>
          </w14:textFill>
        </w:rPr>
        <w:t>3</w:t>
      </w:r>
      <w:r>
        <w:rPr>
          <w:rFonts w:hint="eastAsia" w:asciiTheme="minorEastAsia" w:hAnsiTheme="minorEastAsia" w:eastAsiaTheme="minorEastAsia"/>
          <w:color w:val="000000" w:themeColor="text1"/>
          <w:szCs w:val="24"/>
          <w14:textFill>
            <w14:solidFill>
              <w14:schemeClr w14:val="tx1"/>
            </w14:solidFill>
          </w14:textFill>
        </w:rPr>
        <w:t>发布更正（延期）公告，澄清或修改磋商文件（如果有）。</w:t>
      </w:r>
    </w:p>
    <w:p w14:paraId="2393BF1D">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w:t>
      </w:r>
      <w:r>
        <w:rPr>
          <w:rFonts w:hint="eastAsia" w:asciiTheme="minorEastAsia" w:hAnsiTheme="minorEastAsia" w:eastAsiaTheme="minorEastAsia"/>
          <w:color w:val="000000" w:themeColor="text1"/>
          <w:szCs w:val="24"/>
          <w:lang w:val="en-US" w:eastAsia="zh-CN"/>
          <w14:textFill>
            <w14:solidFill>
              <w14:schemeClr w14:val="tx1"/>
            </w14:solidFill>
          </w14:textFill>
        </w:rPr>
        <w:t>4</w:t>
      </w:r>
      <w:r>
        <w:rPr>
          <w:rFonts w:hint="eastAsia" w:asciiTheme="minorEastAsia" w:hAnsiTheme="minorEastAsia" w:eastAsiaTheme="minorEastAsia"/>
          <w:color w:val="000000" w:themeColor="text1"/>
          <w:szCs w:val="24"/>
          <w14:textFill>
            <w14:solidFill>
              <w14:schemeClr w14:val="tx1"/>
            </w14:solidFill>
          </w14:textFill>
        </w:rPr>
        <w:t>供应商按磋商文件要求编制响应文件。</w:t>
      </w:r>
    </w:p>
    <w:p w14:paraId="4012A370">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2.响应文件开启与信用信息查询</w:t>
      </w:r>
    </w:p>
    <w:p w14:paraId="673C6E08">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37E06672">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2.2</w:t>
      </w:r>
      <w:r>
        <w:rPr>
          <w:rFonts w:hint="eastAsia" w:cs="Arial" w:asciiTheme="minorEastAsia" w:hAnsiTheme="minorEastAsia" w:eastAsiaTheme="minorEastAsia"/>
          <w:color w:val="000000" w:themeColor="text1"/>
          <w:kern w:val="0"/>
          <w:szCs w:val="24"/>
          <w14:textFill>
            <w14:solidFill>
              <w14:schemeClr w14:val="tx1"/>
            </w14:solidFill>
          </w14:textFill>
        </w:rPr>
        <w:t>采购人或者采购代理机构将通过“信用中国”网站(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)和中国政府采购网(www.ccgp.gov.cn)渠道查询供应商响应截止时间当日的信用记录。</w:t>
      </w:r>
    </w:p>
    <w:p w14:paraId="4D0E0E94">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3.磋商与评审</w:t>
      </w:r>
    </w:p>
    <w:p w14:paraId="7A51E077">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3.1磋商小组签到。</w:t>
      </w:r>
    </w:p>
    <w:p w14:paraId="4F34B1A3">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3.2采购代理机构宣布有关纪律以及磋商、评审工作程序。</w:t>
      </w:r>
    </w:p>
    <w:p w14:paraId="1368F479">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3.3磋商小组审查确认磋商文件。磋商文件内容违反国家有关强制性规定的，磋商小组应当停止评审并向采购代理机构说明情况。</w:t>
      </w:r>
    </w:p>
    <w:p w14:paraId="1C0CDCE2">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3.4磋商小组对供应商的资格进行审查。</w:t>
      </w:r>
    </w:p>
    <w:p w14:paraId="7C86C564">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3.5磋商小组审查响应文件。</w:t>
      </w:r>
    </w:p>
    <w:p w14:paraId="42A28B5D">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3.6对于未实质性响应磋商文件的响应文件由磋商小组认定响应无效，并告知该供应商。</w:t>
      </w:r>
    </w:p>
    <w:p w14:paraId="6E224FDE">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BA5DD5C">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731F7E90">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7B8DC2F5">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1539269">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3.11磋商小组按照下列方式确定提交最后报价的供应商，有特殊规定的从其规定：</w:t>
      </w:r>
    </w:p>
    <w:p w14:paraId="4AE5D608">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140030CC">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2F3B8C9">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3.12确定进入最后报价的供应商在规定时间内提交最后报价。</w:t>
      </w:r>
    </w:p>
    <w:p w14:paraId="73B3F4F7">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1B7B66F">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3.14磋商小组应当根据综合评分情况，按照评审得分由高到低顺序推荐3名以上成交候选供应商，并编写评审报告。</w:t>
      </w:r>
    </w:p>
    <w:p w14:paraId="3DC408E0">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 成交</w:t>
      </w:r>
    </w:p>
    <w:p w14:paraId="25408554">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14:textFill>
            <w14:solidFill>
              <w14:schemeClr w14:val="tx1"/>
            </w14:solidFill>
          </w14:textFill>
        </w:rPr>
        <w:t>采购代理机构应当</w:t>
      </w:r>
      <w:r>
        <w:rPr>
          <w:rFonts w:hint="eastAsia" w:ascii="宋体" w:hAnsi="宋体" w:cs="宋体"/>
          <w:color w:val="000000" w:themeColor="text1"/>
          <w:szCs w:val="24"/>
          <w14:textFill>
            <w14:solidFill>
              <w14:schemeClr w14:val="tx1"/>
            </w14:solidFill>
          </w14:textFill>
        </w:rPr>
        <w:t>依法及时</w:t>
      </w:r>
      <w:r>
        <w:rPr>
          <w:rFonts w:hint="eastAsia" w:asciiTheme="minorEastAsia" w:hAnsiTheme="minorEastAsia" w:eastAsiaTheme="minorEastAsia"/>
          <w:color w:val="000000" w:themeColor="text1"/>
          <w:szCs w:val="24"/>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B3CE4C7">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3A40AC0A">
      <w:pPr>
        <w:pStyle w:val="393"/>
        <w:spacing w:before="0"/>
        <w:ind w:firstLine="0" w:firstLineChars="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5.合同及履约验收</w:t>
      </w:r>
    </w:p>
    <w:p w14:paraId="5133795D">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1230818">
      <w:pPr>
        <w:tabs>
          <w:tab w:val="left" w:pos="0"/>
        </w:tabs>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5.2成交供应商按照政策要求及合同约定缴纳履约保证金（如有）。</w:t>
      </w:r>
    </w:p>
    <w:p w14:paraId="788CA1AF">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5.3合同履约。</w:t>
      </w:r>
    </w:p>
    <w:p w14:paraId="1EE03CF9">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5.4采购人组织验收。</w:t>
      </w:r>
    </w:p>
    <w:p w14:paraId="4719D54E">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14:paraId="4A43DB10">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6.竞争性磋商流程图</w:t>
      </w:r>
    </w:p>
    <w:p w14:paraId="55585FEE">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6D68F7B8">
      <w:pPr>
        <w:widowControl/>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p>
    <w:p w14:paraId="6094E784">
      <w:pPr>
        <w:widowControl/>
        <w:adjustRightInd/>
        <w:jc w:val="left"/>
        <w:rPr>
          <w:rFonts w:cs="仿宋_GB2312" w:asciiTheme="minorEastAsia" w:hAnsiTheme="minorEastAsia" w:eastAsiaTheme="minorEastAsia"/>
          <w:b/>
          <w:color w:val="000000" w:themeColor="text1"/>
          <w:sz w:val="36"/>
          <w:szCs w:val="20"/>
          <w14:textFill>
            <w14:solidFill>
              <w14:schemeClr w14:val="tx1"/>
            </w14:solidFill>
          </w14:textFill>
        </w:rPr>
      </w:pP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78F835">
                            <w:pPr>
                              <w:rPr>
                                <w:rFonts w:asciiTheme="minorEastAsia" w:hAnsiTheme="minorEastAsia" w:eastAsiaTheme="minorEastAsia"/>
                              </w:rPr>
                            </w:pPr>
                            <w:r>
                              <w:rPr>
                                <w:rFonts w:hint="eastAsia" w:asciiTheme="minorEastAsia" w:hAnsiTheme="minorEastAsia" w:eastAsiaTheme="minorEastAsia"/>
                              </w:rPr>
                              <w:t>验收</w:t>
                            </w:r>
                          </w:p>
                          <w:p w14:paraId="4AB688B2">
                            <w:pPr>
                              <w:rPr>
                                <w:rFonts w:ascii="仿宋_GB2312" w:eastAsia="仿宋_GB2312"/>
                              </w:rPr>
                            </w:pPr>
                            <w:r>
                              <w:rPr>
                                <w:rFonts w:hint="eastAsia" w:ascii="仿宋_GB2312" w:eastAsia="仿宋_GB2312"/>
                              </w:rPr>
                              <w:t>立项</w:t>
                            </w:r>
                          </w:p>
                          <w:p w14:paraId="2D4AEB0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C78F835">
                      <w:pPr>
                        <w:rPr>
                          <w:rFonts w:asciiTheme="minorEastAsia" w:hAnsiTheme="minorEastAsia" w:eastAsiaTheme="minorEastAsia"/>
                        </w:rPr>
                      </w:pPr>
                      <w:r>
                        <w:rPr>
                          <w:rFonts w:hint="eastAsia" w:asciiTheme="minorEastAsia" w:hAnsiTheme="minorEastAsia" w:eastAsiaTheme="minorEastAsia"/>
                        </w:rPr>
                        <w:t>验收</w:t>
                      </w:r>
                    </w:p>
                    <w:p w14:paraId="4AB688B2">
                      <w:pPr>
                        <w:rPr>
                          <w:rFonts w:ascii="仿宋_GB2312" w:eastAsia="仿宋_GB2312"/>
                        </w:rPr>
                      </w:pPr>
                      <w:r>
                        <w:rPr>
                          <w:rFonts w:hint="eastAsia" w:ascii="仿宋_GB2312" w:eastAsia="仿宋_GB2312"/>
                        </w:rPr>
                        <w:t>立项</w:t>
                      </w:r>
                    </w:p>
                    <w:p w14:paraId="2D4AEB0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5D322">
                            <w:pPr>
                              <w:rPr>
                                <w:rFonts w:asciiTheme="minorEastAsia" w:hAnsiTheme="minorEastAsia" w:eastAsiaTheme="minorEastAsia"/>
                              </w:rPr>
                            </w:pPr>
                            <w:r>
                              <w:rPr>
                                <w:rFonts w:hint="eastAsia" w:asciiTheme="minorEastAsia" w:hAnsiTheme="minorEastAsia" w:eastAsiaTheme="minorEastAsia"/>
                              </w:rPr>
                              <w:t>履约</w:t>
                            </w:r>
                          </w:p>
                          <w:p w14:paraId="53A35F84">
                            <w:pPr>
                              <w:rPr>
                                <w:rFonts w:ascii="仿宋_GB2312" w:eastAsia="仿宋_GB2312"/>
                              </w:rPr>
                            </w:pPr>
                            <w:r>
                              <w:rPr>
                                <w:rFonts w:hint="eastAsia" w:ascii="仿宋_GB2312" w:eastAsia="仿宋_GB2312"/>
                              </w:rPr>
                              <w:t>立项</w:t>
                            </w:r>
                          </w:p>
                          <w:p w14:paraId="386CE4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445D322">
                      <w:pPr>
                        <w:rPr>
                          <w:rFonts w:asciiTheme="minorEastAsia" w:hAnsiTheme="minorEastAsia" w:eastAsiaTheme="minorEastAsia"/>
                        </w:rPr>
                      </w:pPr>
                      <w:r>
                        <w:rPr>
                          <w:rFonts w:hint="eastAsia" w:asciiTheme="minorEastAsia" w:hAnsiTheme="minorEastAsia" w:eastAsiaTheme="minorEastAsia"/>
                        </w:rPr>
                        <w:t>履约</w:t>
                      </w:r>
                    </w:p>
                    <w:p w14:paraId="53A35F84">
                      <w:pPr>
                        <w:rPr>
                          <w:rFonts w:ascii="仿宋_GB2312" w:eastAsia="仿宋_GB2312"/>
                        </w:rPr>
                      </w:pPr>
                      <w:r>
                        <w:rPr>
                          <w:rFonts w:hint="eastAsia" w:ascii="仿宋_GB2312" w:eastAsia="仿宋_GB2312"/>
                        </w:rPr>
                        <w:t>立项</w:t>
                      </w:r>
                    </w:p>
                    <w:p w14:paraId="386CE4AD">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ECF6B0">
                            <w:pPr>
                              <w:jc w:val="center"/>
                              <w:rPr>
                                <w:rFonts w:asciiTheme="minorEastAsia" w:hAnsiTheme="minorEastAsia" w:eastAsiaTheme="minorEastAsia"/>
                              </w:rPr>
                            </w:pPr>
                            <w:r>
                              <w:rPr>
                                <w:rFonts w:hint="eastAsia" w:asciiTheme="minorEastAsia" w:hAnsiTheme="minorEastAsia" w:eastAsiaTheme="minorEastAsia"/>
                              </w:rPr>
                              <w:t>签订合同</w:t>
                            </w:r>
                          </w:p>
                          <w:p w14:paraId="32F2F400">
                            <w:pPr>
                              <w:rPr>
                                <w:rFonts w:ascii="仿宋_GB2312" w:eastAsia="仿宋_GB2312"/>
                              </w:rPr>
                            </w:pPr>
                            <w:r>
                              <w:rPr>
                                <w:rFonts w:hint="eastAsia" w:ascii="仿宋_GB2312" w:eastAsia="仿宋_GB2312"/>
                              </w:rPr>
                              <w:t>立项</w:t>
                            </w:r>
                          </w:p>
                          <w:p w14:paraId="2AA3727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DECF6B0">
                      <w:pPr>
                        <w:jc w:val="center"/>
                        <w:rPr>
                          <w:rFonts w:asciiTheme="minorEastAsia" w:hAnsiTheme="minorEastAsia" w:eastAsiaTheme="minorEastAsia"/>
                        </w:rPr>
                      </w:pPr>
                      <w:r>
                        <w:rPr>
                          <w:rFonts w:hint="eastAsia" w:asciiTheme="minorEastAsia" w:hAnsiTheme="minorEastAsia" w:eastAsiaTheme="minorEastAsia"/>
                        </w:rPr>
                        <w:t>签订合同</w:t>
                      </w:r>
                    </w:p>
                    <w:p w14:paraId="32F2F400">
                      <w:pPr>
                        <w:rPr>
                          <w:rFonts w:ascii="仿宋_GB2312" w:eastAsia="仿宋_GB2312"/>
                        </w:rPr>
                      </w:pPr>
                      <w:r>
                        <w:rPr>
                          <w:rFonts w:hint="eastAsia" w:ascii="仿宋_GB2312" w:eastAsia="仿宋_GB2312"/>
                        </w:rPr>
                        <w:t>立项</w:t>
                      </w:r>
                    </w:p>
                    <w:p w14:paraId="2AA37275">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76A02">
                            <w:pPr>
                              <w:rPr>
                                <w:rFonts w:asciiTheme="minorEastAsia" w:hAnsiTheme="minorEastAsia" w:eastAsiaTheme="minorEastAsia"/>
                              </w:rPr>
                            </w:pPr>
                            <w:r>
                              <w:rPr>
                                <w:rFonts w:hint="eastAsia" w:asciiTheme="minorEastAsia" w:hAnsiTheme="minorEastAsia" w:eastAsiaTheme="minorEastAsia"/>
                              </w:rPr>
                              <w:t>成交公告；成交通知书</w:t>
                            </w:r>
                          </w:p>
                          <w:p w14:paraId="0879404C">
                            <w:pPr>
                              <w:rPr>
                                <w:rFonts w:ascii="仿宋_GB2312" w:eastAsia="仿宋_GB2312"/>
                              </w:rPr>
                            </w:pPr>
                            <w:r>
                              <w:rPr>
                                <w:rFonts w:hint="eastAsia" w:ascii="仿宋_GB2312" w:eastAsia="仿宋_GB2312"/>
                              </w:rPr>
                              <w:t>立项</w:t>
                            </w:r>
                          </w:p>
                          <w:p w14:paraId="50ABD0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8C76A02">
                      <w:pPr>
                        <w:rPr>
                          <w:rFonts w:asciiTheme="minorEastAsia" w:hAnsiTheme="minorEastAsia" w:eastAsiaTheme="minorEastAsia"/>
                        </w:rPr>
                      </w:pPr>
                      <w:r>
                        <w:rPr>
                          <w:rFonts w:hint="eastAsia" w:asciiTheme="minorEastAsia" w:hAnsiTheme="minorEastAsia" w:eastAsiaTheme="minorEastAsia"/>
                        </w:rPr>
                        <w:t>成交公告；成交通知书</w:t>
                      </w:r>
                    </w:p>
                    <w:p w14:paraId="0879404C">
                      <w:pPr>
                        <w:rPr>
                          <w:rFonts w:ascii="仿宋_GB2312" w:eastAsia="仿宋_GB2312"/>
                        </w:rPr>
                      </w:pPr>
                      <w:r>
                        <w:rPr>
                          <w:rFonts w:hint="eastAsia" w:ascii="仿宋_GB2312" w:eastAsia="仿宋_GB2312"/>
                        </w:rPr>
                        <w:t>立项</w:t>
                      </w:r>
                    </w:p>
                    <w:p w14:paraId="50ABD0B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40AD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706F029">
                            <w:pPr>
                              <w:rPr>
                                <w:rFonts w:ascii="仿宋_GB2312" w:eastAsia="仿宋_GB2312"/>
                              </w:rPr>
                            </w:pPr>
                            <w:r>
                              <w:rPr>
                                <w:rFonts w:hint="eastAsia" w:ascii="仿宋_GB2312" w:eastAsia="仿宋_GB2312"/>
                              </w:rPr>
                              <w:t>立项</w:t>
                            </w:r>
                          </w:p>
                          <w:p w14:paraId="4D6E3A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6C40AD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706F029">
                      <w:pPr>
                        <w:rPr>
                          <w:rFonts w:ascii="仿宋_GB2312" w:eastAsia="仿宋_GB2312"/>
                        </w:rPr>
                      </w:pPr>
                      <w:r>
                        <w:rPr>
                          <w:rFonts w:hint="eastAsia" w:ascii="仿宋_GB2312" w:eastAsia="仿宋_GB2312"/>
                        </w:rPr>
                        <w:t>立项</w:t>
                      </w:r>
                    </w:p>
                    <w:p w14:paraId="4D6E3AF3">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7D0DAD">
                            <w:pPr>
                              <w:jc w:val="center"/>
                              <w:rPr>
                                <w:rFonts w:asciiTheme="minorEastAsia" w:hAnsiTheme="minorEastAsia" w:eastAsiaTheme="minorEastAsia"/>
                              </w:rPr>
                            </w:pPr>
                            <w:r>
                              <w:rPr>
                                <w:rFonts w:hint="eastAsia" w:asciiTheme="minorEastAsia" w:hAnsiTheme="minorEastAsia" w:eastAsiaTheme="minorEastAsia"/>
                              </w:rPr>
                              <w:t>评审打分</w:t>
                            </w:r>
                          </w:p>
                          <w:p w14:paraId="19A442D5">
                            <w:pPr>
                              <w:rPr>
                                <w:rFonts w:ascii="仿宋_GB2312" w:eastAsia="仿宋_GB2312"/>
                              </w:rPr>
                            </w:pPr>
                            <w:r>
                              <w:rPr>
                                <w:rFonts w:hint="eastAsia" w:ascii="仿宋_GB2312" w:eastAsia="仿宋_GB2312"/>
                              </w:rPr>
                              <w:t>立项</w:t>
                            </w:r>
                          </w:p>
                          <w:p w14:paraId="74D58B4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07D0DAD">
                      <w:pPr>
                        <w:jc w:val="center"/>
                        <w:rPr>
                          <w:rFonts w:asciiTheme="minorEastAsia" w:hAnsiTheme="minorEastAsia" w:eastAsiaTheme="minorEastAsia"/>
                        </w:rPr>
                      </w:pPr>
                      <w:r>
                        <w:rPr>
                          <w:rFonts w:hint="eastAsia" w:asciiTheme="minorEastAsia" w:hAnsiTheme="minorEastAsia" w:eastAsiaTheme="minorEastAsia"/>
                        </w:rPr>
                        <w:t>评审打分</w:t>
                      </w:r>
                    </w:p>
                    <w:p w14:paraId="19A442D5">
                      <w:pPr>
                        <w:rPr>
                          <w:rFonts w:ascii="仿宋_GB2312" w:eastAsia="仿宋_GB2312"/>
                        </w:rPr>
                      </w:pPr>
                      <w:r>
                        <w:rPr>
                          <w:rFonts w:hint="eastAsia" w:ascii="仿宋_GB2312" w:eastAsia="仿宋_GB2312"/>
                        </w:rPr>
                        <w:t>立项</w:t>
                      </w:r>
                    </w:p>
                    <w:p w14:paraId="74D58B49">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2241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FC2E24D">
                            <w:pPr>
                              <w:rPr>
                                <w:rFonts w:ascii="仿宋_GB2312" w:eastAsia="仿宋_GB2312"/>
                              </w:rPr>
                            </w:pPr>
                            <w:r>
                              <w:rPr>
                                <w:rFonts w:hint="eastAsia" w:ascii="仿宋_GB2312" w:eastAsia="仿宋_GB2312"/>
                              </w:rPr>
                              <w:t>立项</w:t>
                            </w:r>
                          </w:p>
                          <w:p w14:paraId="6D18156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792241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FC2E24D">
                      <w:pPr>
                        <w:rPr>
                          <w:rFonts w:ascii="仿宋_GB2312" w:eastAsia="仿宋_GB2312"/>
                        </w:rPr>
                      </w:pPr>
                      <w:r>
                        <w:rPr>
                          <w:rFonts w:hint="eastAsia" w:ascii="仿宋_GB2312" w:eastAsia="仿宋_GB2312"/>
                        </w:rPr>
                        <w:t>立项</w:t>
                      </w:r>
                    </w:p>
                    <w:p w14:paraId="6D181564">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6D5AF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16D5AF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B180A">
                            <w:pPr>
                              <w:jc w:val="center"/>
                              <w:rPr>
                                <w:rFonts w:asciiTheme="minorEastAsia" w:hAnsiTheme="minorEastAsia" w:eastAsiaTheme="minorEastAsia"/>
                              </w:rPr>
                            </w:pPr>
                            <w:r>
                              <w:rPr>
                                <w:rFonts w:hint="eastAsia" w:asciiTheme="minorEastAsia" w:hAnsiTheme="minorEastAsia" w:eastAsiaTheme="minorEastAsia"/>
                              </w:rPr>
                              <w:t>资格审查</w:t>
                            </w:r>
                          </w:p>
                          <w:p w14:paraId="3813E851">
                            <w:pPr>
                              <w:jc w:val="center"/>
                              <w:rPr>
                                <w:rFonts w:ascii="仿宋_GB2312" w:eastAsia="仿宋_GB2312"/>
                              </w:rPr>
                            </w:pPr>
                          </w:p>
                          <w:p w14:paraId="09A3153B">
                            <w:pPr>
                              <w:rPr>
                                <w:rFonts w:ascii="仿宋_GB2312" w:eastAsia="仿宋_GB2312"/>
                              </w:rPr>
                            </w:pPr>
                            <w:r>
                              <w:rPr>
                                <w:rFonts w:hint="eastAsia" w:ascii="仿宋_GB2312" w:eastAsia="仿宋_GB2312"/>
                              </w:rPr>
                              <w:t>立项</w:t>
                            </w:r>
                          </w:p>
                          <w:p w14:paraId="444140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3DB180A">
                      <w:pPr>
                        <w:jc w:val="center"/>
                        <w:rPr>
                          <w:rFonts w:asciiTheme="minorEastAsia" w:hAnsiTheme="minorEastAsia" w:eastAsiaTheme="minorEastAsia"/>
                        </w:rPr>
                      </w:pPr>
                      <w:r>
                        <w:rPr>
                          <w:rFonts w:hint="eastAsia" w:asciiTheme="minorEastAsia" w:hAnsiTheme="minorEastAsia" w:eastAsiaTheme="minorEastAsia"/>
                        </w:rPr>
                        <w:t>资格审查</w:t>
                      </w:r>
                    </w:p>
                    <w:p w14:paraId="3813E851">
                      <w:pPr>
                        <w:jc w:val="center"/>
                        <w:rPr>
                          <w:rFonts w:ascii="仿宋_GB2312" w:eastAsia="仿宋_GB2312"/>
                        </w:rPr>
                      </w:pPr>
                    </w:p>
                    <w:p w14:paraId="09A3153B">
                      <w:pPr>
                        <w:rPr>
                          <w:rFonts w:ascii="仿宋_GB2312" w:eastAsia="仿宋_GB2312"/>
                        </w:rPr>
                      </w:pPr>
                      <w:r>
                        <w:rPr>
                          <w:rFonts w:hint="eastAsia" w:ascii="仿宋_GB2312" w:eastAsia="仿宋_GB2312"/>
                        </w:rPr>
                        <w:t>立项</w:t>
                      </w:r>
                    </w:p>
                    <w:p w14:paraId="44414071">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8825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028825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D7F44A">
                            <w:pPr>
                              <w:jc w:val="center"/>
                              <w:rPr>
                                <w:rFonts w:asciiTheme="minorEastAsia" w:hAnsiTheme="minorEastAsia" w:eastAsiaTheme="minorEastAsia"/>
                              </w:rPr>
                            </w:pPr>
                            <w:r>
                              <w:rPr>
                                <w:rFonts w:hint="eastAsia" w:asciiTheme="minorEastAsia" w:hAnsiTheme="minorEastAsia" w:eastAsiaTheme="minorEastAsia"/>
                              </w:rPr>
                              <w:t>开启响应文件</w:t>
                            </w:r>
                          </w:p>
                          <w:p w14:paraId="14E83CA8">
                            <w:pPr>
                              <w:rPr>
                                <w:rFonts w:ascii="仿宋_GB2312" w:eastAsia="仿宋_GB2312"/>
                              </w:rPr>
                            </w:pPr>
                            <w:r>
                              <w:rPr>
                                <w:rFonts w:hint="eastAsia" w:ascii="仿宋_GB2312" w:eastAsia="仿宋_GB2312"/>
                              </w:rPr>
                              <w:t>立项</w:t>
                            </w:r>
                          </w:p>
                          <w:p w14:paraId="3BF6CC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9D7F44A">
                      <w:pPr>
                        <w:jc w:val="center"/>
                        <w:rPr>
                          <w:rFonts w:asciiTheme="minorEastAsia" w:hAnsiTheme="minorEastAsia" w:eastAsiaTheme="minorEastAsia"/>
                        </w:rPr>
                      </w:pPr>
                      <w:r>
                        <w:rPr>
                          <w:rFonts w:hint="eastAsia" w:asciiTheme="minorEastAsia" w:hAnsiTheme="minorEastAsia" w:eastAsiaTheme="minorEastAsia"/>
                        </w:rPr>
                        <w:t>开启响应文件</w:t>
                      </w:r>
                    </w:p>
                    <w:p w14:paraId="14E83CA8">
                      <w:pPr>
                        <w:rPr>
                          <w:rFonts w:ascii="仿宋_GB2312" w:eastAsia="仿宋_GB2312"/>
                        </w:rPr>
                      </w:pPr>
                      <w:r>
                        <w:rPr>
                          <w:rFonts w:hint="eastAsia" w:ascii="仿宋_GB2312" w:eastAsia="仿宋_GB2312"/>
                        </w:rPr>
                        <w:t>立项</w:t>
                      </w:r>
                    </w:p>
                    <w:p w14:paraId="3BF6CCA1">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CAB08B">
                            <w:pPr>
                              <w:jc w:val="center"/>
                              <w:rPr>
                                <w:rFonts w:asciiTheme="minorEastAsia" w:hAnsiTheme="minorEastAsia" w:eastAsiaTheme="minorEastAsia"/>
                              </w:rPr>
                            </w:pPr>
                            <w:r>
                              <w:rPr>
                                <w:rFonts w:hint="eastAsia" w:asciiTheme="minorEastAsia" w:hAnsiTheme="minorEastAsia" w:eastAsiaTheme="minorEastAsia"/>
                              </w:rPr>
                              <w:t>邀请供应商</w:t>
                            </w:r>
                          </w:p>
                          <w:p w14:paraId="029F8C35">
                            <w:pPr>
                              <w:rPr>
                                <w:rFonts w:ascii="仿宋_GB2312" w:eastAsia="仿宋_GB2312"/>
                              </w:rPr>
                            </w:pPr>
                            <w:r>
                              <w:rPr>
                                <w:rFonts w:hint="eastAsia" w:ascii="仿宋_GB2312" w:eastAsia="仿宋_GB2312"/>
                              </w:rPr>
                              <w:t>立项</w:t>
                            </w:r>
                          </w:p>
                          <w:p w14:paraId="7319761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ACAB08B">
                      <w:pPr>
                        <w:jc w:val="center"/>
                        <w:rPr>
                          <w:rFonts w:asciiTheme="minorEastAsia" w:hAnsiTheme="minorEastAsia" w:eastAsiaTheme="minorEastAsia"/>
                        </w:rPr>
                      </w:pPr>
                      <w:r>
                        <w:rPr>
                          <w:rFonts w:hint="eastAsia" w:asciiTheme="minorEastAsia" w:hAnsiTheme="minorEastAsia" w:eastAsiaTheme="minorEastAsia"/>
                        </w:rPr>
                        <w:t>邀请供应商</w:t>
                      </w:r>
                    </w:p>
                    <w:p w14:paraId="029F8C35">
                      <w:pPr>
                        <w:rPr>
                          <w:rFonts w:ascii="仿宋_GB2312" w:eastAsia="仿宋_GB2312"/>
                        </w:rPr>
                      </w:pPr>
                      <w:r>
                        <w:rPr>
                          <w:rFonts w:hint="eastAsia" w:ascii="仿宋_GB2312" w:eastAsia="仿宋_GB2312"/>
                        </w:rPr>
                        <w:t>立项</w:t>
                      </w:r>
                    </w:p>
                    <w:p w14:paraId="73197617">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3A689914">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44" w:name="_Toc21227"/>
      <w:bookmarkStart w:id="45" w:name="_Toc181203096"/>
      <w:r>
        <w:rPr>
          <w:rFonts w:hint="eastAsia" w:cs="仿宋_GB2312" w:asciiTheme="minorEastAsia" w:hAnsiTheme="minorEastAsia" w:eastAsiaTheme="minorEastAsia"/>
          <w:b/>
          <w:color w:val="000000" w:themeColor="text1"/>
          <w:sz w:val="36"/>
          <w:szCs w:val="20"/>
          <w14:textFill>
            <w14:solidFill>
              <w14:schemeClr w14:val="tx1"/>
            </w14:solidFill>
          </w14:textFill>
        </w:rPr>
        <w:t>第三部分</w:t>
      </w:r>
      <w:bookmarkEnd w:id="9"/>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供应商须知</w:t>
      </w:r>
      <w:bookmarkEnd w:id="10"/>
      <w:bookmarkEnd w:id="44"/>
      <w:bookmarkEnd w:id="45"/>
    </w:p>
    <w:p w14:paraId="0D12F2CE">
      <w:pPr>
        <w:adjustRightInd/>
        <w:spacing w:line="360" w:lineRule="auto"/>
        <w:jc w:val="center"/>
        <w:outlineLvl w:val="1"/>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一、前附表</w:t>
      </w:r>
    </w:p>
    <w:tbl>
      <w:tblPr>
        <w:tblStyle w:val="61"/>
        <w:tblW w:w="9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5"/>
        <w:gridCol w:w="2009"/>
        <w:gridCol w:w="6644"/>
      </w:tblGrid>
      <w:tr w14:paraId="30361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85" w:type="dxa"/>
            <w:tcBorders>
              <w:top w:val="single" w:color="auto" w:sz="4" w:space="0"/>
              <w:left w:val="single" w:color="auto" w:sz="4" w:space="0"/>
              <w:bottom w:val="single" w:color="auto" w:sz="4" w:space="0"/>
              <w:right w:val="single" w:color="auto" w:sz="4" w:space="0"/>
            </w:tcBorders>
            <w:vAlign w:val="center"/>
          </w:tcPr>
          <w:p w14:paraId="42D6A91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2009" w:type="dxa"/>
            <w:tcBorders>
              <w:top w:val="single" w:color="000000" w:sz="8" w:space="0"/>
              <w:left w:val="single" w:color="auto" w:sz="4" w:space="0"/>
              <w:bottom w:val="single" w:color="000000" w:sz="8" w:space="0"/>
              <w:right w:val="single" w:color="000000" w:sz="8" w:space="0"/>
            </w:tcBorders>
            <w:vAlign w:val="center"/>
          </w:tcPr>
          <w:p w14:paraId="15F9604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603292E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14:paraId="3C11F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85" w:type="dxa"/>
            <w:tcBorders>
              <w:top w:val="single" w:color="auto" w:sz="4" w:space="0"/>
              <w:left w:val="single" w:color="auto" w:sz="4" w:space="0"/>
              <w:bottom w:val="single" w:color="auto" w:sz="4" w:space="0"/>
              <w:right w:val="single" w:color="auto" w:sz="4" w:space="0"/>
            </w:tcBorders>
            <w:vAlign w:val="center"/>
          </w:tcPr>
          <w:p w14:paraId="3A1CE2C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2009" w:type="dxa"/>
            <w:tcBorders>
              <w:top w:val="single" w:color="000000" w:sz="8" w:space="0"/>
              <w:left w:val="single" w:color="auto" w:sz="4" w:space="0"/>
              <w:bottom w:val="single" w:color="000000" w:sz="8" w:space="0"/>
              <w:right w:val="single" w:color="000000" w:sz="8" w:space="0"/>
            </w:tcBorders>
            <w:vAlign w:val="center"/>
          </w:tcPr>
          <w:p w14:paraId="7B71F23D">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058957DF">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服务类。</w:t>
            </w:r>
          </w:p>
        </w:tc>
      </w:tr>
      <w:tr w14:paraId="13D40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85" w:type="dxa"/>
            <w:tcBorders>
              <w:top w:val="single" w:color="auto" w:sz="4" w:space="0"/>
              <w:left w:val="single" w:color="auto" w:sz="4" w:space="0"/>
              <w:bottom w:val="single" w:color="auto" w:sz="4" w:space="0"/>
              <w:right w:val="single" w:color="auto" w:sz="4" w:space="0"/>
            </w:tcBorders>
            <w:vAlign w:val="center"/>
          </w:tcPr>
          <w:p w14:paraId="7C7EDBA6">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2009" w:type="dxa"/>
            <w:tcBorders>
              <w:top w:val="single" w:color="000000" w:sz="8" w:space="0"/>
              <w:left w:val="single" w:color="auto" w:sz="4" w:space="0"/>
              <w:bottom w:val="single" w:color="000000" w:sz="8" w:space="0"/>
              <w:right w:val="single" w:color="000000" w:sz="8" w:space="0"/>
            </w:tcBorders>
            <w:vAlign w:val="center"/>
          </w:tcPr>
          <w:p w14:paraId="3BB0116E">
            <w:pPr>
              <w:snapToGrid w:val="0"/>
              <w:spacing w:line="360" w:lineRule="auto"/>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采购标的及其对应的中小企业划分标准所属行业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6B20A634">
            <w:pPr>
              <w:snapToGrid w:val="0"/>
              <w:spacing w:line="360" w:lineRule="auto"/>
              <w:rPr>
                <w:rFonts w:hint="eastAsia" w:cs="宋体" w:asciiTheme="minorEastAsia" w:hAnsiTheme="minorEastAsia" w:eastAsiaTheme="minorEastAsia"/>
                <w:b w:val="0"/>
                <w:bCs w:val="0"/>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（1）标的：</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lang w:eastAsia="zh-CN"/>
                <w14:textFill>
                  <w14:solidFill>
                    <w14:schemeClr w14:val="tx1"/>
                  </w14:solidFill>
                </w14:textFill>
              </w:rPr>
              <w:t>新建合浦至湛江铁路—铁山港跨海特大桥工程红树林试验性移植项目</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，属于</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其他未列明行业</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none"/>
                <w:lang w:eastAsia="zh-CN"/>
                <w14:textFill>
                  <w14:solidFill>
                    <w14:schemeClr w14:val="tx1"/>
                  </w14:solidFill>
                </w14:textFill>
              </w:rPr>
              <w:t>。</w:t>
            </w:r>
          </w:p>
        </w:tc>
      </w:tr>
      <w:tr w14:paraId="1F11F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85" w:type="dxa"/>
            <w:tcBorders>
              <w:top w:val="single" w:color="auto" w:sz="4" w:space="0"/>
              <w:left w:val="single" w:color="auto" w:sz="4" w:space="0"/>
              <w:bottom w:val="single" w:color="auto" w:sz="4" w:space="0"/>
              <w:right w:val="single" w:color="auto" w:sz="4" w:space="0"/>
            </w:tcBorders>
            <w:vAlign w:val="center"/>
          </w:tcPr>
          <w:p w14:paraId="75081D8F">
            <w:pPr>
              <w:snapToGrid w:val="0"/>
              <w:spacing w:line="360" w:lineRule="auto"/>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p>
        </w:tc>
        <w:tc>
          <w:tcPr>
            <w:tcW w:w="2009" w:type="dxa"/>
            <w:tcBorders>
              <w:top w:val="single" w:color="000000" w:sz="8" w:space="0"/>
              <w:left w:val="single" w:color="auto" w:sz="4" w:space="0"/>
              <w:bottom w:val="single" w:color="000000" w:sz="8" w:space="0"/>
              <w:right w:val="single" w:color="000000" w:sz="8" w:space="0"/>
            </w:tcBorders>
            <w:vAlign w:val="center"/>
          </w:tcPr>
          <w:p w14:paraId="031D199E">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6FB37FF7">
            <w:pPr>
              <w:spacing w:line="360" w:lineRule="auto"/>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不同意分包。</w:t>
            </w:r>
          </w:p>
        </w:tc>
      </w:tr>
      <w:tr w14:paraId="0844D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6" w:hRule="atLeast"/>
          <w:tblHeader/>
        </w:trPr>
        <w:tc>
          <w:tcPr>
            <w:tcW w:w="685" w:type="dxa"/>
            <w:vMerge w:val="restart"/>
            <w:tcBorders>
              <w:top w:val="single" w:color="auto" w:sz="4" w:space="0"/>
              <w:left w:val="single" w:color="auto" w:sz="4" w:space="0"/>
              <w:right w:val="single" w:color="auto" w:sz="4" w:space="0"/>
            </w:tcBorders>
            <w:vAlign w:val="center"/>
          </w:tcPr>
          <w:p w14:paraId="70330009">
            <w:pPr>
              <w:snapToGrid w:val="0"/>
              <w:spacing w:line="360" w:lineRule="auto"/>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4</w:t>
            </w:r>
          </w:p>
        </w:tc>
        <w:tc>
          <w:tcPr>
            <w:tcW w:w="2009" w:type="dxa"/>
            <w:vMerge w:val="restart"/>
            <w:tcBorders>
              <w:top w:val="single" w:color="000000" w:sz="8" w:space="0"/>
              <w:left w:val="single" w:color="auto" w:sz="4" w:space="0"/>
              <w:right w:val="single" w:color="000000" w:sz="8" w:space="0"/>
            </w:tcBorders>
            <w:vAlign w:val="center"/>
          </w:tcPr>
          <w:p w14:paraId="03A9F1BB">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供应商应当提供的资格、资信证明文件</w:t>
            </w:r>
          </w:p>
        </w:tc>
        <w:tc>
          <w:tcPr>
            <w:tcW w:w="6644" w:type="dxa"/>
            <w:tcBorders>
              <w:top w:val="single" w:color="000000" w:sz="8" w:space="0"/>
              <w:left w:val="single" w:color="000000" w:sz="2" w:space="0"/>
              <w:bottom w:val="single" w:color="auto" w:sz="4" w:space="0"/>
              <w:right w:val="single" w:color="000000" w:sz="8" w:space="0"/>
            </w:tcBorders>
            <w:vAlign w:val="center"/>
          </w:tcPr>
          <w:p w14:paraId="1AC1318C">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（1）资格证明文件：见磋商文件第三部分。</w:t>
            </w:r>
          </w:p>
          <w:p w14:paraId="78DF9095">
            <w:pPr>
              <w:spacing w:line="360" w:lineRule="auto"/>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供应商未提供有效的资格证明文件的，视为供应商不具备磋商文件中规定的资格要求，响应无效。</w:t>
            </w:r>
          </w:p>
        </w:tc>
      </w:tr>
      <w:tr w14:paraId="06EB8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0" w:hRule="atLeast"/>
          <w:tblHeader/>
        </w:trPr>
        <w:tc>
          <w:tcPr>
            <w:tcW w:w="685" w:type="dxa"/>
            <w:vMerge w:val="continue"/>
            <w:tcBorders>
              <w:left w:val="single" w:color="auto" w:sz="4" w:space="0"/>
              <w:bottom w:val="single" w:color="auto" w:sz="4" w:space="0"/>
              <w:right w:val="single" w:color="auto" w:sz="4" w:space="0"/>
            </w:tcBorders>
            <w:vAlign w:val="center"/>
          </w:tcPr>
          <w:p w14:paraId="26BB165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009" w:type="dxa"/>
            <w:vMerge w:val="continue"/>
            <w:tcBorders>
              <w:left w:val="single" w:color="auto" w:sz="4" w:space="0"/>
              <w:bottom w:val="single" w:color="000000" w:sz="8" w:space="0"/>
              <w:right w:val="single" w:color="000000" w:sz="8" w:space="0"/>
            </w:tcBorders>
            <w:vAlign w:val="center"/>
          </w:tcPr>
          <w:p w14:paraId="76F6D952">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644" w:type="dxa"/>
            <w:tcBorders>
              <w:top w:val="single" w:color="auto" w:sz="4" w:space="0"/>
              <w:left w:val="single" w:color="000000" w:sz="2" w:space="0"/>
              <w:bottom w:val="single" w:color="000000" w:sz="8" w:space="0"/>
              <w:right w:val="single" w:color="000000" w:sz="8" w:space="0"/>
            </w:tcBorders>
            <w:vAlign w:val="center"/>
          </w:tcPr>
          <w:p w14:paraId="32EA3322">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（2）资信证明文件：根据磋商文件采购需求和评审标准的要求提供。</w:t>
            </w:r>
          </w:p>
        </w:tc>
      </w:tr>
      <w:tr w14:paraId="05207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0" w:hRule="atLeast"/>
          <w:tblHeader/>
        </w:trPr>
        <w:tc>
          <w:tcPr>
            <w:tcW w:w="685" w:type="dxa"/>
            <w:tcBorders>
              <w:left w:val="single" w:color="auto" w:sz="4" w:space="0"/>
              <w:bottom w:val="single" w:color="auto" w:sz="4" w:space="0"/>
              <w:right w:val="single" w:color="auto" w:sz="4" w:space="0"/>
            </w:tcBorders>
            <w:vAlign w:val="center"/>
          </w:tcPr>
          <w:p w14:paraId="59DD440C">
            <w:pPr>
              <w:snapToGrid w:val="0"/>
              <w:spacing w:line="360" w:lineRule="auto"/>
              <w:jc w:val="center"/>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p>
        </w:tc>
        <w:tc>
          <w:tcPr>
            <w:tcW w:w="2009" w:type="dxa"/>
            <w:tcBorders>
              <w:left w:val="single" w:color="auto" w:sz="4" w:space="0"/>
              <w:bottom w:val="single" w:color="000000" w:sz="8" w:space="0"/>
              <w:right w:val="single" w:color="000000" w:sz="8" w:space="0"/>
            </w:tcBorders>
            <w:vAlign w:val="center"/>
          </w:tcPr>
          <w:p w14:paraId="22014CC1">
            <w:pPr>
              <w:snapToGrid w:val="0"/>
              <w:spacing w:line="360" w:lineRule="auto"/>
              <w:jc w:val="center"/>
              <w:rPr>
                <w:rFonts w:hint="eastAsia" w:cs="宋体" w:asciiTheme="minorEastAsia" w:hAnsiTheme="minorEastAsia" w:eastAsiaTheme="minorEastAsia"/>
                <w:b/>
                <w:color w:val="000000" w:themeColor="text1"/>
                <w:sz w:val="24"/>
                <w:lang w:eastAsia="zh-CN"/>
                <w14:textFill>
                  <w14:solidFill>
                    <w14:schemeClr w14:val="tx1"/>
                  </w14:solidFill>
                </w14:textFill>
              </w:rPr>
            </w:pPr>
            <w:r>
              <w:rPr>
                <w:rFonts w:hint="eastAsia" w:cs="宋体" w:asciiTheme="minorEastAsia" w:hAnsiTheme="minorEastAsia" w:eastAsiaTheme="minorEastAsia"/>
                <w:b/>
                <w:color w:val="000000" w:themeColor="text1"/>
                <w:sz w:val="24"/>
                <w:lang w:eastAsia="zh-CN"/>
                <w14:textFill>
                  <w14:solidFill>
                    <w14:schemeClr w14:val="tx1"/>
                  </w14:solidFill>
                </w14:textFill>
              </w:rPr>
              <w:t>预算金额</w:t>
            </w:r>
          </w:p>
        </w:tc>
        <w:tc>
          <w:tcPr>
            <w:tcW w:w="6644" w:type="dxa"/>
            <w:tcBorders>
              <w:top w:val="single" w:color="auto" w:sz="4" w:space="0"/>
              <w:left w:val="single" w:color="000000" w:sz="2" w:space="0"/>
              <w:bottom w:val="single" w:color="000000" w:sz="8" w:space="0"/>
              <w:right w:val="single" w:color="000000" w:sz="8" w:space="0"/>
            </w:tcBorders>
            <w:vAlign w:val="center"/>
          </w:tcPr>
          <w:p w14:paraId="49054DCF">
            <w:pPr>
              <w:spacing w:line="360" w:lineRule="auto"/>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本项目采购预算金额为：</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1256737.83元</w:t>
            </w:r>
          </w:p>
          <w:p w14:paraId="7981BF72">
            <w:pPr>
              <w:numPr>
                <w:ilvl w:val="0"/>
                <w:numId w:val="7"/>
              </w:numPr>
              <w:spacing w:line="360" w:lineRule="auto"/>
              <w:rPr>
                <w:rFonts w:hint="eastAsia" w:cs="宋体" w:asciiTheme="minorEastAsia" w:hAnsiTheme="minorEastAsia" w:eastAsiaTheme="minorEastAsia"/>
                <w:color w:val="000000" w:themeColor="text1"/>
                <w:kern w:val="0"/>
                <w:sz w:val="24"/>
                <w:u w:val="none"/>
                <w:lang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其中</w:t>
            </w:r>
            <w:r>
              <w:rPr>
                <w:rFonts w:hint="eastAsia" w:cs="宋体" w:asciiTheme="minorEastAsia" w:hAnsiTheme="minorEastAsia" w:eastAsiaTheme="minorEastAsia"/>
                <w:color w:val="000000" w:themeColor="text1"/>
                <w:kern w:val="0"/>
                <w:sz w:val="24"/>
                <w:u w:val="none"/>
                <w:lang w:eastAsia="zh-CN"/>
                <w14:textFill>
                  <w14:solidFill>
                    <w14:schemeClr w14:val="tx1"/>
                  </w14:solidFill>
                </w14:textFill>
              </w:rPr>
              <w:t>新建合浦至湛江铁路—铁山港跨海特大桥工程红树林移植工程预算金额为：</w:t>
            </w:r>
            <w:r>
              <w:rPr>
                <w:rFonts w:hint="eastAsia" w:cs="宋体" w:asciiTheme="minorEastAsia" w:hAnsiTheme="minorEastAsia" w:eastAsiaTheme="minorEastAsia"/>
                <w:color w:val="000000" w:themeColor="text1"/>
                <w:kern w:val="0"/>
                <w:sz w:val="24"/>
                <w:u w:val="none"/>
                <w:lang w:val="en-US" w:eastAsia="zh-CN"/>
                <w14:textFill>
                  <w14:solidFill>
                    <w14:schemeClr w14:val="tx1"/>
                  </w14:solidFill>
                </w14:textFill>
              </w:rPr>
              <w:t>466837.83元</w:t>
            </w:r>
          </w:p>
          <w:p w14:paraId="5759B150">
            <w:pPr>
              <w:numPr>
                <w:ilvl w:val="0"/>
                <w:numId w:val="7"/>
              </w:numPr>
              <w:spacing w:line="360" w:lineRule="auto"/>
              <w:rPr>
                <w:rFonts w:hint="eastAsia" w:cs="宋体" w:asciiTheme="minorEastAsia" w:hAnsiTheme="minorEastAsia" w:eastAsiaTheme="minorEastAsia"/>
                <w:color w:val="000000" w:themeColor="text1"/>
                <w:kern w:val="0"/>
                <w:sz w:val="24"/>
                <w:u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u w:val="none"/>
                <w:lang w:eastAsia="zh-CN"/>
                <w14:textFill>
                  <w14:solidFill>
                    <w14:schemeClr w14:val="tx1"/>
                  </w14:solidFill>
                </w14:textFill>
              </w:rPr>
              <w:t>新建合浦至湛江铁路—铁山港跨海特大桥工程红树林试验性移植服务预算金额为：</w:t>
            </w:r>
            <w:r>
              <w:rPr>
                <w:rFonts w:hint="eastAsia" w:cs="宋体" w:asciiTheme="minorEastAsia" w:hAnsiTheme="minorEastAsia" w:eastAsiaTheme="minorEastAsia"/>
                <w:color w:val="000000" w:themeColor="text1"/>
                <w:kern w:val="0"/>
                <w:sz w:val="24"/>
                <w:u w:val="none"/>
                <w:lang w:val="en-US" w:eastAsia="zh-CN"/>
                <w14:textFill>
                  <w14:solidFill>
                    <w14:schemeClr w14:val="tx1"/>
                  </w14:solidFill>
                </w14:textFill>
              </w:rPr>
              <w:t>789900.00</w:t>
            </w:r>
            <w:r>
              <w:rPr>
                <w:rFonts w:hint="eastAsia" w:cs="宋体" w:asciiTheme="minorEastAsia" w:hAnsiTheme="minorEastAsia" w:eastAsiaTheme="minorEastAsia"/>
                <w:color w:val="000000" w:themeColor="text1"/>
                <w:kern w:val="0"/>
                <w:sz w:val="24"/>
                <w:u w:val="none"/>
                <w:lang w:eastAsia="zh-CN"/>
                <w14:textFill>
                  <w14:solidFill>
                    <w14:schemeClr w14:val="tx1"/>
                  </w14:solidFill>
                </w14:textFill>
              </w:rPr>
              <w:t>元</w:t>
            </w:r>
          </w:p>
        </w:tc>
      </w:tr>
      <w:tr w14:paraId="20EAE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7" w:hRule="atLeast"/>
          <w:tblHeader/>
        </w:trPr>
        <w:tc>
          <w:tcPr>
            <w:tcW w:w="685" w:type="dxa"/>
            <w:tcBorders>
              <w:top w:val="single" w:color="auto" w:sz="4" w:space="0"/>
              <w:left w:val="single" w:color="000000" w:sz="8" w:space="0"/>
              <w:bottom w:val="single" w:color="auto" w:sz="4" w:space="0"/>
              <w:right w:val="single" w:color="000000" w:sz="2" w:space="0"/>
            </w:tcBorders>
            <w:vAlign w:val="center"/>
          </w:tcPr>
          <w:p w14:paraId="61E5F748">
            <w:pPr>
              <w:snapToGrid w:val="0"/>
              <w:spacing w:line="360" w:lineRule="auto"/>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p>
        </w:tc>
        <w:tc>
          <w:tcPr>
            <w:tcW w:w="2009" w:type="dxa"/>
            <w:tcBorders>
              <w:top w:val="single" w:color="000000" w:sz="8" w:space="0"/>
              <w:left w:val="single" w:color="000000" w:sz="2" w:space="0"/>
              <w:bottom w:val="single" w:color="000000" w:sz="8" w:space="0"/>
              <w:right w:val="single" w:color="000000" w:sz="8" w:space="0"/>
            </w:tcBorders>
            <w:vAlign w:val="center"/>
          </w:tcPr>
          <w:p w14:paraId="30B27F1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最后报价要求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34C0D0B6">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lang w:val="zh-CN"/>
                <w14:textFill>
                  <w14:solidFill>
                    <w14:schemeClr w14:val="tx1"/>
                  </w14:solidFill>
                </w14:textFill>
              </w:rPr>
              <w:t>》（格式参考报价一览表）</w:t>
            </w:r>
            <w:r>
              <w:rPr>
                <w:rFonts w:hint="eastAsia" w:cs="宋体" w:asciiTheme="minorEastAsia" w:hAnsiTheme="minorEastAsia" w:eastAsiaTheme="minorEastAsia"/>
                <w:color w:val="000000" w:themeColor="text1"/>
                <w:sz w:val="24"/>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。磋商文件中价格全部采用人民币报价。磋商文件未列明，而供应商认为必需的费用也需列入报价。</w:t>
            </w:r>
          </w:p>
          <w:p w14:paraId="370836E4">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最后报价出现下列情形的，响应无效：</w:t>
            </w:r>
          </w:p>
          <w:p w14:paraId="0E3A1D23">
            <w:pPr>
              <w:snapToGrid w:val="0"/>
              <w:spacing w:line="360" w:lineRule="auto"/>
              <w:ind w:firstLine="241" w:firstLineChars="100"/>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响应文件出现不是唯一的、有选择性的最后报价的；</w:t>
            </w:r>
          </w:p>
          <w:p w14:paraId="6003BD97">
            <w:pPr>
              <w:snapToGrid w:val="0"/>
              <w:spacing w:line="360" w:lineRule="auto"/>
              <w:ind w:firstLine="241" w:firstLineChars="1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最后报价超过磋商文件中规定的预算金额或者最高限价的;</w:t>
            </w:r>
          </w:p>
          <w:p w14:paraId="14580F34">
            <w:pPr>
              <w:spacing w:line="360" w:lineRule="auto"/>
              <w:ind w:firstLine="241" w:firstLineChars="1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14:textFill>
                  <w14:solidFill>
                    <w14:schemeClr w14:val="tx1"/>
                  </w14:solidFill>
                </w14:textFill>
              </w:rPr>
              <w:t>。</w:t>
            </w:r>
          </w:p>
        </w:tc>
      </w:tr>
      <w:tr w14:paraId="6D0F8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7" w:hRule="atLeast"/>
          <w:tblHeader/>
        </w:trPr>
        <w:tc>
          <w:tcPr>
            <w:tcW w:w="685" w:type="dxa"/>
            <w:tcBorders>
              <w:top w:val="single" w:color="auto" w:sz="4" w:space="0"/>
              <w:left w:val="single" w:color="000000" w:sz="8" w:space="0"/>
              <w:right w:val="single" w:color="000000" w:sz="2" w:space="0"/>
            </w:tcBorders>
            <w:vAlign w:val="center"/>
          </w:tcPr>
          <w:p w14:paraId="29DE60D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2009" w:type="dxa"/>
            <w:tcBorders>
              <w:top w:val="single" w:color="000000" w:sz="8" w:space="0"/>
              <w:left w:val="single" w:color="000000" w:sz="2" w:space="0"/>
              <w:right w:val="single" w:color="000000" w:sz="8" w:space="0"/>
            </w:tcBorders>
            <w:vAlign w:val="center"/>
          </w:tcPr>
          <w:p w14:paraId="6751877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中小企业信用融资</w:t>
            </w:r>
          </w:p>
        </w:tc>
        <w:tc>
          <w:tcPr>
            <w:tcW w:w="6644" w:type="dxa"/>
            <w:tcBorders>
              <w:top w:val="single" w:color="000000" w:sz="8" w:space="0"/>
              <w:left w:val="single" w:color="000000" w:sz="2" w:space="0"/>
              <w:right w:val="single" w:color="000000" w:sz="8" w:space="0"/>
            </w:tcBorders>
            <w:vAlign w:val="center"/>
          </w:tcPr>
          <w:p w14:paraId="14AD76B0">
            <w:pPr>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14815F67">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6BA8A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1" w:hRule="atLeast"/>
          <w:tblHeader/>
        </w:trPr>
        <w:tc>
          <w:tcPr>
            <w:tcW w:w="685" w:type="dxa"/>
            <w:tcBorders>
              <w:top w:val="single" w:color="auto" w:sz="4" w:space="0"/>
              <w:left w:val="single" w:color="000000" w:sz="8" w:space="0"/>
              <w:bottom w:val="single" w:color="auto" w:sz="4" w:space="0"/>
              <w:right w:val="single" w:color="000000" w:sz="2" w:space="0"/>
            </w:tcBorders>
            <w:vAlign w:val="center"/>
          </w:tcPr>
          <w:p w14:paraId="59A191A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w:t>
            </w:r>
          </w:p>
        </w:tc>
        <w:tc>
          <w:tcPr>
            <w:tcW w:w="2009" w:type="dxa"/>
            <w:tcBorders>
              <w:top w:val="single" w:color="000000" w:sz="8" w:space="0"/>
              <w:left w:val="single" w:color="000000" w:sz="2" w:space="0"/>
              <w:bottom w:val="single" w:color="000000" w:sz="8" w:space="0"/>
              <w:right w:val="single" w:color="000000" w:sz="8" w:space="0"/>
            </w:tcBorders>
            <w:vAlign w:val="center"/>
          </w:tcPr>
          <w:p w14:paraId="3FB24515">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备份响应文件送达地点和签收人员 </w:t>
            </w:r>
          </w:p>
        </w:tc>
        <w:tc>
          <w:tcPr>
            <w:tcW w:w="6644" w:type="dxa"/>
            <w:tcBorders>
              <w:top w:val="single" w:color="000000" w:sz="8" w:space="0"/>
              <w:left w:val="single" w:color="000000" w:sz="2" w:space="0"/>
              <w:bottom w:val="single" w:color="000000" w:sz="8" w:space="0"/>
              <w:right w:val="single" w:color="000000" w:sz="8" w:space="0"/>
            </w:tcBorders>
            <w:vAlign w:val="center"/>
          </w:tcPr>
          <w:p w14:paraId="431BC31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9772492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不接受。</w:t>
            </w:r>
          </w:p>
          <w:p w14:paraId="11C47937">
            <w:pPr>
              <w:pStyle w:val="32"/>
              <w:spacing w:line="360" w:lineRule="auto"/>
              <w:rPr>
                <w:rFonts w:hAnsi="宋体" w:cs="宋体"/>
                <w:color w:val="000000" w:themeColor="text1"/>
                <w:kern w:val="28"/>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206604863"/>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hAnsi="宋体" w:cs="宋体"/>
                <w:color w:val="000000" w:themeColor="text1"/>
                <w:kern w:val="0"/>
                <w:sz w:val="24"/>
                <w14:textFill>
                  <w14:solidFill>
                    <w14:schemeClr w14:val="tx1"/>
                  </w14:solidFill>
                </w14:textFill>
              </w:rPr>
              <w:t>B</w:t>
            </w: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备份响应文件送达地点：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14:textFill>
                  <w14:solidFill>
                    <w14:schemeClr w14:val="tx1"/>
                  </w14:solidFill>
                </w14:textFill>
              </w:rPr>
              <w:t>；备份响应文件签收人员联系电话：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采购人、采购代理机构不强制或变相强制磋商供应商提交备份响应文件。</w:t>
            </w:r>
          </w:p>
        </w:tc>
      </w:tr>
      <w:tr w14:paraId="0517B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 w:hRule="atLeast"/>
          <w:tblHeader/>
        </w:trPr>
        <w:tc>
          <w:tcPr>
            <w:tcW w:w="685" w:type="dxa"/>
            <w:vMerge w:val="restart"/>
            <w:tcBorders>
              <w:top w:val="single" w:color="auto" w:sz="4" w:space="0"/>
              <w:left w:val="single" w:color="000000" w:sz="8" w:space="0"/>
              <w:right w:val="single" w:color="000000" w:sz="2" w:space="0"/>
            </w:tcBorders>
            <w:vAlign w:val="center"/>
          </w:tcPr>
          <w:p w14:paraId="151572C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w:t>
            </w:r>
          </w:p>
        </w:tc>
        <w:tc>
          <w:tcPr>
            <w:tcW w:w="2009" w:type="dxa"/>
            <w:vMerge w:val="restart"/>
            <w:tcBorders>
              <w:top w:val="single" w:color="000000" w:sz="8" w:space="0"/>
              <w:left w:val="single" w:color="000000" w:sz="2" w:space="0"/>
              <w:right w:val="single" w:color="000000" w:sz="8" w:space="0"/>
            </w:tcBorders>
            <w:vAlign w:val="center"/>
          </w:tcPr>
          <w:p w14:paraId="1540C9C0">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特别说明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0087359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联合体响应的，业绩证明材料</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由</w:t>
            </w:r>
            <w:r>
              <w:rPr>
                <w:rFonts w:hint="eastAsia" w:asciiTheme="minorEastAsia" w:hAnsiTheme="minorEastAsia" w:eastAsiaTheme="minorEastAsia"/>
                <w:color w:val="000000" w:themeColor="text1"/>
                <w:sz w:val="24"/>
                <w:highlight w:val="none"/>
                <w14:textFill>
                  <w14:solidFill>
                    <w14:schemeClr w14:val="tx1"/>
                  </w14:solidFill>
                </w14:textFill>
              </w:rPr>
              <w:t>联合体</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任意方</w:t>
            </w:r>
            <w:r>
              <w:rPr>
                <w:rFonts w:hint="eastAsia" w:asciiTheme="minorEastAsia" w:hAnsiTheme="minorEastAsia" w:eastAsiaTheme="minorEastAsia"/>
                <w:color w:val="000000" w:themeColor="text1"/>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均可。</w:t>
            </w:r>
          </w:p>
        </w:tc>
      </w:tr>
      <w:tr w14:paraId="10558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6" w:hRule="atLeast"/>
          <w:tblHeader/>
        </w:trPr>
        <w:tc>
          <w:tcPr>
            <w:tcW w:w="685" w:type="dxa"/>
            <w:vMerge w:val="continue"/>
            <w:tcBorders>
              <w:left w:val="single" w:color="000000" w:sz="8" w:space="0"/>
              <w:bottom w:val="single" w:color="auto" w:sz="4" w:space="0"/>
              <w:right w:val="single" w:color="000000" w:sz="2" w:space="0"/>
            </w:tcBorders>
            <w:vAlign w:val="center"/>
          </w:tcPr>
          <w:p w14:paraId="2EF8B27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009" w:type="dxa"/>
            <w:vMerge w:val="continue"/>
            <w:tcBorders>
              <w:left w:val="single" w:color="000000" w:sz="2" w:space="0"/>
              <w:bottom w:val="single" w:color="auto" w:sz="4" w:space="0"/>
              <w:right w:val="single" w:color="000000" w:sz="8" w:space="0"/>
            </w:tcBorders>
            <w:vAlign w:val="center"/>
          </w:tcPr>
          <w:p w14:paraId="02615514">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644" w:type="dxa"/>
            <w:tcBorders>
              <w:top w:val="single" w:color="000000" w:sz="8" w:space="0"/>
              <w:left w:val="single" w:color="000000" w:sz="2" w:space="0"/>
              <w:bottom w:val="single" w:color="auto" w:sz="4" w:space="0"/>
              <w:right w:val="single" w:color="000000" w:sz="8" w:space="0"/>
            </w:tcBorders>
            <w:vAlign w:val="center"/>
          </w:tcPr>
          <w:p w14:paraId="5F93F0CB">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4738B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tblHeader/>
        </w:trPr>
        <w:tc>
          <w:tcPr>
            <w:tcW w:w="685" w:type="dxa"/>
            <w:tcBorders>
              <w:top w:val="single" w:color="auto" w:sz="4" w:space="0"/>
              <w:left w:val="single" w:color="auto" w:sz="4" w:space="0"/>
              <w:bottom w:val="single" w:color="auto" w:sz="4" w:space="0"/>
              <w:right w:val="single" w:color="auto" w:sz="4" w:space="0"/>
            </w:tcBorders>
            <w:vAlign w:val="center"/>
          </w:tcPr>
          <w:p w14:paraId="1BE429D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009" w:type="dxa"/>
            <w:tcBorders>
              <w:top w:val="single" w:color="auto" w:sz="4" w:space="0"/>
              <w:left w:val="single" w:color="auto" w:sz="4" w:space="0"/>
              <w:bottom w:val="single" w:color="auto" w:sz="4" w:space="0"/>
              <w:right w:val="single" w:color="auto" w:sz="4" w:space="0"/>
            </w:tcBorders>
            <w:vAlign w:val="center"/>
          </w:tcPr>
          <w:p w14:paraId="300E244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6644" w:type="dxa"/>
            <w:tcBorders>
              <w:top w:val="single" w:color="auto" w:sz="4" w:space="0"/>
              <w:left w:val="single" w:color="auto" w:sz="4" w:space="0"/>
              <w:bottom w:val="single" w:color="auto" w:sz="4" w:space="0"/>
              <w:right w:val="single" w:color="auto" w:sz="4" w:space="0"/>
            </w:tcBorders>
            <w:vAlign w:val="center"/>
          </w:tcPr>
          <w:p w14:paraId="7FA4EA0D">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本磋商文件解释权属采购人及代理机构。</w:t>
            </w:r>
          </w:p>
        </w:tc>
      </w:tr>
    </w:tbl>
    <w:p w14:paraId="33756413">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29781873">
      <w:pPr>
        <w:rPr>
          <w:rFonts w:hint="eastAsia"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br w:type="page"/>
      </w:r>
    </w:p>
    <w:p w14:paraId="77CDB806">
      <w:pPr>
        <w:adjustRightInd/>
        <w:spacing w:line="360" w:lineRule="auto"/>
        <w:ind w:firstLine="3845" w:firstLineChars="1197"/>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二、总则</w:t>
      </w:r>
    </w:p>
    <w:p w14:paraId="4FF47FBC">
      <w:pPr>
        <w:snapToGrid w:val="0"/>
        <w:spacing w:line="360" w:lineRule="auto"/>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适用范围</w:t>
      </w:r>
    </w:p>
    <w:p w14:paraId="373A6D8C">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14:paraId="777D5422">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2.定义</w:t>
      </w:r>
    </w:p>
    <w:p w14:paraId="676A26B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 “采购人”系指磋商邀请公告中载明的本项目的采购人。</w:t>
      </w:r>
    </w:p>
    <w:p w14:paraId="75B1A84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 “采购代理机构”系指磋商邀请公告中载明的本项目的采购代理机构。</w:t>
      </w:r>
    </w:p>
    <w:p w14:paraId="4CA886A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“供应商”系指响应磋商、参加本次竞争的法人、其他组织或自然人。</w:t>
      </w:r>
    </w:p>
    <w:p w14:paraId="15BB2DE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宋体" w:hAnsi="宋体" w:cs="宋体"/>
          <w:color w:val="000000" w:themeColor="text1"/>
          <w:sz w:val="24"/>
          <w14:textFill>
            <w14:solidFill>
              <w14:schemeClr w14:val="tx1"/>
            </w14:solidFill>
          </w14:textFill>
        </w:rPr>
        <w:t>法定代表人（负责人）</w:t>
      </w:r>
      <w:r>
        <w:rPr>
          <w:rFonts w:hint="eastAsia" w:asciiTheme="minorEastAsia" w:hAnsiTheme="minorEastAsia" w:eastAsiaTheme="minorEastAsia"/>
          <w:color w:val="000000" w:themeColor="text1"/>
          <w:sz w:val="24"/>
          <w14:textFill>
            <w14:solidFill>
              <w14:schemeClr w14:val="tx1"/>
            </w14:solidFill>
          </w14:textFill>
        </w:rPr>
        <w:t>”系指法人企业的法定负责人，或其他组织为法律、行政法规规定代表单位行使职权的主要负责人，或自然人本人。</w:t>
      </w:r>
    </w:p>
    <w:p w14:paraId="3BAA6C5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“成交人”系指经评审确定的成交供应商。</w:t>
      </w:r>
    </w:p>
    <w:p w14:paraId="2EF8B8A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14:paraId="0A16512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2.7“电子交易平台”系指本项目政府采购活动所依托的</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w:t>
      </w:r>
    </w:p>
    <w:p w14:paraId="5817B3F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p>
    <w:p w14:paraId="4931A6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0F27074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285C31C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 “书面形式”包括数据电文形式与纸质形式。数据电文形式与纸质形式的采购活动具有同等法律效力。</w:t>
      </w:r>
    </w:p>
    <w:p w14:paraId="7FD8DCBF">
      <w:pPr>
        <w:snapToGrid w:val="0"/>
        <w:spacing w:line="360" w:lineRule="auto"/>
        <w:ind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系指适用本项目的要求，“□”系指不适用本项目的要求。</w:t>
      </w:r>
    </w:p>
    <w:p w14:paraId="3D5ECA11">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 响应有效期</w:t>
      </w:r>
    </w:p>
    <w:p w14:paraId="64E04633">
      <w:pPr>
        <w:spacing w:line="360" w:lineRule="auto"/>
        <w:ind w:firstLine="480" w:firstLineChars="200"/>
        <w:rPr>
          <w:rFonts w:cs="仿宋_GB2312" w:asciiTheme="minorEastAsia" w:hAnsiTheme="minorEastAsia" w:eastAsiaTheme="minorEastAsia"/>
          <w:b/>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0"/>
          <w14:textFill>
            <w14:solidFill>
              <w14:schemeClr w14:val="tx1"/>
            </w14:solidFill>
          </w14:textFill>
        </w:rPr>
        <w:t>▲3.1</w:t>
      </w:r>
      <w:r>
        <w:rPr>
          <w:rFonts w:hint="eastAsia" w:cs="仿宋_GB2312" w:asciiTheme="minorEastAsia" w:hAnsiTheme="minorEastAsia" w:eastAsiaTheme="minorEastAsia"/>
          <w:b/>
          <w:color w:val="000000" w:themeColor="text1"/>
          <w:sz w:val="24"/>
          <w:szCs w:val="20"/>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14:textFill>
            <w14:solidFill>
              <w14:schemeClr w14:val="tx1"/>
            </w14:solidFill>
          </w14:textFill>
        </w:rPr>
        <w:t>诺的响应有效期少于磋商文件中载明的磋商有效期的，响应无效。</w:t>
      </w:r>
    </w:p>
    <w:p w14:paraId="0F964AFB">
      <w:pPr>
        <w:pStyle w:val="393"/>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3.2响应文件合格提交后，自响应截止日期起，在响应有效期内有效。</w:t>
      </w:r>
    </w:p>
    <w:p w14:paraId="703111B5">
      <w:pPr>
        <w:pStyle w:val="393"/>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14:textFill>
            <w14:solidFill>
              <w14:schemeClr w14:val="tx1"/>
            </w14:solidFill>
          </w14:textFill>
        </w:rPr>
        <w:t>拒绝延长磋商有效期的供应商不得再参与该项目后续采购活动。</w:t>
      </w:r>
    </w:p>
    <w:p w14:paraId="61E7D549">
      <w:pPr>
        <w:tabs>
          <w:tab w:val="left" w:pos="378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4．响应费用</w:t>
      </w:r>
    </w:p>
    <w:p w14:paraId="04173A71">
      <w:pPr>
        <w:pStyle w:val="32"/>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lang w:val="zh-CN"/>
          <w14:textFill>
            <w14:solidFill>
              <w14:schemeClr w14:val="tx1"/>
            </w14:solidFill>
          </w14:textFill>
        </w:rPr>
        <w:t>。</w:t>
      </w:r>
    </w:p>
    <w:p w14:paraId="57ED1F2F">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4438D0C4">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三、需要落实的政府采购政策</w:t>
      </w:r>
    </w:p>
    <w:p w14:paraId="4DAA8097">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1.是否允许采购进口产品要求</w:t>
      </w:r>
    </w:p>
    <w:p w14:paraId="2A6BB36A">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14:textFill>
            <w14:solidFill>
              <w14:schemeClr w14:val="tx1"/>
            </w14:solidFill>
          </w14:textFill>
        </w:rPr>
        <w:t>。</w:t>
      </w:r>
    </w:p>
    <w:p w14:paraId="705F1005">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2.支持绿色发展</w:t>
      </w:r>
    </w:p>
    <w:p w14:paraId="1206D1D0">
      <w:pPr>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08174DC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14:textFill>
            <w14:solidFill>
              <w14:schemeClr w14:val="tx1"/>
            </w14:solidFill>
          </w14:textFill>
        </w:rPr>
        <w:t>。</w:t>
      </w:r>
    </w:p>
    <w:p w14:paraId="09F126F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FD9B205">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F1F06BC">
      <w:pPr>
        <w:pStyle w:val="32"/>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3.支持中小企业发展。</w:t>
      </w:r>
    </w:p>
    <w:p w14:paraId="1200AFB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DB09F34">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符合中小企业划分标准的个体工商户，在政府采购活动中视同中小企业。</w:t>
      </w:r>
    </w:p>
    <w:p w14:paraId="2A4BAB04">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3.2</w:t>
      </w:r>
      <w:r>
        <w:rPr>
          <w:rFonts w:hint="eastAsia" w:cs="宋体" w:asciiTheme="minorEastAsia" w:hAnsiTheme="minorEastAsia" w:eastAsiaTheme="minorEastAsia"/>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14:textFill>
            <w14:solidFill>
              <w14:schemeClr w14:val="tx1"/>
            </w14:solidFill>
          </w14:textFill>
        </w:rPr>
        <w:t>享受中小企业扶持政策。</w:t>
      </w:r>
    </w:p>
    <w:p w14:paraId="728699CB">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2F3E05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0DF4A28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）的残疾人福利性单位视同小型、微型企业；</w:t>
      </w:r>
    </w:p>
    <w:p w14:paraId="47CC23A9">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24EEC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3BDB237">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14:paraId="31E4439D">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bCs/>
          <w:color w:val="000000" w:themeColor="text1"/>
          <w:sz w:val="24"/>
          <w14:textFill>
            <w14:solidFill>
              <w14:schemeClr w14:val="tx1"/>
            </w14:solidFill>
          </w14:textFill>
        </w:rPr>
        <w:t>支持创新发展</w:t>
      </w:r>
    </w:p>
    <w:p w14:paraId="3C67297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 采购人优先采购被认定为首台套产品和“制造精品”的自主创新产品。</w:t>
      </w:r>
    </w:p>
    <w:p w14:paraId="47E58D4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874B77A">
      <w:pPr>
        <w:spacing w:line="360" w:lineRule="auto"/>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平等对待内外资企业</w:t>
      </w:r>
    </w:p>
    <w:p w14:paraId="5A8A38C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4FCD07E4">
      <w:pPr>
        <w:pStyle w:val="632"/>
        <w:ind w:firstLine="0"/>
        <w:rPr>
          <w:b/>
          <w:bCs/>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6.</w:t>
      </w:r>
      <w:r>
        <w:rPr>
          <w:rFonts w:hint="eastAsia"/>
          <w:b/>
          <w:color w:val="000000" w:themeColor="text1"/>
          <w14:textFill>
            <w14:solidFill>
              <w14:schemeClr w14:val="tx1"/>
            </w14:solidFill>
          </w14:textFill>
        </w:rPr>
        <w:t>平等对待符合条件的破产重整企业</w:t>
      </w:r>
    </w:p>
    <w:p w14:paraId="76EE8415">
      <w:pPr>
        <w:pStyle w:val="63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平等对待符合条件的破产重整企业，切实保障企业公平竞争，平等维护企业的合法利益。</w:t>
      </w:r>
    </w:p>
    <w:p w14:paraId="2662E04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1AC0B689">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四、询问、质疑与投诉</w:t>
      </w:r>
    </w:p>
    <w:p w14:paraId="1BBEBE02">
      <w:pPr>
        <w:pStyle w:val="32"/>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1.在线询问、质疑、投诉</w:t>
      </w:r>
    </w:p>
    <w:p w14:paraId="633E4B8D">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73762B9">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询问联系部门：北海市政府采购中心，联系电话：0779-3038787，地址：北海市海城区陈文村北路7号市直机关第三办公区2号楼一层。</w:t>
      </w:r>
    </w:p>
    <w:p w14:paraId="13FFD27F">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 xml:space="preserve">质疑联系部门：北海市政府采购中心，联系电话：0779-3960826，地址：北海市海城区陈文村北路7号市直机关第三办公区2号楼一层。 </w:t>
      </w:r>
    </w:p>
    <w:p w14:paraId="4FD0FB77">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投诉联系部门：北海市财政局，联系电话：</w:t>
      </w:r>
      <w:r>
        <w:rPr>
          <w:rFonts w:asciiTheme="minorEastAsia" w:hAnsiTheme="minorEastAsia" w:eastAsiaTheme="minorEastAsia"/>
          <w:color w:val="000000" w:themeColor="text1"/>
          <w:sz w:val="24"/>
          <w:lang w:val="zh-CN"/>
          <w14:textFill>
            <w14:solidFill>
              <w14:schemeClr w14:val="tx1"/>
            </w14:solidFill>
          </w14:textFill>
        </w:rPr>
        <w:t>0779-3063975</w:t>
      </w:r>
      <w:r>
        <w:rPr>
          <w:rFonts w:hint="eastAsia" w:asciiTheme="minorEastAsia" w:hAnsiTheme="minorEastAsia" w:eastAsiaTheme="minorEastAsia"/>
          <w:color w:val="000000" w:themeColor="text1"/>
          <w:sz w:val="24"/>
          <w:lang w:val="zh-CN"/>
          <w14:textFill>
            <w14:solidFill>
              <w14:schemeClr w14:val="tx1"/>
            </w14:solidFill>
          </w14:textFill>
        </w:rPr>
        <w:t>，地址：北海市海城区北部湾西路19号。</w:t>
      </w:r>
    </w:p>
    <w:p w14:paraId="7D1844A7">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供应商询问</w:t>
      </w:r>
    </w:p>
    <w:p w14:paraId="2AC5864A">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C9CC25">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 供应商质疑</w:t>
      </w:r>
    </w:p>
    <w:p w14:paraId="04714F5C">
      <w:pPr>
        <w:pStyle w:val="32"/>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.1质疑提出时效</w:t>
      </w:r>
    </w:p>
    <w:p w14:paraId="6BADF203">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4B5A732F">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D3FF59B">
      <w:pPr>
        <w:pStyle w:val="16"/>
        <w:spacing w:line="360" w:lineRule="auto"/>
        <w:ind w:firstLine="434" w:firstLineChars="181"/>
        <w:rPr>
          <w:rFonts w:asciiTheme="minorEastAsia" w:hAnsiTheme="minorEastAsia" w:eastAsiaTheme="minorEastAsia"/>
          <w:snapToGrid/>
          <w:color w:val="000000" w:themeColor="text1"/>
          <w:kern w:val="2"/>
          <w:sz w:val="24"/>
          <w14:textFill>
            <w14:solidFill>
              <w14:schemeClr w14:val="tx1"/>
            </w14:solidFill>
          </w14:textFill>
        </w:rPr>
      </w:pPr>
      <w:r>
        <w:rPr>
          <w:rFonts w:hint="eastAsia" w:asciiTheme="minorEastAsia" w:hAnsiTheme="minorEastAsia" w:eastAsiaTheme="minorEastAsia"/>
          <w:snapToGrid/>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560D22DB">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3.1.2.2对采购过程提出质疑的，质疑期限为各采购程序环节结束之日起计算。</w:t>
      </w:r>
    </w:p>
    <w:p w14:paraId="1A303DE5">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3.1.2.3对采购结果提出质疑的，质疑期限自采购结果公告期限届满之日起计算。</w:t>
      </w:r>
    </w:p>
    <w:p w14:paraId="2ADB9C72">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3.1.2.4对同一采购程序环节的质疑，供应商须一次性提出。</w:t>
      </w:r>
    </w:p>
    <w:p w14:paraId="276D7161">
      <w:pPr>
        <w:pStyle w:val="32"/>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3.2质疑答复</w:t>
      </w:r>
    </w:p>
    <w:p w14:paraId="34D83886">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3.2.1根据采购人与采购代理机构签订采购委托协议的规定，质疑答复责任主体如下：</w:t>
      </w:r>
    </w:p>
    <w:p w14:paraId="4D0E3C63">
      <w:pPr>
        <w:widowControl/>
        <w:adjustRightInd/>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F43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718E416">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vAlign w:val="center"/>
          </w:tcPr>
          <w:p w14:paraId="3313D47E">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330B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7B52A75">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vAlign w:val="center"/>
          </w:tcPr>
          <w:p w14:paraId="3EE0C557">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对采购文件中特定资格条件、采购需求、评审办法、评审标准提出的质疑</w:t>
            </w:r>
          </w:p>
        </w:tc>
        <w:tc>
          <w:tcPr>
            <w:tcW w:w="2232" w:type="dxa"/>
            <w:vAlign w:val="center"/>
          </w:tcPr>
          <w:p w14:paraId="71B9759A">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3A65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57EB66F">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0630AC71">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vAlign w:val="center"/>
          </w:tcPr>
          <w:p w14:paraId="662ABB51">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5B24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ED67A9A">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vAlign w:val="center"/>
          </w:tcPr>
          <w:p w14:paraId="6D476567">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vAlign w:val="center"/>
          </w:tcPr>
          <w:p w14:paraId="3C1587E1">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66E2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AB90D39">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44E5CFC4">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vAlign w:val="center"/>
          </w:tcPr>
          <w:p w14:paraId="7B9973B7">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56CB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6CAD124">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vAlign w:val="center"/>
          </w:tcPr>
          <w:p w14:paraId="781EC23F">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vAlign w:val="center"/>
          </w:tcPr>
          <w:p w14:paraId="026F0A2E">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4CB810B8">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注：采购人或代理机构应当协助质疑答复责任主体及时答复供应商的书面质疑。</w:t>
      </w:r>
    </w:p>
    <w:p w14:paraId="07350B66">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5BC53188">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2.3询问或者质疑事项可能影响采购结果的，采购人应当暂停签订合同，已经签订合同的，应当中止履行合同。</w:t>
      </w:r>
    </w:p>
    <w:p w14:paraId="003FBD99">
      <w:pPr>
        <w:pStyle w:val="32"/>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3.3质疑函</w:t>
      </w:r>
    </w:p>
    <w:p w14:paraId="18C867BF">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3.3.1供应商提出质疑应当提交质疑函和必要的证明材料。质疑函应当包括下列内容：</w:t>
      </w:r>
    </w:p>
    <w:p w14:paraId="1EA6D58B">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3.3.1.1</w:t>
      </w:r>
      <w:r>
        <w:rPr>
          <w:rFonts w:hint="eastAsia" w:asciiTheme="minorEastAsia" w:hAnsiTheme="minorEastAsia" w:eastAsiaTheme="minorEastAsia"/>
          <w:color w:val="000000" w:themeColor="text1"/>
          <w:sz w:val="24"/>
          <w:szCs w:val="24"/>
          <w14:textFill>
            <w14:solidFill>
              <w14:schemeClr w14:val="tx1"/>
            </w14:solidFill>
          </w14:textFill>
        </w:rPr>
        <w:t>供应商的姓名或者名称、地址、邮编、联系人及联系电话；</w:t>
      </w:r>
    </w:p>
    <w:p w14:paraId="66E2B2B2">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3.3.1.2</w:t>
      </w:r>
      <w:r>
        <w:rPr>
          <w:rFonts w:hint="eastAsia" w:asciiTheme="minorEastAsia" w:hAnsiTheme="minorEastAsia" w:eastAsiaTheme="minorEastAsia"/>
          <w:color w:val="000000" w:themeColor="text1"/>
          <w:sz w:val="24"/>
          <w:szCs w:val="24"/>
          <w14:textFill>
            <w14:solidFill>
              <w14:schemeClr w14:val="tx1"/>
            </w14:solidFill>
          </w14:textFill>
        </w:rPr>
        <w:t>质疑项目的名称、编号；</w:t>
      </w:r>
    </w:p>
    <w:p w14:paraId="0074EE43">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3.3.1.3</w:t>
      </w:r>
      <w:r>
        <w:rPr>
          <w:rFonts w:hint="eastAsia" w:asciiTheme="minorEastAsia" w:hAnsiTheme="minorEastAsia" w:eastAsiaTheme="minorEastAsia"/>
          <w:color w:val="000000" w:themeColor="text1"/>
          <w:sz w:val="24"/>
          <w:szCs w:val="24"/>
          <w14:textFill>
            <w14:solidFill>
              <w14:schemeClr w14:val="tx1"/>
            </w14:solidFill>
          </w14:textFill>
        </w:rPr>
        <w:t>具体、明确的质疑事项和与质疑事项相关的请求；</w:t>
      </w:r>
    </w:p>
    <w:p w14:paraId="14484462">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3.3.1.4</w:t>
      </w:r>
      <w:r>
        <w:rPr>
          <w:rFonts w:hint="eastAsia" w:asciiTheme="minorEastAsia" w:hAnsiTheme="minorEastAsia" w:eastAsiaTheme="minorEastAsia"/>
          <w:color w:val="000000" w:themeColor="text1"/>
          <w:sz w:val="24"/>
          <w:szCs w:val="24"/>
          <w14:textFill>
            <w14:solidFill>
              <w14:schemeClr w14:val="tx1"/>
            </w14:solidFill>
          </w14:textFill>
        </w:rPr>
        <w:t>事实依据；</w:t>
      </w:r>
    </w:p>
    <w:p w14:paraId="46672E35">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3.3.1.5</w:t>
      </w:r>
      <w:r>
        <w:rPr>
          <w:rFonts w:hint="eastAsia" w:asciiTheme="minorEastAsia" w:hAnsiTheme="minorEastAsia" w:eastAsiaTheme="minorEastAsia"/>
          <w:color w:val="000000" w:themeColor="text1"/>
          <w:sz w:val="24"/>
          <w:szCs w:val="24"/>
          <w14:textFill>
            <w14:solidFill>
              <w14:schemeClr w14:val="tx1"/>
            </w14:solidFill>
          </w14:textFill>
        </w:rPr>
        <w:t>必要的法律依据；</w:t>
      </w:r>
    </w:p>
    <w:p w14:paraId="6F852DBD">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3.3.1.6</w:t>
      </w:r>
      <w:r>
        <w:rPr>
          <w:rFonts w:hint="eastAsia" w:asciiTheme="minorEastAsia" w:hAnsiTheme="minorEastAsia" w:eastAsiaTheme="minorEastAsia"/>
          <w:color w:val="000000" w:themeColor="text1"/>
          <w:sz w:val="24"/>
          <w:szCs w:val="24"/>
          <w14:textFill>
            <w14:solidFill>
              <w14:schemeClr w14:val="tx1"/>
            </w14:solidFill>
          </w14:textFill>
        </w:rPr>
        <w:t>提出质疑的日期。</w:t>
      </w:r>
    </w:p>
    <w:p w14:paraId="436CFAE2">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14:paraId="0E6081DA">
      <w:pPr>
        <w:pStyle w:val="32"/>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质疑函范本及制作说明详见附件</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w:t>
      </w:r>
    </w:p>
    <w:p w14:paraId="7D8CD946">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.供应商投诉</w:t>
      </w:r>
    </w:p>
    <w:p w14:paraId="0D314640">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.1质疑供应商对采购人、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的答复不满意或者采购人、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未在规定的时间内</w:t>
      </w:r>
      <w:r>
        <w:rPr>
          <w:rFonts w:hint="eastAsia" w:asciiTheme="minorEastAsia" w:hAnsiTheme="minorEastAsia" w:eastAsiaTheme="minorEastAsia"/>
          <w:color w:val="000000" w:themeColor="text1"/>
          <w:sz w:val="24"/>
          <w14:textFill>
            <w14:solidFill>
              <w14:schemeClr w14:val="tx1"/>
            </w14:solidFill>
          </w14:textFill>
        </w:rPr>
        <w:t>作出答复的，可以在答复期满后十五个工作日内向同级政府采购监督管理部门提出投诉。</w:t>
      </w:r>
    </w:p>
    <w:p w14:paraId="3C8BAAE4">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.2供应</w:t>
      </w:r>
      <w:r>
        <w:rPr>
          <w:rFonts w:hint="eastAsia" w:asciiTheme="minorEastAsia" w:hAnsiTheme="minorEastAsia" w:eastAsiaTheme="minorEastAsia"/>
          <w:color w:val="000000" w:themeColor="text1"/>
          <w:sz w:val="24"/>
          <w14:textFill>
            <w14:solidFill>
              <w14:schemeClr w14:val="tx1"/>
            </w14:solidFill>
          </w14:textFill>
        </w:rPr>
        <w:t>商投诉的事项不得超出已质疑事项的范围，基于质疑答复内容提出的投诉事项除外。</w:t>
      </w:r>
    </w:p>
    <w:p w14:paraId="6034ECDB">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.3供应</w:t>
      </w:r>
      <w:r>
        <w:rPr>
          <w:rFonts w:hint="eastAsia" w:asciiTheme="minorEastAsia" w:hAnsiTheme="minorEastAsia" w:eastAsiaTheme="minorEastAsia"/>
          <w:color w:val="000000" w:themeColor="text1"/>
          <w:sz w:val="24"/>
          <w14:textFill>
            <w14:solidFill>
              <w14:schemeClr w14:val="tx1"/>
            </w14:solidFill>
          </w14:textFill>
        </w:rPr>
        <w:t>商投诉应当有明确的请求和必要的证明材料。</w:t>
      </w:r>
    </w:p>
    <w:p w14:paraId="6AE3F883">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.4以联合体形</w:t>
      </w:r>
      <w:r>
        <w:rPr>
          <w:rFonts w:hint="eastAsia" w:asciiTheme="minorEastAsia" w:hAnsiTheme="minorEastAsia" w:eastAsiaTheme="minorEastAsia"/>
          <w:color w:val="000000" w:themeColor="text1"/>
          <w:sz w:val="24"/>
          <w14:textFill>
            <w14:solidFill>
              <w14:schemeClr w14:val="tx1"/>
            </w14:solidFill>
          </w14:textFill>
        </w:rPr>
        <w:t>式参加政府采购活动的，其投诉应当由组成联合体的所有供应商共同提出。</w:t>
      </w:r>
    </w:p>
    <w:p w14:paraId="75853AD6">
      <w:pPr>
        <w:pStyle w:val="32"/>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14:paraId="5AA7E272">
      <w:pPr>
        <w:adjustRightInd/>
        <w:spacing w:line="360" w:lineRule="auto"/>
        <w:jc w:val="center"/>
        <w:outlineLvl w:val="9"/>
        <w:rPr>
          <w:rFonts w:cs="仿宋_GB2312" w:asciiTheme="minorEastAsia" w:hAnsiTheme="minorEastAsia" w:eastAsiaTheme="minorEastAsia"/>
          <w:b/>
          <w:color w:val="000000" w:themeColor="text1"/>
          <w:sz w:val="32"/>
          <w:szCs w:val="20"/>
          <w14:textFill>
            <w14:solidFill>
              <w14:schemeClr w14:val="tx1"/>
            </w14:solidFill>
          </w14:textFill>
        </w:rPr>
      </w:pPr>
    </w:p>
    <w:p w14:paraId="423C52B8">
      <w:pPr>
        <w:adjustRightInd/>
        <w:spacing w:line="360" w:lineRule="auto"/>
        <w:jc w:val="center"/>
        <w:outlineLvl w:val="9"/>
        <w:rPr>
          <w:rFonts w:hint="eastAsia" w:cs="仿宋_GB2312" w:asciiTheme="minorEastAsia" w:hAnsiTheme="minorEastAsia" w:eastAsiaTheme="minorEastAsia"/>
          <w:b/>
          <w:color w:val="000000" w:themeColor="text1"/>
          <w:sz w:val="32"/>
          <w:szCs w:val="20"/>
          <w14:textFill>
            <w14:solidFill>
              <w14:schemeClr w14:val="tx1"/>
            </w14:solidFill>
          </w14:textFill>
        </w:rPr>
      </w:pPr>
    </w:p>
    <w:p w14:paraId="2496903D">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五、磋商文件构成、修改、解释</w:t>
      </w:r>
    </w:p>
    <w:p w14:paraId="5E1EC8BD">
      <w:pPr>
        <w:autoSpaceDE w:val="0"/>
        <w:autoSpaceDN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1．磋商文件的构成</w:t>
      </w:r>
    </w:p>
    <w:p w14:paraId="6565D5DE">
      <w:pPr>
        <w:pStyle w:val="32"/>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 磋商文件包括下列文件及附件</w:t>
      </w:r>
    </w:p>
    <w:p w14:paraId="17A2DE8B">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第一部分  邀请供应商</w:t>
      </w:r>
    </w:p>
    <w:p w14:paraId="71DDDA81">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第二部分  竞争性磋商流程</w:t>
      </w:r>
    </w:p>
    <w:p w14:paraId="203BCE13">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第三部分  供应商须知</w:t>
      </w:r>
    </w:p>
    <w:p w14:paraId="23FC00C9">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第四部分  采购需求</w:t>
      </w:r>
    </w:p>
    <w:p w14:paraId="0CA584C1">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第五部分  评审方法及评审标准</w:t>
      </w:r>
    </w:p>
    <w:p w14:paraId="2F192D69">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第六部分  拟签订的合同文本</w:t>
      </w:r>
    </w:p>
    <w:p w14:paraId="6D723C0C">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第七部分  应提交的有关格式范例</w:t>
      </w:r>
    </w:p>
    <w:p w14:paraId="253A56F6">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第八部分  最后报价格式</w:t>
      </w:r>
    </w:p>
    <w:p w14:paraId="3CD1565C">
      <w:pPr>
        <w:pStyle w:val="32"/>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1.2 </w:t>
      </w:r>
      <w:r>
        <w:rPr>
          <w:rFonts w:hint="eastAsia" w:asciiTheme="minorEastAsia" w:hAnsiTheme="minorEastAsia" w:eastAsiaTheme="minorEastAsia"/>
          <w:color w:val="000000" w:themeColor="text1"/>
          <w:sz w:val="24"/>
          <w14:textFill>
            <w14:solidFill>
              <w14:schemeClr w14:val="tx1"/>
            </w14:solidFill>
          </w14:textFill>
        </w:rPr>
        <w:t>与本项目有关的</w:t>
      </w:r>
      <w:r>
        <w:rPr>
          <w:rFonts w:hint="eastAsia" w:asciiTheme="minorEastAsia" w:hAnsiTheme="minorEastAsia" w:eastAsiaTheme="minorEastAsia"/>
          <w:bCs/>
          <w:color w:val="000000" w:themeColor="text1"/>
          <w:sz w:val="24"/>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14:textFill>
            <w14:solidFill>
              <w14:schemeClr w14:val="tx1"/>
            </w14:solidFill>
          </w14:textFill>
        </w:rPr>
        <w:t>。</w:t>
      </w:r>
    </w:p>
    <w:p w14:paraId="2C47EEA9">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14:textFill>
            <w14:solidFill>
              <w14:schemeClr w14:val="tx1"/>
            </w14:solidFill>
          </w14:textFill>
        </w:rPr>
        <w:t>澄清、修改</w:t>
      </w:r>
    </w:p>
    <w:p w14:paraId="79F51340">
      <w:pPr>
        <w:pStyle w:val="393"/>
        <w:snapToGrid w:val="0"/>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2.1已获取磋商文件的潜在供应商，若有问题需要澄清，应于提交首次响应文件截止时间前，以书面形式向采购代理机构提出。</w:t>
      </w:r>
    </w:p>
    <w:p w14:paraId="5AF59919">
      <w:pPr>
        <w:pStyle w:val="393"/>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14:textFill>
            <w14:solidFill>
              <w14:schemeClr w14:val="tx1"/>
            </w14:solidFill>
          </w14:textFill>
        </w:rPr>
        <w:t>提交首次</w:t>
      </w:r>
      <w:r>
        <w:rPr>
          <w:rFonts w:hint="eastAsia" w:cs="宋体" w:asciiTheme="minorEastAsia" w:hAnsiTheme="minorEastAsia" w:eastAsiaTheme="minorEastAsia"/>
          <w:color w:val="000000" w:themeColor="text1"/>
          <w14:textFill>
            <w14:solidFill>
              <w14:schemeClr w14:val="tx1"/>
            </w14:solidFill>
          </w14:textFill>
        </w:rPr>
        <w:t>响应文件截止时间和响应文件开启时间。该澄清或者修改的内容为磋商文件的组成部分。</w:t>
      </w:r>
    </w:p>
    <w:p w14:paraId="6C2D8E89">
      <w:pPr>
        <w:pStyle w:val="393"/>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000000" w:themeColor="text1"/>
          <w14:textFill>
            <w14:solidFill>
              <w14:schemeClr w14:val="tx1"/>
            </w14:solidFill>
          </w14:textFill>
        </w:rPr>
        <w:t>通过电子交易平台</w:t>
      </w:r>
      <w:r>
        <w:rPr>
          <w:rFonts w:hint="eastAsia" w:asciiTheme="minorEastAsia" w:hAnsiTheme="minorEastAsia" w:eastAsiaTheme="minorEastAsia"/>
          <w:color w:val="000000" w:themeColor="text1"/>
          <w14:textFill>
            <w14:solidFill>
              <w14:schemeClr w14:val="tx1"/>
            </w14:solidFill>
          </w14:textFill>
        </w:rPr>
        <w:t>通知所有获取磋商文件的供应商；不足5日的，采购人、采购代理机构应当顺延提交首次响应文件截止时间。</w:t>
      </w:r>
    </w:p>
    <w:p w14:paraId="04BB5ADE">
      <w:pPr>
        <w:pStyle w:val="393"/>
        <w:snapToGrid w:val="0"/>
        <w:spacing w:before="0"/>
        <w:ind w:firstLine="48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响应文件未按磋商文件的澄清、修改的内容编制，又不符合实质性要求的，响应无效。</w:t>
      </w:r>
    </w:p>
    <w:p w14:paraId="36353DF4">
      <w:pPr>
        <w:pStyle w:val="23"/>
        <w:rPr>
          <w:rFonts w:cs="仿宋_GB2312" w:asciiTheme="minorEastAsia" w:hAnsiTheme="minorEastAsia" w:eastAsiaTheme="minorEastAsia"/>
          <w:color w:val="000000" w:themeColor="text1"/>
          <w:sz w:val="18"/>
          <w:szCs w:val="18"/>
          <w:lang w:val="en-US"/>
          <w14:textFill>
            <w14:solidFill>
              <w14:schemeClr w14:val="tx1"/>
            </w14:solidFill>
          </w14:textFill>
        </w:rPr>
      </w:pPr>
      <w:r>
        <w:rPr>
          <w:rFonts w:hint="eastAsia" w:cs="仿宋_GB2312" w:asciiTheme="minorEastAsia" w:hAnsiTheme="minorEastAsia" w:eastAsiaTheme="minorEastAsia"/>
          <w:color w:val="000000" w:themeColor="text1"/>
          <w:szCs w:val="24"/>
          <w:lang w:val="en-US"/>
          <w14:textFill>
            <w14:solidFill>
              <w14:schemeClr w14:val="tx1"/>
            </w14:solidFill>
          </w14:textFill>
        </w:rPr>
        <w:t xml:space="preserve">    </w:t>
      </w:r>
    </w:p>
    <w:p w14:paraId="5784D1B1">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六、响应文件的编制</w:t>
      </w:r>
    </w:p>
    <w:p w14:paraId="4445C27F">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响应文件的语言</w:t>
      </w:r>
    </w:p>
    <w:p w14:paraId="58290AE7">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响应文件及供应商与采购有关的来往通知、函件和文件均应使用中文。</w:t>
      </w:r>
    </w:p>
    <w:p w14:paraId="1AA3B695">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响应文件的组成</w:t>
      </w:r>
    </w:p>
    <w:p w14:paraId="1F47AD14">
      <w:pPr>
        <w:pStyle w:val="32"/>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2.1响应文件由资格证明文件、报价文件、商务技术文件三部分组成</w:t>
      </w:r>
    </w:p>
    <w:p w14:paraId="4B99301D">
      <w:pPr>
        <w:pStyle w:val="32"/>
        <w:spacing w:line="360" w:lineRule="auto"/>
        <w:ind w:firstLine="480" w:firstLineChars="200"/>
        <w:rPr>
          <w:rFonts w:hint="default" w:asciiTheme="minorEastAsia" w:hAnsiTheme="minorEastAsia" w:eastAsiaTheme="minorEastAsia"/>
          <w:color w:val="000000" w:themeColor="text1"/>
          <w:sz w:val="24"/>
          <w:lang w:val="en-US" w:eastAsia="zh-CN"/>
          <w14:textFill>
            <w14:solidFill>
              <w14:schemeClr w14:val="tx1"/>
            </w14:solidFill>
          </w14:textFill>
        </w:rPr>
      </w:pPr>
    </w:p>
    <w:p w14:paraId="20F582C4">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响应文件应当包括以下主要内容（标注“▲”为实质性要求，供应商必须提供，否则磋商无效。相关格式见磋商文件第七部分）：</w:t>
      </w:r>
    </w:p>
    <w:p w14:paraId="4F698136">
      <w:pPr>
        <w:pStyle w:val="32"/>
        <w:spacing w:line="360" w:lineRule="auto"/>
        <w:ind w:firstLine="482" w:firstLineChars="200"/>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val="en-US" w:eastAsia="zh-CN"/>
          <w14:textFill>
            <w14:solidFill>
              <w14:schemeClr w14:val="tx1"/>
            </w14:solidFill>
          </w14:textFill>
        </w:rPr>
        <w:t>▲2.1.1 资格文件</w:t>
      </w:r>
    </w:p>
    <w:p w14:paraId="3E031980">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sz w:val="24"/>
          <w14:textFill>
            <w14:solidFill>
              <w14:schemeClr w14:val="tx1"/>
            </w14:solidFill>
          </w14:textFill>
        </w:rPr>
        <w:t>如以联合体形式参加政府采购活动的，</w:t>
      </w:r>
      <w:r>
        <w:rPr>
          <w:rFonts w:hint="eastAsia" w:cs="Arial" w:asciiTheme="minorEastAsia" w:hAnsiTheme="minorEastAsia" w:eastAsiaTheme="minorEastAsia"/>
          <w:color w:val="000000" w:themeColor="text1"/>
          <w:sz w:val="24"/>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14:textFill>
            <w14:solidFill>
              <w14:schemeClr w14:val="tx1"/>
            </w14:solidFill>
          </w14:textFill>
        </w:rPr>
        <w:t>）；</w:t>
      </w:r>
    </w:p>
    <w:p w14:paraId="51FE7525">
      <w:pPr>
        <w:pStyle w:val="32"/>
        <w:spacing w:line="360" w:lineRule="auto"/>
        <w:ind w:firstLine="720" w:firstLineChars="3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cs="Arial" w:asciiTheme="minorEastAsia" w:hAnsiTheme="minorEastAsia" w:eastAsiaTheme="minorEastAsia"/>
          <w:color w:val="000000" w:themeColor="text1"/>
          <w:sz w:val="24"/>
          <w14:textFill>
            <w14:solidFill>
              <w14:schemeClr w14:val="tx1"/>
            </w14:solidFill>
          </w14:textFill>
        </w:rPr>
        <w:t>联合协议</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如以联合体形式参加政府采购活动的</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lang w:eastAsia="zh-CN"/>
          <w14:textFill>
            <w14:solidFill>
              <w14:schemeClr w14:val="tx1"/>
            </w14:solidFill>
          </w14:textFill>
        </w:rPr>
        <w:t>必须提供</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ab/>
      </w:r>
      <w:r>
        <w:rPr>
          <w:rFonts w:cs="仿宋_GB2312" w:asciiTheme="minorEastAsia" w:hAnsiTheme="minorEastAsia" w:eastAsiaTheme="minorEastAsia"/>
          <w:color w:val="000000" w:themeColor="text1"/>
          <w:sz w:val="24"/>
          <w14:textFill>
            <w14:solidFill>
              <w14:schemeClr w14:val="tx1"/>
            </w14:solidFill>
          </w14:textFill>
        </w:rPr>
        <w:t xml:space="preserve"> </w:t>
      </w:r>
    </w:p>
    <w:p w14:paraId="46E50A13">
      <w:pPr>
        <w:pStyle w:val="32"/>
        <w:spacing w:line="360" w:lineRule="auto"/>
        <w:ind w:firstLine="482" w:firstLineChars="200"/>
        <w:rPr>
          <w:rFonts w:hint="eastAsia" w:cs="宋体" w:asciiTheme="minorEastAsia" w:hAnsiTheme="minorEastAsia" w:eastAsiaTheme="minorEastAsia"/>
          <w:b/>
          <w:bCs/>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lang w:val="en-US" w:eastAsia="zh-CN"/>
          <w14:textFill>
            <w14:solidFill>
              <w14:schemeClr w14:val="tx1"/>
            </w14:solidFill>
          </w14:textFill>
        </w:rPr>
        <w:t>2.1.2 商务技术文件</w:t>
      </w:r>
    </w:p>
    <w:p w14:paraId="4E2665CD">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▲（1）响应函</w:t>
      </w:r>
    </w:p>
    <w:p w14:paraId="25F1C715">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授权委托书或法定代表人（单位负责人、自然人本人）身份证明；</w:t>
      </w:r>
    </w:p>
    <w:p w14:paraId="59202161">
      <w:pPr>
        <w:pStyle w:val="32"/>
        <w:spacing w:line="360" w:lineRule="auto"/>
        <w:ind w:firstLine="720" w:firstLineChars="3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）所有资信文件</w:t>
      </w:r>
      <w:r>
        <w:rPr>
          <w:rFonts w:hint="eastAsia" w:cs="宋体" w:asciiTheme="minorEastAsia" w:hAnsiTheme="minorEastAsia" w:eastAsiaTheme="minorEastAsia"/>
          <w:color w:val="000000" w:themeColor="text1"/>
          <w:kern w:val="0"/>
          <w:sz w:val="24"/>
          <w14:textFill>
            <w14:solidFill>
              <w14:schemeClr w14:val="tx1"/>
            </w14:solidFill>
          </w14:textFill>
        </w:rPr>
        <w:t>（如果有）；</w:t>
      </w:r>
    </w:p>
    <w:p w14:paraId="575BDC71">
      <w:pPr>
        <w:pStyle w:val="32"/>
        <w:spacing w:line="360" w:lineRule="auto"/>
        <w:ind w:firstLine="720" w:firstLineChars="3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响应截止时间以来供应商的主要业绩证明材料（联合体响应的，联合体</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任意方</w:t>
      </w:r>
      <w:r>
        <w:rPr>
          <w:rFonts w:hint="eastAsia" w:asciiTheme="minorEastAsia" w:hAnsiTheme="minorEastAsia" w:eastAsiaTheme="minorEastAsia"/>
          <w:color w:val="000000" w:themeColor="text1"/>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均可</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p>
    <w:p w14:paraId="7285A5FC">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snapToGrid w:val="0"/>
          <w:color w:val="000000" w:themeColor="text1"/>
          <w:sz w:val="24"/>
          <w14:textFill>
            <w14:solidFill>
              <w14:schemeClr w14:val="tx1"/>
            </w14:solidFill>
          </w14:textFill>
        </w:rPr>
        <w:t>（</w:t>
      </w:r>
      <w:r>
        <w:rPr>
          <w:rFonts w:hint="eastAsia" w:asciiTheme="minorEastAsia" w:hAnsiTheme="minorEastAsia" w:eastAsiaTheme="minorEastAsia"/>
          <w:snapToGrid w:val="0"/>
          <w:color w:val="000000" w:themeColor="text1"/>
          <w:sz w:val="24"/>
          <w:lang w:val="en-US" w:eastAsia="zh-CN"/>
          <w14:textFill>
            <w14:solidFill>
              <w14:schemeClr w14:val="tx1"/>
            </w14:solidFill>
          </w14:textFill>
        </w:rPr>
        <w:t>5</w:t>
      </w:r>
      <w:r>
        <w:rPr>
          <w:rFonts w:hint="eastAsia" w:asciiTheme="minorEastAsia" w:hAnsiTheme="minorEastAsia" w:eastAsiaTheme="minorEastAsia"/>
          <w:snapToGrid w:val="0"/>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关于对磋商文件中有关条款的拒绝声明 (如果有)</w:t>
      </w:r>
      <w:r>
        <w:rPr>
          <w:rFonts w:hint="eastAsia" w:asciiTheme="minorEastAsia" w:hAnsiTheme="minorEastAsia" w:eastAsiaTheme="minorEastAsia"/>
          <w:color w:val="000000" w:themeColor="text1"/>
          <w:sz w:val="24"/>
          <w:lang w:val="zh-CN"/>
          <w14:textFill>
            <w14:solidFill>
              <w14:schemeClr w14:val="tx1"/>
            </w14:solidFill>
          </w14:textFill>
        </w:rPr>
        <w:t xml:space="preserve"> ；</w:t>
      </w:r>
    </w:p>
    <w:p w14:paraId="7778B799">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认为需要的其他商务文件或说明 (如果有) ；</w:t>
      </w:r>
    </w:p>
    <w:p w14:paraId="5F0FB952">
      <w:pPr>
        <w:pStyle w:val="32"/>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sz w:val="24"/>
          <w:lang w:val="zh-CN"/>
          <w14:textFill>
            <w14:solidFill>
              <w14:schemeClr w14:val="tx1"/>
            </w14:solidFill>
          </w14:textFill>
        </w:rPr>
        <w:t>服务方案。针对本项目的完整服务方案和实施方案；详细阐述项目方案的实现思路及关键技术；符合本项目对当前和未来发展的要求；</w:t>
      </w:r>
    </w:p>
    <w:p w14:paraId="0130C7B7">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lang w:val="zh-CN"/>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szCs w:val="24"/>
          <w:lang w:val="zh-CN"/>
          <w14:textFill>
            <w14:solidFill>
              <w14:schemeClr w14:val="tx1"/>
            </w14:solidFill>
          </w14:textFill>
        </w:rPr>
        <w:t>（如果有）</w:t>
      </w:r>
      <w:r>
        <w:rPr>
          <w:rFonts w:hint="eastAsia" w:asciiTheme="minorEastAsia" w:hAnsiTheme="minorEastAsia" w:eastAsiaTheme="minorEastAsia"/>
          <w:color w:val="000000" w:themeColor="text1"/>
          <w:kern w:val="0"/>
          <w:sz w:val="24"/>
          <w:lang w:val="zh-CN"/>
          <w14:textFill>
            <w14:solidFill>
              <w14:schemeClr w14:val="tx1"/>
            </w14:solidFill>
          </w14:textFill>
        </w:rPr>
        <w:t>；</w:t>
      </w:r>
    </w:p>
    <w:p w14:paraId="1240B87C">
      <w:pPr>
        <w:pStyle w:val="32"/>
        <w:spacing w:line="360" w:lineRule="auto"/>
        <w:ind w:firstLine="480" w:firstLineChars="200"/>
        <w:rPr>
          <w:rFonts w:cs="仿宋_GB2312" w:asciiTheme="minorEastAsia" w:hAnsiTheme="minorEastAsia" w:eastAsia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lang w:val="zh-CN"/>
          <w14:textFill>
            <w14:solidFill>
              <w14:schemeClr w14:val="tx1"/>
            </w14:solidFill>
          </w14:textFill>
        </w:rPr>
        <w:t>供应商认为需要的其他技术文件或说明（如果有）；</w:t>
      </w:r>
    </w:p>
    <w:p w14:paraId="7E823AF5">
      <w:pPr>
        <w:pStyle w:val="32"/>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政府采购供应商廉洁自律承诺书；</w:t>
      </w:r>
    </w:p>
    <w:p w14:paraId="5320446E">
      <w:pPr>
        <w:pStyle w:val="32"/>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承诺函；</w:t>
      </w:r>
    </w:p>
    <w:p w14:paraId="598CA991">
      <w:pPr>
        <w:pStyle w:val="32"/>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12</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）商务、服务（技术）响应、偏离情况说明表；</w:t>
      </w:r>
    </w:p>
    <w:p w14:paraId="4C046FF3">
      <w:pPr>
        <w:pStyle w:val="32"/>
        <w:spacing w:line="360" w:lineRule="auto"/>
        <w:ind w:firstLine="482" w:firstLineChars="200"/>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 xml:space="preserve">2.1.2 报价文件 </w:t>
      </w:r>
    </w:p>
    <w:p w14:paraId="128D37A0">
      <w:pPr>
        <w:pStyle w:val="32"/>
        <w:spacing w:line="360" w:lineRule="auto"/>
        <w:ind w:firstLine="480" w:firstLineChars="200"/>
        <w:rPr>
          <w:rFonts w:hint="eastAsia" w:cs="仿宋_GB2312"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lang w:val="en-US" w:eastAsia="zh-CN"/>
          <w14:textFill>
            <w14:solidFill>
              <w14:schemeClr w14:val="tx1"/>
            </w14:solidFill>
          </w14:textFill>
        </w:rPr>
        <w:t xml:space="preserve">▲（1）报价一览表 </w:t>
      </w:r>
    </w:p>
    <w:p w14:paraId="795B28D3">
      <w:pPr>
        <w:pStyle w:val="32"/>
        <w:spacing w:line="360" w:lineRule="auto"/>
        <w:ind w:firstLine="480" w:firstLineChars="200"/>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lang w:val="en-US" w:eastAsia="zh-CN"/>
          <w14:textFill>
            <w14:solidFill>
              <w14:schemeClr w14:val="tx1"/>
            </w14:solidFill>
          </w14:textFill>
        </w:rPr>
        <w:t>（2）中小企业声明函（如有）</w:t>
      </w:r>
    </w:p>
    <w:p w14:paraId="6B4EF080">
      <w:pPr>
        <w:snapToGrid w:val="0"/>
        <w:spacing w:line="360" w:lineRule="auto"/>
        <w:ind w:firstLine="482" w:firstLineChars="200"/>
        <w:jc w:val="left"/>
        <w:rPr>
          <w:rFonts w:hint="eastAsia" w:ascii="宋体" w:hAnsi="宋体" w:cs="Courier New"/>
          <w:b/>
          <w:color w:val="auto"/>
          <w:sz w:val="24"/>
          <w:szCs w:val="24"/>
          <w:highlight w:val="none"/>
        </w:rPr>
      </w:pPr>
      <w:r>
        <w:rPr>
          <w:rFonts w:hint="eastAsia" w:ascii="宋体" w:hAnsi="宋体"/>
          <w:b/>
          <w:bCs/>
          <w:color w:val="auto"/>
          <w:sz w:val="24"/>
          <w:szCs w:val="24"/>
          <w:highlight w:val="none"/>
        </w:rPr>
        <w:t>注：1.</w:t>
      </w: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以上标明“必须提供”的材料属于复印件的，必须加盖投标人公章，否则</w:t>
      </w:r>
      <w:r>
        <w:rPr>
          <w:rFonts w:hint="eastAsia" w:ascii="宋体" w:hAnsi="宋体" w:cs="Courier New"/>
          <w:b/>
          <w:color w:val="auto"/>
          <w:sz w:val="24"/>
          <w:szCs w:val="24"/>
          <w:highlight w:val="none"/>
        </w:rPr>
        <w:t>作无效投标处理。</w:t>
      </w:r>
    </w:p>
    <w:p w14:paraId="1FA27E65">
      <w:pPr>
        <w:pStyle w:val="32"/>
        <w:spacing w:line="360" w:lineRule="auto"/>
        <w:ind w:firstLine="482" w:firstLineChars="200"/>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hAnsi="宋体"/>
          <w:b/>
          <w:bCs/>
          <w:color w:val="auto"/>
          <w:kern w:val="2"/>
          <w:sz w:val="24"/>
          <w:szCs w:val="24"/>
          <w:highlight w:val="none"/>
          <w:lang w:val="en-US" w:eastAsia="zh-CN"/>
        </w:rPr>
        <w:t>2</w:t>
      </w:r>
      <w:r>
        <w:rPr>
          <w:rFonts w:hint="eastAsia" w:ascii="宋体" w:hAnsi="宋体"/>
          <w:b/>
          <w:bCs/>
          <w:color w:val="auto"/>
          <w:kern w:val="2"/>
          <w:sz w:val="24"/>
          <w:szCs w:val="24"/>
          <w:highlight w:val="none"/>
          <w:lang w:eastAsia="zh-CN"/>
        </w:rPr>
        <w:t>.联合体投标时，除联合</w:t>
      </w:r>
      <w:r>
        <w:rPr>
          <w:rFonts w:hint="eastAsia" w:hAnsi="宋体"/>
          <w:b/>
          <w:bCs/>
          <w:color w:val="auto"/>
          <w:kern w:val="2"/>
          <w:sz w:val="24"/>
          <w:szCs w:val="24"/>
          <w:highlight w:val="none"/>
          <w:lang w:eastAsia="zh-CN"/>
        </w:rPr>
        <w:t>协议</w:t>
      </w: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zh-CN" w:eastAsia="zh-CN"/>
        </w:rPr>
        <w:t>联合体响应授权书</w:t>
      </w:r>
      <w:r>
        <w:rPr>
          <w:rFonts w:hint="eastAsia" w:ascii="宋体" w:hAnsi="宋体"/>
          <w:b/>
          <w:bCs/>
          <w:color w:val="auto"/>
          <w:kern w:val="2"/>
          <w:sz w:val="24"/>
          <w:szCs w:val="24"/>
          <w:highlight w:val="none"/>
          <w:lang w:eastAsia="zh-CN"/>
        </w:rPr>
        <w:t>需要双方盖章，其他只需盖联合体牵头方的电子印章。</w:t>
      </w:r>
    </w:p>
    <w:p w14:paraId="43530863">
      <w:pPr>
        <w:pStyle w:val="32"/>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 响应文件的编制和签署</w:t>
      </w:r>
    </w:p>
    <w:p w14:paraId="517B760C">
      <w:pPr>
        <w:spacing w:line="360" w:lineRule="auto"/>
        <w:ind w:firstLine="480" w:firstLineChars="20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2EBF82B8">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2A022D0B">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14:paraId="101D490C">
      <w:pPr>
        <w:pStyle w:val="393"/>
        <w:snapToGrid w:val="0"/>
        <w:spacing w:before="0"/>
        <w:ind w:firstLine="48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14:textFill>
            <w14:solidFill>
              <w14:schemeClr w14:val="tx1"/>
            </w14:solidFill>
          </w14:textFill>
        </w:rPr>
        <w:t>求进行签署、盖章。</w:t>
      </w: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14:textFill>
            <w14:solidFill>
              <w14:schemeClr w14:val="tx1"/>
            </w14:solidFill>
          </w14:textFill>
        </w:rPr>
        <w:t>。</w:t>
      </w:r>
    </w:p>
    <w:p w14:paraId="2A479D80">
      <w:pPr>
        <w:pStyle w:val="393"/>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14:paraId="715F8B1A">
      <w:pPr>
        <w:pStyle w:val="393"/>
        <w:snapToGrid w:val="0"/>
        <w:spacing w:before="0"/>
        <w:ind w:firstLine="48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3.6磋商文件对响应文件签</w:t>
      </w:r>
      <w:r>
        <w:rPr>
          <w:rFonts w:hint="eastAsia" w:ascii="宋体" w:hAnsi="宋体" w:cs="宋体"/>
          <w:color w:val="000000" w:themeColor="text1"/>
          <w14:textFill>
            <w14:solidFill>
              <w14:schemeClr w14:val="tx1"/>
            </w14:solidFill>
          </w14:textFill>
        </w:rPr>
        <w:t>署、盖章的要求适用于电子签名、CA签章以及</w:t>
      </w:r>
      <w:r>
        <w:rPr>
          <w:rFonts w:hint="eastAsia" w:cs="宋体" w:asciiTheme="minorEastAsia" w:hAnsiTheme="minorEastAsia" w:eastAsiaTheme="minorEastAsia"/>
          <w:color w:val="000000" w:themeColor="text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文件明确允许的其他方式。</w:t>
      </w:r>
    </w:p>
    <w:p w14:paraId="76126E50">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541E3575">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七、</w:t>
      </w:r>
      <w:r>
        <w:rPr>
          <w:rFonts w:hint="eastAsia" w:asciiTheme="minorEastAsia" w:hAnsiTheme="minorEastAsia" w:eastAsiaTheme="minorEastAsia"/>
          <w:b/>
          <w:color w:val="000000" w:themeColor="text1"/>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14:textFill>
            <w14:solidFill>
              <w14:schemeClr w14:val="tx1"/>
            </w14:solidFill>
          </w14:textFill>
        </w:rPr>
        <w:t>文件的提交和备份</w:t>
      </w:r>
    </w:p>
    <w:p w14:paraId="128FCB1C">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p>
    <w:p w14:paraId="003EE2F3">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1.响应文件的提交、补充、修改、撤回</w:t>
      </w:r>
    </w:p>
    <w:p w14:paraId="088EB6DA">
      <w:pPr>
        <w:pStyle w:val="393"/>
        <w:ind w:firstLine="480"/>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A52626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 在响应截止时间以后，不能补充、修改响应文件。</w:t>
      </w:r>
    </w:p>
    <w:p w14:paraId="266914A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 在提交“最后报价”后，供应商不能退出磋商。</w:t>
      </w:r>
    </w:p>
    <w:p w14:paraId="0D70E43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689DF2A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4BDEEF68">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2.备份响应文件</w:t>
      </w:r>
    </w:p>
    <w:p w14:paraId="3CBD8FFE">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14:textFill>
            <w14:solidFill>
              <w14:schemeClr w14:val="tx1"/>
            </w14:solidFill>
          </w14:textFill>
        </w:rPr>
        <w:t>但采购人、采购代理机构不强制或变相强制供应商提交备份响应文件。</w:t>
      </w:r>
    </w:p>
    <w:p w14:paraId="4270C587">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2.2 备份响应文件须在“广西政府采购云平台投标客户端”制作生成，并储存在不可修改的</w:t>
      </w:r>
      <w:r>
        <w:rPr>
          <w:rFonts w:hint="eastAsia" w:asciiTheme="minorEastAsia" w:hAnsiTheme="minorEastAsia" w:eastAsiaTheme="minorEastAsia"/>
          <w:b/>
          <w:color w:val="000000" w:themeColor="text1"/>
          <w:sz w:val="24"/>
          <w14:textFill>
            <w14:solidFill>
              <w14:schemeClr w14:val="tx1"/>
            </w14:solidFill>
          </w14:textFill>
        </w:rPr>
        <w:t>电子光盘等存储介质</w:t>
      </w:r>
      <w:r>
        <w:rPr>
          <w:rFonts w:hint="eastAsia" w:cs="仿宋_GB2312" w:asciiTheme="minorEastAsia" w:hAnsiTheme="minorEastAsia" w:eastAsiaTheme="minorEastAsia"/>
          <w:color w:val="000000" w:themeColor="text1"/>
          <w:sz w:val="24"/>
          <w:szCs w:val="24"/>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14:textFill>
            <w14:solidFill>
              <w14:schemeClr w14:val="tx1"/>
            </w14:solidFill>
          </w14:textFill>
        </w:rPr>
        <w:t>存储、密封规定的备份响应文件将被视为无效或者被拒绝接收。</w:t>
      </w:r>
    </w:p>
    <w:p w14:paraId="7E7CE619">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14:paraId="0ED041BB">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756B909F">
      <w:pPr>
        <w:pStyle w:val="32"/>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 xml:space="preserve">2.5 </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供应商仅提交备份响应文件，未在电子交易平台传输提交响应文件的，响应无效。</w:t>
      </w:r>
    </w:p>
    <w:p w14:paraId="39F4DE27">
      <w:pPr>
        <w:spacing w:line="360" w:lineRule="auto"/>
        <w:rPr>
          <w:rFonts w:ascii="宋体" w:hAnsi="宋体" w:cs="宋体"/>
          <w:b/>
          <w:snapToGrid w:val="0"/>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w:t>
      </w:r>
      <w:r>
        <w:rPr>
          <w:rFonts w:hint="eastAsia" w:ascii="宋体" w:hAnsi="宋体" w:cs="宋体"/>
          <w:b/>
          <w:snapToGrid w:val="0"/>
          <w:color w:val="000000" w:themeColor="text1"/>
          <w:kern w:val="28"/>
          <w:sz w:val="24"/>
          <w14:textFill>
            <w14:solidFill>
              <w14:schemeClr w14:val="tx1"/>
            </w14:solidFill>
          </w14:textFill>
        </w:rPr>
        <w:t>磋商保证金</w:t>
      </w:r>
    </w:p>
    <w:p w14:paraId="18A69413">
      <w:pPr>
        <w:pStyle w:val="32"/>
        <w:spacing w:line="360" w:lineRule="auto"/>
        <w:ind w:firstLine="360" w:firstLineChars="150"/>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hAnsi="宋体" w:cs="宋体" w:eastAsiaTheme="minorEastAsia"/>
          <w:snapToGrid w:val="0"/>
          <w:color w:val="000000" w:themeColor="text1"/>
          <w:kern w:val="28"/>
          <w:sz w:val="24"/>
          <w:szCs w:val="20"/>
          <w:lang w:eastAsia="zh-CN"/>
          <w14:textFill>
            <w14:solidFill>
              <w14:schemeClr w14:val="tx1"/>
            </w14:solidFill>
          </w14:textFill>
        </w:rPr>
        <w:t>本项目不收取磋商保证金</w:t>
      </w:r>
    </w:p>
    <w:p w14:paraId="3AE11981">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0301122E">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开启响应文件与信用信息查询</w:t>
      </w:r>
    </w:p>
    <w:p w14:paraId="08243A1F">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 开启响应文件</w:t>
      </w:r>
    </w:p>
    <w:p w14:paraId="711F36BC">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供应商数量不符合规定的，不得开启响应文件。</w:t>
      </w:r>
    </w:p>
    <w:p w14:paraId="55C8D7D8">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00072BD5">
      <w:pPr>
        <w:pStyle w:val="32"/>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4455DB23">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2.信用信息查询</w:t>
      </w:r>
    </w:p>
    <w:p w14:paraId="2342FAF5">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2.1信用信息查询渠道及截止时间：采购人或采购代理机构将通过“信用中国”网站(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)、中国政府采购网(www.ccgp.gov.cn)渠道查询供应商响应截止时间前的信用记录。</w:t>
      </w:r>
    </w:p>
    <w:p w14:paraId="47573324">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2.2信用信息查询记录和证据留存的具体方式：现场查询的供应商的信用记录、查询结果经确认后存档。</w:t>
      </w:r>
    </w:p>
    <w:p w14:paraId="5FCDE099">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1E7A5C39">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1F6786">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p>
    <w:p w14:paraId="64F416B0">
      <w:pPr>
        <w:adjustRightInd/>
        <w:spacing w:line="360"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九</w:t>
      </w:r>
      <w:r>
        <w:rPr>
          <w:rFonts w:hint="eastAsia" w:cs="仿宋_GB2312" w:asciiTheme="minorEastAsia" w:hAnsiTheme="minorEastAsia" w:eastAsiaTheme="minorEastAsia"/>
          <w:b/>
          <w:color w:val="000000" w:themeColor="text1"/>
          <w:sz w:val="32"/>
          <w:szCs w:val="20"/>
          <w14:textFill>
            <w14:solidFill>
              <w14:schemeClr w14:val="tx1"/>
            </w14:solidFill>
          </w14:textFill>
        </w:rPr>
        <w:t>、提交</w:t>
      </w:r>
      <w:r>
        <w:rPr>
          <w:rFonts w:hint="eastAsia" w:asciiTheme="minorEastAsia" w:hAnsiTheme="minorEastAsia" w:eastAsiaTheme="minorEastAsia"/>
          <w:b/>
          <w:color w:val="000000" w:themeColor="text1"/>
          <w:sz w:val="32"/>
          <w:szCs w:val="32"/>
          <w14:textFill>
            <w14:solidFill>
              <w14:schemeClr w14:val="tx1"/>
            </w14:solidFill>
          </w14:textFill>
        </w:rPr>
        <w:t>最后报价</w:t>
      </w:r>
    </w:p>
    <w:p w14:paraId="499EC53A">
      <w:pPr>
        <w:snapToGrid w:val="0"/>
        <w:spacing w:line="360" w:lineRule="auto"/>
        <w:rPr>
          <w:rFonts w:cs="仿宋_GB2312"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供应商的</w:t>
      </w:r>
      <w:r>
        <w:rPr>
          <w:rFonts w:hint="eastAsia" w:cs="仿宋_GB2312" w:asciiTheme="minorEastAsia" w:hAnsiTheme="minorEastAsia" w:eastAsiaTheme="minorEastAsia"/>
          <w:b/>
          <w:color w:val="000000" w:themeColor="text1"/>
          <w:sz w:val="24"/>
          <w14:textFill>
            <w14:solidFill>
              <w14:schemeClr w14:val="tx1"/>
            </w14:solidFill>
          </w14:textFill>
        </w:rPr>
        <w:t>最后报价文件</w:t>
      </w:r>
      <w:r>
        <w:rPr>
          <w:rFonts w:hint="eastAsia" w:cs="仿宋_GB2312" w:asciiTheme="minorEastAsia" w:hAnsiTheme="minorEastAsia" w:eastAsiaTheme="minorEastAsia"/>
          <w:color w:val="000000" w:themeColor="text1"/>
          <w:sz w:val="24"/>
          <w14:textFill>
            <w14:solidFill>
              <w14:schemeClr w14:val="tx1"/>
            </w14:solidFill>
          </w14:textFill>
        </w:rPr>
        <w:t>应包括以下内容：</w:t>
      </w:r>
    </w:p>
    <w:p w14:paraId="5007195C">
      <w:pPr>
        <w:pStyle w:val="32"/>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1.1最后报价一览表；</w:t>
      </w:r>
    </w:p>
    <w:p w14:paraId="0B1A22FA">
      <w:pPr>
        <w:pStyle w:val="32"/>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1.2中小企业声明函（如果有）。</w:t>
      </w:r>
    </w:p>
    <w:p w14:paraId="42B20801">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2BF57370">
      <w:pPr>
        <w:adjustRightInd/>
        <w:spacing w:line="360" w:lineRule="auto"/>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w:t>
      </w:r>
      <w:r>
        <w:rPr>
          <w:rFonts w:hint="eastAsia" w:asciiTheme="minorEastAsia" w:hAnsiTheme="minorEastAsia" w:eastAsiaTheme="minorEastAsia"/>
          <w:b/>
          <w:color w:val="000000" w:themeColor="text1"/>
          <w:sz w:val="32"/>
          <w:szCs w:val="32"/>
          <w14:textFill>
            <w14:solidFill>
              <w14:schemeClr w14:val="tx1"/>
            </w14:solidFill>
          </w14:textFill>
        </w:rPr>
        <w:t>评审</w:t>
      </w:r>
    </w:p>
    <w:p w14:paraId="027D19B7">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w:t>
      </w:r>
      <w:r>
        <w:rPr>
          <w:rFonts w:hint="eastAsia" w:cs="仿宋_GB2312" w:asciiTheme="minorEastAsia" w:hAnsiTheme="minorEastAsia" w:eastAsiaTheme="minorEastAsia"/>
          <w:b/>
          <w:color w:val="000000" w:themeColor="text1"/>
          <w14:textFill>
            <w14:solidFill>
              <w14:schemeClr w14:val="tx1"/>
            </w14:solidFill>
          </w14:textFill>
        </w:rPr>
        <w:t xml:space="preserve"> 评审方法：</w:t>
      </w:r>
      <w:r>
        <w:rPr>
          <w:rFonts w:hint="eastAsia" w:cs="仿宋_GB2312" w:asciiTheme="minorEastAsia" w:hAnsiTheme="minorEastAsia" w:eastAsiaTheme="minorEastAsia"/>
          <w:color w:val="000000" w:themeColor="text1"/>
          <w14:textFill>
            <w14:solidFill>
              <w14:schemeClr w14:val="tx1"/>
            </w14:solidFill>
          </w14:textFill>
        </w:rPr>
        <w:t>综合评分法。</w:t>
      </w:r>
    </w:p>
    <w:p w14:paraId="2D33A9C0">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2. 价格分计算方法：</w:t>
      </w:r>
      <w:r>
        <w:rPr>
          <w:rFonts w:hint="eastAsia" w:cs="仿宋_GB2312" w:asciiTheme="minorEastAsia" w:hAnsiTheme="minorEastAsia" w:eastAsiaTheme="minorEastAsia"/>
          <w:color w:val="000000" w:themeColor="text1"/>
          <w14:textFill>
            <w14:solidFill>
              <w14:schemeClr w14:val="tx1"/>
            </w14:solidFill>
          </w14:textFill>
        </w:rPr>
        <w:t>低价优先法。</w:t>
      </w:r>
    </w:p>
    <w:p w14:paraId="158A9BE0">
      <w:pPr>
        <w:pStyle w:val="393"/>
        <w:spacing w:before="0"/>
        <w:ind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3. 评审要求：</w:t>
      </w:r>
      <w:r>
        <w:rPr>
          <w:rFonts w:hint="eastAsia" w:cs="仿宋_GB2312" w:asciiTheme="minorEastAsia" w:hAnsiTheme="minorEastAsia" w:eastAsiaTheme="minorEastAsia"/>
          <w:color w:val="000000" w:themeColor="text1"/>
          <w14:textFill>
            <w14:solidFill>
              <w14:schemeClr w14:val="tx1"/>
            </w14:solidFill>
          </w14:textFill>
        </w:rPr>
        <w:t>详见磋商文件第五部分“评审方法及评审标准”。</w:t>
      </w:r>
    </w:p>
    <w:p w14:paraId="1E0381C8">
      <w:pPr>
        <w:adjustRightInd/>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3AC3249">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十一、</w:t>
      </w:r>
      <w:r>
        <w:rPr>
          <w:rFonts w:hint="eastAsia" w:asciiTheme="minorEastAsia" w:hAnsiTheme="minorEastAsia" w:eastAsiaTheme="minorEastAsia"/>
          <w:b/>
          <w:color w:val="000000" w:themeColor="text1"/>
          <w:sz w:val="32"/>
          <w:szCs w:val="32"/>
          <w14:textFill>
            <w14:solidFill>
              <w14:schemeClr w14:val="tx1"/>
            </w14:solidFill>
          </w14:textFill>
        </w:rPr>
        <w:t>成交</w:t>
      </w:r>
    </w:p>
    <w:p w14:paraId="1D654177">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推荐成交候选供应商</w:t>
      </w:r>
    </w:p>
    <w:p w14:paraId="504D6FCA">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051764C">
      <w:pPr>
        <w:pStyle w:val="32"/>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确定成交供应商</w:t>
      </w:r>
    </w:p>
    <w:p w14:paraId="4179E302">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DA439AC">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3．成交通知及成交结果公告</w:t>
      </w:r>
    </w:p>
    <w:p w14:paraId="55FF7A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14:textFill>
            <w14:solidFill>
              <w14:schemeClr w14:val="tx1"/>
            </w14:solidFill>
          </w14:textFill>
        </w:rPr>
        <w:t>同时编制发布采购</w:t>
      </w:r>
      <w:r>
        <w:rPr>
          <w:rFonts w:hint="eastAsia" w:asciiTheme="minorEastAsia" w:hAnsiTheme="minorEastAsia" w:eastAsiaTheme="minorEastAsia"/>
          <w:color w:val="000000" w:themeColor="text1"/>
          <w:sz w:val="24"/>
          <w:szCs w:val="21"/>
          <w14:textFill>
            <w14:solidFill>
              <w14:schemeClr w14:val="tx1"/>
            </w14:solidFill>
          </w14:textFill>
        </w:rPr>
        <w:t>成交结果公告。</w:t>
      </w:r>
    </w:p>
    <w:p w14:paraId="659CDE6A">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Theme="minorEastAsia" w:hAnsiTheme="minorEastAsia" w:eastAsiaTheme="minorEastAsia"/>
          <w:color w:val="000000" w:themeColor="text1"/>
          <w:sz w:val="24"/>
          <w:szCs w:val="21"/>
          <w14:textFill>
            <w14:solidFill>
              <w14:schemeClr w14:val="tx1"/>
            </w14:solidFill>
          </w14:textFill>
        </w:rPr>
        <w:t>成交</w:t>
      </w:r>
      <w:r>
        <w:rPr>
          <w:rFonts w:hint="eastAsia" w:cs="仿宋_GB2312" w:asciiTheme="minorEastAsia" w:hAnsiTheme="minorEastAsia" w:eastAsiaTheme="minorEastAsia"/>
          <w:color w:val="000000" w:themeColor="text1"/>
          <w:sz w:val="24"/>
          <w14:textFill>
            <w14:solidFill>
              <w14:schemeClr w14:val="tx1"/>
            </w14:solidFill>
          </w14:textFill>
        </w:rPr>
        <w:t>结果公告内容包括</w:t>
      </w:r>
      <w:r>
        <w:rPr>
          <w:rFonts w:hint="eastAsia" w:cs="宋体" w:asciiTheme="minorEastAsia" w:hAnsiTheme="minorEastAsia" w:eastAsiaTheme="minorEastAsia"/>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46" w:name="_Hlk101184471"/>
      <w:r>
        <w:rPr>
          <w:rFonts w:hint="eastAsia" w:cs="宋体" w:asciiTheme="minorEastAsia" w:hAnsiTheme="minorEastAsia" w:eastAsiaTheme="minorEastAsia"/>
          <w:color w:val="000000" w:themeColor="text1"/>
          <w:sz w:val="24"/>
          <w14:textFill>
            <w14:solidFill>
              <w14:schemeClr w14:val="tx1"/>
            </w14:solidFill>
          </w14:textFill>
        </w:rPr>
        <w:t>评审专家抽取规则、</w:t>
      </w:r>
      <w:bookmarkEnd w:id="46"/>
      <w:r>
        <w:rPr>
          <w:rFonts w:hint="eastAsia" w:cs="宋体" w:asciiTheme="minorEastAsia" w:hAnsiTheme="minorEastAsia" w:eastAsiaTheme="minorEastAsia"/>
          <w:color w:val="000000" w:themeColor="text1"/>
          <w:sz w:val="24"/>
          <w14:textFill>
            <w14:solidFill>
              <w14:schemeClr w14:val="tx1"/>
            </w14:solidFill>
          </w14:textFill>
        </w:rPr>
        <w:t>未成交情况说明、成交公告期限以及评审专家名单、成交供应商和未成交供应商的评审总得分及排名。</w:t>
      </w:r>
    </w:p>
    <w:p w14:paraId="62C15903">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3.3公告期限为1个工作日。</w:t>
      </w:r>
    </w:p>
    <w:p w14:paraId="156109C4">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62EFC125">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十二、合同</w:t>
      </w:r>
    </w:p>
    <w:p w14:paraId="76D40CC7">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1.合同主要条款：</w:t>
      </w:r>
      <w:r>
        <w:rPr>
          <w:rFonts w:hint="eastAsia" w:asciiTheme="minorEastAsia" w:hAnsiTheme="minorEastAsia" w:eastAsiaTheme="minorEastAsia"/>
          <w:color w:val="000000" w:themeColor="text1"/>
          <w:sz w:val="24"/>
          <w14:textFill>
            <w14:solidFill>
              <w14:schemeClr w14:val="tx1"/>
            </w14:solidFill>
          </w14:textFill>
        </w:rPr>
        <w:t>详见“第六部分拟签订的合同文本”。</w:t>
      </w:r>
    </w:p>
    <w:p w14:paraId="310232B2">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2.合同的签订</w:t>
      </w:r>
    </w:p>
    <w:p w14:paraId="0F457DDE">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6D2CC06">
      <w:pPr>
        <w:pStyle w:val="393"/>
        <w:snapToGrid w:val="0"/>
        <w:spacing w:before="0"/>
        <w:ind w:firstLine="480"/>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3A50FBAF">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F2276E5">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9D7A31A">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14:paraId="6721D1B1">
      <w:pPr>
        <w:pStyle w:val="393"/>
        <w:snapToGrid w:val="0"/>
        <w:spacing w:before="0" w:after="120"/>
        <w:ind w:firstLine="480"/>
        <w:rPr>
          <w:rFonts w:cs="仿宋_GB2312" w:asciiTheme="minorEastAsia" w:hAnsiTheme="minorEastAsia" w:eastAsiaTheme="minorEastAsia"/>
          <w:color w:val="000000" w:themeColor="text1"/>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6</w:t>
      </w:r>
      <w:r>
        <w:rPr>
          <w:rFonts w:cs="仿宋_GB2312" w:asciiTheme="minorEastAsia" w:hAnsiTheme="minorEastAsia" w:eastAsiaTheme="minorEastAsia"/>
          <w:color w:val="000000" w:themeColor="text1"/>
          <w14:textFill>
            <w14:solidFill>
              <w14:schemeClr w14:val="tx1"/>
            </w14:solidFill>
          </w14:textFill>
        </w:rPr>
        <w:t>采购合同由采购人与</w:t>
      </w:r>
      <w:r>
        <w:rPr>
          <w:rFonts w:hint="eastAsia" w:cs="仿宋_GB2312" w:asciiTheme="minorEastAsia" w:hAnsiTheme="minorEastAsia" w:eastAsiaTheme="minorEastAsia"/>
          <w:color w:val="000000" w:themeColor="text1"/>
          <w14:textFill>
            <w14:solidFill>
              <w14:schemeClr w14:val="tx1"/>
            </w14:solidFill>
          </w14:textFill>
        </w:rPr>
        <w:t>成交</w:t>
      </w:r>
      <w:r>
        <w:rPr>
          <w:rFonts w:cs="仿宋_GB2312" w:asciiTheme="minorEastAsia" w:hAnsiTheme="minorEastAsia" w:eastAsiaTheme="minorEastAsia"/>
          <w:color w:val="000000" w:themeColor="text1"/>
          <w14:textFill>
            <w14:solidFill>
              <w14:schemeClr w14:val="tx1"/>
            </w14:solidFill>
          </w14:textFill>
        </w:rPr>
        <w:t>供应商根据</w:t>
      </w:r>
      <w:r>
        <w:rPr>
          <w:rFonts w:hint="eastAsia" w:cs="仿宋_GB2312" w:asciiTheme="minorEastAsia" w:hAnsiTheme="minorEastAsia" w:eastAsiaTheme="minorEastAsia"/>
          <w:color w:val="000000" w:themeColor="text1"/>
          <w14:textFill>
            <w14:solidFill>
              <w14:schemeClr w14:val="tx1"/>
            </w14:solidFill>
          </w14:textFill>
        </w:rPr>
        <w:t>磋商文件、响应文件等内容通过政府采购电子交易平台在线签订，自动备案。</w:t>
      </w:r>
    </w:p>
    <w:p w14:paraId="64FEE246">
      <w:pPr>
        <w:pStyle w:val="39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2.7政采贷</w:t>
      </w:r>
    </w:p>
    <w:p w14:paraId="0A7C1649">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E27E294">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0E1CEE2F">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EF4944B">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562E3AB0">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359B62CD">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13433C2F">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754BE38B">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5DD1CFF1">
      <w:pPr>
        <w:pStyle w:val="63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DB09CB1">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5C1A8727">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0785BC73">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6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C7F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42F7F9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vAlign w:val="center"/>
          </w:tcPr>
          <w:p w14:paraId="1D8C646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vAlign w:val="center"/>
          </w:tcPr>
          <w:p w14:paraId="31C833A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vAlign w:val="center"/>
          </w:tcPr>
          <w:p w14:paraId="7E9E535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vAlign w:val="center"/>
          </w:tcPr>
          <w:p w14:paraId="4653093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vAlign w:val="center"/>
          </w:tcPr>
          <w:p w14:paraId="79F79D4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1D57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5BED4E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vAlign w:val="center"/>
          </w:tcPr>
          <w:p w14:paraId="3C39F8F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vAlign w:val="center"/>
          </w:tcPr>
          <w:p w14:paraId="7189C89F">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vAlign w:val="center"/>
          </w:tcPr>
          <w:p w14:paraId="5B3D1ED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1E36AF6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vAlign w:val="center"/>
          </w:tcPr>
          <w:p w14:paraId="5DA29CF1">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2DE5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E5C704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vAlign w:val="center"/>
          </w:tcPr>
          <w:p w14:paraId="5FA98AA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vAlign w:val="center"/>
          </w:tcPr>
          <w:p w14:paraId="10DFA90F">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0E14EC8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vAlign w:val="center"/>
          </w:tcPr>
          <w:p w14:paraId="5EBD08C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vAlign w:val="center"/>
          </w:tcPr>
          <w:p w14:paraId="636A5BD6">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216B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B756D7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vAlign w:val="center"/>
          </w:tcPr>
          <w:p w14:paraId="63F78C9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vAlign w:val="center"/>
          </w:tcPr>
          <w:p w14:paraId="4B914034">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vAlign w:val="center"/>
          </w:tcPr>
          <w:p w14:paraId="6E98F20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4EB64A5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vAlign w:val="center"/>
          </w:tcPr>
          <w:p w14:paraId="5F47CD94">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3BD4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6170A3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vAlign w:val="center"/>
          </w:tcPr>
          <w:p w14:paraId="7EA5D30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vAlign w:val="center"/>
          </w:tcPr>
          <w:p w14:paraId="00C9794E">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vAlign w:val="center"/>
          </w:tcPr>
          <w:p w14:paraId="03FDD44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7DAA8378">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7F04B05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vAlign w:val="center"/>
          </w:tcPr>
          <w:p w14:paraId="63AA5DE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5CB2C06D">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6AB3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42CDD7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vAlign w:val="center"/>
          </w:tcPr>
          <w:p w14:paraId="676EDBD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vAlign w:val="center"/>
          </w:tcPr>
          <w:p w14:paraId="6F22BEA3">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vAlign w:val="center"/>
          </w:tcPr>
          <w:p w14:paraId="4ED2727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vAlign w:val="center"/>
          </w:tcPr>
          <w:p w14:paraId="0DC6343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vAlign w:val="center"/>
          </w:tcPr>
          <w:p w14:paraId="061E2C91">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5139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F71575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vAlign w:val="center"/>
          </w:tcPr>
          <w:p w14:paraId="609A3A9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vAlign w:val="center"/>
          </w:tcPr>
          <w:p w14:paraId="3B009232">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08CF725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20D45C7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594221A7">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7904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B75398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vAlign w:val="center"/>
          </w:tcPr>
          <w:p w14:paraId="3CA808B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vAlign w:val="center"/>
          </w:tcPr>
          <w:p w14:paraId="4BBC0206">
            <w:pPr>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vAlign w:val="center"/>
          </w:tcPr>
          <w:p w14:paraId="152F6D0A">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vAlign w:val="center"/>
          </w:tcPr>
          <w:p w14:paraId="21FEF8C3">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vAlign w:val="center"/>
          </w:tcPr>
          <w:p w14:paraId="0F084A80">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6D659EF5">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14:paraId="4A3CD00F">
      <w:pPr>
        <w:tabs>
          <w:tab w:val="left" w:pos="0"/>
        </w:tabs>
        <w:spacing w:line="360" w:lineRule="auto"/>
        <w:ind w:firstLine="480" w:firstLineChars="200"/>
        <w:rPr>
          <w:rFonts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3．履约保证金</w:t>
      </w:r>
    </w:p>
    <w:p w14:paraId="5290AD18">
      <w:pPr>
        <w:pStyle w:val="632"/>
        <w:rPr>
          <w:rFonts w:hint="eastAsia" w:eastAsia="宋体"/>
          <w:b w:val="0"/>
          <w:bCs/>
          <w:color w:val="000000" w:themeColor="text1"/>
          <w:lang w:eastAsia="zh-CN"/>
          <w14:textFill>
            <w14:solidFill>
              <w14:schemeClr w14:val="tx1"/>
            </w14:solidFill>
          </w14:textFill>
        </w:rPr>
      </w:pPr>
      <w:r>
        <w:rPr>
          <w:rFonts w:hint="eastAsia"/>
          <w:b w:val="0"/>
          <w:bCs/>
          <w:color w:val="000000" w:themeColor="text1"/>
          <w:lang w:eastAsia="zh-CN"/>
          <w14:textFill>
            <w14:solidFill>
              <w14:schemeClr w14:val="tx1"/>
            </w14:solidFill>
          </w14:textFill>
        </w:rPr>
        <w:t>本项目不收取履约保证金。</w:t>
      </w:r>
    </w:p>
    <w:p w14:paraId="45AA1621">
      <w:pPr>
        <w:pStyle w:val="63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预付款</w:t>
      </w:r>
    </w:p>
    <w:p w14:paraId="3D29F88E">
      <w:pPr>
        <w:adjustRightInd/>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0%；采购项目实施以人工投入为主的，</w:t>
      </w:r>
      <w:r>
        <w:rPr>
          <w:rFonts w:hint="eastAsia" w:ascii="宋体" w:hAnsi="宋体"/>
          <w:color w:val="000000" w:themeColor="text1"/>
          <w:sz w:val="24"/>
          <w14:textFill>
            <w14:solidFill>
              <w14:schemeClr w14:val="tx1"/>
            </w14:solidFill>
          </w14:textFill>
        </w:rPr>
        <w:t>可适当降低预付款比例，但不得低于1</w:t>
      </w:r>
      <w:r>
        <w:rPr>
          <w:rFonts w:ascii="宋体" w:hAnsi="宋体"/>
          <w:color w:val="000000" w:themeColor="text1"/>
          <w:sz w:val="24"/>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w:t>
      </w:r>
    </w:p>
    <w:p w14:paraId="0DA0CDA0">
      <w:pPr>
        <w:tabs>
          <w:tab w:val="left" w:pos="0"/>
        </w:tabs>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14:paraId="21F78731">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56E290B8">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十三、验收</w:t>
      </w:r>
    </w:p>
    <w:p w14:paraId="52C4920D">
      <w:pPr>
        <w:pStyle w:val="24"/>
        <w:spacing w:line="360" w:lineRule="auto"/>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1.验收</w:t>
      </w:r>
    </w:p>
    <w:p w14:paraId="5D211880">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B03AF6">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46E725B0">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5586EB">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7A5680">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28EA8E73">
      <w:pPr>
        <w:snapToGrid w:val="0"/>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十四、电子交易活动的中止</w:t>
      </w:r>
    </w:p>
    <w:p w14:paraId="7F1E1747">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电子交易活动的中止</w:t>
      </w:r>
    </w:p>
    <w:p w14:paraId="46FF3A1F">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FD83A88">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1.1电子交易平台发生故障而无法登录访问的； </w:t>
      </w:r>
    </w:p>
    <w:p w14:paraId="137BE5B4">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1.2电子交易平台应用或数据库出现错误，不能进行正常操作的；</w:t>
      </w:r>
    </w:p>
    <w:p w14:paraId="61BE6124">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1.3电子交易平台发现严重安全漏洞，有潜在泄密危险的；</w:t>
      </w:r>
    </w:p>
    <w:p w14:paraId="0147E62C">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1.4病毒发作导致不能进行正常操作的； </w:t>
      </w:r>
    </w:p>
    <w:p w14:paraId="35DCA81C">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1.5其他无法保证电子交易的公平、公正和安全的情况。</w:t>
      </w:r>
    </w:p>
    <w:p w14:paraId="01E3A904">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b/>
          <w:color w:val="000000" w:themeColor="text1"/>
          <w:kern w:val="0"/>
          <w:sz w:val="24"/>
          <w14:textFill>
            <w14:solidFill>
              <w14:schemeClr w14:val="tx1"/>
            </w14:solidFill>
          </w14:textFill>
        </w:rPr>
        <w:t>2.</w:t>
      </w:r>
      <w:r>
        <w:rPr>
          <w:rFonts w:hint="eastAsia" w:cs="Helvetica" w:asciiTheme="minorEastAsia" w:hAnsiTheme="minorEastAsia" w:eastAsiaTheme="minorEastAsia"/>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7" w:name="_Hlt75236011"/>
      <w:bookmarkEnd w:id="47"/>
      <w:bookmarkStart w:id="48" w:name="_Hlt74729768"/>
      <w:bookmarkEnd w:id="48"/>
      <w:bookmarkStart w:id="49" w:name="_Hlt68057669"/>
      <w:bookmarkEnd w:id="49"/>
      <w:bookmarkStart w:id="50" w:name="_Hlt68072990"/>
      <w:bookmarkEnd w:id="50"/>
      <w:bookmarkStart w:id="51" w:name="_Hlt74730295"/>
      <w:bookmarkEnd w:id="51"/>
      <w:bookmarkStart w:id="52" w:name="_Hlt75236101"/>
      <w:bookmarkEnd w:id="52"/>
      <w:bookmarkStart w:id="53" w:name="_Hlt75236290"/>
      <w:bookmarkEnd w:id="53"/>
      <w:bookmarkStart w:id="54" w:name="_Hlt74707468"/>
      <w:bookmarkEnd w:id="54"/>
      <w:bookmarkStart w:id="55" w:name="_Hlt74714665"/>
      <w:bookmarkEnd w:id="55"/>
      <w:bookmarkStart w:id="56" w:name="_Toc164416483"/>
      <w:bookmarkStart w:id="57" w:name="第三部分"/>
    </w:p>
    <w:p w14:paraId="44767509">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十五、代理费用的收取标准和方式</w:t>
      </w:r>
    </w:p>
    <w:p w14:paraId="52F2032E">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1.代理费用的收取标准和方式</w:t>
      </w:r>
    </w:p>
    <w:p w14:paraId="2664177E">
      <w:pPr>
        <w:pStyle w:val="63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1.1采购代理费支付方式：</w:t>
      </w:r>
    </w:p>
    <w:p w14:paraId="5C4431A8">
      <w:pPr>
        <w:pStyle w:val="632"/>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本项目代理服务费由成交供应商一次性向采购代理机构支付。</w:t>
      </w:r>
    </w:p>
    <w:p w14:paraId="15A99AD9">
      <w:pPr>
        <w:pStyle w:val="63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□采购人支付。</w:t>
      </w:r>
    </w:p>
    <w:p w14:paraId="6238B677">
      <w:pPr>
        <w:pStyle w:val="63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1.2采购代理费收取标准：</w:t>
      </w:r>
    </w:p>
    <w:p w14:paraId="6EBA0963">
      <w:pPr>
        <w:pStyle w:val="632"/>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以分标（</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□采购预算</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□暂定成交金额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□其他</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）为计费额，按代理服务收费标准（□货物类</w:t>
      </w:r>
      <w:r>
        <w:rPr>
          <w:rFonts w:cs="宋体"/>
          <w:color w:val="000000" w:themeColor="text1"/>
          <w:kern w:val="2"/>
          <w:szCs w:val="24"/>
          <w14:textFill>
            <w14:solidFill>
              <w14:schemeClr w14:val="tx1"/>
            </w14:solidFill>
          </w14:textFill>
        </w:rPr>
        <w:t>/</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服务类</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□工程类）采用差额定率累进法计算出收费基准价格，采购代理收费以（□收费基准价格</w:t>
      </w:r>
      <w:r>
        <w:rPr>
          <w:rFonts w:cs="宋体"/>
          <w:color w:val="000000" w:themeColor="text1"/>
          <w:kern w:val="2"/>
          <w:szCs w:val="24"/>
          <w14:textFill>
            <w14:solidFill>
              <w14:schemeClr w14:val="tx1"/>
            </w14:solidFill>
          </w14:textFill>
        </w:rPr>
        <w:t>/</w:t>
      </w:r>
      <w:r>
        <w:rPr>
          <w:rFonts w:hint="eastAsia" w:ascii="MS Mincho" w:hAnsi="MS Mincho"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收费基准价格下浮</w:t>
      </w:r>
      <w:r>
        <w:rPr>
          <w:rFonts w:cs="宋体"/>
          <w:color w:val="000000" w:themeColor="text1"/>
          <w:kern w:val="2"/>
          <w:szCs w:val="24"/>
          <w14:textFill>
            <w14:solidFill>
              <w14:schemeClr w14:val="tx1"/>
            </w14:solidFill>
          </w14:textFill>
        </w:rPr>
        <w:t xml:space="preserve"> 20 %/</w:t>
      </w:r>
      <w:r>
        <w:rPr>
          <w:rFonts w:hint="eastAsia" w:cs="宋体"/>
          <w:color w:val="000000" w:themeColor="text1"/>
          <w:kern w:val="2"/>
          <w:szCs w:val="24"/>
          <w14:textFill>
            <w14:solidFill>
              <w14:schemeClr w14:val="tx1"/>
            </w14:solidFill>
          </w14:textFill>
        </w:rPr>
        <w:t>□收费基准价格上浮</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）收取。</w:t>
      </w:r>
    </w:p>
    <w:p w14:paraId="27B81378">
      <w:pPr>
        <w:pStyle w:val="63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□固定采购代理收费。</w:t>
      </w:r>
    </w:p>
    <w:p w14:paraId="1375EB9E">
      <w:pPr>
        <w:pStyle w:val="63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1.3采购代理费收取银行账户</w:t>
      </w:r>
    </w:p>
    <w:p w14:paraId="3A4487A6">
      <w:pPr>
        <w:pStyle w:val="63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开户名称：</w:t>
      </w:r>
      <w:r>
        <w:rPr>
          <w:rFonts w:hint="eastAsia" w:ascii="宋体" w:hAnsi="宋体" w:cs="宋体"/>
          <w:b w:val="0"/>
          <w:bCs/>
          <w:color w:val="auto"/>
          <w:highlight w:val="none"/>
          <w:lang w:eastAsia="zh-CN"/>
        </w:rPr>
        <w:t>北海中桂工程管理咨询有限公司</w:t>
      </w:r>
      <w:r>
        <w:rPr>
          <w:rFonts w:hint="eastAsia" w:cs="宋体"/>
          <w:color w:val="000000" w:themeColor="text1"/>
          <w:kern w:val="2"/>
          <w:szCs w:val="24"/>
          <w14:textFill>
            <w14:solidFill>
              <w14:schemeClr w14:val="tx1"/>
            </w14:solidFill>
          </w14:textFill>
        </w:rPr>
        <w:t xml:space="preserve"> </w:t>
      </w:r>
    </w:p>
    <w:p w14:paraId="3775B023">
      <w:pPr>
        <w:pStyle w:val="63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开户银行：556020100100042363 </w:t>
      </w:r>
    </w:p>
    <w:p w14:paraId="712AFAD7">
      <w:pPr>
        <w:pStyle w:val="63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银行账号：</w:t>
      </w:r>
      <w:r>
        <w:rPr>
          <w:rFonts w:hint="eastAsia" w:ascii="宋体" w:hAnsi="宋体" w:eastAsia="宋体" w:cs="宋体"/>
          <w:b w:val="0"/>
          <w:bCs/>
          <w:color w:val="auto"/>
          <w:highlight w:val="none"/>
        </w:rPr>
        <w:t>兴业银行北海海城科技支行</w:t>
      </w:r>
    </w:p>
    <w:p w14:paraId="26477B6D">
      <w:pPr>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1.4代理服务收费标准：代理服务收费标准：《关于进一步放开建设项目专业服务价格的通知》（发改价格〔2015〕299号），决定全面放开招标代理费，由实行政府指导价管理改为实行市场调节价，</w:t>
      </w:r>
      <w:r>
        <w:rPr>
          <w:rFonts w:hint="eastAsia" w:ascii="宋体" w:hAnsi="宋体" w:cs="宋体"/>
          <w:bCs/>
          <w:color w:val="000000" w:themeColor="text1"/>
          <w:sz w:val="24"/>
          <w:lang w:eastAsia="zh-CN"/>
          <w14:textFill>
            <w14:solidFill>
              <w14:schemeClr w14:val="tx1"/>
            </w14:solidFill>
          </w14:textFill>
        </w:rPr>
        <w:t>收费标准如下：</w:t>
      </w:r>
    </w:p>
    <w:tbl>
      <w:tblPr>
        <w:tblStyle w:val="61"/>
        <w:tblpPr w:leftFromText="180" w:rightFromText="180" w:vertAnchor="text" w:horzAnchor="page" w:tblpX="2017"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944"/>
        <w:gridCol w:w="1944"/>
        <w:gridCol w:w="1944"/>
      </w:tblGrid>
      <w:tr w14:paraId="7652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405" w:type="dxa"/>
            <w:noWrap w:val="0"/>
            <w:vAlign w:val="top"/>
          </w:tcPr>
          <w:p w14:paraId="5170398E">
            <w:pPr>
              <w:ind w:firstLine="1275"/>
              <w:rPr>
                <w:rFonts w:hint="eastAsia" w:ascii="宋体" w:hAnsi="宋体" w:eastAsia="宋体" w:cs="宋体"/>
                <w:b/>
                <w:sz w:val="22"/>
                <w:szCs w:val="28"/>
              </w:rPr>
            </w:pPr>
            <w:r>
              <w:rPr>
                <w:rFonts w:hint="eastAsia" w:ascii="宋体" w:hAnsi="宋体" w:eastAsia="宋体" w:cs="宋体"/>
                <w:sz w:val="21"/>
                <w:szCs w:val="28"/>
              </w:rPr>
              <mc:AlternateContent>
                <mc:Choice Requires="wps">
                  <w:drawing>
                    <wp:anchor distT="0" distB="0" distL="114300" distR="114300" simplePos="0" relativeHeight="251688960" behindDoc="0" locked="0" layoutInCell="1" allowOverlap="1">
                      <wp:simplePos x="0" y="0"/>
                      <wp:positionH relativeFrom="column">
                        <wp:posOffset>427355</wp:posOffset>
                      </wp:positionH>
                      <wp:positionV relativeFrom="paragraph">
                        <wp:posOffset>1270</wp:posOffset>
                      </wp:positionV>
                      <wp:extent cx="1076325" cy="1104265"/>
                      <wp:effectExtent l="3175" t="3175" r="6350" b="16510"/>
                      <wp:wrapNone/>
                      <wp:docPr id="23" name="直接连接符 23"/>
                      <wp:cNvGraphicFramePr/>
                      <a:graphic xmlns:a="http://schemas.openxmlformats.org/drawingml/2006/main">
                        <a:graphicData uri="http://schemas.microsoft.com/office/word/2010/wordprocessingShape">
                          <wps:wsp>
                            <wps:cNvCnPr/>
                            <wps:spPr>
                              <a:xfrm>
                                <a:off x="0" y="0"/>
                                <a:ext cx="1076325" cy="11042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65pt;margin-top:0.1pt;height:86.95pt;width:84.75pt;z-index:251688960;mso-width-relative:page;mso-height-relative:page;" filled="f" stroked="t" coordsize="21600,21600" o:gfxdata="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7px61QAAAAcBAAAPAAAAAAAAAAEAIAAAACIAAABkcnMvZG93bnJldi54bWxQ&#10;SwECFAAUAAAACACHTuJADSGXWf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b/>
                <w:sz w:val="21"/>
                <w:szCs w:val="28"/>
              </w:rPr>
              <mc:AlternateContent>
                <mc:Choice Requires="wps">
                  <w:drawing>
                    <wp:anchor distT="0" distB="0" distL="114300" distR="114300" simplePos="0" relativeHeight="2516869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869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EYcGqHyAQAA4g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b/>
                <w:sz w:val="22"/>
                <w:szCs w:val="28"/>
              </w:rPr>
              <w:t>服</w:t>
            </w:r>
          </w:p>
          <w:p w14:paraId="3C49624D">
            <w:pPr>
              <w:ind w:firstLine="211"/>
              <w:rPr>
                <w:rFonts w:hint="eastAsia" w:ascii="宋体" w:hAnsi="宋体" w:eastAsia="宋体" w:cs="宋体"/>
                <w:b/>
                <w:sz w:val="22"/>
                <w:szCs w:val="28"/>
              </w:rPr>
            </w:pPr>
            <w:r>
              <w:rPr>
                <w:rFonts w:hint="eastAsia" w:ascii="宋体" w:hAnsi="宋体" w:eastAsia="宋体" w:cs="宋体"/>
                <w:b/>
                <w:sz w:val="22"/>
                <w:szCs w:val="28"/>
              </w:rPr>
              <w:t>费　　　　　务</w:t>
            </w:r>
          </w:p>
          <w:p w14:paraId="2F24FCA2">
            <w:pPr>
              <w:ind w:firstLine="1004"/>
              <w:rPr>
                <w:rFonts w:hint="eastAsia" w:ascii="宋体" w:hAnsi="宋体" w:eastAsia="宋体" w:cs="宋体"/>
                <w:b/>
                <w:sz w:val="22"/>
                <w:szCs w:val="28"/>
              </w:rPr>
            </w:pPr>
            <w:r>
              <w:rPr>
                <w:rFonts w:hint="eastAsia" w:ascii="宋体" w:hAnsi="宋体" w:eastAsia="宋体" w:cs="宋体"/>
                <w:sz w:val="22"/>
                <w:szCs w:val="28"/>
              </w:rPr>
              <mc:AlternateContent>
                <mc:Choice Requires="wps">
                  <w:drawing>
                    <wp:anchor distT="0" distB="0" distL="114300" distR="114300" simplePos="0" relativeHeight="251687936" behindDoc="0" locked="0" layoutInCell="1" allowOverlap="1">
                      <wp:simplePos x="0" y="0"/>
                      <wp:positionH relativeFrom="column">
                        <wp:posOffset>-67945</wp:posOffset>
                      </wp:positionH>
                      <wp:positionV relativeFrom="paragraph">
                        <wp:posOffset>168910</wp:posOffset>
                      </wp:positionV>
                      <wp:extent cx="1562100" cy="561340"/>
                      <wp:effectExtent l="1905" t="4445" r="17145" b="5715"/>
                      <wp:wrapNone/>
                      <wp:docPr id="24" name="直接连接符 24"/>
                      <wp:cNvGraphicFramePr/>
                      <a:graphic xmlns:a="http://schemas.openxmlformats.org/drawingml/2006/main">
                        <a:graphicData uri="http://schemas.microsoft.com/office/word/2010/wordprocessingShape">
                          <wps:wsp>
                            <wps:cNvCnPr/>
                            <wps:spPr>
                              <a:xfrm>
                                <a:off x="0" y="0"/>
                                <a:ext cx="1562100" cy="5613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3.3pt;height:44.2pt;width:123pt;z-index:251687936;mso-width-relative:page;mso-height-relative:page;" filled="f" stroked="t" coordsize="21600,21600" o:gfxdata="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vLtYrYAAAACgEAAA8AAAAAAAAAAQAgAAAAIgAAAGRycy9kb3ducmV2&#10;LnhtbFBLAQIUABQAAAAIAIdO4kDBo5fZ/AEAAOsDAAAOAAAAAAAAAAEAIAAAACcBAABkcnMvZTJv&#10;RG9jLnhtbFBLBQYAAAAABgAGAFkBAACVBQAAAAA=&#10;">
                      <v:fill on="f" focussize="0,0"/>
                      <v:stroke color="#000000" joinstyle="round"/>
                      <v:imagedata o:title=""/>
                      <o:lock v:ext="edit" aspectratio="f"/>
                    </v:line>
                  </w:pict>
                </mc:Fallback>
              </mc:AlternateContent>
            </w:r>
            <w:r>
              <w:rPr>
                <w:rFonts w:hint="eastAsia" w:ascii="宋体" w:hAnsi="宋体" w:eastAsia="宋体" w:cs="宋体"/>
                <w:b/>
                <w:sz w:val="22"/>
                <w:szCs w:val="28"/>
              </w:rPr>
              <w:t>　　　类</w:t>
            </w:r>
          </w:p>
          <w:p w14:paraId="292723E0">
            <w:pPr>
              <w:ind w:firstLine="1054"/>
              <w:rPr>
                <w:rFonts w:hint="eastAsia" w:ascii="宋体" w:hAnsi="宋体" w:eastAsia="宋体" w:cs="宋体"/>
                <w:b/>
                <w:sz w:val="22"/>
                <w:szCs w:val="28"/>
              </w:rPr>
            </w:pPr>
            <w:r>
              <w:rPr>
                <w:rFonts w:hint="eastAsia" w:ascii="宋体" w:hAnsi="宋体" w:eastAsia="宋体" w:cs="宋体"/>
                <w:b/>
                <w:sz w:val="22"/>
                <w:szCs w:val="28"/>
              </w:rPr>
              <w:t>率　　　型</w:t>
            </w:r>
          </w:p>
          <w:p w14:paraId="461C4809">
            <w:pPr>
              <w:ind w:firstLine="1054"/>
              <w:rPr>
                <w:rFonts w:hint="eastAsia" w:ascii="宋体" w:hAnsi="宋体" w:eastAsia="宋体" w:cs="宋体"/>
                <w:b/>
                <w:sz w:val="22"/>
                <w:szCs w:val="28"/>
              </w:rPr>
            </w:pPr>
            <w:r>
              <w:rPr>
                <w:rFonts w:hint="eastAsia" w:ascii="宋体" w:hAnsi="宋体" w:eastAsia="宋体" w:cs="宋体"/>
                <w:b/>
                <w:sz w:val="22"/>
                <w:szCs w:val="28"/>
              </w:rPr>
              <w:t>　　　　</w:t>
            </w:r>
          </w:p>
          <w:p w14:paraId="4BE95978">
            <w:pPr>
              <w:rPr>
                <w:rFonts w:hint="eastAsia" w:ascii="宋体" w:hAnsi="宋体" w:eastAsia="宋体" w:cs="宋体"/>
                <w:b/>
                <w:sz w:val="22"/>
                <w:szCs w:val="28"/>
              </w:rPr>
            </w:pPr>
            <w:r>
              <w:rPr>
                <w:rFonts w:hint="eastAsia" w:ascii="宋体" w:hAnsi="宋体" w:eastAsia="宋体" w:cs="宋体"/>
                <w:b/>
                <w:sz w:val="22"/>
                <w:szCs w:val="28"/>
              </w:rPr>
              <w:t>中标金额（万元）</w:t>
            </w:r>
          </w:p>
        </w:tc>
        <w:tc>
          <w:tcPr>
            <w:tcW w:w="1944" w:type="dxa"/>
            <w:noWrap w:val="0"/>
            <w:vAlign w:val="center"/>
          </w:tcPr>
          <w:p w14:paraId="055323A4">
            <w:pPr>
              <w:jc w:val="center"/>
              <w:rPr>
                <w:rFonts w:hint="eastAsia" w:ascii="宋体" w:hAnsi="宋体" w:eastAsia="宋体" w:cs="宋体"/>
                <w:b/>
                <w:sz w:val="22"/>
                <w:szCs w:val="28"/>
              </w:rPr>
            </w:pPr>
            <w:r>
              <w:rPr>
                <w:rFonts w:hint="eastAsia" w:ascii="宋体" w:hAnsi="宋体" w:eastAsia="宋体" w:cs="宋体"/>
                <w:b/>
                <w:sz w:val="22"/>
                <w:szCs w:val="28"/>
              </w:rPr>
              <w:t>货物招标</w:t>
            </w:r>
          </w:p>
        </w:tc>
        <w:tc>
          <w:tcPr>
            <w:tcW w:w="1944" w:type="dxa"/>
            <w:noWrap w:val="0"/>
            <w:vAlign w:val="center"/>
          </w:tcPr>
          <w:p w14:paraId="6BBB1642">
            <w:pPr>
              <w:jc w:val="center"/>
              <w:rPr>
                <w:rFonts w:hint="eastAsia" w:ascii="宋体" w:hAnsi="宋体" w:eastAsia="宋体" w:cs="宋体"/>
                <w:b/>
                <w:sz w:val="22"/>
                <w:szCs w:val="28"/>
              </w:rPr>
            </w:pPr>
            <w:r>
              <w:rPr>
                <w:rFonts w:hint="eastAsia" w:ascii="宋体" w:hAnsi="宋体" w:eastAsia="宋体" w:cs="宋体"/>
                <w:b/>
                <w:sz w:val="22"/>
                <w:szCs w:val="28"/>
              </w:rPr>
              <w:t>服务招标</w:t>
            </w:r>
          </w:p>
        </w:tc>
        <w:tc>
          <w:tcPr>
            <w:tcW w:w="1944" w:type="dxa"/>
            <w:noWrap w:val="0"/>
            <w:vAlign w:val="center"/>
          </w:tcPr>
          <w:p w14:paraId="36284456">
            <w:pPr>
              <w:jc w:val="center"/>
              <w:rPr>
                <w:rFonts w:hint="eastAsia" w:ascii="宋体" w:hAnsi="宋体" w:eastAsia="宋体" w:cs="宋体"/>
                <w:b/>
                <w:sz w:val="22"/>
                <w:szCs w:val="28"/>
              </w:rPr>
            </w:pPr>
            <w:r>
              <w:rPr>
                <w:rFonts w:hint="eastAsia" w:ascii="宋体" w:hAnsi="宋体" w:eastAsia="宋体" w:cs="宋体"/>
                <w:b/>
                <w:sz w:val="22"/>
                <w:szCs w:val="28"/>
              </w:rPr>
              <w:t>工程招标</w:t>
            </w:r>
          </w:p>
        </w:tc>
      </w:tr>
      <w:tr w14:paraId="29C9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05" w:type="dxa"/>
            <w:noWrap w:val="0"/>
            <w:vAlign w:val="top"/>
          </w:tcPr>
          <w:p w14:paraId="329AFDD5">
            <w:pPr>
              <w:jc w:val="center"/>
              <w:rPr>
                <w:rFonts w:hint="eastAsia" w:ascii="宋体" w:hAnsi="宋体" w:eastAsia="宋体" w:cs="宋体"/>
                <w:sz w:val="22"/>
                <w:szCs w:val="28"/>
              </w:rPr>
            </w:pPr>
            <w:r>
              <w:rPr>
                <w:rFonts w:hint="eastAsia" w:ascii="宋体" w:hAnsi="宋体" w:eastAsia="宋体" w:cs="宋体"/>
                <w:sz w:val="22"/>
                <w:szCs w:val="28"/>
              </w:rPr>
              <w:t>100以下</w:t>
            </w:r>
          </w:p>
        </w:tc>
        <w:tc>
          <w:tcPr>
            <w:tcW w:w="1944" w:type="dxa"/>
            <w:noWrap w:val="0"/>
            <w:vAlign w:val="top"/>
          </w:tcPr>
          <w:p w14:paraId="7A8CB964">
            <w:pPr>
              <w:jc w:val="center"/>
              <w:rPr>
                <w:rFonts w:hint="eastAsia" w:ascii="宋体" w:hAnsi="宋体" w:eastAsia="宋体" w:cs="宋体"/>
                <w:sz w:val="22"/>
                <w:szCs w:val="28"/>
              </w:rPr>
            </w:pPr>
            <w:r>
              <w:rPr>
                <w:rFonts w:hint="eastAsia" w:ascii="宋体" w:hAnsi="宋体" w:eastAsia="宋体" w:cs="宋体"/>
                <w:sz w:val="22"/>
                <w:szCs w:val="28"/>
              </w:rPr>
              <w:t>1.5%</w:t>
            </w:r>
          </w:p>
        </w:tc>
        <w:tc>
          <w:tcPr>
            <w:tcW w:w="1944" w:type="dxa"/>
            <w:noWrap w:val="0"/>
            <w:vAlign w:val="top"/>
          </w:tcPr>
          <w:p w14:paraId="0F9CD58C">
            <w:pPr>
              <w:jc w:val="center"/>
              <w:rPr>
                <w:rFonts w:hint="eastAsia" w:ascii="宋体" w:hAnsi="宋体" w:eastAsia="宋体" w:cs="宋体"/>
                <w:sz w:val="22"/>
                <w:szCs w:val="28"/>
              </w:rPr>
            </w:pPr>
            <w:r>
              <w:rPr>
                <w:rFonts w:hint="eastAsia" w:ascii="宋体" w:hAnsi="宋体" w:eastAsia="宋体" w:cs="宋体"/>
                <w:sz w:val="22"/>
                <w:szCs w:val="28"/>
              </w:rPr>
              <w:t>1.5%</w:t>
            </w:r>
          </w:p>
        </w:tc>
        <w:tc>
          <w:tcPr>
            <w:tcW w:w="1944" w:type="dxa"/>
            <w:noWrap w:val="0"/>
            <w:vAlign w:val="top"/>
          </w:tcPr>
          <w:p w14:paraId="514DD9FC">
            <w:pPr>
              <w:jc w:val="center"/>
              <w:rPr>
                <w:rFonts w:hint="eastAsia" w:ascii="宋体" w:hAnsi="宋体" w:eastAsia="宋体" w:cs="宋体"/>
                <w:sz w:val="22"/>
                <w:szCs w:val="28"/>
              </w:rPr>
            </w:pPr>
            <w:r>
              <w:rPr>
                <w:rFonts w:hint="eastAsia" w:ascii="宋体" w:hAnsi="宋体" w:eastAsia="宋体" w:cs="宋体"/>
                <w:sz w:val="22"/>
                <w:szCs w:val="28"/>
              </w:rPr>
              <w:t>1.0%</w:t>
            </w:r>
          </w:p>
        </w:tc>
      </w:tr>
      <w:tr w14:paraId="6529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05" w:type="dxa"/>
            <w:noWrap w:val="0"/>
            <w:vAlign w:val="top"/>
          </w:tcPr>
          <w:p w14:paraId="0D599AA0">
            <w:pPr>
              <w:jc w:val="center"/>
              <w:rPr>
                <w:rFonts w:hint="eastAsia" w:ascii="宋体" w:hAnsi="宋体" w:eastAsia="宋体" w:cs="宋体"/>
                <w:sz w:val="22"/>
                <w:szCs w:val="28"/>
              </w:rPr>
            </w:pPr>
            <w:r>
              <w:rPr>
                <w:rFonts w:hint="eastAsia" w:ascii="宋体" w:hAnsi="宋体" w:eastAsia="宋体" w:cs="宋体"/>
                <w:sz w:val="22"/>
                <w:szCs w:val="28"/>
              </w:rPr>
              <w:t>100-500</w:t>
            </w:r>
          </w:p>
        </w:tc>
        <w:tc>
          <w:tcPr>
            <w:tcW w:w="1944" w:type="dxa"/>
            <w:noWrap w:val="0"/>
            <w:vAlign w:val="top"/>
          </w:tcPr>
          <w:p w14:paraId="4C73FB3F">
            <w:pPr>
              <w:jc w:val="center"/>
              <w:rPr>
                <w:rFonts w:hint="eastAsia" w:ascii="宋体" w:hAnsi="宋体" w:eastAsia="宋体" w:cs="宋体"/>
                <w:sz w:val="22"/>
                <w:szCs w:val="28"/>
              </w:rPr>
            </w:pPr>
            <w:r>
              <w:rPr>
                <w:rFonts w:hint="eastAsia" w:ascii="宋体" w:hAnsi="宋体" w:eastAsia="宋体" w:cs="宋体"/>
                <w:sz w:val="22"/>
                <w:szCs w:val="28"/>
              </w:rPr>
              <w:t>1.1%</w:t>
            </w:r>
          </w:p>
        </w:tc>
        <w:tc>
          <w:tcPr>
            <w:tcW w:w="1944" w:type="dxa"/>
            <w:noWrap w:val="0"/>
            <w:vAlign w:val="top"/>
          </w:tcPr>
          <w:p w14:paraId="2D734B93">
            <w:pPr>
              <w:jc w:val="center"/>
              <w:rPr>
                <w:rFonts w:hint="eastAsia" w:ascii="宋体" w:hAnsi="宋体" w:eastAsia="宋体" w:cs="宋体"/>
                <w:sz w:val="22"/>
                <w:szCs w:val="28"/>
              </w:rPr>
            </w:pPr>
            <w:r>
              <w:rPr>
                <w:rFonts w:hint="eastAsia" w:ascii="宋体" w:hAnsi="宋体" w:eastAsia="宋体" w:cs="宋体"/>
                <w:sz w:val="22"/>
                <w:szCs w:val="28"/>
              </w:rPr>
              <w:t>0.8%</w:t>
            </w:r>
          </w:p>
        </w:tc>
        <w:tc>
          <w:tcPr>
            <w:tcW w:w="1944" w:type="dxa"/>
            <w:noWrap w:val="0"/>
            <w:vAlign w:val="top"/>
          </w:tcPr>
          <w:p w14:paraId="24FD6175">
            <w:pPr>
              <w:jc w:val="center"/>
              <w:rPr>
                <w:rFonts w:hint="eastAsia" w:ascii="宋体" w:hAnsi="宋体" w:eastAsia="宋体" w:cs="宋体"/>
                <w:sz w:val="22"/>
                <w:szCs w:val="28"/>
              </w:rPr>
            </w:pPr>
            <w:r>
              <w:rPr>
                <w:rFonts w:hint="eastAsia" w:ascii="宋体" w:hAnsi="宋体" w:eastAsia="宋体" w:cs="宋体"/>
                <w:sz w:val="22"/>
                <w:szCs w:val="28"/>
              </w:rPr>
              <w:t>0.7%</w:t>
            </w:r>
          </w:p>
        </w:tc>
      </w:tr>
      <w:tr w14:paraId="1D48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05" w:type="dxa"/>
            <w:noWrap w:val="0"/>
            <w:vAlign w:val="top"/>
          </w:tcPr>
          <w:p w14:paraId="29F95890">
            <w:pPr>
              <w:jc w:val="center"/>
              <w:rPr>
                <w:rFonts w:hint="eastAsia" w:ascii="宋体" w:hAnsi="宋体" w:eastAsia="宋体" w:cs="宋体"/>
                <w:sz w:val="22"/>
                <w:szCs w:val="28"/>
              </w:rPr>
            </w:pPr>
            <w:r>
              <w:rPr>
                <w:rFonts w:hint="eastAsia" w:ascii="宋体" w:hAnsi="宋体" w:eastAsia="宋体" w:cs="宋体"/>
                <w:sz w:val="22"/>
                <w:szCs w:val="28"/>
              </w:rPr>
              <w:t>500-1000</w:t>
            </w:r>
          </w:p>
        </w:tc>
        <w:tc>
          <w:tcPr>
            <w:tcW w:w="1944" w:type="dxa"/>
            <w:noWrap w:val="0"/>
            <w:vAlign w:val="top"/>
          </w:tcPr>
          <w:p w14:paraId="1DEAD31D">
            <w:pPr>
              <w:jc w:val="center"/>
              <w:rPr>
                <w:rFonts w:hint="eastAsia" w:ascii="宋体" w:hAnsi="宋体" w:eastAsia="宋体" w:cs="宋体"/>
                <w:sz w:val="22"/>
                <w:szCs w:val="28"/>
              </w:rPr>
            </w:pPr>
            <w:r>
              <w:rPr>
                <w:rFonts w:hint="eastAsia" w:ascii="宋体" w:hAnsi="宋体" w:eastAsia="宋体" w:cs="宋体"/>
                <w:sz w:val="22"/>
                <w:szCs w:val="28"/>
              </w:rPr>
              <w:t>0.8%</w:t>
            </w:r>
          </w:p>
        </w:tc>
        <w:tc>
          <w:tcPr>
            <w:tcW w:w="1944" w:type="dxa"/>
            <w:noWrap w:val="0"/>
            <w:vAlign w:val="top"/>
          </w:tcPr>
          <w:p w14:paraId="3B327A3F">
            <w:pPr>
              <w:jc w:val="center"/>
              <w:rPr>
                <w:rFonts w:hint="eastAsia" w:ascii="宋体" w:hAnsi="宋体" w:eastAsia="宋体" w:cs="宋体"/>
                <w:sz w:val="22"/>
                <w:szCs w:val="28"/>
              </w:rPr>
            </w:pPr>
            <w:r>
              <w:rPr>
                <w:rFonts w:hint="eastAsia" w:ascii="宋体" w:hAnsi="宋体" w:eastAsia="宋体" w:cs="宋体"/>
                <w:sz w:val="22"/>
                <w:szCs w:val="28"/>
              </w:rPr>
              <w:t>0.45%</w:t>
            </w:r>
          </w:p>
        </w:tc>
        <w:tc>
          <w:tcPr>
            <w:tcW w:w="1944" w:type="dxa"/>
            <w:noWrap w:val="0"/>
            <w:vAlign w:val="top"/>
          </w:tcPr>
          <w:p w14:paraId="0B7B3D78">
            <w:pPr>
              <w:jc w:val="center"/>
              <w:rPr>
                <w:rFonts w:hint="eastAsia" w:ascii="宋体" w:hAnsi="宋体" w:eastAsia="宋体" w:cs="宋体"/>
                <w:sz w:val="22"/>
                <w:szCs w:val="28"/>
              </w:rPr>
            </w:pPr>
            <w:r>
              <w:rPr>
                <w:rFonts w:hint="eastAsia" w:ascii="宋体" w:hAnsi="宋体" w:eastAsia="宋体" w:cs="宋体"/>
                <w:sz w:val="22"/>
                <w:szCs w:val="28"/>
              </w:rPr>
              <w:t>0.55%</w:t>
            </w:r>
          </w:p>
        </w:tc>
      </w:tr>
      <w:tr w14:paraId="7F8B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05" w:type="dxa"/>
            <w:noWrap w:val="0"/>
            <w:vAlign w:val="top"/>
          </w:tcPr>
          <w:p w14:paraId="6D8D5F41">
            <w:pPr>
              <w:jc w:val="center"/>
              <w:rPr>
                <w:rFonts w:hint="eastAsia" w:ascii="宋体" w:hAnsi="宋体" w:eastAsia="宋体" w:cs="宋体"/>
                <w:sz w:val="22"/>
                <w:szCs w:val="28"/>
              </w:rPr>
            </w:pPr>
            <w:r>
              <w:rPr>
                <w:rFonts w:hint="eastAsia" w:ascii="宋体" w:hAnsi="宋体" w:eastAsia="宋体" w:cs="宋体"/>
                <w:sz w:val="22"/>
                <w:szCs w:val="28"/>
              </w:rPr>
              <w:t>1000-5000</w:t>
            </w:r>
          </w:p>
        </w:tc>
        <w:tc>
          <w:tcPr>
            <w:tcW w:w="1944" w:type="dxa"/>
            <w:noWrap w:val="0"/>
            <w:vAlign w:val="top"/>
          </w:tcPr>
          <w:p w14:paraId="08E4F65F">
            <w:pPr>
              <w:jc w:val="center"/>
              <w:rPr>
                <w:rFonts w:hint="eastAsia" w:ascii="宋体" w:hAnsi="宋体" w:eastAsia="宋体" w:cs="宋体"/>
                <w:sz w:val="22"/>
                <w:szCs w:val="28"/>
              </w:rPr>
            </w:pPr>
            <w:r>
              <w:rPr>
                <w:rFonts w:hint="eastAsia" w:ascii="宋体" w:hAnsi="宋体" w:eastAsia="宋体" w:cs="宋体"/>
                <w:sz w:val="22"/>
                <w:szCs w:val="28"/>
              </w:rPr>
              <w:t>0.5%</w:t>
            </w:r>
          </w:p>
        </w:tc>
        <w:tc>
          <w:tcPr>
            <w:tcW w:w="1944" w:type="dxa"/>
            <w:noWrap w:val="0"/>
            <w:vAlign w:val="top"/>
          </w:tcPr>
          <w:p w14:paraId="043120D7">
            <w:pPr>
              <w:jc w:val="center"/>
              <w:rPr>
                <w:rFonts w:hint="eastAsia" w:ascii="宋体" w:hAnsi="宋体" w:eastAsia="宋体" w:cs="宋体"/>
                <w:sz w:val="22"/>
                <w:szCs w:val="28"/>
              </w:rPr>
            </w:pPr>
            <w:r>
              <w:rPr>
                <w:rFonts w:hint="eastAsia" w:ascii="宋体" w:hAnsi="宋体" w:eastAsia="宋体" w:cs="宋体"/>
                <w:sz w:val="22"/>
                <w:szCs w:val="28"/>
              </w:rPr>
              <w:t>0.25%</w:t>
            </w:r>
          </w:p>
        </w:tc>
        <w:tc>
          <w:tcPr>
            <w:tcW w:w="1944" w:type="dxa"/>
            <w:noWrap w:val="0"/>
            <w:vAlign w:val="top"/>
          </w:tcPr>
          <w:p w14:paraId="1314389C">
            <w:pPr>
              <w:jc w:val="center"/>
              <w:rPr>
                <w:rFonts w:hint="eastAsia" w:ascii="宋体" w:hAnsi="宋体" w:eastAsia="宋体" w:cs="宋体"/>
                <w:sz w:val="22"/>
                <w:szCs w:val="28"/>
              </w:rPr>
            </w:pPr>
            <w:r>
              <w:rPr>
                <w:rFonts w:hint="eastAsia" w:ascii="宋体" w:hAnsi="宋体" w:eastAsia="宋体" w:cs="宋体"/>
                <w:sz w:val="22"/>
                <w:szCs w:val="28"/>
              </w:rPr>
              <w:t>0.35%</w:t>
            </w:r>
          </w:p>
        </w:tc>
      </w:tr>
      <w:tr w14:paraId="531F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05" w:type="dxa"/>
            <w:noWrap w:val="0"/>
            <w:vAlign w:val="top"/>
          </w:tcPr>
          <w:p w14:paraId="590C14D0">
            <w:pPr>
              <w:jc w:val="center"/>
              <w:rPr>
                <w:rFonts w:hint="eastAsia" w:ascii="宋体" w:hAnsi="宋体" w:eastAsia="宋体" w:cs="宋体"/>
                <w:sz w:val="22"/>
                <w:szCs w:val="28"/>
              </w:rPr>
            </w:pPr>
            <w:r>
              <w:rPr>
                <w:rFonts w:hint="eastAsia" w:ascii="宋体" w:hAnsi="宋体" w:eastAsia="宋体" w:cs="宋体"/>
                <w:sz w:val="22"/>
                <w:szCs w:val="28"/>
              </w:rPr>
              <w:t>5000-10000</w:t>
            </w:r>
          </w:p>
        </w:tc>
        <w:tc>
          <w:tcPr>
            <w:tcW w:w="1944" w:type="dxa"/>
            <w:noWrap w:val="0"/>
            <w:vAlign w:val="top"/>
          </w:tcPr>
          <w:p w14:paraId="1039AD94">
            <w:pPr>
              <w:jc w:val="center"/>
              <w:rPr>
                <w:rFonts w:hint="eastAsia" w:ascii="宋体" w:hAnsi="宋体" w:eastAsia="宋体" w:cs="宋体"/>
                <w:sz w:val="22"/>
                <w:szCs w:val="28"/>
              </w:rPr>
            </w:pPr>
            <w:r>
              <w:rPr>
                <w:rFonts w:hint="eastAsia" w:ascii="宋体" w:hAnsi="宋体" w:eastAsia="宋体" w:cs="宋体"/>
                <w:sz w:val="22"/>
                <w:szCs w:val="28"/>
              </w:rPr>
              <w:t>0.25%</w:t>
            </w:r>
          </w:p>
        </w:tc>
        <w:tc>
          <w:tcPr>
            <w:tcW w:w="1944" w:type="dxa"/>
            <w:noWrap w:val="0"/>
            <w:vAlign w:val="top"/>
          </w:tcPr>
          <w:p w14:paraId="578C5BDF">
            <w:pPr>
              <w:jc w:val="center"/>
              <w:rPr>
                <w:rFonts w:hint="eastAsia" w:ascii="宋体" w:hAnsi="宋体" w:eastAsia="宋体" w:cs="宋体"/>
                <w:sz w:val="22"/>
                <w:szCs w:val="28"/>
              </w:rPr>
            </w:pPr>
            <w:r>
              <w:rPr>
                <w:rFonts w:hint="eastAsia" w:ascii="宋体" w:hAnsi="宋体" w:eastAsia="宋体" w:cs="宋体"/>
                <w:sz w:val="22"/>
                <w:szCs w:val="28"/>
              </w:rPr>
              <w:t>0.1%</w:t>
            </w:r>
          </w:p>
        </w:tc>
        <w:tc>
          <w:tcPr>
            <w:tcW w:w="1944" w:type="dxa"/>
            <w:noWrap w:val="0"/>
            <w:vAlign w:val="top"/>
          </w:tcPr>
          <w:p w14:paraId="0D914B52">
            <w:pPr>
              <w:jc w:val="center"/>
              <w:rPr>
                <w:rFonts w:hint="eastAsia" w:ascii="宋体" w:hAnsi="宋体" w:eastAsia="宋体" w:cs="宋体"/>
                <w:sz w:val="22"/>
                <w:szCs w:val="28"/>
              </w:rPr>
            </w:pPr>
            <w:r>
              <w:rPr>
                <w:rFonts w:hint="eastAsia" w:ascii="宋体" w:hAnsi="宋体" w:eastAsia="宋体" w:cs="宋体"/>
                <w:sz w:val="22"/>
                <w:szCs w:val="28"/>
              </w:rPr>
              <w:t>0.2%</w:t>
            </w:r>
          </w:p>
        </w:tc>
      </w:tr>
      <w:tr w14:paraId="79FF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05" w:type="dxa"/>
            <w:noWrap w:val="0"/>
            <w:vAlign w:val="top"/>
          </w:tcPr>
          <w:p w14:paraId="0320C1AF">
            <w:pPr>
              <w:jc w:val="center"/>
              <w:rPr>
                <w:rFonts w:hint="eastAsia" w:ascii="宋体" w:hAnsi="宋体" w:eastAsia="宋体" w:cs="宋体"/>
                <w:sz w:val="22"/>
                <w:szCs w:val="28"/>
              </w:rPr>
            </w:pPr>
            <w:r>
              <w:rPr>
                <w:rFonts w:hint="eastAsia" w:ascii="宋体" w:hAnsi="宋体" w:eastAsia="宋体" w:cs="宋体"/>
                <w:sz w:val="22"/>
                <w:szCs w:val="28"/>
              </w:rPr>
              <w:t>10000-100000</w:t>
            </w:r>
          </w:p>
        </w:tc>
        <w:tc>
          <w:tcPr>
            <w:tcW w:w="1944" w:type="dxa"/>
            <w:noWrap w:val="0"/>
            <w:vAlign w:val="top"/>
          </w:tcPr>
          <w:p w14:paraId="18D096A3">
            <w:pPr>
              <w:jc w:val="center"/>
              <w:rPr>
                <w:rFonts w:hint="eastAsia" w:ascii="宋体" w:hAnsi="宋体" w:eastAsia="宋体" w:cs="宋体"/>
                <w:sz w:val="22"/>
                <w:szCs w:val="28"/>
              </w:rPr>
            </w:pPr>
            <w:r>
              <w:rPr>
                <w:rFonts w:hint="eastAsia" w:ascii="宋体" w:hAnsi="宋体" w:eastAsia="宋体" w:cs="宋体"/>
                <w:sz w:val="22"/>
                <w:szCs w:val="28"/>
              </w:rPr>
              <w:t>0.05%</w:t>
            </w:r>
          </w:p>
        </w:tc>
        <w:tc>
          <w:tcPr>
            <w:tcW w:w="1944" w:type="dxa"/>
            <w:noWrap w:val="0"/>
            <w:vAlign w:val="top"/>
          </w:tcPr>
          <w:p w14:paraId="27588DFF">
            <w:pPr>
              <w:jc w:val="center"/>
              <w:rPr>
                <w:rFonts w:hint="eastAsia" w:ascii="宋体" w:hAnsi="宋体" w:eastAsia="宋体" w:cs="宋体"/>
                <w:sz w:val="22"/>
                <w:szCs w:val="28"/>
              </w:rPr>
            </w:pPr>
            <w:r>
              <w:rPr>
                <w:rFonts w:hint="eastAsia" w:ascii="宋体" w:hAnsi="宋体" w:eastAsia="宋体" w:cs="宋体"/>
                <w:sz w:val="22"/>
                <w:szCs w:val="28"/>
              </w:rPr>
              <w:t>0.05%</w:t>
            </w:r>
          </w:p>
        </w:tc>
        <w:tc>
          <w:tcPr>
            <w:tcW w:w="1944" w:type="dxa"/>
            <w:noWrap w:val="0"/>
            <w:vAlign w:val="top"/>
          </w:tcPr>
          <w:p w14:paraId="5E032AB3">
            <w:pPr>
              <w:jc w:val="center"/>
              <w:rPr>
                <w:rFonts w:hint="eastAsia" w:ascii="宋体" w:hAnsi="宋体" w:eastAsia="宋体" w:cs="宋体"/>
                <w:sz w:val="22"/>
                <w:szCs w:val="28"/>
              </w:rPr>
            </w:pPr>
            <w:r>
              <w:rPr>
                <w:rFonts w:hint="eastAsia" w:ascii="宋体" w:hAnsi="宋体" w:eastAsia="宋体" w:cs="宋体"/>
                <w:sz w:val="22"/>
                <w:szCs w:val="28"/>
              </w:rPr>
              <w:t>0.05%</w:t>
            </w:r>
          </w:p>
        </w:tc>
      </w:tr>
      <w:tr w14:paraId="1BBC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noWrap w:val="0"/>
            <w:vAlign w:val="top"/>
          </w:tcPr>
          <w:p w14:paraId="669E98A3">
            <w:pPr>
              <w:jc w:val="center"/>
              <w:rPr>
                <w:rFonts w:hint="eastAsia" w:ascii="宋体" w:hAnsi="宋体" w:eastAsia="宋体" w:cs="宋体"/>
                <w:sz w:val="22"/>
                <w:szCs w:val="28"/>
              </w:rPr>
            </w:pPr>
            <w:r>
              <w:rPr>
                <w:rFonts w:hint="eastAsia" w:ascii="宋体" w:hAnsi="宋体" w:eastAsia="宋体" w:cs="宋体"/>
                <w:sz w:val="22"/>
                <w:szCs w:val="28"/>
              </w:rPr>
              <w:t>1000000以上</w:t>
            </w:r>
          </w:p>
        </w:tc>
        <w:tc>
          <w:tcPr>
            <w:tcW w:w="1944" w:type="dxa"/>
            <w:noWrap w:val="0"/>
            <w:vAlign w:val="top"/>
          </w:tcPr>
          <w:p w14:paraId="542E7B7A">
            <w:pPr>
              <w:jc w:val="center"/>
              <w:rPr>
                <w:rFonts w:hint="eastAsia" w:ascii="宋体" w:hAnsi="宋体" w:eastAsia="宋体" w:cs="宋体"/>
                <w:sz w:val="22"/>
                <w:szCs w:val="28"/>
              </w:rPr>
            </w:pPr>
            <w:r>
              <w:rPr>
                <w:rFonts w:hint="eastAsia" w:ascii="宋体" w:hAnsi="宋体" w:eastAsia="宋体" w:cs="宋体"/>
                <w:sz w:val="22"/>
                <w:szCs w:val="28"/>
              </w:rPr>
              <w:t>0.01%</w:t>
            </w:r>
          </w:p>
        </w:tc>
        <w:tc>
          <w:tcPr>
            <w:tcW w:w="1944" w:type="dxa"/>
            <w:noWrap w:val="0"/>
            <w:vAlign w:val="top"/>
          </w:tcPr>
          <w:p w14:paraId="2D0B5AEB">
            <w:pPr>
              <w:jc w:val="center"/>
              <w:rPr>
                <w:rFonts w:hint="eastAsia" w:ascii="宋体" w:hAnsi="宋体" w:eastAsia="宋体" w:cs="宋体"/>
                <w:sz w:val="22"/>
                <w:szCs w:val="28"/>
              </w:rPr>
            </w:pPr>
            <w:r>
              <w:rPr>
                <w:rFonts w:hint="eastAsia" w:ascii="宋体" w:hAnsi="宋体" w:eastAsia="宋体" w:cs="宋体"/>
                <w:sz w:val="22"/>
                <w:szCs w:val="28"/>
              </w:rPr>
              <w:t>0.01%</w:t>
            </w:r>
          </w:p>
        </w:tc>
        <w:tc>
          <w:tcPr>
            <w:tcW w:w="1944" w:type="dxa"/>
            <w:noWrap w:val="0"/>
            <w:vAlign w:val="top"/>
          </w:tcPr>
          <w:p w14:paraId="0A5452A8">
            <w:pPr>
              <w:jc w:val="center"/>
              <w:rPr>
                <w:rFonts w:hint="eastAsia" w:ascii="宋体" w:hAnsi="宋体" w:eastAsia="宋体" w:cs="宋体"/>
                <w:sz w:val="22"/>
                <w:szCs w:val="28"/>
              </w:rPr>
            </w:pPr>
            <w:r>
              <w:rPr>
                <w:rFonts w:hint="eastAsia" w:ascii="宋体" w:hAnsi="宋体" w:eastAsia="宋体" w:cs="宋体"/>
                <w:sz w:val="22"/>
                <w:szCs w:val="28"/>
              </w:rPr>
              <w:t>0.01%</w:t>
            </w:r>
          </w:p>
        </w:tc>
      </w:tr>
    </w:tbl>
    <w:p w14:paraId="20074550">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14:paraId="5C70518B">
      <w:pPr>
        <w:numPr>
          <w:ilvl w:val="0"/>
          <w:numId w:val="8"/>
        </w:num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bookmarkStart w:id="58" w:name="_Toc181203097"/>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w:t>
      </w:r>
      <w:bookmarkStart w:id="59" w:name="_Toc22602"/>
      <w:r>
        <w:rPr>
          <w:rFonts w:hint="eastAsia" w:cs="仿宋_GB2312" w:asciiTheme="minorEastAsia" w:hAnsiTheme="minorEastAsia" w:eastAsiaTheme="minorEastAsia"/>
          <w:b/>
          <w:color w:val="000000" w:themeColor="text1"/>
          <w:sz w:val="36"/>
          <w:szCs w:val="36"/>
          <w14:textFill>
            <w14:solidFill>
              <w14:schemeClr w14:val="tx1"/>
            </w14:solidFill>
          </w14:textFill>
        </w:rPr>
        <w:t>采购需求</w:t>
      </w:r>
      <w:bookmarkEnd w:id="58"/>
      <w:bookmarkEnd w:id="59"/>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622"/>
        <w:gridCol w:w="6937"/>
      </w:tblGrid>
      <w:tr w14:paraId="4020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86" w:type="dxa"/>
            <w:gridSpan w:val="3"/>
          </w:tcPr>
          <w:p w14:paraId="7BB74009">
            <w:pPr>
              <w:widowControl/>
              <w:jc w:val="left"/>
              <w:rPr>
                <w:rFonts w:ascii="宋体" w:hAnsi="宋体" w:cs="宋体"/>
                <w:b/>
                <w:color w:val="000000"/>
                <w:kern w:val="0"/>
                <w:sz w:val="24"/>
                <w:lang w:bidi="ar"/>
              </w:rPr>
            </w:pPr>
            <w:bookmarkStart w:id="60" w:name="_Toc20975"/>
            <w:r>
              <w:rPr>
                <w:rFonts w:hint="eastAsia" w:ascii="宋体" w:hAnsi="宋体" w:cs="宋体"/>
                <w:b/>
                <w:color w:val="000000"/>
                <w:kern w:val="0"/>
                <w:sz w:val="24"/>
                <w:lang w:bidi="ar"/>
              </w:rPr>
              <w:t xml:space="preserve">一、项目要求及技术需求 </w:t>
            </w:r>
          </w:p>
        </w:tc>
      </w:tr>
      <w:tr w14:paraId="6AAB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7" w:type="dxa"/>
          </w:tcPr>
          <w:p w14:paraId="3A70ADF3">
            <w:pPr>
              <w:widowControl/>
              <w:jc w:val="left"/>
              <w:rPr>
                <w:rFonts w:ascii="宋体" w:cs="宋体"/>
                <w:b/>
                <w:bCs/>
                <w:kern w:val="0"/>
                <w:sz w:val="24"/>
                <w:lang w:val="zh-CN"/>
              </w:rPr>
            </w:pPr>
            <w:r>
              <w:rPr>
                <w:rFonts w:hint="eastAsia" w:ascii="宋体" w:hAnsi="宋体" w:cs="宋体"/>
                <w:b/>
                <w:color w:val="000000"/>
                <w:kern w:val="0"/>
                <w:sz w:val="24"/>
                <w:lang w:bidi="ar"/>
              </w:rPr>
              <w:t xml:space="preserve">项号 </w:t>
            </w:r>
          </w:p>
        </w:tc>
        <w:tc>
          <w:tcPr>
            <w:tcW w:w="1622" w:type="dxa"/>
          </w:tcPr>
          <w:p w14:paraId="0FCE213E">
            <w:pPr>
              <w:widowControl/>
              <w:jc w:val="left"/>
              <w:rPr>
                <w:rFonts w:ascii="宋体" w:cs="宋体"/>
                <w:b/>
                <w:bCs/>
                <w:kern w:val="0"/>
                <w:sz w:val="24"/>
                <w:lang w:val="zh-CN"/>
              </w:rPr>
            </w:pPr>
            <w:r>
              <w:rPr>
                <w:rFonts w:hint="eastAsia" w:ascii="宋体" w:hAnsi="宋体" w:cs="宋体"/>
                <w:b/>
                <w:color w:val="000000"/>
                <w:kern w:val="0"/>
                <w:sz w:val="24"/>
                <w:lang w:bidi="ar"/>
              </w:rPr>
              <w:t>采购标的内容</w:t>
            </w:r>
          </w:p>
        </w:tc>
        <w:tc>
          <w:tcPr>
            <w:tcW w:w="6937" w:type="dxa"/>
          </w:tcPr>
          <w:p w14:paraId="71DDF274">
            <w:pPr>
              <w:widowControl/>
              <w:jc w:val="left"/>
              <w:rPr>
                <w:rFonts w:ascii="宋体" w:cs="宋体"/>
                <w:b/>
                <w:bCs/>
                <w:kern w:val="0"/>
                <w:sz w:val="24"/>
                <w:lang w:val="zh-CN"/>
              </w:rPr>
            </w:pPr>
            <w:r>
              <w:rPr>
                <w:rFonts w:hint="eastAsia" w:ascii="宋体" w:hAnsi="宋体" w:cs="宋体"/>
                <w:b/>
                <w:color w:val="000000"/>
                <w:kern w:val="0"/>
                <w:sz w:val="24"/>
                <w:lang w:bidi="ar"/>
              </w:rPr>
              <w:t xml:space="preserve">项目需要及技术需求 </w:t>
            </w:r>
          </w:p>
        </w:tc>
      </w:tr>
      <w:tr w14:paraId="5912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14:paraId="49127857">
            <w:pPr>
              <w:autoSpaceDE w:val="0"/>
              <w:autoSpaceDN w:val="0"/>
              <w:adjustRightInd w:val="0"/>
              <w:jc w:val="center"/>
              <w:outlineLvl w:val="1"/>
              <w:rPr>
                <w:rFonts w:ascii="宋体" w:cs="宋体"/>
                <w:b/>
                <w:bCs/>
                <w:kern w:val="0"/>
                <w:sz w:val="24"/>
              </w:rPr>
            </w:pPr>
          </w:p>
          <w:p w14:paraId="649F6B7C">
            <w:pPr>
              <w:autoSpaceDE w:val="0"/>
              <w:autoSpaceDN w:val="0"/>
              <w:adjustRightInd w:val="0"/>
              <w:jc w:val="center"/>
              <w:outlineLvl w:val="1"/>
              <w:rPr>
                <w:rFonts w:ascii="宋体" w:cs="宋体"/>
                <w:b/>
                <w:bCs/>
                <w:kern w:val="0"/>
                <w:sz w:val="24"/>
              </w:rPr>
            </w:pPr>
          </w:p>
          <w:p w14:paraId="52EB51A2">
            <w:pPr>
              <w:autoSpaceDE w:val="0"/>
              <w:autoSpaceDN w:val="0"/>
              <w:adjustRightInd w:val="0"/>
              <w:jc w:val="center"/>
              <w:outlineLvl w:val="1"/>
              <w:rPr>
                <w:rFonts w:ascii="宋体" w:cs="宋体"/>
                <w:b/>
                <w:bCs/>
                <w:kern w:val="0"/>
                <w:sz w:val="24"/>
              </w:rPr>
            </w:pPr>
            <w:r>
              <w:rPr>
                <w:rFonts w:hint="eastAsia" w:ascii="宋体" w:cs="宋体"/>
                <w:b/>
                <w:bCs/>
                <w:kern w:val="0"/>
                <w:sz w:val="24"/>
              </w:rPr>
              <w:t>1</w:t>
            </w:r>
          </w:p>
        </w:tc>
        <w:tc>
          <w:tcPr>
            <w:tcW w:w="1622" w:type="dxa"/>
            <w:vAlign w:val="center"/>
          </w:tcPr>
          <w:p w14:paraId="28A788AC">
            <w:pPr>
              <w:autoSpaceDE w:val="0"/>
              <w:autoSpaceDN w:val="0"/>
              <w:adjustRightInd w:val="0"/>
              <w:jc w:val="center"/>
              <w:outlineLvl w:val="1"/>
              <w:rPr>
                <w:rFonts w:asciiTheme="minorEastAsia" w:hAnsiTheme="minorEastAsia" w:eastAsiaTheme="minorEastAsia" w:cstheme="minorEastAsia"/>
                <w:b/>
                <w:bCs/>
                <w:sz w:val="24"/>
                <w:lang w:val="zh-CN" w:bidi="ar"/>
              </w:rPr>
            </w:pPr>
          </w:p>
          <w:p w14:paraId="3E32F9A3">
            <w:pPr>
              <w:autoSpaceDE w:val="0"/>
              <w:autoSpaceDN w:val="0"/>
              <w:adjustRightInd w:val="0"/>
              <w:jc w:val="center"/>
              <w:outlineLvl w:val="1"/>
              <w:rPr>
                <w:rFonts w:asciiTheme="minorEastAsia" w:hAnsiTheme="minorEastAsia" w:eastAsiaTheme="minorEastAsia" w:cstheme="minorEastAsia"/>
                <w:b/>
                <w:bCs/>
                <w:sz w:val="24"/>
                <w:lang w:val="zh-CN" w:bidi="ar"/>
              </w:rPr>
            </w:pPr>
          </w:p>
          <w:p w14:paraId="449FC32C">
            <w:pPr>
              <w:autoSpaceDE w:val="0"/>
              <w:autoSpaceDN w:val="0"/>
              <w:adjustRightInd w:val="0"/>
              <w:jc w:val="center"/>
              <w:outlineLvl w:val="1"/>
              <w:rPr>
                <w:rFonts w:ascii="宋体" w:cs="宋体"/>
                <w:b/>
                <w:bCs/>
                <w:kern w:val="0"/>
                <w:sz w:val="24"/>
                <w:lang w:val="zh-CN"/>
              </w:rPr>
            </w:pPr>
            <w:r>
              <w:rPr>
                <w:rFonts w:ascii="宋体" w:cs="宋体"/>
                <w:b/>
                <w:bCs/>
                <w:kern w:val="0"/>
                <w:sz w:val="24"/>
                <w:lang w:val="zh-CN"/>
              </w:rPr>
              <w:br w:type="page"/>
            </w:r>
            <w:r>
              <w:rPr>
                <w:rFonts w:hint="eastAsia" w:ascii="宋体" w:cs="宋体"/>
                <w:b/>
                <w:bCs/>
                <w:kern w:val="0"/>
                <w:sz w:val="24"/>
                <w:lang w:val="zh-CN"/>
              </w:rPr>
              <w:t>新建合浦至湛江铁路—铁山港跨海特大桥工程红树林试验性移植项目</w:t>
            </w:r>
          </w:p>
        </w:tc>
        <w:tc>
          <w:tcPr>
            <w:tcW w:w="6937" w:type="dxa"/>
          </w:tcPr>
          <w:p w14:paraId="67921061">
            <w:pPr>
              <w:pStyle w:val="23"/>
              <w:spacing w:line="360" w:lineRule="auto"/>
              <w:rPr>
                <w:rFonts w:hint="eastAsia" w:eastAsiaTheme="minorEastAsia"/>
                <w:sz w:val="24"/>
                <w:lang w:eastAsia="zh-CN"/>
              </w:rPr>
            </w:pPr>
            <w:r>
              <w:rPr>
                <w:rFonts w:hint="eastAsia" w:eastAsiaTheme="minorEastAsia"/>
                <w:b/>
                <w:bCs/>
                <w:sz w:val="24"/>
                <w:lang w:eastAsia="zh-CN"/>
              </w:rPr>
              <w:t>一、项目建设地点</w:t>
            </w:r>
          </w:p>
          <w:p w14:paraId="6BACF155">
            <w:pPr>
              <w:pStyle w:val="4"/>
              <w:numPr>
                <w:ilvl w:val="0"/>
                <w:numId w:val="0"/>
              </w:numPr>
              <w:ind w:leftChars="0" w:firstLine="480" w:firstLineChars="200"/>
              <w:rPr>
                <w:rFonts w:hint="eastAsia" w:ascii="宋体" w:hAnsi="Times New Roman" w:cs="Times New Roman" w:eastAsiaTheme="minorEastAsia"/>
                <w:b w:val="0"/>
                <w:bCs w:val="0"/>
                <w:kern w:val="2"/>
                <w:sz w:val="24"/>
                <w:szCs w:val="21"/>
                <w:lang w:val="zh-CN" w:eastAsia="zh-CN" w:bidi="ar-SA"/>
              </w:rPr>
            </w:pPr>
            <w:bookmarkStart w:id="61" w:name="_Toc199453316"/>
            <w:r>
              <w:rPr>
                <w:rFonts w:hint="eastAsia" w:ascii="宋体" w:hAnsi="Times New Roman" w:cs="Times New Roman" w:eastAsiaTheme="minorEastAsia"/>
                <w:b w:val="0"/>
                <w:bCs w:val="0"/>
                <w:kern w:val="2"/>
                <w:sz w:val="24"/>
                <w:szCs w:val="21"/>
                <w:lang w:val="zh-CN" w:eastAsia="zh-CN" w:bidi="ar-SA"/>
              </w:rPr>
              <w:t>本项目涉及移植试验的红树林位于新建合浦至湛江铁路—铁山港跨海特大桥工程东侧，就近移植区域位于铁山港西岸的拟建合湛铁路铁山港跨海特大桥与兰海高速铁山港跨海特大桥之间的滩涂。</w:t>
            </w:r>
          </w:p>
          <w:p w14:paraId="5760ADA7">
            <w:pPr>
              <w:pStyle w:val="4"/>
              <w:numPr>
                <w:ilvl w:val="0"/>
                <w:numId w:val="0"/>
              </w:numPr>
              <w:rPr>
                <w:rFonts w:ascii="宋体" w:hAnsi="Times New Roman" w:cs="Times New Roman" w:eastAsiaTheme="minorEastAsia"/>
                <w:b/>
                <w:bCs/>
                <w:kern w:val="2"/>
                <w:sz w:val="24"/>
                <w:szCs w:val="21"/>
                <w:lang w:val="zh-CN" w:eastAsia="zh-CN" w:bidi="ar-SA"/>
              </w:rPr>
            </w:pPr>
            <w:r>
              <w:rPr>
                <w:rFonts w:hint="eastAsia" w:ascii="宋体" w:hAnsi="Times New Roman" w:cs="Times New Roman" w:eastAsiaTheme="minorEastAsia"/>
                <w:b/>
                <w:bCs/>
                <w:kern w:val="2"/>
                <w:sz w:val="24"/>
                <w:szCs w:val="21"/>
                <w:lang w:val="zh-CN" w:eastAsia="zh-CN" w:bidi="ar-SA"/>
              </w:rPr>
              <w:t>二、项目建设目标</w:t>
            </w:r>
            <w:bookmarkEnd w:id="61"/>
          </w:p>
          <w:p w14:paraId="2A9176F4">
            <w:pPr>
              <w:pStyle w:val="23"/>
              <w:spacing w:line="360" w:lineRule="auto"/>
              <w:ind w:firstLine="480" w:firstLineChars="200"/>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zh-CN" w:eastAsia="zh-CN" w:bidi="ar-SA"/>
              </w:rPr>
              <w:t>根据《广西壮族自治区红树林资源保护条例》的相关要求：经批准占用或者征收红树林地上的树木可以移植的，应移尽移。对</w:t>
            </w:r>
            <w:r>
              <w:rPr>
                <w:rFonts w:ascii="宋体" w:hAnsi="Times New Roman" w:cs="Times New Roman" w:eastAsiaTheme="minorEastAsia"/>
                <w:b w:val="0"/>
                <w:bCs w:val="0"/>
                <w:kern w:val="2"/>
                <w:sz w:val="24"/>
                <w:szCs w:val="21"/>
                <w:lang w:val="zh-CN" w:eastAsia="zh-CN" w:bidi="ar-SA"/>
              </w:rPr>
              <w:t>因</w:t>
            </w:r>
            <w:r>
              <w:rPr>
                <w:rFonts w:hint="eastAsia" w:ascii="宋体" w:hAnsi="Times New Roman" w:cs="Times New Roman" w:eastAsiaTheme="minorEastAsia"/>
                <w:b w:val="0"/>
                <w:bCs w:val="0"/>
                <w:kern w:val="2"/>
                <w:sz w:val="24"/>
                <w:szCs w:val="21"/>
                <w:lang w:val="zh-CN" w:eastAsia="zh-CN" w:bidi="ar-SA"/>
              </w:rPr>
              <w:t>新建合浦至湛江铁路—铁山港跨海特大桥工程所占用的5个斑块总面积共约1.2802公顷的240株红树林成熟林植株进行移植试验。全面贯彻落实习近平总书记关于科学保护红树林的重要批示精神，加强红树林保护工作。</w:t>
            </w:r>
          </w:p>
          <w:p w14:paraId="646970C6">
            <w:pPr>
              <w:spacing w:line="360" w:lineRule="auto"/>
              <w:rPr>
                <w:rFonts w:hint="eastAsia" w:ascii="宋体" w:hAnsi="Times New Roman" w:cs="Times New Roman" w:eastAsiaTheme="minorEastAsia"/>
                <w:b/>
                <w:bCs/>
                <w:kern w:val="2"/>
                <w:sz w:val="24"/>
                <w:szCs w:val="21"/>
                <w:lang w:val="zh-CN" w:eastAsia="zh-CN" w:bidi="ar-SA"/>
              </w:rPr>
            </w:pPr>
            <w:r>
              <w:rPr>
                <w:rFonts w:hint="eastAsia" w:ascii="宋体" w:hAnsi="Times New Roman" w:cs="Times New Roman" w:eastAsiaTheme="minorEastAsia"/>
                <w:b/>
                <w:bCs/>
                <w:kern w:val="2"/>
                <w:sz w:val="24"/>
                <w:szCs w:val="21"/>
                <w:lang w:val="zh-CN" w:eastAsia="zh-CN" w:bidi="ar-SA"/>
              </w:rPr>
              <w:t>三、项目主要建设内容及规模</w:t>
            </w:r>
          </w:p>
          <w:p w14:paraId="12DFB839">
            <w:pPr>
              <w:spacing w:line="360" w:lineRule="auto"/>
              <w:ind w:firstLine="482"/>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zh-CN" w:eastAsia="zh-CN" w:bidi="ar-SA"/>
              </w:rPr>
              <w:t>本项目涉及移植试验的红树林位于新建合浦至湛江铁路—铁山港跨海特大桥工程东侧，共包括5个斑块总面积共约1.2802公顷，移植红树林植株数约为240株。就近移植区域位于铁山港西岸的拟建合湛铁路铁山港跨海特大桥与兰海高速铁山港跨海特大桥之间的滩涂。</w:t>
            </w:r>
          </w:p>
          <w:p w14:paraId="37E31B82">
            <w:pPr>
              <w:spacing w:line="360" w:lineRule="auto"/>
              <w:rPr>
                <w:rFonts w:hint="eastAsia" w:ascii="宋体" w:hAnsi="Times New Roman" w:cs="Times New Roman" w:eastAsiaTheme="minorEastAsia"/>
                <w:b/>
                <w:bCs/>
                <w:kern w:val="2"/>
                <w:sz w:val="24"/>
                <w:szCs w:val="21"/>
                <w:lang w:val="zh-CN" w:eastAsia="zh-CN" w:bidi="ar-SA"/>
              </w:rPr>
            </w:pPr>
            <w:r>
              <w:rPr>
                <w:rFonts w:hint="eastAsia" w:ascii="宋体" w:hAnsi="Times New Roman" w:cs="Times New Roman" w:eastAsiaTheme="minorEastAsia"/>
                <w:b/>
                <w:bCs/>
                <w:kern w:val="2"/>
                <w:sz w:val="24"/>
                <w:szCs w:val="21"/>
                <w:lang w:val="zh-CN" w:eastAsia="zh-CN" w:bidi="ar-SA"/>
              </w:rPr>
              <w:t>四、管护期</w:t>
            </w:r>
          </w:p>
          <w:p w14:paraId="65DF6FDE">
            <w:pPr>
              <w:spacing w:line="360" w:lineRule="auto"/>
              <w:ind w:firstLine="480" w:firstLineChars="200"/>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zh-CN" w:eastAsia="zh-CN" w:bidi="ar-SA"/>
              </w:rPr>
              <w:t>苗木移植管护期</w:t>
            </w:r>
            <w:r>
              <w:rPr>
                <w:rFonts w:hint="eastAsia" w:ascii="宋体" w:hAnsi="Times New Roman" w:cs="Times New Roman" w:eastAsiaTheme="minorEastAsia"/>
                <w:b w:val="0"/>
                <w:bCs w:val="0"/>
                <w:kern w:val="2"/>
                <w:sz w:val="24"/>
                <w:szCs w:val="21"/>
                <w:lang w:val="en-US" w:eastAsia="zh-CN" w:bidi="ar-SA"/>
              </w:rPr>
              <w:t>5年</w:t>
            </w:r>
            <w:r>
              <w:rPr>
                <w:rFonts w:hint="eastAsia" w:ascii="宋体" w:hAnsi="Times New Roman" w:cs="Times New Roman" w:eastAsiaTheme="minorEastAsia"/>
                <w:b w:val="0"/>
                <w:bCs w:val="0"/>
                <w:kern w:val="2"/>
                <w:sz w:val="24"/>
                <w:szCs w:val="21"/>
                <w:lang w:val="zh-CN" w:eastAsia="zh-CN" w:bidi="ar-SA"/>
              </w:rPr>
              <w:t>。</w:t>
            </w:r>
          </w:p>
          <w:p w14:paraId="093436AC">
            <w:pPr>
              <w:spacing w:line="360" w:lineRule="auto"/>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bCs/>
                <w:kern w:val="2"/>
                <w:sz w:val="24"/>
                <w:szCs w:val="21"/>
                <w:lang w:val="zh-CN" w:eastAsia="zh-CN" w:bidi="ar-SA"/>
              </w:rPr>
              <w:t>五、技术服务要求</w:t>
            </w:r>
          </w:p>
          <w:p w14:paraId="45856E43">
            <w:pPr>
              <w:numPr>
                <w:ilvl w:val="0"/>
                <w:numId w:val="0"/>
              </w:numPr>
              <w:spacing w:line="360" w:lineRule="auto"/>
              <w:ind w:firstLine="480" w:firstLineChars="200"/>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zh-CN" w:eastAsia="zh-CN" w:bidi="ar-SA"/>
              </w:rPr>
              <w:t>（</w:t>
            </w:r>
            <w:r>
              <w:rPr>
                <w:rFonts w:hint="eastAsia" w:ascii="宋体" w:hAnsi="Times New Roman" w:cs="Times New Roman" w:eastAsiaTheme="minorEastAsia"/>
                <w:b w:val="0"/>
                <w:bCs w:val="0"/>
                <w:kern w:val="2"/>
                <w:sz w:val="24"/>
                <w:szCs w:val="21"/>
                <w:lang w:val="en-US" w:eastAsia="zh-CN" w:bidi="ar-SA"/>
              </w:rPr>
              <w:t>一</w:t>
            </w:r>
            <w:r>
              <w:rPr>
                <w:rFonts w:hint="eastAsia" w:ascii="宋体" w:hAnsi="Times New Roman" w:cs="Times New Roman" w:eastAsiaTheme="minorEastAsia"/>
                <w:b w:val="0"/>
                <w:bCs w:val="0"/>
                <w:kern w:val="2"/>
                <w:sz w:val="24"/>
                <w:szCs w:val="21"/>
                <w:lang w:val="zh-CN" w:eastAsia="zh-CN" w:bidi="ar-SA"/>
              </w:rPr>
              <w:t>）完成因新建合浦至湛江铁路—铁山港跨海特大桥工程所占用的5个斑块总面积共约1.2802公顷的240株红树林成熟林植株的移植试验。</w:t>
            </w:r>
          </w:p>
          <w:p w14:paraId="01846D49">
            <w:pPr>
              <w:numPr>
                <w:ilvl w:val="0"/>
                <w:numId w:val="0"/>
              </w:numPr>
              <w:spacing w:line="360" w:lineRule="auto"/>
              <w:ind w:firstLine="480" w:firstLineChars="200"/>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zh-CN" w:eastAsia="zh-CN" w:bidi="ar-SA"/>
              </w:rPr>
              <w:t>按《新建合浦至湛江铁路一铁山港跨海特大桥工程红树林移植作业设计》要求移植。</w:t>
            </w:r>
          </w:p>
          <w:p w14:paraId="4CE65EE7">
            <w:pPr>
              <w:numPr>
                <w:ilvl w:val="0"/>
                <w:numId w:val="0"/>
              </w:numPr>
              <w:spacing w:line="360" w:lineRule="auto"/>
              <w:ind w:firstLine="482" w:firstLineChars="0"/>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zh-CN" w:eastAsia="zh-CN" w:bidi="ar-SA"/>
              </w:rPr>
              <w:t>（</w:t>
            </w:r>
            <w:r>
              <w:rPr>
                <w:rFonts w:hint="eastAsia" w:ascii="宋体" w:hAnsi="Times New Roman" w:cs="Times New Roman" w:eastAsiaTheme="minorEastAsia"/>
                <w:b w:val="0"/>
                <w:bCs w:val="0"/>
                <w:kern w:val="2"/>
                <w:sz w:val="24"/>
                <w:szCs w:val="21"/>
                <w:lang w:val="en-US" w:eastAsia="zh-CN" w:bidi="ar-SA"/>
              </w:rPr>
              <w:t>二</w:t>
            </w:r>
            <w:r>
              <w:rPr>
                <w:rFonts w:hint="eastAsia" w:ascii="宋体" w:hAnsi="Times New Roman" w:cs="Times New Roman" w:eastAsiaTheme="minorEastAsia"/>
                <w:b w:val="0"/>
                <w:bCs w:val="0"/>
                <w:kern w:val="2"/>
                <w:sz w:val="24"/>
                <w:szCs w:val="21"/>
                <w:lang w:val="zh-CN" w:eastAsia="zh-CN" w:bidi="ar-SA"/>
              </w:rPr>
              <w:t>）根据《新建合浦至湛江铁路—铁山港跨海特大桥工程红树林移植作业设计》要求对移植工程进行管护，具体内容如下：</w:t>
            </w:r>
          </w:p>
          <w:p w14:paraId="3CB6FD00">
            <w:pPr>
              <w:numPr>
                <w:ilvl w:val="0"/>
                <w:numId w:val="0"/>
              </w:numPr>
              <w:spacing w:line="360" w:lineRule="auto"/>
              <w:ind w:firstLine="482" w:firstLineChars="0"/>
              <w:rPr>
                <w:rFonts w:hint="eastAsia" w:ascii="宋体" w:cs="宋体"/>
                <w:kern w:val="0"/>
                <w:sz w:val="24"/>
                <w:lang w:val="zh-CN"/>
              </w:rPr>
            </w:pPr>
            <w:r>
              <w:rPr>
                <w:rFonts w:hint="eastAsia" w:ascii="宋体" w:cs="宋体"/>
                <w:kern w:val="0"/>
                <w:sz w:val="24"/>
                <w:lang w:val="zh-CN"/>
              </w:rPr>
              <w:t>（1）移植区防护网维护：移植区周长共420米，用4.5米长的木桩3.5 m高的围网，每隔3 m埋设一根木桩。</w:t>
            </w:r>
          </w:p>
          <w:p w14:paraId="50FA2730">
            <w:pPr>
              <w:numPr>
                <w:ilvl w:val="0"/>
                <w:numId w:val="0"/>
              </w:numPr>
              <w:spacing w:line="360" w:lineRule="auto"/>
              <w:ind w:firstLine="482" w:firstLineChars="0"/>
              <w:rPr>
                <w:rFonts w:hint="eastAsia" w:ascii="宋体" w:cs="宋体"/>
                <w:kern w:val="0"/>
                <w:sz w:val="24"/>
                <w:lang w:val="zh-CN"/>
              </w:rPr>
            </w:pPr>
            <w:r>
              <w:rPr>
                <w:rFonts w:hint="eastAsia" w:ascii="宋体" w:cs="宋体"/>
                <w:kern w:val="0"/>
                <w:sz w:val="24"/>
                <w:lang w:val="zh-CN"/>
              </w:rPr>
              <w:t>（2）警示牌2块，规格1.5米×1米，管护期需更换1次；项目介绍牌2块，规格2.5米×1.6米，管护期需更换1次。</w:t>
            </w:r>
          </w:p>
          <w:p w14:paraId="32FF3625">
            <w:pPr>
              <w:numPr>
                <w:ilvl w:val="0"/>
                <w:numId w:val="0"/>
              </w:numPr>
              <w:spacing w:line="360" w:lineRule="auto"/>
              <w:ind w:firstLine="482" w:firstLineChars="0"/>
              <w:rPr>
                <w:rFonts w:hint="eastAsia" w:ascii="宋体" w:cs="宋体"/>
                <w:kern w:val="0"/>
                <w:sz w:val="24"/>
                <w:lang w:val="zh-CN"/>
              </w:rPr>
            </w:pPr>
            <w:r>
              <w:rPr>
                <w:rFonts w:hint="eastAsia" w:ascii="宋体" w:cs="宋体"/>
                <w:kern w:val="0"/>
                <w:sz w:val="24"/>
                <w:lang w:val="zh-CN"/>
              </w:rPr>
              <w:t>（3）护林员巡护管护：定期清理有害生物和垃圾，淡水定时喷淋系统的正常运行与维护，移植植株固定支架的维护；施肥；动态监测藤壶、浒苔等有害生物的附着及侵害情况；密切关注病虫害情况、养殖排放及台风等，做好预防治理工作。</w:t>
            </w:r>
          </w:p>
          <w:p w14:paraId="0A11F9E5">
            <w:pPr>
              <w:numPr>
                <w:ilvl w:val="0"/>
                <w:numId w:val="0"/>
              </w:numPr>
              <w:spacing w:line="360" w:lineRule="auto"/>
              <w:ind w:firstLine="480" w:firstLineChars="200"/>
              <w:rPr>
                <w:rFonts w:hint="eastAsia" w:ascii="宋体" w:hAnsi="Times New Roman" w:cs="Times New Roman" w:eastAsiaTheme="minorEastAsia"/>
                <w:b w:val="0"/>
                <w:bCs w:val="0"/>
                <w:kern w:val="2"/>
                <w:sz w:val="24"/>
                <w:szCs w:val="21"/>
                <w:lang w:val="zh-CN" w:eastAsia="zh-CN" w:bidi="ar-SA"/>
              </w:rPr>
            </w:pPr>
            <w:r>
              <w:rPr>
                <w:rFonts w:hint="eastAsia" w:ascii="宋体" w:cs="宋体"/>
                <w:kern w:val="0"/>
                <w:sz w:val="24"/>
                <w:lang w:val="zh-CN"/>
              </w:rPr>
              <w:t>（4）管护措施持续5年。</w:t>
            </w:r>
          </w:p>
          <w:p w14:paraId="070C1C65">
            <w:pPr>
              <w:numPr>
                <w:ilvl w:val="0"/>
                <w:numId w:val="0"/>
              </w:numPr>
              <w:spacing w:line="360" w:lineRule="auto"/>
              <w:ind w:firstLine="480" w:firstLineChars="200"/>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zh-CN" w:eastAsia="zh-CN" w:bidi="ar-SA"/>
              </w:rPr>
              <w:t>（</w:t>
            </w:r>
            <w:r>
              <w:rPr>
                <w:rFonts w:hint="eastAsia" w:ascii="宋体" w:hAnsi="Times New Roman" w:cs="Times New Roman" w:eastAsiaTheme="minorEastAsia"/>
                <w:b w:val="0"/>
                <w:bCs w:val="0"/>
                <w:kern w:val="2"/>
                <w:sz w:val="24"/>
                <w:szCs w:val="21"/>
                <w:lang w:val="en-US" w:eastAsia="zh-CN" w:bidi="ar-SA"/>
              </w:rPr>
              <w:t>三</w:t>
            </w:r>
            <w:r>
              <w:rPr>
                <w:rFonts w:hint="eastAsia" w:ascii="宋体" w:hAnsi="Times New Roman" w:cs="Times New Roman" w:eastAsiaTheme="minorEastAsia"/>
                <w:b w:val="0"/>
                <w:bCs w:val="0"/>
                <w:kern w:val="2"/>
                <w:sz w:val="24"/>
                <w:szCs w:val="21"/>
                <w:lang w:val="zh-CN" w:eastAsia="zh-CN" w:bidi="ar-SA"/>
              </w:rPr>
              <w:t>）为了掌握新建合浦至湛江铁路—铁山港跨海特大桥工程红树林移植的效果，评价移植综合成效，拟开展新建合浦至湛江铁路—铁山港跨海特大桥工程红树林移植生态监测与效果评估。</w:t>
            </w:r>
          </w:p>
          <w:p w14:paraId="11BDFBFC">
            <w:pPr>
              <w:numPr>
                <w:ilvl w:val="0"/>
                <w:numId w:val="0"/>
              </w:numPr>
              <w:spacing w:line="360" w:lineRule="auto"/>
              <w:ind w:firstLine="720" w:firstLineChars="300"/>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zh-CN" w:eastAsia="zh-CN" w:bidi="ar-SA"/>
              </w:rPr>
              <w:t>具体内容包括：①包括红树林植被、其他生物群落、生境条件、生态过程等的移植红树林的生长情况监测；②移植红树林的效果评估；③生态修复的适应性管理。</w:t>
            </w:r>
          </w:p>
          <w:p w14:paraId="2DE24C25">
            <w:pPr>
              <w:numPr>
                <w:ilvl w:val="0"/>
                <w:numId w:val="0"/>
              </w:numPr>
              <w:spacing w:line="360" w:lineRule="auto"/>
              <w:ind w:firstLine="482" w:firstLineChars="0"/>
              <w:rPr>
                <w:rFonts w:hint="eastAsia" w:ascii="宋体" w:hAnsi="Times New Roman" w:cs="Times New Roman" w:eastAsiaTheme="minorEastAsia"/>
                <w:b/>
                <w:bCs/>
                <w:kern w:val="2"/>
                <w:sz w:val="24"/>
                <w:szCs w:val="21"/>
                <w:lang w:val="zh-CN" w:eastAsia="zh-CN" w:bidi="ar-SA"/>
              </w:rPr>
            </w:pPr>
            <w:r>
              <w:rPr>
                <w:rFonts w:hint="eastAsia" w:ascii="宋体" w:hAnsi="Times New Roman" w:cs="Times New Roman" w:eastAsiaTheme="minorEastAsia"/>
                <w:b w:val="0"/>
                <w:bCs w:val="0"/>
                <w:kern w:val="2"/>
                <w:sz w:val="24"/>
                <w:szCs w:val="21"/>
                <w:lang w:val="en-US" w:eastAsia="zh-CN" w:bidi="ar-SA"/>
              </w:rPr>
              <w:t>1、</w:t>
            </w:r>
            <w:r>
              <w:rPr>
                <w:rFonts w:hint="eastAsia" w:ascii="宋体" w:hAnsi="Times New Roman" w:cs="Times New Roman" w:eastAsiaTheme="minorEastAsia"/>
                <w:b w:val="0"/>
                <w:bCs w:val="0"/>
                <w:kern w:val="2"/>
                <w:sz w:val="24"/>
                <w:szCs w:val="21"/>
                <w:lang w:val="zh-CN" w:eastAsia="zh-CN" w:bidi="ar-SA"/>
              </w:rPr>
              <w:t>监测站位布设：</w:t>
            </w:r>
            <w:r>
              <w:rPr>
                <w:sz w:val="24"/>
              </w:rPr>
              <w:t>移植区的移植植株监测，根据移植植株的高度，分为低、中、高3个高度级，每个高度级选10株作为固定监测；大型底栖动物、沉积物环境、水体环境设3个站位；其余指标按整个区域监测。</w:t>
            </w:r>
          </w:p>
          <w:p w14:paraId="4ECCE088">
            <w:pPr>
              <w:numPr>
                <w:ilvl w:val="0"/>
                <w:numId w:val="0"/>
              </w:numPr>
              <w:spacing w:line="360" w:lineRule="auto"/>
              <w:ind w:firstLine="482" w:firstLineChars="0"/>
              <w:rPr>
                <w:rFonts w:hint="eastAsia" w:ascii="宋体" w:hAnsi="Times New Roman" w:cs="Times New Roman" w:eastAsiaTheme="minorEastAsia"/>
                <w:b w:val="0"/>
                <w:bCs w:val="0"/>
                <w:kern w:val="2"/>
                <w:sz w:val="24"/>
                <w:szCs w:val="21"/>
                <w:lang w:val="en-US" w:eastAsia="zh-CN" w:bidi="ar-SA"/>
              </w:rPr>
            </w:pPr>
            <w:r>
              <w:rPr>
                <w:rFonts w:hint="eastAsia" w:ascii="宋体" w:hAnsi="Times New Roman" w:cs="Times New Roman" w:eastAsiaTheme="minorEastAsia"/>
                <w:b w:val="0"/>
                <w:bCs w:val="0"/>
                <w:kern w:val="2"/>
                <w:sz w:val="24"/>
                <w:szCs w:val="21"/>
                <w:lang w:val="en-US" w:eastAsia="zh-CN" w:bidi="ar-SA"/>
              </w:rPr>
              <w:t>2、监测指标</w:t>
            </w:r>
          </w:p>
          <w:p w14:paraId="3B46DF06">
            <w:pPr>
              <w:pStyle w:val="23"/>
              <w:spacing w:line="360" w:lineRule="auto"/>
              <w:ind w:firstLine="480" w:firstLineChars="200"/>
              <w:rPr>
                <w:rFonts w:eastAsiaTheme="minorEastAsia"/>
                <w:b w:val="0"/>
                <w:bCs/>
                <w:sz w:val="24"/>
              </w:rPr>
            </w:pPr>
            <w:r>
              <w:rPr>
                <w:rFonts w:eastAsiaTheme="minorEastAsia"/>
                <w:b w:val="0"/>
                <w:bCs/>
                <w:sz w:val="24"/>
              </w:rPr>
              <w:t>（1） 红树林植被</w:t>
            </w:r>
          </w:p>
          <w:p w14:paraId="559E6618">
            <w:pPr>
              <w:pStyle w:val="23"/>
              <w:spacing w:after="0" w:line="360" w:lineRule="auto"/>
              <w:ind w:firstLine="480" w:firstLineChars="200"/>
              <w:rPr>
                <w:rFonts w:eastAsiaTheme="minorEastAsia"/>
                <w:sz w:val="24"/>
              </w:rPr>
            </w:pPr>
            <w:r>
              <w:rPr>
                <w:rFonts w:hint="eastAsia" w:ascii="宋体" w:hAnsi="宋体" w:cs="宋体"/>
                <w:sz w:val="24"/>
              </w:rPr>
              <w:t>①</w:t>
            </w:r>
            <w:r>
              <w:rPr>
                <w:rFonts w:eastAsiaTheme="minorEastAsia"/>
                <w:sz w:val="24"/>
              </w:rPr>
              <w:t>存活情况：种类、成活率、保存率。监测频率：移植完成1年内每季度1次；移植第2年后每半年1次，5年共计12次。</w:t>
            </w:r>
          </w:p>
          <w:p w14:paraId="325CC51B">
            <w:pPr>
              <w:pStyle w:val="23"/>
              <w:spacing w:after="0" w:line="360" w:lineRule="auto"/>
              <w:ind w:firstLine="480" w:firstLineChars="200"/>
              <w:rPr>
                <w:rFonts w:eastAsiaTheme="minorEastAsia"/>
                <w:sz w:val="24"/>
              </w:rPr>
            </w:pPr>
            <w:r>
              <w:rPr>
                <w:rFonts w:hint="eastAsia" w:ascii="宋体" w:hAnsi="宋体" w:cs="宋体"/>
                <w:sz w:val="24"/>
              </w:rPr>
              <w:t>②</w:t>
            </w:r>
            <w:r>
              <w:rPr>
                <w:rFonts w:eastAsiaTheme="minorEastAsia"/>
                <w:sz w:val="24"/>
              </w:rPr>
              <w:t>植被覆盖：郁闭度/覆盖度；监测频率：每半年1次，5年共计10次。</w:t>
            </w:r>
          </w:p>
          <w:p w14:paraId="41AE8A30">
            <w:pPr>
              <w:pStyle w:val="23"/>
              <w:spacing w:after="0" w:line="360" w:lineRule="auto"/>
              <w:ind w:firstLine="480" w:firstLineChars="200"/>
              <w:rPr>
                <w:rFonts w:eastAsiaTheme="minorEastAsia"/>
                <w:sz w:val="24"/>
              </w:rPr>
            </w:pPr>
            <w:r>
              <w:rPr>
                <w:rFonts w:hint="eastAsia" w:ascii="宋体" w:hAnsi="宋体" w:cs="宋体"/>
                <w:sz w:val="24"/>
              </w:rPr>
              <w:t>③</w:t>
            </w:r>
            <w:r>
              <w:rPr>
                <w:rFonts w:eastAsiaTheme="minorEastAsia"/>
                <w:sz w:val="24"/>
              </w:rPr>
              <w:t>植被群落特征：物种、密度、基径/胸径、高度、冠幅、自然幼苗更新种类和密度、叶片数、分支数、移植大树的新梢数量、呼吸根扩散距离；监测频率：每年1次，5年共计5次。</w:t>
            </w:r>
          </w:p>
          <w:p w14:paraId="57739693">
            <w:pPr>
              <w:pStyle w:val="23"/>
              <w:spacing w:line="360" w:lineRule="auto"/>
              <w:ind w:firstLine="480" w:firstLineChars="200"/>
              <w:rPr>
                <w:rFonts w:eastAsiaTheme="minorEastAsia"/>
                <w:b w:val="0"/>
                <w:bCs/>
                <w:sz w:val="24"/>
              </w:rPr>
            </w:pPr>
            <w:r>
              <w:rPr>
                <w:rFonts w:eastAsiaTheme="minorEastAsia"/>
                <w:b w:val="0"/>
                <w:bCs/>
                <w:sz w:val="24"/>
              </w:rPr>
              <w:t>（2）动物多样性</w:t>
            </w:r>
          </w:p>
          <w:p w14:paraId="48A5E487">
            <w:pPr>
              <w:pStyle w:val="23"/>
              <w:spacing w:after="0" w:line="360" w:lineRule="auto"/>
              <w:rPr>
                <w:rFonts w:eastAsiaTheme="minorEastAsia"/>
                <w:b w:val="0"/>
                <w:bCs/>
                <w:sz w:val="24"/>
              </w:rPr>
            </w:pPr>
            <w:r>
              <w:rPr>
                <w:rFonts w:eastAsiaTheme="minorEastAsia"/>
                <w:b w:val="0"/>
                <w:bCs/>
                <w:sz w:val="24"/>
              </w:rPr>
              <w:t>大型底栖动物：种类组成、密度、生物量、多样性指数、蟹洞密度；监测频率：每年1次，5年共计5次。</w:t>
            </w:r>
          </w:p>
          <w:p w14:paraId="32C5383D">
            <w:pPr>
              <w:pStyle w:val="23"/>
              <w:spacing w:after="0" w:line="360" w:lineRule="auto"/>
              <w:ind w:firstLine="480" w:firstLineChars="200"/>
              <w:rPr>
                <w:rFonts w:eastAsiaTheme="minorEastAsia"/>
                <w:b w:val="0"/>
                <w:bCs/>
                <w:sz w:val="24"/>
              </w:rPr>
            </w:pPr>
            <w:r>
              <w:rPr>
                <w:rFonts w:eastAsiaTheme="minorEastAsia"/>
                <w:b w:val="0"/>
                <w:bCs/>
                <w:sz w:val="24"/>
              </w:rPr>
              <w:t>（3）生境条件</w:t>
            </w:r>
          </w:p>
          <w:p w14:paraId="583FA3FC">
            <w:pPr>
              <w:pStyle w:val="23"/>
              <w:spacing w:after="0" w:line="360" w:lineRule="auto"/>
              <w:ind w:firstLine="480" w:firstLineChars="200"/>
              <w:rPr>
                <w:rFonts w:eastAsiaTheme="minorEastAsia"/>
                <w:sz w:val="24"/>
              </w:rPr>
            </w:pPr>
            <w:r>
              <w:rPr>
                <w:rFonts w:hint="eastAsia" w:ascii="宋体" w:hAnsi="宋体" w:cs="宋体"/>
                <w:sz w:val="24"/>
              </w:rPr>
              <w:t>①</w:t>
            </w:r>
            <w:r>
              <w:rPr>
                <w:rFonts w:eastAsiaTheme="minorEastAsia"/>
                <w:sz w:val="24"/>
              </w:rPr>
              <w:t>气候条件：冷月平均气温、极端低温、极端高温、台风情况；监测频率：每天1次，共计监测5年。</w:t>
            </w:r>
          </w:p>
          <w:p w14:paraId="02D42747">
            <w:pPr>
              <w:pStyle w:val="23"/>
              <w:spacing w:after="0" w:line="360" w:lineRule="auto"/>
              <w:ind w:firstLine="480" w:firstLineChars="200"/>
              <w:rPr>
                <w:rFonts w:eastAsiaTheme="minorEastAsia"/>
                <w:sz w:val="24"/>
              </w:rPr>
            </w:pPr>
            <w:r>
              <w:rPr>
                <w:rFonts w:hint="eastAsia" w:ascii="宋体" w:hAnsi="宋体" w:cs="宋体"/>
                <w:sz w:val="24"/>
              </w:rPr>
              <w:t>②</w:t>
            </w:r>
            <w:r>
              <w:rPr>
                <w:rFonts w:eastAsiaTheme="minorEastAsia"/>
                <w:sz w:val="24"/>
              </w:rPr>
              <w:t>沉积物环境：粒度、间隙水盐度和氧化还原电位、酸碱度、有机碳、总氮、总磷、硫化物、沉积速率；监测频率：每年1次，5年共计5次。</w:t>
            </w:r>
          </w:p>
          <w:p w14:paraId="4AFAA57E">
            <w:pPr>
              <w:pStyle w:val="23"/>
              <w:spacing w:after="0" w:line="360" w:lineRule="auto"/>
              <w:ind w:firstLine="480" w:firstLineChars="200"/>
              <w:rPr>
                <w:rFonts w:eastAsiaTheme="minorEastAsia"/>
                <w:sz w:val="24"/>
              </w:rPr>
            </w:pPr>
            <w:r>
              <w:rPr>
                <w:rFonts w:hint="eastAsia" w:ascii="宋体" w:hAnsi="宋体" w:cs="宋体"/>
                <w:sz w:val="24"/>
              </w:rPr>
              <w:t>③</w:t>
            </w:r>
            <w:r>
              <w:rPr>
                <w:rFonts w:eastAsiaTheme="minorEastAsia"/>
                <w:sz w:val="24"/>
              </w:rPr>
              <w:t>水体环境：盐度；监测频率：每半年1次，5年共计10次。</w:t>
            </w:r>
          </w:p>
          <w:p w14:paraId="1C7498C9">
            <w:pPr>
              <w:pStyle w:val="23"/>
              <w:spacing w:after="0" w:line="360" w:lineRule="auto"/>
              <w:ind w:firstLine="480" w:firstLineChars="200"/>
              <w:rPr>
                <w:rFonts w:ascii="宋体" w:hAnsi="Times New Roman" w:cs="Times New Roman" w:eastAsiaTheme="minorEastAsia"/>
                <w:b w:val="0"/>
                <w:bCs/>
                <w:sz w:val="24"/>
              </w:rPr>
            </w:pPr>
            <w:r>
              <w:rPr>
                <w:rFonts w:ascii="宋体" w:hAnsi="Times New Roman" w:cs="Times New Roman" w:eastAsiaTheme="minorEastAsia"/>
                <w:b w:val="0"/>
                <w:bCs/>
                <w:sz w:val="24"/>
              </w:rPr>
              <w:t>（4）胁迫因子</w:t>
            </w:r>
          </w:p>
          <w:p w14:paraId="355D0B70">
            <w:pPr>
              <w:pStyle w:val="23"/>
              <w:spacing w:after="0" w:line="360" w:lineRule="auto"/>
              <w:ind w:firstLine="480" w:firstLineChars="200"/>
              <w:rPr>
                <w:rFonts w:eastAsiaTheme="minorEastAsia"/>
                <w:sz w:val="24"/>
              </w:rPr>
            </w:pPr>
            <w:r>
              <w:rPr>
                <w:rFonts w:hint="eastAsia" w:ascii="宋体" w:hAnsi="宋体" w:cs="宋体"/>
                <w:sz w:val="24"/>
              </w:rPr>
              <w:t>①</w:t>
            </w:r>
            <w:r>
              <w:rPr>
                <w:rFonts w:eastAsiaTheme="minorEastAsia"/>
                <w:sz w:val="24"/>
              </w:rPr>
              <w:t>有害生物：虫害种类、虫口密度、受害面积，藤壶、浒苔等危害比例和面积；监测频率：每半年1次，5年共计10次。</w:t>
            </w:r>
          </w:p>
          <w:p w14:paraId="0BA4E8FF">
            <w:pPr>
              <w:numPr>
                <w:ilvl w:val="0"/>
                <w:numId w:val="0"/>
              </w:numPr>
              <w:spacing w:line="360" w:lineRule="auto"/>
              <w:ind w:firstLine="482" w:firstLineChars="0"/>
              <w:rPr>
                <w:rFonts w:hint="default" w:ascii="宋体" w:hAnsi="Times New Roman" w:cs="Times New Roman" w:eastAsiaTheme="minorEastAsia"/>
                <w:b w:val="0"/>
                <w:bCs w:val="0"/>
                <w:kern w:val="2"/>
                <w:sz w:val="24"/>
                <w:szCs w:val="21"/>
                <w:lang w:val="en-US" w:eastAsia="zh-CN" w:bidi="ar-SA"/>
              </w:rPr>
            </w:pPr>
            <w:r>
              <w:rPr>
                <w:rFonts w:hint="eastAsia" w:ascii="宋体" w:hAnsi="宋体" w:cs="宋体"/>
                <w:sz w:val="24"/>
              </w:rPr>
              <w:t>②</w:t>
            </w:r>
            <w:r>
              <w:rPr>
                <w:rFonts w:eastAsiaTheme="minorEastAsia"/>
                <w:sz w:val="24"/>
              </w:rPr>
              <w:t>人为或自然干扰：红树林群落内滩涂完整度，红树林群落内垃圾状况，围网木桩、遮阳网、排水沟等措施的保存；监测频率：每半年1次，5年共计10次。</w:t>
            </w:r>
          </w:p>
          <w:p w14:paraId="7870CAB1">
            <w:pPr>
              <w:numPr>
                <w:ilvl w:val="0"/>
                <w:numId w:val="0"/>
              </w:numPr>
              <w:spacing w:line="360" w:lineRule="auto"/>
              <w:ind w:firstLine="482" w:firstLineChars="0"/>
              <w:rPr>
                <w:rFonts w:hint="eastAsia" w:ascii="宋体" w:hAnsi="Times New Roman" w:cs="Times New Roman" w:eastAsiaTheme="minorEastAsia"/>
                <w:b w:val="0"/>
                <w:bCs w:val="0"/>
                <w:kern w:val="2"/>
                <w:sz w:val="24"/>
                <w:szCs w:val="21"/>
                <w:lang w:val="zh-CN" w:eastAsia="zh-CN" w:bidi="ar-SA"/>
              </w:rPr>
            </w:pPr>
            <w:r>
              <w:rPr>
                <w:rFonts w:hint="eastAsia" w:ascii="宋体" w:hAnsi="Times New Roman" w:cs="Times New Roman" w:eastAsiaTheme="minorEastAsia"/>
                <w:b w:val="0"/>
                <w:bCs w:val="0"/>
                <w:kern w:val="2"/>
                <w:sz w:val="24"/>
                <w:szCs w:val="21"/>
                <w:lang w:val="en-US" w:eastAsia="zh-CN" w:bidi="ar-SA"/>
              </w:rPr>
              <w:t>3、</w:t>
            </w:r>
            <w:r>
              <w:rPr>
                <w:rFonts w:hint="eastAsia" w:ascii="宋体" w:hAnsi="Times New Roman" w:cs="Times New Roman" w:eastAsiaTheme="minorEastAsia"/>
                <w:b w:val="0"/>
                <w:bCs w:val="0"/>
                <w:kern w:val="2"/>
                <w:sz w:val="24"/>
                <w:szCs w:val="21"/>
                <w:lang w:val="zh-CN" w:eastAsia="zh-CN" w:bidi="ar-SA"/>
              </w:rPr>
              <w:t>监测周期</w:t>
            </w:r>
          </w:p>
          <w:p w14:paraId="27875C96">
            <w:pPr>
              <w:numPr>
                <w:ilvl w:val="0"/>
                <w:numId w:val="0"/>
              </w:numPr>
              <w:spacing w:line="360" w:lineRule="auto"/>
              <w:ind w:firstLine="482" w:firstLineChars="0"/>
              <w:rPr>
                <w:rFonts w:hint="eastAsia" w:ascii="宋体" w:hAnsi="Times New Roman" w:cs="Times New Roman" w:eastAsiaTheme="minorEastAsia"/>
                <w:b w:val="0"/>
                <w:bCs w:val="0"/>
                <w:kern w:val="2"/>
                <w:sz w:val="24"/>
                <w:szCs w:val="21"/>
                <w:lang w:val="zh-CN" w:eastAsia="zh-CN" w:bidi="ar-SA"/>
              </w:rPr>
            </w:pPr>
            <w:r>
              <w:rPr>
                <w:rFonts w:eastAsiaTheme="minorEastAsia"/>
                <w:sz w:val="24"/>
              </w:rPr>
              <w:t>项目实施周期共计5年，根据各项指标的监测频率开展移植红树林生态系统生态监测。</w:t>
            </w:r>
          </w:p>
          <w:p w14:paraId="71ABE78E">
            <w:pPr>
              <w:numPr>
                <w:ilvl w:val="0"/>
                <w:numId w:val="0"/>
              </w:numPr>
              <w:spacing w:line="360" w:lineRule="auto"/>
              <w:ind w:firstLine="482" w:firstLineChars="0"/>
              <w:rPr>
                <w:rFonts w:hint="eastAsia" w:ascii="宋体" w:hAnsi="Times New Roman" w:cs="Times New Roman" w:eastAsiaTheme="minorEastAsia"/>
                <w:b w:val="0"/>
                <w:bCs w:val="0"/>
                <w:kern w:val="2"/>
                <w:sz w:val="24"/>
                <w:szCs w:val="21"/>
                <w:lang w:val="zh-CN" w:eastAsia="zh-CN" w:bidi="ar-SA"/>
              </w:rPr>
            </w:pPr>
            <w:r>
              <w:rPr>
                <w:rFonts w:hint="eastAsia" w:ascii="Times New Roman" w:hAnsi="Times New Roman" w:eastAsiaTheme="minorEastAsia"/>
                <w:bCs/>
                <w:sz w:val="24"/>
                <w:lang w:val="en-US" w:bidi="zh-CN"/>
              </w:rPr>
              <w:t>4、</w:t>
            </w:r>
            <w:r>
              <w:rPr>
                <w:rFonts w:ascii="Times New Roman" w:hAnsi="Times New Roman" w:eastAsiaTheme="minorEastAsia"/>
                <w:bCs/>
                <w:sz w:val="24"/>
                <w:lang w:val="zh-CN" w:bidi="zh-CN"/>
              </w:rPr>
              <w:t>移植效果评估</w:t>
            </w:r>
          </w:p>
          <w:p w14:paraId="60ED2821">
            <w:pPr>
              <w:numPr>
                <w:ilvl w:val="0"/>
                <w:numId w:val="0"/>
              </w:numPr>
              <w:spacing w:line="360" w:lineRule="auto"/>
              <w:ind w:firstLine="482" w:firstLineChars="0"/>
              <w:rPr>
                <w:rFonts w:hint="eastAsia" w:ascii="宋体" w:hAnsi="Times New Roman" w:cs="Times New Roman" w:eastAsiaTheme="minorEastAsia"/>
                <w:b w:val="0"/>
                <w:bCs w:val="0"/>
                <w:kern w:val="2"/>
                <w:sz w:val="24"/>
                <w:szCs w:val="21"/>
                <w:lang w:val="zh-CN" w:eastAsia="zh-CN" w:bidi="ar-SA"/>
              </w:rPr>
            </w:pPr>
            <w:r>
              <w:rPr>
                <w:rFonts w:eastAsiaTheme="minorEastAsia"/>
                <w:sz w:val="24"/>
              </w:rPr>
              <w:t>在移植实施完成后5 年内，根据监测</w:t>
            </w:r>
            <w:r>
              <w:rPr>
                <w:rFonts w:hint="eastAsia" w:eastAsiaTheme="minorEastAsia"/>
                <w:sz w:val="24"/>
              </w:rPr>
              <w:t>的</w:t>
            </w:r>
            <w:r>
              <w:rPr>
                <w:rFonts w:eastAsiaTheme="minorEastAsia"/>
                <w:sz w:val="24"/>
              </w:rPr>
              <w:t>红树植物保存率、红树林植被覆盖、红树林植物群落、大型底栖动物和沉积物环境状况等</w:t>
            </w:r>
            <w:r>
              <w:rPr>
                <w:rFonts w:hint="eastAsia" w:eastAsiaTheme="minorEastAsia"/>
                <w:sz w:val="24"/>
              </w:rPr>
              <w:t>指标</w:t>
            </w:r>
            <w:r>
              <w:rPr>
                <w:rFonts w:eastAsiaTheme="minorEastAsia"/>
                <w:sz w:val="24"/>
              </w:rPr>
              <w:t>，从生态恢复目标实现程度进行恢复效果评估。</w:t>
            </w:r>
          </w:p>
          <w:p w14:paraId="22A0D302">
            <w:pPr>
              <w:numPr>
                <w:ilvl w:val="0"/>
                <w:numId w:val="0"/>
              </w:numPr>
              <w:spacing w:line="360" w:lineRule="auto"/>
              <w:ind w:firstLine="482" w:firstLineChars="0"/>
              <w:rPr>
                <w:rFonts w:hint="default" w:ascii="宋体" w:hAnsi="Times New Roman" w:cs="Times New Roman" w:eastAsiaTheme="minorEastAsia"/>
                <w:b w:val="0"/>
                <w:bCs w:val="0"/>
                <w:kern w:val="2"/>
                <w:sz w:val="24"/>
                <w:szCs w:val="21"/>
                <w:lang w:val="en-US" w:eastAsia="zh-CN" w:bidi="ar-SA"/>
              </w:rPr>
            </w:pPr>
            <w:r>
              <w:rPr>
                <w:rFonts w:hint="eastAsia" w:ascii="宋体" w:hAnsi="Times New Roman" w:cs="Times New Roman" w:eastAsiaTheme="minorEastAsia"/>
                <w:b w:val="0"/>
                <w:bCs w:val="0"/>
                <w:kern w:val="2"/>
                <w:sz w:val="24"/>
                <w:szCs w:val="21"/>
                <w:lang w:val="en-US" w:eastAsia="zh-CN" w:bidi="ar-SA"/>
              </w:rPr>
              <w:t>5、</w:t>
            </w:r>
            <w:r>
              <w:rPr>
                <w:rFonts w:ascii="Times New Roman" w:hAnsi="Times New Roman" w:eastAsiaTheme="minorEastAsia"/>
                <w:bCs/>
                <w:sz w:val="24"/>
                <w:lang w:val="zh-CN" w:bidi="zh-CN"/>
              </w:rPr>
              <w:t>生态修复适应性管理</w:t>
            </w:r>
          </w:p>
          <w:p w14:paraId="2E6AA429">
            <w:pPr>
              <w:numPr>
                <w:ilvl w:val="0"/>
                <w:numId w:val="0"/>
              </w:numPr>
              <w:spacing w:line="360" w:lineRule="auto"/>
              <w:ind w:firstLine="482" w:firstLineChars="0"/>
              <w:rPr>
                <w:rFonts w:hint="eastAsia" w:ascii="宋体" w:hAnsi="Times New Roman" w:cs="Times New Roman" w:eastAsiaTheme="minorEastAsia"/>
                <w:b w:val="0"/>
                <w:bCs w:val="0"/>
                <w:kern w:val="2"/>
                <w:sz w:val="24"/>
                <w:szCs w:val="21"/>
                <w:lang w:val="zh-CN" w:eastAsia="zh-CN" w:bidi="ar-SA"/>
              </w:rPr>
            </w:pPr>
            <w:r>
              <w:rPr>
                <w:rFonts w:eastAsiaTheme="minorEastAsia"/>
                <w:sz w:val="24"/>
              </w:rPr>
              <w:t>根据移植区的威胁因素、地形地貌的维持、沉积物环境，红树林以及其他生物群落等生长情况，判断修复采用的技术是否有效；对于移植效果不理想或移植目标未实现的，分析失败的原因，必要时调整移植措施和技术，或引入一些新的移植措施和技术。</w:t>
            </w:r>
          </w:p>
          <w:p w14:paraId="7730EC4C">
            <w:pPr>
              <w:numPr>
                <w:ilvl w:val="0"/>
                <w:numId w:val="0"/>
              </w:numPr>
              <w:spacing w:line="360" w:lineRule="auto"/>
              <w:ind w:firstLine="482" w:firstLineChars="0"/>
              <w:rPr>
                <w:rFonts w:hint="default" w:ascii="宋体" w:hAnsi="Times New Roman" w:cs="Times New Roman" w:eastAsiaTheme="minorEastAsia"/>
                <w:b w:val="0"/>
                <w:bCs w:val="0"/>
                <w:kern w:val="2"/>
                <w:sz w:val="24"/>
                <w:szCs w:val="21"/>
                <w:lang w:val="en-US" w:eastAsia="zh-CN" w:bidi="ar-SA"/>
              </w:rPr>
            </w:pPr>
            <w:r>
              <w:rPr>
                <w:rFonts w:hint="eastAsia" w:ascii="宋体" w:hAnsi="Times New Roman" w:cs="Times New Roman" w:eastAsiaTheme="minorEastAsia"/>
                <w:b w:val="0"/>
                <w:bCs w:val="0"/>
                <w:kern w:val="2"/>
                <w:sz w:val="24"/>
                <w:szCs w:val="21"/>
                <w:lang w:val="en-US" w:eastAsia="zh-CN" w:bidi="ar-SA"/>
              </w:rPr>
              <w:t>6、检查与验收</w:t>
            </w:r>
          </w:p>
          <w:p w14:paraId="35A84B9F">
            <w:pPr>
              <w:pStyle w:val="23"/>
              <w:spacing w:line="360" w:lineRule="auto"/>
              <w:ind w:firstLine="480" w:firstLineChars="200"/>
              <w:rPr>
                <w:rFonts w:hint="eastAsia" w:eastAsiaTheme="minorEastAsia"/>
                <w:sz w:val="24"/>
              </w:rPr>
            </w:pPr>
            <w:r>
              <w:rPr>
                <w:rFonts w:hint="eastAsia" w:eastAsiaTheme="minorEastAsia"/>
                <w:sz w:val="24"/>
                <w:lang w:eastAsia="zh-CN"/>
              </w:rPr>
              <w:t>由</w:t>
            </w:r>
            <w:r>
              <w:rPr>
                <w:rFonts w:hint="eastAsia" w:eastAsiaTheme="minorEastAsia"/>
                <w:sz w:val="24"/>
              </w:rPr>
              <w:t>第三方专家或技术人员对项目实施过程进行核查验收，检查与验收主要参照通过自治区林业局组织专家论证的《广西红树林造林修复技术指南（试行）》和《红树林造林合格面积认定及成果应用规则（试行）》（自然资办发〔2022〕27号）。含三次检查与查定，包括红树林移植施工后的查定，中期验收和竣工验收。</w:t>
            </w:r>
          </w:p>
          <w:p w14:paraId="195EA5D9">
            <w:pPr>
              <w:numPr>
                <w:ilvl w:val="0"/>
                <w:numId w:val="0"/>
              </w:numPr>
              <w:spacing w:line="360" w:lineRule="auto"/>
              <w:ind w:firstLine="482" w:firstLineChars="0"/>
              <w:rPr>
                <w:rFonts w:ascii="宋体" w:cs="宋体"/>
                <w:kern w:val="0"/>
                <w:sz w:val="24"/>
                <w:lang w:val="zh-CN"/>
              </w:rPr>
            </w:pPr>
            <w:r>
              <w:rPr>
                <w:rFonts w:hint="eastAsia" w:eastAsiaTheme="minorEastAsia"/>
                <w:sz w:val="24"/>
              </w:rPr>
              <w:t>检查验收标准：实际移植数量达到规定移植数量240株，各类管护措施实施到位，视为合格。施工日志、试验记录、监测报告等齐全完整，视为合格。</w:t>
            </w:r>
          </w:p>
        </w:tc>
      </w:tr>
      <w:tr w14:paraId="2771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286" w:type="dxa"/>
            <w:gridSpan w:val="3"/>
          </w:tcPr>
          <w:p w14:paraId="327E0421">
            <w:pPr>
              <w:autoSpaceDE w:val="0"/>
              <w:autoSpaceDN w:val="0"/>
              <w:adjustRightInd w:val="0"/>
              <w:outlineLvl w:val="1"/>
              <w:rPr>
                <w:rFonts w:ascii="宋体" w:cs="宋体"/>
                <w:b/>
                <w:bCs/>
                <w:kern w:val="0"/>
                <w:sz w:val="24"/>
                <w:lang w:val="zh-CN"/>
              </w:rPr>
            </w:pPr>
            <w:r>
              <w:rPr>
                <w:rFonts w:hint="eastAsia" w:ascii="宋体" w:cs="宋体"/>
                <w:b/>
                <w:bCs/>
                <w:kern w:val="0"/>
                <w:sz w:val="24"/>
                <w:lang w:val="zh-CN"/>
              </w:rPr>
              <w:t>二、商务要求</w:t>
            </w:r>
          </w:p>
        </w:tc>
      </w:tr>
      <w:tr w14:paraId="4C78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gridSpan w:val="2"/>
          </w:tcPr>
          <w:p w14:paraId="3BB0BBF6">
            <w:pPr>
              <w:autoSpaceDE w:val="0"/>
              <w:autoSpaceDN w:val="0"/>
              <w:adjustRightInd w:val="0"/>
              <w:jc w:val="center"/>
              <w:outlineLvl w:val="1"/>
              <w:rPr>
                <w:rFonts w:ascii="宋体" w:cs="宋体"/>
                <w:b/>
                <w:bCs/>
                <w:kern w:val="0"/>
                <w:sz w:val="24"/>
                <w:highlight w:val="none"/>
                <w:lang w:val="zh-CN"/>
              </w:rPr>
            </w:pPr>
            <w:r>
              <w:rPr>
                <w:rFonts w:hint="eastAsia" w:asciiTheme="minorEastAsia" w:hAnsiTheme="minorEastAsia" w:eastAsiaTheme="minorEastAsia" w:cstheme="minorEastAsia"/>
                <w:b/>
                <w:sz w:val="24"/>
                <w:highlight w:val="none"/>
              </w:rPr>
              <w:t>1.合同履行期限及地点</w:t>
            </w:r>
          </w:p>
        </w:tc>
        <w:tc>
          <w:tcPr>
            <w:tcW w:w="6937" w:type="dxa"/>
          </w:tcPr>
          <w:p w14:paraId="0627914E">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sz w:val="24"/>
                <w:highlight w:val="none"/>
              </w:rPr>
              <w:t>1.1从项目合同签订起开始计算，其中</w:t>
            </w:r>
            <w:r>
              <w:rPr>
                <w:rFonts w:hint="eastAsia" w:asciiTheme="minorEastAsia" w:hAnsiTheme="minorEastAsia" w:eastAsiaTheme="minorEastAsia" w:cstheme="minorEastAsia"/>
                <w:bCs/>
                <w:sz w:val="24"/>
                <w:highlight w:val="none"/>
                <w:lang w:eastAsia="zh-CN"/>
              </w:rPr>
              <w:t>移植</w:t>
            </w:r>
            <w:r>
              <w:rPr>
                <w:rFonts w:hint="eastAsia" w:asciiTheme="minorEastAsia" w:hAnsiTheme="minorEastAsia" w:eastAsiaTheme="minorEastAsia" w:cstheme="minorEastAsia"/>
                <w:bCs/>
                <w:sz w:val="24"/>
                <w:highlight w:val="none"/>
              </w:rPr>
              <w:t>工期</w:t>
            </w:r>
            <w:r>
              <w:rPr>
                <w:rFonts w:hint="eastAsia" w:asciiTheme="minorEastAsia" w:hAnsiTheme="minorEastAsia" w:eastAsiaTheme="minorEastAsia" w:cstheme="minorEastAsia"/>
                <w:bCs/>
                <w:sz w:val="24"/>
                <w:highlight w:val="none"/>
                <w:lang w:val="en-US" w:eastAsia="zh-CN"/>
              </w:rPr>
              <w:t>120日历天</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eastAsia="zh-CN"/>
              </w:rPr>
              <w:t>管护期</w:t>
            </w:r>
            <w:r>
              <w:rPr>
                <w:rFonts w:hint="eastAsia" w:asciiTheme="minorEastAsia" w:hAnsiTheme="minorEastAsia" w:eastAsiaTheme="minorEastAsia" w:cstheme="minorEastAsia"/>
                <w:bCs/>
                <w:sz w:val="24"/>
                <w:highlight w:val="none"/>
                <w:lang w:val="en-US" w:eastAsia="zh-CN"/>
              </w:rPr>
              <w:t>5年，</w:t>
            </w:r>
            <w:r>
              <w:rPr>
                <w:rFonts w:hint="eastAsia" w:asciiTheme="minorEastAsia" w:hAnsiTheme="minorEastAsia" w:eastAsiaTheme="minorEastAsia" w:cstheme="minorEastAsia"/>
                <w:bCs/>
                <w:sz w:val="24"/>
                <w:highlight w:val="none"/>
              </w:rPr>
              <w:t>监测期5年</w:t>
            </w:r>
            <w:r>
              <w:rPr>
                <w:rFonts w:hint="eastAsia" w:asciiTheme="minorEastAsia" w:hAnsiTheme="minorEastAsia" w:eastAsiaTheme="minorEastAsia" w:cstheme="minorEastAsia"/>
                <w:sz w:val="24"/>
                <w:highlight w:val="none"/>
              </w:rPr>
              <w:t>。</w:t>
            </w:r>
          </w:p>
          <w:p w14:paraId="36FE1502">
            <w:pPr>
              <w:pStyle w:val="38"/>
              <w:rPr>
                <w:rFonts w:ascii="宋体" w:cs="宋体"/>
                <w:b/>
                <w:bCs/>
                <w:kern w:val="0"/>
                <w:sz w:val="24"/>
                <w:szCs w:val="24"/>
                <w:highlight w:val="none"/>
                <w:lang w:val="zh-CN"/>
              </w:rPr>
            </w:pPr>
            <w:r>
              <w:rPr>
                <w:rFonts w:hint="eastAsia" w:asciiTheme="minorEastAsia" w:hAnsiTheme="minorEastAsia" w:eastAsiaTheme="minorEastAsia" w:cstheme="minorEastAsia"/>
                <w:sz w:val="24"/>
                <w:szCs w:val="24"/>
                <w:highlight w:val="none"/>
              </w:rPr>
              <w:t>1.2采购人指定的地点。</w:t>
            </w:r>
          </w:p>
        </w:tc>
      </w:tr>
      <w:tr w14:paraId="6765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gridSpan w:val="2"/>
          </w:tcPr>
          <w:p w14:paraId="50507A10">
            <w:pPr>
              <w:autoSpaceDE w:val="0"/>
              <w:autoSpaceDN w:val="0"/>
              <w:adjustRightInd w:val="0"/>
              <w:jc w:val="center"/>
              <w:outlineLvl w:val="1"/>
              <w:rPr>
                <w:rFonts w:asciiTheme="minorEastAsia" w:hAnsiTheme="minorEastAsia" w:eastAsiaTheme="minorEastAsia" w:cstheme="minorEastAsia"/>
                <w:b/>
                <w:sz w:val="24"/>
              </w:rPr>
            </w:pPr>
          </w:p>
          <w:p w14:paraId="3A679B05">
            <w:pPr>
              <w:autoSpaceDE w:val="0"/>
              <w:autoSpaceDN w:val="0"/>
              <w:adjustRightInd w:val="0"/>
              <w:jc w:val="center"/>
              <w:outlineLvl w:val="1"/>
              <w:rPr>
                <w:rFonts w:asciiTheme="minorEastAsia" w:hAnsiTheme="minorEastAsia" w:eastAsiaTheme="minorEastAsia" w:cstheme="minorEastAsia"/>
                <w:b/>
                <w:sz w:val="24"/>
              </w:rPr>
            </w:pPr>
          </w:p>
          <w:p w14:paraId="33B2D52D">
            <w:pPr>
              <w:autoSpaceDE w:val="0"/>
              <w:autoSpaceDN w:val="0"/>
              <w:adjustRightInd w:val="0"/>
              <w:jc w:val="center"/>
              <w:outlineLvl w:val="1"/>
              <w:rPr>
                <w:rFonts w:ascii="宋体" w:cs="宋体"/>
                <w:b/>
                <w:bCs/>
                <w:kern w:val="0"/>
                <w:sz w:val="24"/>
                <w:lang w:val="zh-CN"/>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b/>
                <w:kern w:val="1"/>
                <w:sz w:val="24"/>
              </w:rPr>
              <w:t>服务要求</w:t>
            </w:r>
          </w:p>
        </w:tc>
        <w:tc>
          <w:tcPr>
            <w:tcW w:w="6937" w:type="dxa"/>
          </w:tcPr>
          <w:p w14:paraId="6EA8E853">
            <w:pPr>
              <w:pStyle w:val="637"/>
              <w:tabs>
                <w:tab w:val="left" w:pos="318"/>
              </w:tabs>
              <w:spacing w:before="3" w:line="360" w:lineRule="auto"/>
              <w:ind w:right="99"/>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kern w:val="1"/>
                <w:sz w:val="24"/>
                <w:lang w:val="en-US"/>
              </w:rPr>
              <w:t>2.1</w:t>
            </w:r>
            <w:r>
              <w:rPr>
                <w:rFonts w:hint="eastAsia" w:asciiTheme="minorEastAsia" w:hAnsiTheme="minorEastAsia" w:eastAsiaTheme="minorEastAsia" w:cstheme="minorEastAsia"/>
                <w:spacing w:val="-10"/>
                <w:sz w:val="24"/>
              </w:rPr>
              <w:t xml:space="preserve">提供详尽的服务计划，服务期限内接到采购人通知后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2"/>
                <w:sz w:val="24"/>
              </w:rPr>
              <w:t xml:space="preserve"> 小时内做出响应，并在</w:t>
            </w:r>
            <w:r>
              <w:rPr>
                <w:rFonts w:hint="eastAsia" w:asciiTheme="minorEastAsia" w:hAnsiTheme="minorEastAsia" w:eastAsiaTheme="minorEastAsia" w:cstheme="minorEastAsia"/>
                <w:spacing w:val="-10"/>
                <w:sz w:val="24"/>
              </w:rPr>
              <w:t xml:space="preserve">接到采购人通知后 </w:t>
            </w:r>
            <w:r>
              <w:rPr>
                <w:rFonts w:hint="eastAsia" w:asciiTheme="minorEastAsia" w:hAnsiTheme="minorEastAsia" w:eastAsiaTheme="minorEastAsia" w:cstheme="minorEastAsia"/>
                <w:sz w:val="24"/>
              </w:rPr>
              <w:t>24</w:t>
            </w:r>
            <w:r>
              <w:rPr>
                <w:rFonts w:hint="eastAsia" w:asciiTheme="minorEastAsia" w:hAnsiTheme="minorEastAsia" w:eastAsiaTheme="minorEastAsia" w:cstheme="minorEastAsia"/>
                <w:spacing w:val="-8"/>
                <w:sz w:val="24"/>
              </w:rPr>
              <w:t xml:space="preserve"> 小时内到达现场，48</w:t>
            </w:r>
            <w:r>
              <w:rPr>
                <w:rFonts w:hint="eastAsia" w:asciiTheme="minorEastAsia" w:hAnsiTheme="minorEastAsia" w:eastAsiaTheme="minorEastAsia" w:cstheme="minorEastAsia"/>
                <w:spacing w:val="-9"/>
                <w:sz w:val="24"/>
              </w:rPr>
              <w:t xml:space="preserve"> 小时内排查问题并给予解决方案，如</w:t>
            </w:r>
            <w:r>
              <w:rPr>
                <w:rFonts w:hint="eastAsia" w:asciiTheme="minorEastAsia" w:hAnsiTheme="minorEastAsia" w:eastAsiaTheme="minorEastAsia" w:cstheme="minorEastAsia"/>
                <w:spacing w:val="-11"/>
                <w:sz w:val="24"/>
              </w:rPr>
              <w:t>无法解决而造成的经济损失，由中标人承担</w:t>
            </w:r>
            <w:r>
              <w:rPr>
                <w:rFonts w:hint="eastAsia" w:asciiTheme="minorEastAsia" w:hAnsiTheme="minorEastAsia" w:eastAsiaTheme="minorEastAsia" w:cstheme="minorEastAsia"/>
                <w:spacing w:val="-6"/>
                <w:sz w:val="24"/>
              </w:rPr>
              <w:t>。</w:t>
            </w:r>
          </w:p>
          <w:p w14:paraId="60E5B535">
            <w:pPr>
              <w:pStyle w:val="637"/>
              <w:tabs>
                <w:tab w:val="left" w:pos="318"/>
              </w:tabs>
              <w:spacing w:before="3" w:line="360" w:lineRule="auto"/>
              <w:ind w:right="99"/>
              <w:rPr>
                <w:rFonts w:hAnsi="Times New Roman"/>
                <w:b/>
                <w:bCs/>
                <w:kern w:val="0"/>
                <w:sz w:val="24"/>
              </w:rPr>
            </w:pPr>
            <w:r>
              <w:rPr>
                <w:rFonts w:hint="eastAsia" w:asciiTheme="minorEastAsia" w:hAnsiTheme="minorEastAsia" w:eastAsiaTheme="minorEastAsia" w:cstheme="minorEastAsia"/>
                <w:spacing w:val="-6"/>
                <w:sz w:val="24"/>
                <w:lang w:val="en-US"/>
              </w:rPr>
              <w:t>2.2</w:t>
            </w:r>
            <w:r>
              <w:rPr>
                <w:rFonts w:hint="eastAsia" w:asciiTheme="minorEastAsia" w:hAnsiTheme="minorEastAsia" w:eastAsiaTheme="minorEastAsia" w:cstheme="minorEastAsia"/>
                <w:spacing w:val="-3"/>
                <w:sz w:val="24"/>
              </w:rPr>
              <w:t>其余按投标人承诺。</w:t>
            </w:r>
          </w:p>
        </w:tc>
      </w:tr>
      <w:tr w14:paraId="2A51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2349" w:type="dxa"/>
            <w:gridSpan w:val="2"/>
          </w:tcPr>
          <w:p w14:paraId="3EA7FBC9">
            <w:pPr>
              <w:autoSpaceDE w:val="0"/>
              <w:autoSpaceDN w:val="0"/>
              <w:adjustRightInd w:val="0"/>
              <w:jc w:val="center"/>
              <w:outlineLvl w:val="1"/>
              <w:rPr>
                <w:rFonts w:asciiTheme="minorEastAsia" w:hAnsiTheme="minorEastAsia" w:eastAsiaTheme="minorEastAsia" w:cstheme="minorEastAsia"/>
                <w:b/>
                <w:bCs/>
                <w:sz w:val="24"/>
              </w:rPr>
            </w:pPr>
          </w:p>
          <w:p w14:paraId="4D732EC0">
            <w:pPr>
              <w:autoSpaceDE w:val="0"/>
              <w:autoSpaceDN w:val="0"/>
              <w:adjustRightInd w:val="0"/>
              <w:jc w:val="center"/>
              <w:outlineLvl w:val="1"/>
              <w:rPr>
                <w:rFonts w:asciiTheme="minorEastAsia" w:hAnsiTheme="minorEastAsia" w:eastAsiaTheme="minorEastAsia" w:cstheme="minorEastAsia"/>
                <w:b/>
                <w:bCs/>
                <w:sz w:val="24"/>
              </w:rPr>
            </w:pPr>
          </w:p>
          <w:p w14:paraId="3CF19A74">
            <w:pPr>
              <w:autoSpaceDE w:val="0"/>
              <w:autoSpaceDN w:val="0"/>
              <w:adjustRightInd w:val="0"/>
              <w:jc w:val="center"/>
              <w:outlineLvl w:val="1"/>
              <w:rPr>
                <w:rFonts w:hint="eastAsia" w:asciiTheme="minorEastAsia" w:hAnsiTheme="minorEastAsia" w:eastAsiaTheme="minorEastAsia" w:cstheme="minorEastAsia"/>
                <w:b/>
                <w:bCs/>
                <w:sz w:val="24"/>
                <w:highlight w:val="yellow"/>
              </w:rPr>
            </w:pPr>
          </w:p>
          <w:p w14:paraId="23ED47A8">
            <w:pPr>
              <w:autoSpaceDE w:val="0"/>
              <w:autoSpaceDN w:val="0"/>
              <w:adjustRightInd w:val="0"/>
              <w:jc w:val="center"/>
              <w:outlineLvl w:val="1"/>
              <w:rPr>
                <w:rFonts w:hint="eastAsia" w:asciiTheme="minorEastAsia" w:hAnsiTheme="minorEastAsia" w:eastAsiaTheme="minorEastAsia" w:cstheme="minorEastAsia"/>
                <w:b/>
                <w:bCs/>
                <w:sz w:val="24"/>
                <w:highlight w:val="yellow"/>
              </w:rPr>
            </w:pPr>
          </w:p>
          <w:p w14:paraId="56D568B2">
            <w:pPr>
              <w:autoSpaceDE w:val="0"/>
              <w:autoSpaceDN w:val="0"/>
              <w:adjustRightInd w:val="0"/>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highlight w:val="none"/>
              </w:rPr>
              <w:t>3.付款方式</w:t>
            </w:r>
          </w:p>
        </w:tc>
        <w:tc>
          <w:tcPr>
            <w:tcW w:w="6937" w:type="dxa"/>
          </w:tcPr>
          <w:p w14:paraId="541E528C">
            <w:pPr>
              <w:pStyle w:val="15"/>
              <w:numPr>
                <w:ilvl w:val="0"/>
                <w:numId w:val="0"/>
              </w:numPr>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合同签订后，采购人向</w:t>
            </w:r>
            <w:r>
              <w:rPr>
                <w:rFonts w:hint="eastAsia" w:asciiTheme="minorEastAsia" w:hAnsiTheme="minorEastAsia" w:eastAsiaTheme="minorEastAsia" w:cstheme="minorEastAsia"/>
                <w:spacing w:val="-6"/>
                <w:sz w:val="24"/>
                <w:lang w:eastAsia="zh-CN"/>
              </w:rPr>
              <w:t>成交供应商</w:t>
            </w:r>
            <w:r>
              <w:rPr>
                <w:rFonts w:hint="eastAsia" w:asciiTheme="minorEastAsia" w:hAnsiTheme="minorEastAsia" w:eastAsiaTheme="minorEastAsia" w:cstheme="minorEastAsia"/>
                <w:spacing w:val="-6"/>
                <w:sz w:val="24"/>
              </w:rPr>
              <w:t>支付签约合同总金额的</w:t>
            </w:r>
            <w:r>
              <w:rPr>
                <w:rFonts w:hint="eastAsia" w:asciiTheme="minorEastAsia" w:hAnsiTheme="minorEastAsia" w:eastAsiaTheme="minorEastAsia" w:cstheme="minorEastAsia"/>
                <w:spacing w:val="-6"/>
                <w:sz w:val="24"/>
                <w:lang w:val="en-US" w:eastAsia="zh-CN"/>
              </w:rPr>
              <w:t>40</w:t>
            </w:r>
            <w:r>
              <w:rPr>
                <w:rFonts w:hint="eastAsia" w:asciiTheme="minorEastAsia" w:hAnsiTheme="minorEastAsia" w:eastAsiaTheme="minorEastAsia" w:cstheme="minorEastAsia"/>
                <w:spacing w:val="-6"/>
                <w:sz w:val="24"/>
              </w:rPr>
              <w:t>%作为预付款</w:t>
            </w:r>
            <w:r>
              <w:rPr>
                <w:rFonts w:hint="eastAsia" w:asciiTheme="minorEastAsia" w:hAnsiTheme="minorEastAsia" w:eastAsiaTheme="minorEastAsia" w:cstheme="minorEastAsia"/>
                <w:spacing w:val="-6"/>
                <w:sz w:val="24"/>
                <w:lang w:eastAsia="zh-CN"/>
              </w:rPr>
              <w:t>；</w:t>
            </w:r>
            <w:r>
              <w:rPr>
                <w:rFonts w:hint="eastAsia" w:asciiTheme="minorEastAsia" w:hAnsiTheme="minorEastAsia" w:eastAsiaTheme="minorEastAsia" w:cstheme="minorEastAsia"/>
                <w:spacing w:val="-6"/>
                <w:sz w:val="24"/>
              </w:rPr>
              <w:t>第</w:t>
            </w:r>
            <w:r>
              <w:rPr>
                <w:rFonts w:hint="eastAsia" w:asciiTheme="minorEastAsia" w:hAnsiTheme="minorEastAsia" w:eastAsiaTheme="minorEastAsia" w:cstheme="minorEastAsia"/>
                <w:spacing w:val="-6"/>
                <w:sz w:val="24"/>
                <w:lang w:eastAsia="zh-CN"/>
              </w:rPr>
              <w:t>一</w:t>
            </w:r>
            <w:r>
              <w:rPr>
                <w:rFonts w:hint="eastAsia" w:asciiTheme="minorEastAsia" w:hAnsiTheme="minorEastAsia" w:eastAsiaTheme="minorEastAsia" w:cstheme="minorEastAsia"/>
                <w:spacing w:val="-6"/>
                <w:sz w:val="24"/>
              </w:rPr>
              <w:t>年</w:t>
            </w:r>
            <w:r>
              <w:rPr>
                <w:rFonts w:hint="eastAsia" w:asciiTheme="minorEastAsia" w:hAnsiTheme="minorEastAsia" w:eastAsiaTheme="minorEastAsia" w:cstheme="minorEastAsia"/>
                <w:spacing w:val="-6"/>
                <w:sz w:val="24"/>
                <w:lang w:eastAsia="zh-CN"/>
              </w:rPr>
              <w:t>试验</w:t>
            </w:r>
            <w:r>
              <w:rPr>
                <w:rFonts w:hint="eastAsia" w:asciiTheme="minorEastAsia" w:hAnsiTheme="minorEastAsia" w:eastAsiaTheme="minorEastAsia" w:cstheme="minorEastAsia"/>
                <w:spacing w:val="-6"/>
                <w:sz w:val="24"/>
              </w:rPr>
              <w:t>任务完成并提交相关监测报告后支付合同总金额的</w:t>
            </w:r>
            <w:r>
              <w:rPr>
                <w:rFonts w:hint="eastAsia" w:asciiTheme="minorEastAsia" w:hAnsiTheme="minorEastAsia" w:eastAsiaTheme="minorEastAsia" w:cstheme="minorEastAsia"/>
                <w:spacing w:val="-6"/>
                <w:sz w:val="24"/>
                <w:lang w:val="en-US" w:eastAsia="zh-CN"/>
              </w:rPr>
              <w:t>20</w:t>
            </w:r>
            <w:r>
              <w:rPr>
                <w:rFonts w:hint="eastAsia" w:asciiTheme="minorEastAsia" w:hAnsiTheme="minorEastAsia" w:eastAsiaTheme="minorEastAsia" w:cstheme="minorEastAsia"/>
                <w:spacing w:val="-6"/>
                <w:sz w:val="24"/>
              </w:rPr>
              <w:t>%，第</w:t>
            </w:r>
            <w:r>
              <w:rPr>
                <w:rFonts w:hint="eastAsia" w:asciiTheme="minorEastAsia" w:hAnsiTheme="minorEastAsia" w:eastAsiaTheme="minorEastAsia" w:cstheme="minorEastAsia"/>
                <w:spacing w:val="-6"/>
                <w:sz w:val="24"/>
                <w:lang w:eastAsia="zh-CN"/>
              </w:rPr>
              <w:t>二</w:t>
            </w:r>
            <w:r>
              <w:rPr>
                <w:rFonts w:hint="eastAsia" w:asciiTheme="minorEastAsia" w:hAnsiTheme="minorEastAsia" w:eastAsiaTheme="minorEastAsia" w:cstheme="minorEastAsia"/>
                <w:spacing w:val="-6"/>
                <w:sz w:val="24"/>
              </w:rPr>
              <w:t>年</w:t>
            </w:r>
            <w:r>
              <w:rPr>
                <w:rFonts w:hint="eastAsia" w:asciiTheme="minorEastAsia" w:hAnsiTheme="minorEastAsia" w:eastAsiaTheme="minorEastAsia" w:cstheme="minorEastAsia"/>
                <w:spacing w:val="-6"/>
                <w:sz w:val="24"/>
                <w:lang w:eastAsia="zh-CN"/>
              </w:rPr>
              <w:t>试验</w:t>
            </w:r>
            <w:r>
              <w:rPr>
                <w:rFonts w:hint="eastAsia" w:asciiTheme="minorEastAsia" w:hAnsiTheme="minorEastAsia" w:eastAsiaTheme="minorEastAsia" w:cstheme="minorEastAsia"/>
                <w:spacing w:val="-6"/>
                <w:sz w:val="24"/>
              </w:rPr>
              <w:t>任务完成并提交相关监测报告后支付合同总金额的</w:t>
            </w:r>
            <w:r>
              <w:rPr>
                <w:rFonts w:hint="eastAsia" w:asciiTheme="minorEastAsia" w:hAnsiTheme="minorEastAsia" w:eastAsiaTheme="minorEastAsia" w:cstheme="minorEastAsia"/>
                <w:spacing w:val="-6"/>
                <w:sz w:val="24"/>
                <w:lang w:val="en-US" w:eastAsia="zh-CN"/>
              </w:rPr>
              <w:t>15</w:t>
            </w:r>
            <w:r>
              <w:rPr>
                <w:rFonts w:hint="eastAsia" w:asciiTheme="minorEastAsia" w:hAnsiTheme="minorEastAsia" w:eastAsiaTheme="minorEastAsia" w:cstheme="minorEastAsia"/>
                <w:spacing w:val="-6"/>
                <w:sz w:val="24"/>
              </w:rPr>
              <w:t>%</w:t>
            </w:r>
            <w:r>
              <w:rPr>
                <w:rFonts w:hint="eastAsia" w:asciiTheme="minorEastAsia" w:hAnsiTheme="minorEastAsia" w:eastAsiaTheme="minorEastAsia" w:cstheme="minorEastAsia"/>
                <w:spacing w:val="-6"/>
                <w:sz w:val="24"/>
                <w:lang w:eastAsia="zh-CN"/>
              </w:rPr>
              <w:t>；</w:t>
            </w:r>
            <w:r>
              <w:rPr>
                <w:rFonts w:hint="eastAsia" w:asciiTheme="minorEastAsia" w:hAnsiTheme="minorEastAsia" w:eastAsiaTheme="minorEastAsia" w:cstheme="minorEastAsia"/>
                <w:spacing w:val="-6"/>
                <w:sz w:val="24"/>
              </w:rPr>
              <w:t>第</w:t>
            </w:r>
            <w:r>
              <w:rPr>
                <w:rFonts w:hint="eastAsia" w:asciiTheme="minorEastAsia" w:hAnsiTheme="minorEastAsia" w:eastAsiaTheme="minorEastAsia" w:cstheme="minorEastAsia"/>
                <w:spacing w:val="-6"/>
                <w:sz w:val="24"/>
                <w:lang w:eastAsia="zh-CN"/>
              </w:rPr>
              <w:t>三</w:t>
            </w:r>
            <w:r>
              <w:rPr>
                <w:rFonts w:hint="eastAsia" w:asciiTheme="minorEastAsia" w:hAnsiTheme="minorEastAsia" w:eastAsiaTheme="minorEastAsia" w:cstheme="minorEastAsia"/>
                <w:spacing w:val="-6"/>
                <w:sz w:val="24"/>
              </w:rPr>
              <w:t>年</w:t>
            </w:r>
            <w:r>
              <w:rPr>
                <w:rFonts w:hint="eastAsia" w:asciiTheme="minorEastAsia" w:hAnsiTheme="minorEastAsia" w:eastAsiaTheme="minorEastAsia" w:cstheme="minorEastAsia"/>
                <w:spacing w:val="-6"/>
                <w:sz w:val="24"/>
                <w:lang w:eastAsia="zh-CN"/>
              </w:rPr>
              <w:t>试验</w:t>
            </w:r>
            <w:r>
              <w:rPr>
                <w:rFonts w:hint="eastAsia" w:asciiTheme="minorEastAsia" w:hAnsiTheme="minorEastAsia" w:eastAsiaTheme="minorEastAsia" w:cstheme="minorEastAsia"/>
                <w:spacing w:val="-6"/>
                <w:sz w:val="24"/>
              </w:rPr>
              <w:t>任务完成并提交相关监测报告后支付合同总金额的</w:t>
            </w:r>
            <w:r>
              <w:rPr>
                <w:rFonts w:hint="eastAsia" w:asciiTheme="minorEastAsia" w:hAnsiTheme="minorEastAsia" w:eastAsiaTheme="minorEastAsia" w:cstheme="minorEastAsia"/>
                <w:spacing w:val="-6"/>
                <w:sz w:val="24"/>
                <w:lang w:val="en-US" w:eastAsia="zh-CN"/>
              </w:rPr>
              <w:t>15</w:t>
            </w:r>
            <w:r>
              <w:rPr>
                <w:rFonts w:hint="eastAsia" w:asciiTheme="minorEastAsia" w:hAnsiTheme="minorEastAsia" w:eastAsiaTheme="minorEastAsia" w:cstheme="minorEastAsia"/>
                <w:spacing w:val="-6"/>
                <w:sz w:val="24"/>
              </w:rPr>
              <w:t>%</w:t>
            </w:r>
            <w:r>
              <w:rPr>
                <w:rFonts w:hint="eastAsia" w:asciiTheme="minorEastAsia" w:hAnsiTheme="minorEastAsia" w:eastAsiaTheme="minorEastAsia" w:cstheme="minorEastAsia"/>
                <w:spacing w:val="-6"/>
                <w:sz w:val="24"/>
                <w:lang w:eastAsia="zh-CN"/>
              </w:rPr>
              <w:t>；管护期结束后试验</w:t>
            </w:r>
            <w:r>
              <w:rPr>
                <w:rFonts w:hint="eastAsia" w:asciiTheme="minorEastAsia" w:hAnsiTheme="minorEastAsia" w:eastAsiaTheme="minorEastAsia" w:cstheme="minorEastAsia"/>
                <w:spacing w:val="-6"/>
                <w:sz w:val="24"/>
              </w:rPr>
              <w:t>任务完成提交相关监测报告及最终监测结论，且通过相关评审后15个工作日内向中标人支付剩余合同总额的</w:t>
            </w:r>
            <w:r>
              <w:rPr>
                <w:rFonts w:hint="eastAsia" w:asciiTheme="minorEastAsia" w:hAnsiTheme="minorEastAsia" w:eastAsiaTheme="minorEastAsia" w:cstheme="minorEastAsia"/>
                <w:spacing w:val="-6"/>
                <w:sz w:val="24"/>
                <w:lang w:val="en-US" w:eastAsia="zh-CN"/>
              </w:rPr>
              <w:t>10</w:t>
            </w:r>
            <w:r>
              <w:rPr>
                <w:rFonts w:hint="eastAsia" w:asciiTheme="minorEastAsia" w:hAnsiTheme="minorEastAsia" w:eastAsiaTheme="minorEastAsia" w:cstheme="minorEastAsia"/>
                <w:spacing w:val="-6"/>
                <w:sz w:val="24"/>
              </w:rPr>
              <w:t>%。</w:t>
            </w:r>
          </w:p>
        </w:tc>
      </w:tr>
      <w:tr w14:paraId="0DF7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gridSpan w:val="2"/>
          </w:tcPr>
          <w:p w14:paraId="1BAEC342">
            <w:pPr>
              <w:autoSpaceDE w:val="0"/>
              <w:autoSpaceDN w:val="0"/>
              <w:adjustRightInd w:val="0"/>
              <w:jc w:val="center"/>
              <w:outlineLvl w:val="1"/>
              <w:rPr>
                <w:rFonts w:asciiTheme="minorEastAsia" w:hAnsiTheme="minorEastAsia" w:eastAsiaTheme="minorEastAsia" w:cstheme="minorEastAsia"/>
                <w:b/>
                <w:bCs/>
                <w:sz w:val="24"/>
              </w:rPr>
            </w:pPr>
          </w:p>
          <w:p w14:paraId="1A857712">
            <w:pPr>
              <w:autoSpaceDE w:val="0"/>
              <w:autoSpaceDN w:val="0"/>
              <w:adjustRightInd w:val="0"/>
              <w:jc w:val="center"/>
              <w:outlineLvl w:val="1"/>
              <w:rPr>
                <w:rFonts w:asciiTheme="minorEastAsia" w:hAnsiTheme="minorEastAsia" w:eastAsiaTheme="minorEastAsia" w:cstheme="minorEastAsia"/>
                <w:b/>
                <w:bCs/>
                <w:sz w:val="24"/>
              </w:rPr>
            </w:pPr>
          </w:p>
          <w:p w14:paraId="0D35BAF2">
            <w:pPr>
              <w:autoSpaceDE w:val="0"/>
              <w:autoSpaceDN w:val="0"/>
              <w:adjustRightInd w:val="0"/>
              <w:jc w:val="center"/>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4.报价及其他要求</w:t>
            </w:r>
          </w:p>
        </w:tc>
        <w:tc>
          <w:tcPr>
            <w:tcW w:w="6937" w:type="dxa"/>
          </w:tcPr>
          <w:p w14:paraId="61517B60">
            <w:pPr>
              <w:pStyle w:val="15"/>
              <w:numPr>
                <w:ilvl w:val="0"/>
                <w:numId w:val="0"/>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pacing w:val="-13"/>
                <w:sz w:val="24"/>
              </w:rPr>
              <w:t>投标费用包括项目实施所需的人工费、服务费、运输费、安装费、验收、培训、</w:t>
            </w:r>
            <w:r>
              <w:rPr>
                <w:rFonts w:hint="eastAsia" w:asciiTheme="minorEastAsia" w:hAnsiTheme="minorEastAsia" w:eastAsiaTheme="minorEastAsia" w:cstheme="minorEastAsia"/>
                <w:spacing w:val="-12"/>
                <w:sz w:val="24"/>
              </w:rPr>
              <w:t>技术服务、制作标书费、税费及其他一切费用。投标人在固定总价中必须考虑各种风险费用。在合同履行过程中，采购人不予支付合同以外的其他费用。投标人</w:t>
            </w:r>
            <w:r>
              <w:rPr>
                <w:rFonts w:hint="eastAsia" w:asciiTheme="minorEastAsia" w:hAnsiTheme="minorEastAsia" w:eastAsiaTheme="minorEastAsia" w:cstheme="minorEastAsia"/>
                <w:spacing w:val="-6"/>
                <w:sz w:val="24"/>
              </w:rPr>
              <w:t>负责工人人身、设备安全等责任。</w:t>
            </w:r>
          </w:p>
        </w:tc>
      </w:tr>
      <w:bookmarkEnd w:id="60"/>
    </w:tbl>
    <w:p w14:paraId="601E373F">
      <w:pPr>
        <w:rPr>
          <w:rFonts w:hint="eastAsia" w:cs="仿宋_GB2312" w:asciiTheme="minorEastAsia" w:hAnsiTheme="minorEastAsia" w:eastAsiaTheme="minorEastAsia"/>
          <w:b/>
          <w:color w:val="000000" w:themeColor="text1"/>
          <w:sz w:val="36"/>
          <w:szCs w:val="36"/>
          <w14:textFill>
            <w14:solidFill>
              <w14:schemeClr w14:val="tx1"/>
            </w14:solidFill>
          </w14:textFill>
        </w:rPr>
      </w:pPr>
      <w:bookmarkStart w:id="62" w:name="_Toc181203098"/>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p>
    <w:p w14:paraId="074E8B86">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63" w:name="_Toc5108"/>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第五部分  </w:t>
      </w:r>
      <w:bookmarkEnd w:id="56"/>
      <w:bookmarkEnd w:id="57"/>
      <w:bookmarkStart w:id="64"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评审方法及评审标准</w:t>
      </w:r>
      <w:bookmarkEnd w:id="62"/>
      <w:bookmarkEnd w:id="63"/>
    </w:p>
    <w:p w14:paraId="4B44EA6F">
      <w:pPr>
        <w:pStyle w:val="23"/>
        <w:tabs>
          <w:tab w:val="left" w:pos="1632"/>
        </w:tabs>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原则：</w:t>
      </w:r>
    </w:p>
    <w:p w14:paraId="38C6D8BC">
      <w:pPr>
        <w:pStyle w:val="23"/>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（一）磋商小组成员：磋商小组由采购人代表和评审专家共 3 人以上单数组成，其中评审专家人数不得少于磋商小组成员总数的三分之二。</w:t>
      </w:r>
    </w:p>
    <w:p w14:paraId="0463467B">
      <w:pPr>
        <w:pStyle w:val="23"/>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（二）评审依据：磋商小组将以磋商文件、响应文件为评标依据，对供应商的价格分、</w:t>
      </w:r>
      <w:r>
        <w:rPr>
          <w:rFonts w:hint="eastAsia" w:hAnsi="宋体" w:cs="宋体"/>
          <w:color w:val="auto"/>
          <w:szCs w:val="21"/>
          <w:highlight w:val="none"/>
          <w:lang w:val="en-US" w:eastAsia="zh-CN"/>
        </w:rPr>
        <w:t>项目实施</w:t>
      </w:r>
      <w:r>
        <w:rPr>
          <w:rFonts w:hint="eastAsia" w:ascii="宋体" w:hAnsi="宋体" w:eastAsia="宋体" w:cs="宋体"/>
          <w:color w:val="auto"/>
          <w:szCs w:val="21"/>
          <w:highlight w:val="none"/>
          <w:lang w:val="en-US"/>
        </w:rPr>
        <w:t>方案分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项目理解和难点、关键点分析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拟建立各项管理规章制度及档案资料的建立与管理方案</w:t>
      </w:r>
      <w:r>
        <w:rPr>
          <w:rFonts w:hint="eastAsia" w:ascii="宋体" w:hAnsi="宋体" w:cs="宋体"/>
          <w:color w:val="auto"/>
          <w:szCs w:val="21"/>
          <w:highlight w:val="none"/>
          <w:lang w:val="en-US" w:eastAsia="zh-CN"/>
        </w:rPr>
        <w:t>、服务承诺、</w:t>
      </w:r>
      <w:r>
        <w:rPr>
          <w:rFonts w:hint="eastAsia" w:ascii="宋体" w:hAnsi="宋体" w:eastAsia="宋体" w:cs="宋体"/>
          <w:color w:val="auto"/>
          <w:szCs w:val="21"/>
          <w:highlight w:val="none"/>
        </w:rPr>
        <w:t>业绩分等方面内容按百分制打分。</w:t>
      </w:r>
    </w:p>
    <w:p w14:paraId="6E4F2096">
      <w:pPr>
        <w:pStyle w:val="23"/>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（三）评标方式：以封闭方式进行。</w:t>
      </w:r>
    </w:p>
    <w:p w14:paraId="20C17478">
      <w:pPr>
        <w:pStyle w:val="23"/>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（四）磋商小组将以竞争性磋商文件为依据，对资格性和符合性检查合格的竞争性磋商响应文件进行评审，在质量和服务均能满足竞争性磋商文件实质性响应要求的供应商中，按下列程序确定成交供应商：</w:t>
      </w:r>
    </w:p>
    <w:p w14:paraId="68789E23">
      <w:pPr>
        <w:pStyle w:val="23"/>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二、评分办法</w:t>
      </w:r>
    </w:p>
    <w:p w14:paraId="0AD08E46">
      <w:pPr>
        <w:pStyle w:val="23"/>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（一）对进入详评的，采用百分制综合评分法。</w:t>
      </w:r>
    </w:p>
    <w:p w14:paraId="6D599DD3">
      <w:pPr>
        <w:pStyle w:val="23"/>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（二）计分办法（按四舍五入取至百分位）：</w:t>
      </w:r>
    </w:p>
    <w:p w14:paraId="61542F6E">
      <w:pPr>
        <w:pStyle w:val="405"/>
        <w:autoSpaceDE w:val="0"/>
        <w:autoSpaceDN w:val="0"/>
        <w:spacing w:line="360" w:lineRule="auto"/>
        <w:ind w:firstLine="4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1、价格分…………………………………………………………………………………</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0分</w:t>
      </w:r>
    </w:p>
    <w:p w14:paraId="7C658A4F">
      <w:pPr>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价格分：</w:t>
      </w:r>
    </w:p>
    <w:p w14:paraId="7AD12C35">
      <w:pPr>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有效磋商报价的最低价作为评标基准价，其最低报价为满分；按［磋商报价得分</w:t>
      </w:r>
      <w:r>
        <w:rPr>
          <w:rFonts w:cs="仿宋_GB2312"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磋商</w:t>
      </w:r>
      <w:r>
        <w:rPr>
          <w:rFonts w:cs="仿宋_GB2312" w:asciiTheme="minorEastAsia" w:hAnsiTheme="minorEastAsia" w:eastAsiaTheme="minorEastAsia"/>
          <w:color w:val="000000" w:themeColor="text1"/>
          <w:sz w:val="24"/>
          <w14:textFill>
            <w14:solidFill>
              <w14:schemeClr w14:val="tx1"/>
            </w14:solidFill>
          </w14:textFill>
        </w:rPr>
        <w:t>基准价/</w:t>
      </w:r>
      <w:r>
        <w:rPr>
          <w:rFonts w:hint="eastAsia" w:cs="仿宋_GB2312" w:asciiTheme="minorEastAsia" w:hAnsiTheme="minorEastAsia" w:eastAsiaTheme="minorEastAsia"/>
          <w:color w:val="000000" w:themeColor="text1"/>
          <w:sz w:val="24"/>
          <w14:textFill>
            <w14:solidFill>
              <w14:schemeClr w14:val="tx1"/>
            </w14:solidFill>
          </w14:textFill>
        </w:rPr>
        <w:t>磋商</w:t>
      </w:r>
      <w:r>
        <w:rPr>
          <w:rFonts w:cs="仿宋_GB2312" w:asciiTheme="minorEastAsia" w:hAnsiTheme="minorEastAsia" w:eastAsiaTheme="minorEastAsia"/>
          <w:color w:val="000000" w:themeColor="text1"/>
          <w:sz w:val="24"/>
          <w14:textFill>
            <w14:solidFill>
              <w14:schemeClr w14:val="tx1"/>
            </w14:solidFill>
          </w14:textFill>
        </w:rPr>
        <w:t>报价）*</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r>
        <w:rPr>
          <w:rFonts w:cs="仿宋_GB2312" w:asciiTheme="minorEastAsia" w:hAnsiTheme="minorEastAsia" w:eastAsiaTheme="minorEastAsia"/>
          <w:color w:val="000000" w:themeColor="text1"/>
          <w:sz w:val="24"/>
          <w14:textFill>
            <w14:solidFill>
              <w14:schemeClr w14:val="tx1"/>
            </w14:solidFill>
          </w14:textFill>
        </w:rPr>
        <w:t>］的计算公式计算。</w:t>
      </w:r>
    </w:p>
    <w:p w14:paraId="1C4089DB">
      <w:pPr>
        <w:widowControl/>
        <w:shd w:val="clear" w:color="auto" w:fill="FFFFFF"/>
        <w:adjustRightInd/>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评</w:t>
      </w:r>
      <w:r>
        <w:rPr>
          <w:rFonts w:hint="eastAsia" w:cs="仿宋_GB2312" w:asciiTheme="minorEastAsia" w:hAnsiTheme="minorEastAsia" w:eastAsiaTheme="minorEastAsia"/>
          <w:color w:val="000000" w:themeColor="text1"/>
          <w:sz w:val="24"/>
          <w14:textFill>
            <w14:solidFill>
              <w14:schemeClr w14:val="tx1"/>
            </w14:solidFill>
          </w14:textFill>
        </w:rPr>
        <w:t>审</w:t>
      </w:r>
      <w:r>
        <w:rPr>
          <w:rFonts w:cs="仿宋_GB2312" w:asciiTheme="minorEastAsia" w:hAnsiTheme="minorEastAsia" w:eastAsiaTheme="minorEastAsia"/>
          <w:color w:val="000000" w:themeColor="text1"/>
          <w:sz w:val="24"/>
          <w14:textFill>
            <w14:solidFill>
              <w14:schemeClr w14:val="tx1"/>
            </w14:solidFill>
          </w14:textFill>
        </w:rPr>
        <w:t>过程中，不得去掉报价中的最高报价和最低报价。</w:t>
      </w:r>
    </w:p>
    <w:p w14:paraId="19738375">
      <w:pPr>
        <w:pStyle w:val="405"/>
        <w:autoSpaceDE w:val="0"/>
        <w:autoSpaceDN w:val="0"/>
        <w:spacing w:line="360" w:lineRule="auto"/>
        <w:rPr>
          <w:rFonts w:hint="eastAsia" w:ascii="宋体" w:hAnsi="宋体" w:eastAsia="宋体" w:cs="宋体"/>
          <w:color w:val="auto"/>
          <w:sz w:val="28"/>
          <w:szCs w:val="22"/>
          <w:highlight w:val="none"/>
        </w:rPr>
      </w:pPr>
      <w:r>
        <w:rPr>
          <w:rFonts w:hint="eastAsia" w:cs="仿宋_GB2312" w:asciiTheme="minorEastAsia" w:hAnsiTheme="minorEastAsia" w:eastAsiaTheme="minorEastAsia"/>
          <w:color w:val="000000" w:themeColor="text1"/>
          <w:sz w:val="24"/>
          <w14:textFill>
            <w14:solidFill>
              <w14:schemeClr w14:val="tx1"/>
            </w14:solidFill>
          </w14:textFill>
        </w:rPr>
        <w:t>对于未预留份额专门面向中小企业采购的政府采购项目，以及预留份额政府采购项目中的非预留部分标项，对小型和微型企业的磋商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w:t>
      </w:r>
    </w:p>
    <w:p w14:paraId="794B9D92">
      <w:pPr>
        <w:autoSpaceDE/>
        <w:autoSpaceDN/>
        <w:spacing w:line="360" w:lineRule="auto"/>
        <w:ind w:firstLine="241" w:firstLineChars="100"/>
        <w:jc w:val="left"/>
        <w:rPr>
          <w:rFonts w:hint="eastAsia"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b/>
          <w:bCs/>
          <w:color w:val="000000"/>
          <w:kern w:val="2"/>
          <w:sz w:val="24"/>
          <w:szCs w:val="24"/>
          <w:lang w:val="en-US" w:eastAsia="zh-CN" w:bidi="ar-SA"/>
        </w:rPr>
        <w:t>2、技术分………………………………………………………………………………80分</w:t>
      </w:r>
    </w:p>
    <w:p w14:paraId="19126EA3">
      <w:pPr>
        <w:adjustRightInd w:val="0"/>
        <w:spacing w:line="360" w:lineRule="auto"/>
        <w:jc w:val="both"/>
        <w:textAlignment w:val="baseline"/>
        <w:rPr>
          <w:rFonts w:hint="eastAsia" w:ascii="宋体" w:hAnsi="宋体" w:eastAsia="宋体" w:cs="宋体"/>
          <w:color w:val="auto"/>
          <w:kern w:val="2"/>
          <w:sz w:val="24"/>
          <w:szCs w:val="24"/>
          <w:highlight w:val="none"/>
          <w:lang w:val="en-US" w:eastAsia="zh-CN" w:bidi="ar-SA"/>
        </w:rPr>
      </w:pPr>
      <w:r>
        <w:rPr>
          <w:rFonts w:hint="eastAsia" w:ascii="Times New Roman" w:hAnsi="Times New Roman" w:eastAsia="宋体" w:cs="Times New Roman"/>
          <w:b/>
          <w:bCs/>
          <w:color w:val="000000"/>
          <w:kern w:val="2"/>
          <w:sz w:val="24"/>
          <w:szCs w:val="24"/>
          <w:lang w:val="en-US" w:eastAsia="zh-CN" w:bidi="ar-SA"/>
        </w:rPr>
        <w:t>（1）</w:t>
      </w:r>
      <w:r>
        <w:rPr>
          <w:rFonts w:hint="eastAsia" w:ascii="宋体" w:hAnsi="宋体"/>
          <w:b/>
          <w:bCs/>
          <w:sz w:val="24"/>
          <w:szCs w:val="24"/>
        </w:rPr>
        <w:t>项目实施方案（满分</w:t>
      </w:r>
      <w:r>
        <w:rPr>
          <w:rFonts w:hint="eastAsia" w:ascii="宋体" w:hAnsi="宋体"/>
          <w:b/>
          <w:bCs/>
          <w:sz w:val="24"/>
          <w:szCs w:val="24"/>
          <w:lang w:val="en-US" w:eastAsia="zh-CN"/>
        </w:rPr>
        <w:t>20</w:t>
      </w:r>
      <w:r>
        <w:rPr>
          <w:rFonts w:hint="eastAsia" w:ascii="宋体" w:hAnsi="宋体"/>
          <w:b/>
          <w:bCs/>
          <w:sz w:val="24"/>
          <w:szCs w:val="24"/>
        </w:rPr>
        <w:t>分）</w:t>
      </w:r>
    </w:p>
    <w:p w14:paraId="2E767438">
      <w:pPr>
        <w:spacing w:line="360" w:lineRule="auto"/>
        <w:ind w:firstLine="480" w:firstLineChars="200"/>
        <w:jc w:val="left"/>
        <w:rPr>
          <w:rFonts w:hint="eastAsia" w:cs="仿宋_GB2312" w:asciiTheme="minorEastAsia" w:hAnsiTheme="minorEastAsia" w:eastAsiaTheme="minorEastAsia"/>
          <w:color w:val="000000" w:themeColor="text1"/>
          <w:sz w:val="24"/>
          <w:lang w:val="zh-CN" w:eastAsia="zh-CN"/>
          <w14:textFill>
            <w14:solidFill>
              <w14:schemeClr w14:val="tx1"/>
            </w14:solidFill>
          </w14:textFill>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一档(</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分）：项目实施方案(含项目的目的及工作内容理解准确、深刻，对项目实施工程的工作重点、难点是否认识准确，并提出系统性、操作性的实施计划等)不够完整，不能结合项目特点，可操作性不够强。</w:t>
      </w:r>
    </w:p>
    <w:p w14:paraId="45E632D3">
      <w:pPr>
        <w:spacing w:line="360" w:lineRule="auto"/>
        <w:ind w:firstLine="480" w:firstLineChars="200"/>
        <w:jc w:val="left"/>
        <w:rPr>
          <w:rFonts w:hint="eastAsia" w:cs="仿宋_GB2312" w:asciiTheme="minorEastAsia" w:hAnsiTheme="minorEastAsia" w:eastAsiaTheme="minorEastAsia"/>
          <w:color w:val="000000" w:themeColor="text1"/>
          <w:sz w:val="24"/>
          <w:lang w:val="zh-CN" w:eastAsia="zh-CN"/>
          <w14:textFill>
            <w14:solidFill>
              <w14:schemeClr w14:val="tx1"/>
            </w14:solidFill>
          </w14:textFill>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二档（</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分）：项目实施方案（含项目的目的及工作内容理解准确、深刻，对项目实施工程的工作重点、难点是否认识准确，并提出系统性、操作性的实施计划等）基本完整，基本能结合项目特点，有一定的可操作性。</w:t>
      </w:r>
    </w:p>
    <w:p w14:paraId="13E09C1F">
      <w:pPr>
        <w:spacing w:line="360" w:lineRule="auto"/>
        <w:ind w:firstLine="480" w:firstLineChars="200"/>
        <w:jc w:val="left"/>
        <w:rPr>
          <w:rFonts w:hint="eastAsia" w:cs="仿宋_GB2312" w:asciiTheme="minorEastAsia" w:hAnsiTheme="minorEastAsia" w:eastAsiaTheme="minorEastAsia"/>
          <w:color w:val="000000" w:themeColor="text1"/>
          <w:sz w:val="24"/>
          <w:lang w:val="zh-CN" w:eastAsia="zh-CN"/>
          <w14:textFill>
            <w14:solidFill>
              <w14:schemeClr w14:val="tx1"/>
            </w14:solidFill>
          </w14:textFill>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三档（</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15</w:t>
      </w: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分）：项目实施方案（含项目的目的及工作内容理解准确、深刻，对项目实施工程的工作重点、难点是否认识准确，对本项目环境的现状有一定了解及分析，并提出系统性、操作性的实施计划等）完整，能结合项目特点，具有可操作性。</w:t>
      </w:r>
    </w:p>
    <w:p w14:paraId="3C6D7DF7">
      <w:pPr>
        <w:spacing w:line="360" w:lineRule="auto"/>
        <w:ind w:firstLine="480" w:firstLineChars="200"/>
        <w:jc w:val="left"/>
        <w:rPr>
          <w:rStyle w:val="638"/>
          <w:rFonts w:hint="eastAsia" w:ascii="Times New Roman" w:hAnsi="宋体" w:eastAsia="宋体" w:cs="宋体"/>
          <w:b/>
          <w:color w:val="000000"/>
          <w:kern w:val="0"/>
          <w:sz w:val="22"/>
          <w:szCs w:val="24"/>
          <w:lang w:val="zh-CN" w:bidi="zh-CN"/>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四档（</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20</w:t>
      </w: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分）：项目实施方案（含项目的目的及工作内容理解准确、深刻，对项目实施工程的工作重点、难点是否认识准确，对本项目的环境现状有深入的了解及详细的图文分析，并提出系统性、操作性的实施计划、技术服务等）完整、详细，切合实际，具有很强的可操作性。</w:t>
      </w:r>
    </w:p>
    <w:p w14:paraId="2713D16F">
      <w:pPr>
        <w:spacing w:line="360" w:lineRule="auto"/>
        <w:ind w:firstLine="480" w:firstLineChars="200"/>
        <w:jc w:val="left"/>
        <w:rPr>
          <w:rStyle w:val="638"/>
          <w:rFonts w:hint="eastAsia" w:ascii="Times New Roman" w:hAnsi="宋体" w:eastAsia="宋体" w:cs="宋体"/>
          <w:b/>
          <w:color w:val="000000"/>
          <w:kern w:val="0"/>
          <w:sz w:val="28"/>
          <w:szCs w:val="32"/>
          <w:lang w:val="zh-CN" w:eastAsia="zh-CN" w:bidi="zh-CN"/>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不提供该方案的不得分。</w:t>
      </w:r>
    </w:p>
    <w:p w14:paraId="1B4D60CC">
      <w:pPr>
        <w:adjustRightInd w:val="0"/>
        <w:spacing w:line="360" w:lineRule="auto"/>
        <w:jc w:val="both"/>
        <w:textAlignment w:val="baseline"/>
        <w:rPr>
          <w:rFonts w:hint="eastAsia" w:ascii="宋体" w:hAnsi="宋体" w:eastAsia="宋体" w:cs="宋体"/>
          <w:b/>
          <w:bCs/>
          <w:color w:val="auto"/>
          <w:kern w:val="2"/>
          <w:sz w:val="24"/>
          <w:szCs w:val="24"/>
          <w:highlight w:val="none"/>
          <w:lang w:val="en-US" w:eastAsia="zh-CN" w:bidi="ar-SA"/>
        </w:rPr>
      </w:pPr>
      <w:r>
        <w:rPr>
          <w:rStyle w:val="638"/>
          <w:rFonts w:hint="eastAsia" w:ascii="Times New Roman" w:hAnsi="宋体" w:eastAsia="宋体" w:cs="宋体"/>
          <w:b/>
          <w:color w:val="000000"/>
          <w:kern w:val="0"/>
          <w:sz w:val="28"/>
          <w:szCs w:val="32"/>
          <w:lang w:val="zh-CN" w:eastAsia="zh-CN" w:bidi="zh-CN"/>
        </w:rPr>
        <w:t>（</w:t>
      </w:r>
      <w:r>
        <w:rPr>
          <w:rStyle w:val="638"/>
          <w:rFonts w:hint="eastAsia" w:hAnsi="宋体" w:cs="宋体"/>
          <w:b/>
          <w:color w:val="000000"/>
          <w:kern w:val="0"/>
          <w:sz w:val="28"/>
          <w:szCs w:val="32"/>
          <w:lang w:val="en-US" w:eastAsia="zh-CN" w:bidi="zh-CN"/>
        </w:rPr>
        <w:t>2</w:t>
      </w:r>
      <w:r>
        <w:rPr>
          <w:rStyle w:val="638"/>
          <w:rFonts w:hint="eastAsia" w:ascii="Times New Roman" w:hAnsi="宋体" w:eastAsia="宋体" w:cs="宋体"/>
          <w:b/>
          <w:color w:val="000000"/>
          <w:kern w:val="0"/>
          <w:sz w:val="28"/>
          <w:szCs w:val="32"/>
          <w:lang w:val="zh-CN" w:eastAsia="zh-CN" w:bidi="zh-CN"/>
        </w:rPr>
        <w:t>）</w:t>
      </w:r>
      <w:r>
        <w:rPr>
          <w:rFonts w:ascii="宋体" w:hAnsi="宋体"/>
          <w:b/>
          <w:sz w:val="24"/>
          <w:szCs w:val="24"/>
        </w:rPr>
        <w:t>项目质量控制措施</w:t>
      </w:r>
      <w:r>
        <w:rPr>
          <w:rFonts w:hint="eastAsia" w:ascii="宋体" w:hAnsi="宋体"/>
          <w:b/>
          <w:sz w:val="24"/>
          <w:szCs w:val="24"/>
        </w:rPr>
        <w:t>（满分</w:t>
      </w:r>
      <w:r>
        <w:rPr>
          <w:rFonts w:hint="eastAsia" w:ascii="宋体" w:hAnsi="宋体"/>
          <w:b/>
          <w:sz w:val="24"/>
          <w:szCs w:val="24"/>
          <w:lang w:val="en-US" w:eastAsia="zh-CN"/>
        </w:rPr>
        <w:t>20</w:t>
      </w:r>
      <w:r>
        <w:rPr>
          <w:rFonts w:hint="eastAsia" w:ascii="宋体" w:hAnsi="宋体"/>
          <w:b/>
          <w:sz w:val="24"/>
          <w:szCs w:val="24"/>
        </w:rPr>
        <w:t>分）</w:t>
      </w:r>
    </w:p>
    <w:p w14:paraId="0A03B576">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 xml:space="preserve">投标人针对本项目提出项目质量控制措施，包括安全管理、质量控制计划等内容并保证其落实措施。不提供该方案的不得分。 </w:t>
      </w:r>
    </w:p>
    <w:p w14:paraId="1387B293">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一档(5分）：上述方案简单，内容不够完整，针对性不强；</w:t>
      </w:r>
    </w:p>
    <w:p w14:paraId="360865D8">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二档（10分）：上述方案较详细，内容基本完整，但科学合理性较弱，内容基本符合项目要求；</w:t>
      </w:r>
    </w:p>
    <w:p w14:paraId="5B304D60">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三档（15分）：上述方案详细，内容完整，科学性、合理性较好，内容满足项目需求。</w:t>
      </w:r>
    </w:p>
    <w:p w14:paraId="3231F33F">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四档（20分）：上述方案十分详细，内容完整且严谨，项目的质量控制措施科学合理，且可行性高，针对本项目提出有利于项目进行的可行性建议或措施。</w:t>
      </w:r>
    </w:p>
    <w:p w14:paraId="186CA4C4">
      <w:pPr>
        <w:adjustRightInd w:val="0"/>
        <w:spacing w:line="360" w:lineRule="auto"/>
        <w:jc w:val="both"/>
        <w:textAlignment w:val="baseline"/>
        <w:rPr>
          <w:rStyle w:val="638"/>
          <w:rFonts w:hint="eastAsia" w:ascii="Times New Roman" w:hAnsi="宋体" w:eastAsia="宋体" w:cs="宋体"/>
          <w:b/>
          <w:color w:val="000000"/>
          <w:kern w:val="0"/>
          <w:sz w:val="24"/>
          <w:szCs w:val="28"/>
          <w:lang w:val="zh-CN" w:eastAsia="zh-CN" w:bidi="zh-CN"/>
        </w:rPr>
      </w:pPr>
      <w:r>
        <w:rPr>
          <w:rStyle w:val="638"/>
          <w:rFonts w:hint="eastAsia" w:ascii="Times New Roman" w:hAnsi="宋体" w:eastAsia="宋体" w:cs="宋体"/>
          <w:b/>
          <w:color w:val="000000"/>
          <w:kern w:val="0"/>
          <w:sz w:val="24"/>
          <w:szCs w:val="28"/>
          <w:lang w:val="zh-CN" w:eastAsia="zh-CN" w:bidi="zh-CN"/>
        </w:rPr>
        <w:t>（</w:t>
      </w:r>
      <w:r>
        <w:rPr>
          <w:rStyle w:val="638"/>
          <w:rFonts w:hint="eastAsia" w:ascii="Times New Roman" w:hAnsi="宋体" w:eastAsia="宋体" w:cs="宋体"/>
          <w:b/>
          <w:color w:val="000000"/>
          <w:kern w:val="0"/>
          <w:sz w:val="24"/>
          <w:szCs w:val="28"/>
          <w:lang w:val="en-US" w:eastAsia="zh-CN" w:bidi="zh-CN"/>
        </w:rPr>
        <w:t>3</w:t>
      </w:r>
      <w:r>
        <w:rPr>
          <w:rStyle w:val="638"/>
          <w:rFonts w:hint="eastAsia" w:ascii="Times New Roman" w:hAnsi="宋体" w:eastAsia="宋体" w:cs="宋体"/>
          <w:b/>
          <w:color w:val="000000"/>
          <w:kern w:val="0"/>
          <w:sz w:val="24"/>
          <w:szCs w:val="28"/>
          <w:lang w:val="zh-CN" w:eastAsia="zh-CN" w:bidi="zh-CN"/>
        </w:rPr>
        <w:t>）应急方案（满分</w:t>
      </w:r>
      <w:r>
        <w:rPr>
          <w:rStyle w:val="638"/>
          <w:rFonts w:hint="eastAsia" w:ascii="Times New Roman" w:hAnsi="宋体" w:eastAsia="宋体" w:cs="宋体"/>
          <w:b/>
          <w:color w:val="000000"/>
          <w:kern w:val="0"/>
          <w:sz w:val="24"/>
          <w:szCs w:val="28"/>
          <w:lang w:val="en-US" w:eastAsia="zh-CN" w:bidi="zh-CN"/>
        </w:rPr>
        <w:t>15</w:t>
      </w:r>
      <w:r>
        <w:rPr>
          <w:rStyle w:val="638"/>
          <w:rFonts w:hint="eastAsia" w:ascii="Times New Roman" w:hAnsi="宋体" w:eastAsia="宋体" w:cs="宋体"/>
          <w:b/>
          <w:color w:val="000000"/>
          <w:kern w:val="0"/>
          <w:sz w:val="24"/>
          <w:szCs w:val="28"/>
          <w:lang w:val="zh-CN" w:eastAsia="zh-CN" w:bidi="zh-CN"/>
        </w:rPr>
        <w:t>分）</w:t>
      </w:r>
    </w:p>
    <w:p w14:paraId="22EDADFC">
      <w:pPr>
        <w:spacing w:line="360" w:lineRule="auto"/>
        <w:ind w:firstLine="480" w:firstLineChars="200"/>
        <w:jc w:val="left"/>
        <w:rPr>
          <w:rFonts w:hint="eastAsia" w:cs="仿宋_GB2312" w:asciiTheme="minorEastAsia" w:hAnsiTheme="minorEastAsia" w:eastAsiaTheme="minorEastAsia"/>
          <w:color w:val="000000" w:themeColor="text1"/>
          <w:sz w:val="24"/>
          <w:lang w:val="zh-CN" w:eastAsia="zh-CN"/>
          <w14:textFill>
            <w14:solidFill>
              <w14:schemeClr w14:val="tx1"/>
            </w14:solidFill>
          </w14:textFill>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方案里有对突发事件、意外事故等的应急预案，内容要包括方案处置流程、处置预案等方面，</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不提供该方案的不得分。</w:t>
      </w:r>
    </w:p>
    <w:p w14:paraId="553FE80D">
      <w:pPr>
        <w:spacing w:line="360" w:lineRule="auto"/>
        <w:ind w:firstLine="480" w:firstLineChars="200"/>
        <w:jc w:val="left"/>
        <w:rPr>
          <w:rFonts w:hint="eastAsia" w:cs="仿宋_GB2312" w:asciiTheme="minorEastAsia" w:hAnsiTheme="minorEastAsia" w:eastAsiaTheme="minorEastAsia"/>
          <w:color w:val="000000" w:themeColor="text1"/>
          <w:sz w:val="24"/>
          <w:lang w:val="zh-CN" w:eastAsia="zh-CN"/>
          <w14:textFill>
            <w14:solidFill>
              <w14:schemeClr w14:val="tx1"/>
            </w14:solidFill>
          </w14:textFill>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一档（</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分）：提供的应急方案与本项目偏离较大，不够切合实际，科学合理性较差；</w:t>
      </w:r>
    </w:p>
    <w:p w14:paraId="676DC470">
      <w:pPr>
        <w:spacing w:line="360" w:lineRule="auto"/>
        <w:ind w:firstLine="480" w:firstLineChars="200"/>
        <w:jc w:val="left"/>
        <w:rPr>
          <w:rFonts w:hint="eastAsia" w:cs="仿宋_GB2312" w:asciiTheme="minorEastAsia" w:hAnsiTheme="minorEastAsia" w:eastAsiaTheme="minorEastAsia"/>
          <w:color w:val="000000" w:themeColor="text1"/>
          <w:sz w:val="24"/>
          <w:lang w:val="zh-CN" w:eastAsia="zh-CN"/>
          <w14:textFill>
            <w14:solidFill>
              <w14:schemeClr w14:val="tx1"/>
            </w14:solidFill>
          </w14:textFill>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二档（</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w:t>
      </w: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分）：方案内容简单、可操作性不够强；</w:t>
      </w:r>
    </w:p>
    <w:p w14:paraId="67A4FA87">
      <w:pPr>
        <w:spacing w:line="360" w:lineRule="auto"/>
        <w:ind w:firstLine="480" w:firstLineChars="200"/>
        <w:jc w:val="left"/>
        <w:rPr>
          <w:rFonts w:hint="eastAsia" w:cs="仿宋_GB2312" w:asciiTheme="minorEastAsia" w:hAnsiTheme="minorEastAsia" w:eastAsiaTheme="minorEastAsia"/>
          <w:color w:val="000000" w:themeColor="text1"/>
          <w:sz w:val="24"/>
          <w:lang w:val="zh-CN" w:eastAsia="zh-CN"/>
          <w14:textFill>
            <w14:solidFill>
              <w14:schemeClr w14:val="tx1"/>
            </w14:solidFill>
          </w14:textFill>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三档（</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分）：方案内容较完整、有一定的合理性、可操作性；</w:t>
      </w:r>
    </w:p>
    <w:p w14:paraId="0CE8122F">
      <w:pPr>
        <w:spacing w:line="360" w:lineRule="auto"/>
        <w:ind w:firstLine="480" w:firstLineChars="200"/>
        <w:jc w:val="left"/>
        <w:rPr>
          <w:rFonts w:hint="eastAsia" w:cs="仿宋_GB2312" w:asciiTheme="minorEastAsia" w:hAnsiTheme="minorEastAsia" w:eastAsiaTheme="minorEastAsia"/>
          <w:color w:val="000000" w:themeColor="text1"/>
          <w:sz w:val="24"/>
          <w:lang w:val="zh-CN" w:eastAsia="zh-CN"/>
          <w14:textFill>
            <w14:solidFill>
              <w14:schemeClr w14:val="tx1"/>
            </w14:solidFill>
          </w14:textFill>
        </w:rPr>
      </w:pP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四档（</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15</w:t>
      </w:r>
      <w:r>
        <w:rPr>
          <w:rFonts w:hint="eastAsia" w:cs="仿宋_GB2312" w:asciiTheme="minorEastAsia" w:hAnsiTheme="minorEastAsia" w:eastAsiaTheme="minorEastAsia"/>
          <w:color w:val="000000" w:themeColor="text1"/>
          <w:sz w:val="24"/>
          <w:lang w:val="zh-CN" w:eastAsia="zh-CN"/>
          <w14:textFill>
            <w14:solidFill>
              <w14:schemeClr w14:val="tx1"/>
            </w14:solidFill>
          </w14:textFill>
        </w:rPr>
        <w:t>分）：方案内容明确、详尽、科学性、合理性及可操作性均较强。</w:t>
      </w:r>
    </w:p>
    <w:p w14:paraId="698FCD44">
      <w:pPr>
        <w:adjustRightInd w:val="0"/>
        <w:spacing w:line="360" w:lineRule="auto"/>
        <w:jc w:val="both"/>
        <w:textAlignment w:val="baseline"/>
        <w:rPr>
          <w:rStyle w:val="638"/>
          <w:rFonts w:hint="eastAsia" w:ascii="Times New Roman" w:hAnsi="宋体" w:eastAsia="宋体" w:cs="宋体"/>
          <w:b/>
          <w:color w:val="000000"/>
          <w:kern w:val="0"/>
          <w:sz w:val="24"/>
          <w:szCs w:val="28"/>
          <w:lang w:val="en-US" w:eastAsia="zh-CN" w:bidi="zh-CN"/>
        </w:rPr>
      </w:pPr>
      <w:r>
        <w:rPr>
          <w:rStyle w:val="638"/>
          <w:rFonts w:hint="eastAsia" w:ascii="Times New Roman" w:hAnsi="宋体" w:eastAsia="宋体" w:cs="宋体"/>
          <w:b/>
          <w:color w:val="000000"/>
          <w:kern w:val="0"/>
          <w:sz w:val="24"/>
          <w:szCs w:val="28"/>
          <w:lang w:val="zh-CN" w:eastAsia="zh-CN" w:bidi="zh-CN"/>
        </w:rPr>
        <w:t>（</w:t>
      </w:r>
      <w:r>
        <w:rPr>
          <w:rStyle w:val="638"/>
          <w:rFonts w:hint="eastAsia" w:ascii="Times New Roman" w:hAnsi="宋体" w:eastAsia="宋体" w:cs="宋体"/>
          <w:b/>
          <w:color w:val="000000"/>
          <w:kern w:val="0"/>
          <w:sz w:val="24"/>
          <w:szCs w:val="28"/>
          <w:lang w:val="en-US" w:eastAsia="zh-CN" w:bidi="zh-CN"/>
        </w:rPr>
        <w:t>4</w:t>
      </w:r>
      <w:r>
        <w:rPr>
          <w:rStyle w:val="638"/>
          <w:rFonts w:hint="eastAsia" w:ascii="Times New Roman" w:hAnsi="宋体" w:eastAsia="宋体" w:cs="宋体"/>
          <w:b/>
          <w:color w:val="000000"/>
          <w:kern w:val="0"/>
          <w:sz w:val="24"/>
          <w:szCs w:val="28"/>
          <w:lang w:val="zh-CN" w:eastAsia="zh-CN" w:bidi="zh-CN"/>
        </w:rPr>
        <w:t>）</w:t>
      </w:r>
      <w:r>
        <w:rPr>
          <w:rStyle w:val="638"/>
          <w:rFonts w:hint="eastAsia" w:ascii="Times New Roman" w:hAnsi="宋体" w:eastAsia="宋体" w:cs="宋体"/>
          <w:b/>
          <w:color w:val="000000"/>
          <w:kern w:val="0"/>
          <w:sz w:val="24"/>
          <w:szCs w:val="28"/>
          <w:lang w:val="en-US" w:eastAsia="zh-CN" w:bidi="zh-CN"/>
        </w:rPr>
        <w:t>服务承诺（满分15分）</w:t>
      </w:r>
    </w:p>
    <w:p w14:paraId="705734E7">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一档（3分）：投标人提供的服务承诺不完整，无针对性，可行性不高的，仅满足项目基本需求的。</w:t>
      </w:r>
    </w:p>
    <w:p w14:paraId="431F2859">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二档（6分）：投标人提供的售后服务承诺较详细、完整，有一定针对性，可行性较高的，较好的满足项目基本需求的。</w:t>
      </w:r>
    </w:p>
    <w:p w14:paraId="1FC314AD">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三档（10分）：投标人提供的售后服务承诺详细、完整，有一定的针对性和可行性，完全满足项目需求的。</w:t>
      </w:r>
    </w:p>
    <w:p w14:paraId="1F2D9584">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四档（15分）：投标人提供的售后服务承诺详细、完整、合理，针对性高，可行性强，优于磋商文件要求的。</w:t>
      </w:r>
    </w:p>
    <w:p w14:paraId="6B03233D">
      <w:pPr>
        <w:spacing w:line="360" w:lineRule="auto"/>
        <w:ind w:firstLine="480" w:firstLineChars="200"/>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不提供该方案的不得分。</w:t>
      </w:r>
    </w:p>
    <w:p w14:paraId="0EF9DD7E">
      <w:pPr>
        <w:pStyle w:val="32"/>
        <w:spacing w:line="360" w:lineRule="auto"/>
        <w:ind w:firstLine="482" w:firstLineChars="200"/>
        <w:rPr>
          <w:rFonts w:hint="eastAsia"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（5）项目实施人员（满分10分）</w:t>
      </w:r>
    </w:p>
    <w:p w14:paraId="0709D8E3">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723" w:firstLineChars="300"/>
        <w:textAlignment w:val="baseline"/>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①、</w:t>
      </w:r>
      <w:r>
        <w:rPr>
          <w:rFonts w:hint="eastAsia" w:ascii="宋体" w:hAnsi="宋体" w:eastAsia="宋体" w:cs="宋体"/>
          <w:b/>
          <w:bCs/>
          <w:color w:val="auto"/>
          <w:spacing w:val="0"/>
          <w:sz w:val="24"/>
          <w:szCs w:val="24"/>
          <w:highlight w:val="none"/>
        </w:rPr>
        <w:t>项目经理</w:t>
      </w:r>
      <w:r>
        <w:rPr>
          <w:rFonts w:hint="eastAsia" w:ascii="宋体" w:hAnsi="宋体" w:eastAsia="宋体" w:cs="宋体"/>
          <w:b/>
          <w:bCs/>
          <w:color w:val="auto"/>
          <w:spacing w:val="0"/>
          <w:sz w:val="24"/>
          <w:szCs w:val="24"/>
          <w:highlight w:val="none"/>
          <w:lang w:eastAsia="zh-CN"/>
        </w:rPr>
        <w:t>、技术负责人</w:t>
      </w:r>
      <w:r>
        <w:rPr>
          <w:rFonts w:hint="eastAsia" w:ascii="宋体" w:hAnsi="宋体" w:eastAsia="宋体" w:cs="宋体"/>
          <w:b/>
          <w:bCs/>
          <w:color w:val="auto"/>
          <w:spacing w:val="0"/>
          <w:sz w:val="24"/>
          <w:szCs w:val="24"/>
          <w:highlight w:val="none"/>
        </w:rPr>
        <w:t>任职资格（</w:t>
      </w:r>
      <w:r>
        <w:rPr>
          <w:rFonts w:hint="eastAsia" w:ascii="宋体" w:hAnsi="宋体" w:eastAsia="宋体" w:cs="宋体"/>
          <w:b/>
          <w:bCs/>
          <w:color w:val="auto"/>
          <w:spacing w:val="0"/>
          <w:sz w:val="24"/>
          <w:szCs w:val="24"/>
          <w:highlight w:val="none"/>
          <w:lang w:eastAsia="zh-CN"/>
        </w:rPr>
        <w:t>满分</w:t>
      </w:r>
      <w:r>
        <w:rPr>
          <w:rFonts w:hint="eastAsia" w:ascii="宋体" w:hAnsi="宋体" w:eastAsia="宋体" w:cs="宋体"/>
          <w:b/>
          <w:bCs/>
          <w:color w:val="auto"/>
          <w:spacing w:val="0"/>
          <w:sz w:val="24"/>
          <w:szCs w:val="24"/>
          <w:highlight w:val="none"/>
          <w:lang w:val="en-US" w:eastAsia="zh-CN"/>
        </w:rPr>
        <w:t>5</w:t>
      </w:r>
      <w:r>
        <w:rPr>
          <w:rFonts w:hint="eastAsia" w:ascii="宋体" w:hAnsi="宋体" w:eastAsia="宋体" w:cs="宋体"/>
          <w:b/>
          <w:bCs/>
          <w:color w:val="auto"/>
          <w:spacing w:val="0"/>
          <w:sz w:val="24"/>
          <w:szCs w:val="24"/>
          <w:highlight w:val="none"/>
        </w:rPr>
        <w:t>分）</w:t>
      </w:r>
    </w:p>
    <w:p w14:paraId="3E20E943">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项目经理：</w:t>
      </w:r>
    </w:p>
    <w:p w14:paraId="2C5BF61C">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（1）拟投入的项目经理具备生态学、林学类或海洋类等相关专业中级（含本级）职称，得1分。</w:t>
      </w:r>
    </w:p>
    <w:p w14:paraId="02594287">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（2）拟投入的项目经理具备生态学、林学类或海洋类等相关专业中级以上职称，得2分。</w:t>
      </w:r>
    </w:p>
    <w:p w14:paraId="481487CB">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技术负责人：</w:t>
      </w:r>
    </w:p>
    <w:p w14:paraId="4D7B8E16">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（1）拟投入的技术负责人具备生态学、林学类或海洋类等相关专业副高级（含本级）职称，得2分。</w:t>
      </w:r>
    </w:p>
    <w:p w14:paraId="5809B161">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（2）拟投入的技术负责人具备生态学、林学类或海洋类等相关专业副高级以上职称，得3分。</w:t>
      </w:r>
    </w:p>
    <w:p w14:paraId="28D7E3C6">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723" w:firstLineChars="300"/>
        <w:textAlignment w:val="baseline"/>
        <w:outlineLvl w:val="9"/>
        <w:rPr>
          <w:rFonts w:hint="default"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②、</w:t>
      </w:r>
      <w:r>
        <w:rPr>
          <w:rFonts w:hint="eastAsia" w:ascii="宋体" w:hAnsi="宋体" w:eastAsia="宋体" w:cs="宋体"/>
          <w:b/>
          <w:bCs/>
          <w:color w:val="auto"/>
          <w:spacing w:val="0"/>
          <w:sz w:val="24"/>
          <w:szCs w:val="24"/>
          <w:highlight w:val="none"/>
        </w:rPr>
        <w:t>其他主要人员（</w:t>
      </w:r>
      <w:r>
        <w:rPr>
          <w:rFonts w:hint="eastAsia" w:ascii="宋体" w:hAnsi="宋体" w:eastAsia="宋体" w:cs="宋体"/>
          <w:b/>
          <w:bCs/>
          <w:color w:val="auto"/>
          <w:spacing w:val="0"/>
          <w:sz w:val="24"/>
          <w:szCs w:val="24"/>
          <w:highlight w:val="none"/>
          <w:lang w:val="en-US" w:eastAsia="zh-CN"/>
        </w:rPr>
        <w:t>满分5</w:t>
      </w:r>
      <w:r>
        <w:rPr>
          <w:rFonts w:hint="eastAsia" w:ascii="宋体" w:hAnsi="宋体" w:eastAsia="宋体" w:cs="宋体"/>
          <w:b/>
          <w:bCs/>
          <w:color w:val="auto"/>
          <w:spacing w:val="0"/>
          <w:sz w:val="24"/>
          <w:szCs w:val="24"/>
          <w:highlight w:val="none"/>
        </w:rPr>
        <w:t>分）</w:t>
      </w:r>
    </w:p>
    <w:p w14:paraId="638A79ED">
      <w:pPr>
        <w:pStyle w:val="40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4"/>
          <w:szCs w:val="24"/>
          <w:highlight w:val="none"/>
          <w:lang w:val="en-US" w:eastAsia="zh-CN"/>
        </w:rPr>
        <w:t>（1）除项目项目经理和技术负责人外，拟投入人员中具备生态学、林学类或海洋类初级工程师职称，每个得0.5分；具备生态学、林学类或海洋类中级工程师及以上职称，每个得1分，满分5分。</w:t>
      </w:r>
    </w:p>
    <w:p w14:paraId="023E21D7">
      <w:pPr>
        <w:pStyle w:val="32"/>
        <w:spacing w:line="360" w:lineRule="auto"/>
        <w:ind w:firstLine="482" w:firstLineChars="200"/>
        <w:rPr>
          <w:rFonts w:hint="eastAsia" w:ascii="宋体" w:hAnsi="宋体" w:eastAsia="宋体" w:cs="宋体"/>
          <w:b/>
          <w:bCs w:val="0"/>
          <w:color w:val="auto"/>
          <w:sz w:val="24"/>
          <w:szCs w:val="24"/>
          <w:highlight w:val="none"/>
        </w:rPr>
      </w:pPr>
      <w:r>
        <w:rPr>
          <w:rFonts w:hint="eastAsia"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业绩</w:t>
      </w:r>
      <w:r>
        <w:rPr>
          <w:rFonts w:hint="eastAsia" w:ascii="宋体" w:hAnsi="宋体" w:eastAsia="宋体" w:cs="宋体"/>
          <w:b/>
          <w:bCs w:val="0"/>
          <w:color w:val="auto"/>
          <w:sz w:val="24"/>
          <w:szCs w:val="24"/>
          <w:highlight w:val="none"/>
          <w:lang w:val="en-US" w:eastAsia="zh-CN"/>
        </w:rPr>
        <w:t>分</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1</w:t>
      </w:r>
      <w:r>
        <w:rPr>
          <w:rFonts w:hint="eastAsia" w:hAnsi="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rPr>
        <w:t>分</w:t>
      </w:r>
    </w:p>
    <w:p w14:paraId="564F2F21">
      <w:pPr>
        <w:pStyle w:val="32"/>
        <w:spacing w:line="360" w:lineRule="auto"/>
        <w:ind w:firstLine="480" w:firstLineChars="200"/>
        <w:rPr>
          <w:rFonts w:hint="eastAsia" w:ascii="宋体" w:hAnsi="宋体" w:eastAsia="宋体" w:cs="宋体"/>
          <w:bCs/>
          <w:color w:val="auto"/>
          <w:sz w:val="24"/>
          <w:szCs w:val="24"/>
          <w:highlight w:val="none"/>
          <w:lang w:eastAsia="zh-CN"/>
        </w:rPr>
      </w:pPr>
      <w:r>
        <w:rPr>
          <w:rFonts w:hint="eastAsia" w:hAnsi="宋体" w:cs="宋体"/>
          <w:bCs/>
          <w:sz w:val="24"/>
          <w:szCs w:val="24"/>
        </w:rPr>
        <w:t>供应商承接过</w:t>
      </w:r>
      <w:r>
        <w:rPr>
          <w:rFonts w:hint="eastAsia" w:hAnsi="宋体" w:cs="宋体"/>
          <w:bCs/>
          <w:sz w:val="24"/>
          <w:szCs w:val="24"/>
          <w:lang w:eastAsia="zh-CN"/>
        </w:rPr>
        <w:t>红树林移植或</w:t>
      </w:r>
      <w:r>
        <w:rPr>
          <w:rFonts w:hint="eastAsia" w:hAnsi="宋体" w:cs="宋体"/>
          <w:bCs/>
          <w:sz w:val="24"/>
          <w:szCs w:val="24"/>
        </w:rPr>
        <w:t>红树林科学考察、科学监测</w:t>
      </w:r>
      <w:r>
        <w:rPr>
          <w:rFonts w:hint="eastAsia" w:hAnsi="宋体" w:cs="宋体"/>
          <w:bCs/>
          <w:sz w:val="24"/>
          <w:szCs w:val="24"/>
          <w:lang w:eastAsia="zh-CN"/>
        </w:rPr>
        <w:t>相关</w:t>
      </w:r>
      <w:r>
        <w:rPr>
          <w:rFonts w:hint="eastAsia" w:hAnsi="宋体" w:cs="宋体"/>
          <w:bCs/>
          <w:sz w:val="24"/>
          <w:szCs w:val="24"/>
        </w:rPr>
        <w:t>同类项目业绩</w:t>
      </w:r>
      <w:r>
        <w:rPr>
          <w:rFonts w:hint="eastAsia" w:hAnsi="宋体" w:cs="宋体"/>
          <w:bCs/>
          <w:sz w:val="24"/>
          <w:szCs w:val="24"/>
          <w:lang w:eastAsia="zh-CN"/>
        </w:rPr>
        <w:t>，</w:t>
      </w:r>
      <w:r>
        <w:rPr>
          <w:rFonts w:hint="eastAsia" w:hAnsi="宋体" w:cs="宋体"/>
          <w:bCs/>
          <w:sz w:val="24"/>
          <w:szCs w:val="24"/>
        </w:rPr>
        <w:t>每项得2分，满分10分；须提供合同复印件或中标通知书复印件并加盖单位公章</w:t>
      </w:r>
      <w:r>
        <w:rPr>
          <w:rFonts w:hint="eastAsia" w:ascii="宋体" w:hAnsi="宋体" w:eastAsia="宋体" w:cs="宋体"/>
          <w:bCs/>
          <w:color w:val="auto"/>
          <w:sz w:val="24"/>
          <w:szCs w:val="24"/>
          <w:highlight w:val="none"/>
          <w:lang w:eastAsia="zh-CN"/>
        </w:rPr>
        <w:t>。</w:t>
      </w:r>
    </w:p>
    <w:p w14:paraId="57F3029B">
      <w:pPr>
        <w:pStyle w:val="23"/>
        <w:spacing w:line="360" w:lineRule="auto"/>
        <w:ind w:firstLine="241" w:firstLine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总得分=1+2+3</w:t>
      </w:r>
      <w:r>
        <w:rPr>
          <w:rFonts w:hint="eastAsia" w:ascii="宋体" w:hAnsi="宋体" w:eastAsia="宋体" w:cs="宋体"/>
          <w:b/>
          <w:color w:val="auto"/>
          <w:sz w:val="24"/>
          <w:szCs w:val="24"/>
          <w:highlight w:val="none"/>
          <w:lang w:val="en-US" w:eastAsia="zh-CN"/>
        </w:rPr>
        <w:t>。</w:t>
      </w:r>
    </w:p>
    <w:p w14:paraId="2A455571">
      <w:pPr>
        <w:pStyle w:val="23"/>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三、成交标准</w:t>
      </w:r>
    </w:p>
    <w:p w14:paraId="39B3E584">
      <w:pPr>
        <w:autoSpaceDE w:val="0"/>
        <w:autoSpaceDN w:val="0"/>
        <w:spacing w:line="360" w:lineRule="auto"/>
        <w:ind w:firstLine="480" w:firstLineChars="200"/>
        <w:rPr>
          <w:rFonts w:hint="eastAsia" w:ascii="宋体" w:hAnsi="宋体" w:eastAsia="宋体" w:cs="宋体"/>
          <w:color w:val="auto"/>
          <w:sz w:val="24"/>
          <w:szCs w:val="24"/>
          <w:highlight w:val="none"/>
          <w:lang w:val="zh-CN" w:bidi="zh-CN"/>
        </w:rPr>
      </w:pPr>
      <w:bookmarkStart w:id="65" w:name="磋商小组将根据总得分由高到低对供应商排列次序（得分相同时，以磋商报价由低到高顺序"/>
      <w:bookmarkEnd w:id="65"/>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zh-CN" w:bidi="zh-CN"/>
        </w:rPr>
        <w:t>）磋商小组将根据得分由高到低排列次序（得分相同，按技术指标优劣顺序排列）并推荐三名成交候选供应商。采购单位应当确定磋商小组推荐排名第一的成交候选人为成交人。</w:t>
      </w:r>
    </w:p>
    <w:p w14:paraId="26F1E19C">
      <w:pPr>
        <w:autoSpaceDE w:val="0"/>
        <w:autoSpaceDN w:val="0"/>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bidi="zh-CN"/>
        </w:rPr>
        <w:t>2</w:t>
      </w:r>
      <w:r>
        <w:rPr>
          <w:rFonts w:hint="eastAsia" w:ascii="宋体" w:hAnsi="宋体" w:eastAsia="宋体" w:cs="宋体"/>
          <w:color w:val="auto"/>
          <w:sz w:val="24"/>
          <w:szCs w:val="24"/>
          <w:highlight w:val="none"/>
          <w:lang w:val="zh-CN" w:bidi="zh-CN"/>
        </w:rPr>
        <w:t>）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0066D4FF">
      <w:pPr>
        <w:autoSpaceDE w:val="0"/>
        <w:autoSpaceDN w:val="0"/>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zh-CN" w:bidi="zh-CN"/>
        </w:rPr>
        <w:t>） 磋商小组认为，某磋商供应商的最低投标价或者某些分项报价明显不合理或者低于成本，有可能影响服务质量和不能诚信履约的，应当要求其在规定的期限内提供书面文件予以解释说明，并提交相关证明材料，否则，磋商小组可以取消该磋商供应商的成交候选供应商资格，按顺序由排在后面的成交候选供应商递补，以此类推。</w:t>
      </w:r>
    </w:p>
    <w:p w14:paraId="5EA807BA">
      <w:pPr>
        <w:adjustRightInd/>
        <w:spacing w:line="360" w:lineRule="auto"/>
        <w:ind w:firstLine="482" w:firstLineChars="200"/>
        <w:rPr>
          <w:rFonts w:cs="Arial" w:asciiTheme="minorEastAsia" w:hAnsiTheme="minorEastAsia" w:eastAsiaTheme="minorEastAsia"/>
          <w:b/>
          <w:color w:val="000000" w:themeColor="text1"/>
          <w:kern w:val="0"/>
          <w:sz w:val="24"/>
          <w14:textFill>
            <w14:solidFill>
              <w14:schemeClr w14:val="tx1"/>
            </w14:solidFill>
          </w14:textFill>
        </w:rPr>
      </w:pPr>
    </w:p>
    <w:p w14:paraId="78E14510">
      <w:pPr>
        <w:pStyle w:val="393"/>
        <w:spacing w:before="0"/>
        <w:ind w:firstLine="643"/>
        <w:jc w:val="center"/>
        <w:outlineLvl w:val="1"/>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一、评审方法</w:t>
      </w:r>
    </w:p>
    <w:p w14:paraId="72545F33">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1.综合评分法。</w:t>
      </w:r>
      <w:r>
        <w:rPr>
          <w:rFonts w:hint="eastAsia" w:cs="Arial" w:asciiTheme="minorEastAsia" w:hAnsiTheme="minorEastAsia" w:eastAsiaTheme="minorEastAsia"/>
          <w:color w:val="000000" w:themeColor="text1"/>
          <w:kern w:val="0"/>
          <w:sz w:val="24"/>
          <w14:textFill>
            <w14:solidFill>
              <w14:schemeClr w14:val="tx1"/>
            </w14:solidFill>
          </w14:textFill>
        </w:rPr>
        <w:t>综合评分法，是指响应文件满足磋商文件全部实质性要求，且按照评审因素的量化指标评审得分最高的供应商为成交候选人的评审方法。</w:t>
      </w:r>
    </w:p>
    <w:p w14:paraId="1C712756">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p>
    <w:p w14:paraId="46313492">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二、磋商小组的组成</w:t>
      </w:r>
    </w:p>
    <w:p w14:paraId="71D85609">
      <w:pPr>
        <w:pStyle w:val="393"/>
        <w:spacing w:before="0"/>
        <w:ind w:firstLine="0" w:firstLineChars="0"/>
        <w:rPr>
          <w:rFonts w:cs="Arial" w:asciiTheme="minorEastAsia" w:hAnsiTheme="minorEastAsia" w:eastAsiaTheme="minorEastAsia"/>
          <w:b/>
          <w:color w:val="000000" w:themeColor="text1"/>
          <w:kern w:val="0"/>
          <w14:textFill>
            <w14:solidFill>
              <w14:schemeClr w14:val="tx1"/>
            </w14:solidFill>
          </w14:textFill>
        </w:rPr>
      </w:pPr>
      <w:r>
        <w:rPr>
          <w:rFonts w:hint="eastAsia" w:cs="Arial" w:asciiTheme="minorEastAsia" w:hAnsiTheme="minorEastAsia" w:eastAsiaTheme="minorEastAsia"/>
          <w:b/>
          <w:color w:val="000000" w:themeColor="text1"/>
          <w:kern w:val="0"/>
          <w14:textFill>
            <w14:solidFill>
              <w14:schemeClr w14:val="tx1"/>
            </w14:solidFill>
          </w14:textFill>
        </w:rPr>
        <w:t>1.磋商小组的组成。</w:t>
      </w:r>
    </w:p>
    <w:p w14:paraId="45B2763D">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595C61B">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292A3A9">
      <w:pPr>
        <w:snapToGrid w:val="0"/>
        <w:spacing w:line="360" w:lineRule="auto"/>
        <w:rPr>
          <w:rFonts w:cs="Arial" w:asciiTheme="minorEastAsia" w:hAnsiTheme="minorEastAsia" w:eastAsiaTheme="minorEastAsia"/>
          <w:b/>
          <w:color w:val="000000" w:themeColor="text1"/>
          <w:kern w:val="0"/>
          <w:sz w:val="24"/>
          <w:szCs w:val="20"/>
          <w14:textFill>
            <w14:solidFill>
              <w14:schemeClr w14:val="tx1"/>
            </w14:solidFill>
          </w14:textFill>
        </w:rPr>
      </w:pPr>
      <w:r>
        <w:rPr>
          <w:rFonts w:hint="eastAsia" w:cs="Arial" w:asciiTheme="minorEastAsia" w:hAnsiTheme="minorEastAsia" w:eastAsiaTheme="minorEastAsia"/>
          <w:b/>
          <w:color w:val="000000" w:themeColor="text1"/>
          <w:kern w:val="0"/>
          <w:sz w:val="24"/>
          <w:szCs w:val="20"/>
          <w14:textFill>
            <w14:solidFill>
              <w14:schemeClr w14:val="tx1"/>
            </w14:solidFill>
          </w14:textFill>
        </w:rPr>
        <w:t>2.磋商小组的组成人员的回避。</w:t>
      </w:r>
    </w:p>
    <w:p w14:paraId="746E5E60">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在政府采购活动中，磋商小组的组成人员与供应商有下列利害关系之一的，应当回避：</w:t>
      </w:r>
    </w:p>
    <w:p w14:paraId="2F297043">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2.1参加采购活动前3年内与供应商存在劳动关系；</w:t>
      </w:r>
    </w:p>
    <w:p w14:paraId="167F2BBA">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2.2参加采购活动前3年内担任供应商的董事、监事；</w:t>
      </w:r>
    </w:p>
    <w:p w14:paraId="6B9099D4">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2.3参加采购活动前3年内是供应商的控股股东或者实际控制人；</w:t>
      </w:r>
    </w:p>
    <w:p w14:paraId="78F569D3">
      <w:pPr>
        <w:pStyle w:val="393"/>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2.4与供应商的法定代表人或者负责人有夫妻、直系血亲、三代以内旁系血亲或者近姻亲关系；</w:t>
      </w:r>
    </w:p>
    <w:p w14:paraId="6BA25EDA">
      <w:pPr>
        <w:pStyle w:val="393"/>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2.5与供应商有其他可能影响政府采购活动公平、公正进行的关系。</w:t>
      </w:r>
    </w:p>
    <w:p w14:paraId="6772397E">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14:textFill>
            <w14:solidFill>
              <w14:schemeClr w14:val="tx1"/>
            </w14:solidFill>
          </w14:textFill>
        </w:rPr>
      </w:pPr>
    </w:p>
    <w:p w14:paraId="202EDDAA">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三、磋商小组的职责</w:t>
      </w:r>
    </w:p>
    <w:p w14:paraId="6BC64C5C">
      <w:pPr>
        <w:pStyle w:val="393"/>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1.磋商小组负责具体评审事务，并独立履行下列职责：</w:t>
      </w:r>
    </w:p>
    <w:p w14:paraId="2BDBFA1E">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szCs w:val="24"/>
          <w14:textFill>
            <w14:solidFill>
              <w14:schemeClr w14:val="tx1"/>
            </w14:solidFill>
          </w14:textFill>
        </w:rPr>
        <w:t>对供应商的资格进行审查；</w:t>
      </w:r>
      <w:r>
        <w:rPr>
          <w:rFonts w:hint="eastAsia" w:asciiTheme="minorEastAsia" w:hAnsiTheme="minorEastAsia" w:eastAsiaTheme="minorEastAsia"/>
          <w:color w:val="000000" w:themeColor="text1"/>
          <w14:textFill>
            <w14:solidFill>
              <w14:schemeClr w14:val="tx1"/>
            </w14:solidFill>
          </w14:textFill>
        </w:rPr>
        <w:t>对响应文件的有效性、完整性和响应程度进行审查；</w:t>
      </w:r>
    </w:p>
    <w:p w14:paraId="4856127E">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1.2审查、评价响应文件是否符合磋商文件的商务、技术等实质性要求；</w:t>
      </w:r>
    </w:p>
    <w:p w14:paraId="18375587">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1.3要求供应商对响应文件有关事项作出澄清、说明或者更正；</w:t>
      </w:r>
    </w:p>
    <w:p w14:paraId="3725AF00">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1.4磋商小组集中与单一供应商分别进行磋商；</w:t>
      </w:r>
    </w:p>
    <w:p w14:paraId="622ADB83">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1.5确定磋商文件的变动情况，并确定提交最后报价的供应商；</w:t>
      </w:r>
    </w:p>
    <w:p w14:paraId="63386DF0">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1.6根据磋商文件确定的评审办法及评审标准对提交最后报价的供应商的响应文件和最后报价采用综合评分法进行综合评分；</w:t>
      </w:r>
    </w:p>
    <w:p w14:paraId="18D8CEA0">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1.7编制评审报告，确定成交候选人名单，以及根据采购人委托直接确定成交人；</w:t>
      </w:r>
    </w:p>
    <w:p w14:paraId="5439B33C">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1.8向采购人、采购代理机构或者有关部门报告评审中发现的违法行为；</w:t>
      </w:r>
    </w:p>
    <w:p w14:paraId="45362432">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1.9法律、法规、规章、磋商文件等规定的其它事项。</w:t>
      </w:r>
    </w:p>
    <w:p w14:paraId="2CEC486D">
      <w:pPr>
        <w:pStyle w:val="393"/>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2.磋商小组及其成员不得有下列行为：</w:t>
      </w:r>
    </w:p>
    <w:p w14:paraId="5DA89054">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2.1确定参与本项目至评审结束前私自接触供应商；</w:t>
      </w:r>
    </w:p>
    <w:p w14:paraId="69CAD4A5">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2.2接受供应商提出的“超出响应文件的范围或者改变响应文件的实质性内容”的澄清、说明或者更正； </w:t>
      </w:r>
    </w:p>
    <w:p w14:paraId="3F4DEDAC">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2.3违反评审纪律发表倾向性意见或者征询采购人的倾向性意见；</w:t>
      </w:r>
    </w:p>
    <w:p w14:paraId="1045A4B6">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2.4对需要专业判断的主观评审因素协商评分；</w:t>
      </w:r>
    </w:p>
    <w:p w14:paraId="25C88EEA">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2.5在评审过程中擅离职守，影响评审程序正常进行的；</w:t>
      </w:r>
    </w:p>
    <w:p w14:paraId="0C2F8AE7">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2.6记录、复制或者带走任何评审资料；</w:t>
      </w:r>
    </w:p>
    <w:p w14:paraId="021E849E">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2.7其他不遵守评审纪律的行为。</w:t>
      </w:r>
    </w:p>
    <w:p w14:paraId="40C9ED37">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磋商小组成员有2.1-2.5行为之一的，其评审意见无效，并不得获取评审劳务报酬和报销异地评审差旅费。</w:t>
      </w:r>
    </w:p>
    <w:p w14:paraId="00EAC166">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77E6D766">
      <w:pPr>
        <w:pStyle w:val="393"/>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四、评审程序</w:t>
      </w:r>
    </w:p>
    <w:p w14:paraId="633BF707">
      <w:pPr>
        <w:pStyle w:val="393"/>
        <w:spacing w:before="0"/>
        <w:ind w:firstLine="472" w:firstLineChars="19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详见磋商文件“第二部分 竞争性磋商流程”。</w:t>
      </w:r>
    </w:p>
    <w:p w14:paraId="0067E747">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4DDF1BD2">
      <w:pPr>
        <w:pStyle w:val="393"/>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五、评审须知</w:t>
      </w:r>
    </w:p>
    <w:p w14:paraId="03EAFAA5">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 响应文件的澄清</w:t>
      </w:r>
    </w:p>
    <w:p w14:paraId="7C28242A">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A58A89A">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2.最后报价的修正原则</w:t>
      </w:r>
    </w:p>
    <w:p w14:paraId="0827BF8E">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磋商小组对响应文件的最后报价进行审核，对发现计算、书写等错误的，按以下原则进行修正：</w:t>
      </w:r>
    </w:p>
    <w:p w14:paraId="1FBFEBB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2.1《最后报价一览表》内容与响应文件中响应内容不一致的，以《最后报价一览表》为准;</w:t>
      </w:r>
    </w:p>
    <w:p w14:paraId="051C979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2.2大写金额和小写金额不一致的，以大写金额为准;</w:t>
      </w:r>
    </w:p>
    <w:p w14:paraId="12A3B8D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2.3单价金额小数点或者百分比有明显错位的，以《最后报价一览表》的总价为准，并修改单价;</w:t>
      </w:r>
    </w:p>
    <w:p w14:paraId="47E23EE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2.4总价金额与按单价汇总金额不一致的，以单价金额计算结果为准。</w:t>
      </w:r>
    </w:p>
    <w:p w14:paraId="4B195D5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2.5同时出现两种以上不一致的，按照前款规定的顺序修正。</w:t>
      </w:r>
    </w:p>
    <w:p w14:paraId="5D7AB75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2.6以修正后的总价作为最后报价。</w:t>
      </w:r>
    </w:p>
    <w:p w14:paraId="4030AECC">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cs="仿宋_GB2312" w:asciiTheme="minorEastAsia" w:hAnsiTheme="minorEastAsia" w:eastAsiaTheme="minorEastAsia"/>
          <w:b/>
          <w:bCs/>
          <w:color w:val="000000" w:themeColor="text1"/>
          <w:sz w:val="24"/>
          <w14:textFill>
            <w14:solidFill>
              <w14:schemeClr w14:val="tx1"/>
            </w14:solidFill>
          </w14:textFill>
        </w:rPr>
        <w:t>供应商对根据修正原则修正后的最后报价不确认的，响应无效。</w:t>
      </w:r>
    </w:p>
    <w:p w14:paraId="00F89897">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hint="eastAsia" w:asciiTheme="minorEastAsia" w:hAnsiTheme="minorEastAsia" w:eastAsiaTheme="minorEastAsia"/>
          <w:b/>
          <w:color w:val="000000" w:themeColor="text1"/>
          <w:spacing w:val="20"/>
          <w14:textFill>
            <w14:solidFill>
              <w14:schemeClr w14:val="tx1"/>
            </w14:solidFill>
          </w14:textFill>
        </w:rPr>
        <w:t>响应无效</w:t>
      </w:r>
    </w:p>
    <w:p w14:paraId="2F1C3D62">
      <w:pPr>
        <w:pStyle w:val="24"/>
        <w:spacing w:line="360" w:lineRule="auto"/>
        <w:ind w:firstLine="600" w:firstLineChars="250"/>
        <w:rPr>
          <w:rFonts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14:textFill>
            <w14:solidFill>
              <w14:schemeClr w14:val="tx1"/>
            </w14:solidFill>
          </w14:textFill>
        </w:rPr>
        <w:t>：</w:t>
      </w:r>
    </w:p>
    <w:p w14:paraId="41BE8D5D">
      <w:pPr>
        <w:spacing w:line="360" w:lineRule="auto"/>
        <w:ind w:firstLine="480" w:firstLineChars="200"/>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仿宋_GB2312" w:asciiTheme="minorEastAsia" w:hAnsiTheme="minorEastAsia" w:eastAsiaTheme="minorEastAsia"/>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14:paraId="0A5E73D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14:paraId="454BB23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3.3供应商不具备磋商文件中规定的资格要求的（供应商未提供有效的资格证明文件的，视为供应商不具备磋商文件中规定的资格要求）；</w:t>
      </w:r>
    </w:p>
    <w:p w14:paraId="30677BA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3.4如以联合体形式参加政府采购活动的，联合协议不符合磋商文件规定的联合协议要求的；</w:t>
      </w:r>
    </w:p>
    <w:p w14:paraId="7DBF53E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3.5响应文件未按磋商文件的澄清、修改的内容编制，又不符合实质性要求的；</w:t>
      </w:r>
    </w:p>
    <w:p w14:paraId="09372E4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3.6响应文件组成漏项，内容不全或内容字迹模糊辨认不清的；</w:t>
      </w:r>
    </w:p>
    <w:p w14:paraId="7D9E0A2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3.7响应文件中法人授权书所载内容与本项目内容有异的；</w:t>
      </w:r>
    </w:p>
    <w:p w14:paraId="102ABC9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3.8响应文件未按照磋商文件要求签署、盖章的；</w:t>
      </w:r>
    </w:p>
    <w:p w14:paraId="26AFDE3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1F7BFB4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3.10响应文件含有采购人不能接受的附加条件的；</w:t>
      </w:r>
    </w:p>
    <w:p w14:paraId="78ECFC3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3.11响应文件中承诺的响应有效期少于磋商文件中载明的响应有效期的；</w:t>
      </w:r>
    </w:p>
    <w:p w14:paraId="5A68232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3.12供应商所投内容不符合磋商文件中实质性要求的；</w:t>
      </w:r>
    </w:p>
    <w:p w14:paraId="4E1C11B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3.13所提交的《最后报价一览表》中出现不是唯一的、有选择性的报价的;</w:t>
      </w:r>
    </w:p>
    <w:p w14:paraId="63021C1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3.14最后报价高于本项目采购预算或者最高限价的;</w:t>
      </w:r>
    </w:p>
    <w:p w14:paraId="4A0BB5A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3.15《最后报价一览表》填写不完整或字迹不能辨认或有漏项的；</w:t>
      </w:r>
    </w:p>
    <w:p w14:paraId="0132D96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3.16供应商对根据修正原则修正后的最后报价不确认的；</w:t>
      </w:r>
    </w:p>
    <w:p w14:paraId="31678BC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3.17供应商提供虚假材料响应的（包括但不限于以下情节）；</w:t>
      </w:r>
    </w:p>
    <w:p w14:paraId="675062E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3.17.1使用伪造、变造的许可证件；</w:t>
      </w:r>
    </w:p>
    <w:p w14:paraId="2A8D088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3.17.2提供虚假的财务状况或者业绩；</w:t>
      </w:r>
    </w:p>
    <w:p w14:paraId="1AF572D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3.17.3提供虚假的项目负责人或者主要技术人员简历、劳动关系证明；</w:t>
      </w:r>
    </w:p>
    <w:p w14:paraId="2DDDF83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3.17.4提供虚假的信用状况；</w:t>
      </w:r>
    </w:p>
    <w:p w14:paraId="3834702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3.17.5其他弄虚作假的行为。</w:t>
      </w:r>
    </w:p>
    <w:p w14:paraId="37169D33">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3.18供应商有恶意串通、妨碍其他供应商的竞争行为、损害采购人或者其他供应商的合法权益情形的。</w:t>
      </w:r>
    </w:p>
    <w:p w14:paraId="5D9F20BA">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有下列情形之一的，属于或视为恶意串通，其响应无效：</w:t>
      </w:r>
    </w:p>
    <w:p w14:paraId="1E817CC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3.18.1供应商直接或者间接从采购人或者采购代理机构处获得其他供应商的相关情况并修改其响应文件；</w:t>
      </w:r>
    </w:p>
    <w:p w14:paraId="62277DC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3.18.2供应商按照采购人或者采购代理机构的授意撤换、修改投标文件或者响应文件；</w:t>
      </w:r>
    </w:p>
    <w:p w14:paraId="724C8E6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3.18.3供应商之间协商报价、技术方案等投标文件或者响应文件的实质性内容；</w:t>
      </w:r>
    </w:p>
    <w:p w14:paraId="59D92DD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3.18.4属于同一集团、协会、商会等组织成员的供应商按照该组织要求协同参加政府采购活动；</w:t>
      </w:r>
    </w:p>
    <w:p w14:paraId="39D0BC9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3.18.5供应商之间事先约定由某一特定供应商中标、成交；</w:t>
      </w:r>
    </w:p>
    <w:p w14:paraId="1409392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3.18.6供应商之间商定部分供应商放弃参加政府采购活动或者放弃中标、成交；</w:t>
      </w:r>
    </w:p>
    <w:p w14:paraId="1079E7E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3.18.7供应商与采购人或者采购代理机构之间、供应商相互之间，为谋求特定供应商中标、成交或者排斥其他供应商的其他串通行为。</w:t>
      </w:r>
    </w:p>
    <w:p w14:paraId="24ECA0B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3.18.8不同供应商的响应文件由同一单位或者个人编制；</w:t>
      </w:r>
    </w:p>
    <w:p w14:paraId="3D868D5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3.18.9不同供应商委托同一单位或者个人办理响应事宜；</w:t>
      </w:r>
    </w:p>
    <w:p w14:paraId="1EA3A13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3.18.10不同供应商的响应文件载明的项目管理成员或者联系人员为同一人；</w:t>
      </w:r>
    </w:p>
    <w:p w14:paraId="0FDB583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3.18.11不同供应商的响应文件异常一致或者最后报价呈规律性差异。</w:t>
      </w:r>
    </w:p>
    <w:p w14:paraId="7809F91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3.19供应商仅提交备份响应文件，没有在电子交易平台传输提交响应文件的，响应无效；</w:t>
      </w:r>
    </w:p>
    <w:p w14:paraId="73454C4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3.20法律、法规、规章（适用本市的）及省级以上规范性文件（适用本市的）规定的其他无效情形。</w:t>
      </w:r>
    </w:p>
    <w:p w14:paraId="40AD680D">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 重新开展采购活动</w:t>
      </w:r>
    </w:p>
    <w:p w14:paraId="5CBE501F">
      <w:pPr>
        <w:spacing w:line="360" w:lineRule="auto"/>
        <w:ind w:firstLine="407"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14:textFill>
            <w14:solidFill>
              <w14:schemeClr w14:val="tx1"/>
            </w14:solidFill>
          </w14:textFill>
        </w:rPr>
        <w:t>出现下列情形之一的，采购代理机构应当终止竞争性磋商采购活动，通过电子交易平台发布项目终止公告并说明原因，重新开展采购活动：</w:t>
      </w:r>
    </w:p>
    <w:p w14:paraId="1954FA90">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（1）因情况变化，不再符合规定的竞争性磋商采购方式适用情形的；</w:t>
      </w:r>
    </w:p>
    <w:p w14:paraId="24B0C8B5">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（2）出现影响采购公正的违法、违规行为的；</w:t>
      </w:r>
    </w:p>
    <w:p w14:paraId="6C90559B">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（3）在采购过程中符合要求的供应商或者最后报价未超过采购预算的供应商不足3家的（有特殊规定的从其规定）。</w:t>
      </w:r>
    </w:p>
    <w:p w14:paraId="4A24BF6A">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 终止采购活动</w:t>
      </w:r>
    </w:p>
    <w:p w14:paraId="075FE7F0">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6EE748CB">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14:textFill>
            <w14:solidFill>
              <w14:schemeClr w14:val="tx1"/>
            </w14:solidFill>
          </w14:textFill>
        </w:rPr>
        <w:t>采购代理机构有权对磋商小组各成员的评分情况和评审意见进行合理性和合规性审查</w:t>
      </w:r>
      <w:r>
        <w:rPr>
          <w:rFonts w:hint="eastAsia" w:cs="仿宋_GB2312" w:asciiTheme="minorEastAsia" w:hAnsiTheme="minorEastAsia" w:eastAsiaTheme="minorEastAsia"/>
          <w:color w:val="000000" w:themeColor="text1"/>
          <w:sz w:val="24"/>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E289AA3">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p>
    <w:p w14:paraId="3F1B34A2">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六、评审过程的保密与录像</w:t>
      </w:r>
    </w:p>
    <w:p w14:paraId="366BC913">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1C621327">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2.录音录像。</w:t>
      </w:r>
      <w:r>
        <w:rPr>
          <w:rFonts w:hint="eastAsia" w:cs="仿宋_GB2312" w:asciiTheme="minorEastAsia" w:hAnsiTheme="minorEastAsia" w:eastAsiaTheme="minorEastAsia"/>
          <w:color w:val="000000" w:themeColor="text1"/>
          <w:sz w:val="24"/>
          <w14:textFill>
            <w14:solidFill>
              <w14:schemeClr w14:val="tx1"/>
            </w14:solidFill>
          </w14:textFill>
        </w:rPr>
        <w:t>采购代理机构对评审工作现场进行全过程录音录像，录音录像资料作为采购项目文件随其他文件一并存档。</w:t>
      </w:r>
    </w:p>
    <w:p w14:paraId="1711A6A1">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70C8A5B8">
      <w:pPr>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66" w:name="_Toc181203099"/>
      <w:bookmarkStart w:id="67" w:name="_Toc25619"/>
      <w:r>
        <w:rPr>
          <w:rFonts w:hint="eastAsia" w:cs="仿宋_GB2312" w:asciiTheme="minorEastAsia" w:hAnsiTheme="minorEastAsia" w:eastAsiaTheme="minorEastAsia"/>
          <w:b/>
          <w:color w:val="000000" w:themeColor="text1"/>
          <w:sz w:val="36"/>
          <w:szCs w:val="36"/>
          <w14:textFill>
            <w14:solidFill>
              <w14:schemeClr w14:val="tx1"/>
            </w14:solidFill>
          </w14:textFill>
        </w:rPr>
        <w:t>第六部分</w:t>
      </w:r>
      <w:bookmarkEnd w:id="64"/>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拟签订的合同文本</w:t>
      </w:r>
      <w:bookmarkEnd w:id="66"/>
      <w:bookmarkEnd w:id="67"/>
    </w:p>
    <w:p w14:paraId="6658BE5E">
      <w:pPr>
        <w:spacing w:line="480" w:lineRule="auto"/>
        <w:jc w:val="center"/>
        <w:rPr>
          <w:rFonts w:ascii="宋体" w:hAnsi="宋体" w:cs="宋体"/>
          <w:b/>
          <w:color w:val="000000" w:themeColor="text1"/>
          <w:sz w:val="24"/>
          <w14:textFill>
            <w14:solidFill>
              <w14:schemeClr w14:val="tx1"/>
            </w14:solidFill>
          </w14:textFill>
        </w:rPr>
      </w:pPr>
      <w:bookmarkStart w:id="68" w:name="第五部分"/>
      <w:bookmarkStart w:id="69" w:name="_Toc86217003"/>
    </w:p>
    <w:p w14:paraId="100FEA77">
      <w:pPr>
        <w:spacing w:line="480" w:lineRule="auto"/>
        <w:jc w:val="center"/>
        <w:rPr>
          <w:rFonts w:ascii="宋体" w:hAnsi="宋体" w:cs="宋体"/>
          <w:b/>
          <w:color w:val="000000" w:themeColor="text1"/>
          <w:sz w:val="24"/>
          <w14:textFill>
            <w14:solidFill>
              <w14:schemeClr w14:val="tx1"/>
            </w14:solidFill>
          </w14:textFill>
        </w:rPr>
      </w:pPr>
    </w:p>
    <w:p w14:paraId="3C275E22">
      <w:pPr>
        <w:pStyle w:val="632"/>
        <w:rPr>
          <w:color w:val="000000" w:themeColor="text1"/>
          <w14:textFill>
            <w14:solidFill>
              <w14:schemeClr w14:val="tx1"/>
            </w14:solidFill>
          </w14:textFill>
        </w:rPr>
      </w:pPr>
    </w:p>
    <w:p w14:paraId="25E8D9C3">
      <w:pPr>
        <w:pStyle w:val="632"/>
        <w:rPr>
          <w:color w:val="000000" w:themeColor="text1"/>
          <w14:textFill>
            <w14:solidFill>
              <w14:schemeClr w14:val="tx1"/>
            </w14:solidFill>
          </w14:textFill>
        </w:rPr>
      </w:pPr>
    </w:p>
    <w:p w14:paraId="2F8F6905">
      <w:pPr>
        <w:pStyle w:val="632"/>
        <w:rPr>
          <w:color w:val="000000" w:themeColor="text1"/>
          <w14:textFill>
            <w14:solidFill>
              <w14:schemeClr w14:val="tx1"/>
            </w14:solidFill>
          </w14:textFill>
        </w:rPr>
      </w:pPr>
    </w:p>
    <w:p w14:paraId="3A40F7B2">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3D0BC9DE">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001FCE5B">
      <w:pPr>
        <w:pStyle w:val="282"/>
        <w:ind w:firstLine="2843" w:firstLineChars="1180"/>
        <w:rPr>
          <w:rFonts w:ascii="宋体" w:hAnsi="宋体" w:cs="宋体"/>
          <w:b/>
          <w:color w:val="000000" w:themeColor="text1"/>
          <w:szCs w:val="24"/>
          <w14:textFill>
            <w14:solidFill>
              <w14:schemeClr w14:val="tx1"/>
            </w14:solidFill>
          </w14:textFill>
        </w:rPr>
      </w:pPr>
    </w:p>
    <w:p w14:paraId="2999B317">
      <w:pPr>
        <w:pStyle w:val="24"/>
        <w:spacing w:after="120"/>
        <w:rPr>
          <w:color w:val="000000" w:themeColor="text1"/>
          <w14:textFill>
            <w14:solidFill>
              <w14:schemeClr w14:val="tx1"/>
            </w14:solidFill>
          </w14:textFill>
        </w:rPr>
      </w:pPr>
    </w:p>
    <w:p w14:paraId="25072314">
      <w:pPr>
        <w:pStyle w:val="24"/>
        <w:spacing w:after="120"/>
        <w:rPr>
          <w:color w:val="000000" w:themeColor="text1"/>
          <w14:textFill>
            <w14:solidFill>
              <w14:schemeClr w14:val="tx1"/>
            </w14:solidFill>
          </w14:textFill>
        </w:rPr>
      </w:pPr>
    </w:p>
    <w:p w14:paraId="5B7D719A">
      <w:pPr>
        <w:adjustRightInd/>
        <w:spacing w:line="360" w:lineRule="auto"/>
        <w:ind w:left="168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14:paraId="629D1816">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14:paraId="08F05F82">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0AF666C2">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31A92587">
      <w:pPr>
        <w:pStyle w:val="632"/>
        <w:rPr>
          <w:color w:val="000000" w:themeColor="text1"/>
          <w14:textFill>
            <w14:solidFill>
              <w14:schemeClr w14:val="tx1"/>
            </w14:solidFill>
          </w14:textFill>
        </w:rPr>
      </w:pPr>
    </w:p>
    <w:p w14:paraId="7C9FDE67">
      <w:pPr>
        <w:pStyle w:val="632"/>
        <w:rPr>
          <w:color w:val="000000" w:themeColor="text1"/>
          <w14:textFill>
            <w14:solidFill>
              <w14:schemeClr w14:val="tx1"/>
            </w14:solidFill>
          </w14:textFill>
        </w:rPr>
      </w:pPr>
    </w:p>
    <w:p w14:paraId="729804EF">
      <w:pPr>
        <w:pStyle w:val="632"/>
        <w:rPr>
          <w:color w:val="000000" w:themeColor="text1"/>
          <w14:textFill>
            <w14:solidFill>
              <w14:schemeClr w14:val="tx1"/>
            </w14:solidFill>
          </w14:textFill>
        </w:rPr>
      </w:pPr>
    </w:p>
    <w:p w14:paraId="029BCA3F">
      <w:pPr>
        <w:pStyle w:val="632"/>
        <w:rPr>
          <w:color w:val="000000" w:themeColor="text1"/>
          <w14:textFill>
            <w14:solidFill>
              <w14:schemeClr w14:val="tx1"/>
            </w14:solidFill>
          </w14:textFill>
        </w:rPr>
      </w:pPr>
    </w:p>
    <w:p w14:paraId="767610C0">
      <w:pPr>
        <w:pStyle w:val="632"/>
        <w:rPr>
          <w:color w:val="000000" w:themeColor="text1"/>
          <w14:textFill>
            <w14:solidFill>
              <w14:schemeClr w14:val="tx1"/>
            </w14:solidFill>
          </w14:textFill>
        </w:rPr>
      </w:pPr>
    </w:p>
    <w:p w14:paraId="04474DF6">
      <w:pPr>
        <w:pStyle w:val="632"/>
        <w:rPr>
          <w:color w:val="000000" w:themeColor="text1"/>
          <w14:textFill>
            <w14:solidFill>
              <w14:schemeClr w14:val="tx1"/>
            </w14:solidFill>
          </w14:textFill>
        </w:rPr>
      </w:pPr>
    </w:p>
    <w:p w14:paraId="5538BAEB">
      <w:pPr>
        <w:pStyle w:val="632"/>
        <w:rPr>
          <w:color w:val="000000" w:themeColor="text1"/>
          <w14:textFill>
            <w14:solidFill>
              <w14:schemeClr w14:val="tx1"/>
            </w14:solidFill>
          </w14:textFill>
        </w:rPr>
      </w:pPr>
    </w:p>
    <w:p w14:paraId="3D92E18F">
      <w:pPr>
        <w:pStyle w:val="632"/>
        <w:rPr>
          <w:color w:val="000000" w:themeColor="text1"/>
          <w14:textFill>
            <w14:solidFill>
              <w14:schemeClr w14:val="tx1"/>
            </w14:solidFill>
          </w14:textFill>
        </w:rPr>
      </w:pPr>
    </w:p>
    <w:p w14:paraId="238EA7C5">
      <w:pPr>
        <w:pStyle w:val="632"/>
        <w:rPr>
          <w:color w:val="000000" w:themeColor="text1"/>
          <w14:textFill>
            <w14:solidFill>
              <w14:schemeClr w14:val="tx1"/>
            </w14:solidFill>
          </w14:textFill>
        </w:rPr>
      </w:pPr>
    </w:p>
    <w:p w14:paraId="0876C00C">
      <w:pPr>
        <w:pStyle w:val="632"/>
        <w:rPr>
          <w:color w:val="000000" w:themeColor="text1"/>
          <w14:textFill>
            <w14:solidFill>
              <w14:schemeClr w14:val="tx1"/>
            </w14:solidFill>
          </w14:textFill>
        </w:rPr>
      </w:pPr>
    </w:p>
    <w:p w14:paraId="13F4504A">
      <w:pPr>
        <w:spacing w:line="360" w:lineRule="auto"/>
        <w:jc w:val="center"/>
        <w:outlineLvl w:val="1"/>
        <w:rPr>
          <w:rFonts w:ascii="宋体" w:hAnsi="宋体" w:cs="宋体"/>
          <w:b/>
          <w:color w:val="000000" w:themeColor="text1"/>
          <w:sz w:val="24"/>
          <w14:textFill>
            <w14:solidFill>
              <w14:schemeClr w14:val="tx1"/>
            </w14:solidFill>
          </w14:textFill>
        </w:rPr>
      </w:pPr>
      <w:bookmarkStart w:id="70" w:name="_Toc22209"/>
      <w:r>
        <w:rPr>
          <w:rFonts w:hint="eastAsia" w:ascii="宋体" w:hAnsi="宋体"/>
          <w:b/>
          <w:color w:val="000000" w:themeColor="text1"/>
          <w:sz w:val="24"/>
          <w14:textFill>
            <w14:solidFill>
              <w14:schemeClr w14:val="tx1"/>
            </w14:solidFill>
          </w14:textFill>
        </w:rPr>
        <w:t>第一节 政府采购合同协议书</w:t>
      </w:r>
      <w:bookmarkEnd w:id="70"/>
    </w:p>
    <w:p w14:paraId="633DC2C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个工作日内，按照采购文件确定的事项签订本合同。</w:t>
      </w:r>
    </w:p>
    <w:p w14:paraId="50B690F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623064C3">
      <w:pPr>
        <w:spacing w:line="360" w:lineRule="auto"/>
        <w:ind w:firstLine="482" w:firstLineChars="200"/>
        <w:rPr>
          <w:rFonts w:ascii="宋体" w:hAnsi="宋体"/>
          <w:color w:val="000000" w:themeColor="text1"/>
          <w:sz w:val="24"/>
          <w14:textFill>
            <w14:solidFill>
              <w14:schemeClr w14:val="tx1"/>
            </w14:solidFill>
          </w14:textFill>
        </w:rPr>
      </w:pPr>
      <w:bookmarkStart w:id="71" w:name="_Toc22967"/>
      <w:bookmarkStart w:id="72" w:name="_Toc15367"/>
      <w:bookmarkStart w:id="73" w:name="_Toc19273"/>
      <w:bookmarkStart w:id="74" w:name="_Toc20421"/>
      <w:bookmarkStart w:id="75" w:name="_Toc28855"/>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71"/>
      <w:bookmarkEnd w:id="72"/>
      <w:bookmarkEnd w:id="73"/>
      <w:bookmarkEnd w:id="74"/>
      <w:bookmarkEnd w:id="75"/>
    </w:p>
    <w:p w14:paraId="49CCB88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4875B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14:paraId="576E7C0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14:paraId="19F5176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14:paraId="6B97880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14:paraId="35C27A6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14:paraId="6FE64691">
      <w:pPr>
        <w:spacing w:line="360" w:lineRule="auto"/>
        <w:ind w:firstLine="482" w:firstLineChars="200"/>
        <w:rPr>
          <w:rFonts w:ascii="宋体" w:hAnsi="宋体"/>
          <w:b/>
          <w:color w:val="000000" w:themeColor="text1"/>
          <w:sz w:val="24"/>
          <w14:textFill>
            <w14:solidFill>
              <w14:schemeClr w14:val="tx1"/>
            </w14:solidFill>
          </w14:textFill>
        </w:rPr>
      </w:pPr>
      <w:bookmarkStart w:id="76" w:name="_Toc18585"/>
      <w:bookmarkStart w:id="77" w:name="_Toc6773"/>
      <w:bookmarkStart w:id="78" w:name="_Toc6311"/>
      <w:bookmarkStart w:id="79" w:name="_Toc22185"/>
      <w:bookmarkStart w:id="80" w:name="_Toc2918"/>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76"/>
      <w:bookmarkEnd w:id="77"/>
      <w:bookmarkEnd w:id="78"/>
      <w:bookmarkEnd w:id="79"/>
      <w:bookmarkEnd w:id="80"/>
    </w:p>
    <w:p w14:paraId="4A52139F">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67EEA74">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0AE1ECA">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14:paraId="6E4A62E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E777E34">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14:paraId="0E3E7E62">
      <w:pPr>
        <w:spacing w:line="360" w:lineRule="auto"/>
        <w:ind w:firstLine="480" w:firstLineChars="200"/>
        <w:rPr>
          <w:rFonts w:ascii="宋体" w:hAnsi="宋体" w:cs="宋体"/>
          <w:color w:val="000000" w:themeColor="text1"/>
          <w:sz w:val="24"/>
          <w:u w:val="single"/>
          <w14:textFill>
            <w14:solidFill>
              <w14:schemeClr w14:val="tx1"/>
            </w14:solidFill>
          </w14:textFill>
        </w:rPr>
      </w:pPr>
      <w:bookmarkStart w:id="81" w:name="_Toc1386"/>
      <w:bookmarkStart w:id="82" w:name="_Toc5635"/>
      <w:bookmarkStart w:id="83" w:name="_Toc13918"/>
      <w:bookmarkStart w:id="84" w:name="_Toc21124"/>
      <w:bookmarkStart w:id="85" w:name="_Toc4929"/>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76D1C1E">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FF719A1">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6F491E5">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81"/>
      <w:bookmarkEnd w:id="82"/>
      <w:bookmarkEnd w:id="83"/>
      <w:bookmarkEnd w:id="84"/>
      <w:bookmarkEnd w:id="85"/>
    </w:p>
    <w:p w14:paraId="3F9C1BB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14:paraId="1FF6259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7F581FA6">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E8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CD5327">
            <w:pPr>
              <w:pStyle w:val="6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63843969">
            <w:pPr>
              <w:pStyle w:val="622"/>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77D43D39">
            <w:pPr>
              <w:pStyle w:val="6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4E91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B96E78">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3D1EA853">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0EFAE4C0">
            <w:pPr>
              <w:pStyle w:val="622"/>
              <w:spacing w:line="360" w:lineRule="auto"/>
              <w:ind w:firstLine="200"/>
              <w:jc w:val="center"/>
              <w:rPr>
                <w:rFonts w:hAnsi="宋体"/>
                <w:color w:val="000000" w:themeColor="text1"/>
                <w:sz w:val="24"/>
                <w:szCs w:val="24"/>
                <w14:textFill>
                  <w14:solidFill>
                    <w14:schemeClr w14:val="tx1"/>
                  </w14:solidFill>
                </w14:textFill>
              </w:rPr>
            </w:pPr>
          </w:p>
        </w:tc>
      </w:tr>
      <w:tr w14:paraId="5CD8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66DB47">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1E2A64CC">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30166FD3">
            <w:pPr>
              <w:pStyle w:val="622"/>
              <w:spacing w:line="360" w:lineRule="auto"/>
              <w:ind w:firstLine="200"/>
              <w:jc w:val="center"/>
              <w:rPr>
                <w:rFonts w:hAnsi="宋体"/>
                <w:color w:val="000000" w:themeColor="text1"/>
                <w:sz w:val="24"/>
                <w:szCs w:val="24"/>
                <w14:textFill>
                  <w14:solidFill>
                    <w14:schemeClr w14:val="tx1"/>
                  </w14:solidFill>
                </w14:textFill>
              </w:rPr>
            </w:pPr>
          </w:p>
        </w:tc>
      </w:tr>
      <w:tr w14:paraId="79F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3DFA55">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1ACE909E">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04CDC2AF">
            <w:pPr>
              <w:pStyle w:val="622"/>
              <w:spacing w:line="360" w:lineRule="auto"/>
              <w:ind w:firstLine="200"/>
              <w:jc w:val="center"/>
              <w:rPr>
                <w:rFonts w:hAnsi="宋体"/>
                <w:color w:val="000000" w:themeColor="text1"/>
                <w:sz w:val="24"/>
                <w:szCs w:val="24"/>
                <w14:textFill>
                  <w14:solidFill>
                    <w14:schemeClr w14:val="tx1"/>
                  </w14:solidFill>
                </w14:textFill>
              </w:rPr>
            </w:pPr>
          </w:p>
        </w:tc>
      </w:tr>
      <w:tr w14:paraId="3CA1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78D803">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76B09994">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37FDEF0F">
            <w:pPr>
              <w:pStyle w:val="622"/>
              <w:spacing w:line="360" w:lineRule="auto"/>
              <w:ind w:firstLine="200"/>
              <w:jc w:val="center"/>
              <w:rPr>
                <w:rFonts w:hAnsi="宋体"/>
                <w:color w:val="000000" w:themeColor="text1"/>
                <w:sz w:val="24"/>
                <w:szCs w:val="24"/>
                <w14:textFill>
                  <w14:solidFill>
                    <w14:schemeClr w14:val="tx1"/>
                  </w14:solidFill>
                </w14:textFill>
              </w:rPr>
            </w:pPr>
          </w:p>
        </w:tc>
      </w:tr>
      <w:tr w14:paraId="7B3F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A69364D">
            <w:pPr>
              <w:pStyle w:val="622"/>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06AA4D8E">
            <w:pPr>
              <w:pStyle w:val="622"/>
              <w:spacing w:line="360" w:lineRule="auto"/>
              <w:ind w:firstLine="200"/>
              <w:jc w:val="center"/>
              <w:rPr>
                <w:rFonts w:hAnsi="宋体"/>
                <w:color w:val="000000" w:themeColor="text1"/>
                <w:sz w:val="24"/>
                <w:szCs w:val="24"/>
                <w14:textFill>
                  <w14:solidFill>
                    <w14:schemeClr w14:val="tx1"/>
                  </w14:solidFill>
                </w14:textFill>
              </w:rPr>
            </w:pPr>
          </w:p>
        </w:tc>
      </w:tr>
    </w:tbl>
    <w:p w14:paraId="507C14E4">
      <w:pPr>
        <w:spacing w:line="360" w:lineRule="auto"/>
        <w:ind w:firstLine="480" w:firstLineChars="200"/>
        <w:rPr>
          <w:rFonts w:ascii="宋体" w:hAnsi="宋体"/>
          <w:color w:val="000000" w:themeColor="text1"/>
          <w:sz w:val="24"/>
          <w14:textFill>
            <w14:solidFill>
              <w14:schemeClr w14:val="tx1"/>
            </w14:solidFill>
          </w14:textFill>
        </w:rPr>
      </w:pPr>
      <w:bookmarkStart w:id="86" w:name="_Toc26916"/>
      <w:bookmarkStart w:id="87" w:name="_Toc3654"/>
      <w:bookmarkStart w:id="88" w:name="_Toc30158"/>
      <w:bookmarkStart w:id="89" w:name="_Toc14993"/>
      <w:bookmarkStart w:id="90" w:name="_Toc30506"/>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14:paraId="04F564C5">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1.3.3其他计价方式：                   。</w:t>
      </w:r>
    </w:p>
    <w:bookmarkEnd w:id="86"/>
    <w:bookmarkEnd w:id="87"/>
    <w:bookmarkEnd w:id="88"/>
    <w:bookmarkEnd w:id="89"/>
    <w:bookmarkEnd w:id="90"/>
    <w:p w14:paraId="3E11F496">
      <w:pPr>
        <w:pStyle w:val="630"/>
        <w:spacing w:before="0" w:beforeAutospacing="0" w:after="0" w:afterAutospacing="0" w:line="360" w:lineRule="auto"/>
        <w:ind w:firstLine="480"/>
        <w:rPr>
          <w:b/>
          <w:color w:val="000000" w:themeColor="text1"/>
          <w14:textFill>
            <w14:solidFill>
              <w14:schemeClr w14:val="tx1"/>
            </w14:solidFill>
          </w14:textFill>
        </w:rPr>
      </w:pPr>
      <w:bookmarkStart w:id="91" w:name="_Toc10340"/>
      <w:bookmarkStart w:id="92" w:name="_Toc22618"/>
      <w:bookmarkStart w:id="93" w:name="_Toc1814"/>
      <w:bookmarkStart w:id="94" w:name="_Toc3625"/>
      <w:bookmarkStart w:id="95" w:name="_Toc31421"/>
      <w:bookmarkStart w:id="96" w:name="_Toc4760"/>
      <w:bookmarkStart w:id="97" w:name="_Toc8772"/>
      <w:bookmarkStart w:id="98" w:name="_Toc11108"/>
      <w:r>
        <w:rPr>
          <w:rFonts w:hint="eastAsia"/>
          <w:b/>
          <w:color w:val="000000" w:themeColor="text1"/>
          <w14:textFill>
            <w14:solidFill>
              <w14:schemeClr w14:val="tx1"/>
            </w14:solidFill>
          </w14:textFill>
        </w:rPr>
        <w:t>1.4履约保证金</w:t>
      </w:r>
    </w:p>
    <w:p w14:paraId="0C422A59">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14:paraId="4F5E2D1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9BECCC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2CFA210">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67F1B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425D544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91"/>
      <w:bookmarkEnd w:id="92"/>
      <w:bookmarkEnd w:id="93"/>
      <w:r>
        <w:rPr>
          <w:rFonts w:hint="eastAsia" w:ascii="宋体" w:hAnsi="宋体" w:cs="宋体"/>
          <w:b/>
          <w:color w:val="000000" w:themeColor="text1"/>
          <w:sz w:val="24"/>
          <w14:textFill>
            <w14:solidFill>
              <w14:schemeClr w14:val="tx1"/>
            </w14:solidFill>
          </w14:textFill>
        </w:rPr>
        <w:t>预付款</w:t>
      </w:r>
    </w:p>
    <w:p w14:paraId="365F0799">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14:paraId="693EAD3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1720C06">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6D3FD05C">
      <w:pPr>
        <w:pStyle w:val="630"/>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311EEC0F">
      <w:pPr>
        <w:pStyle w:val="630"/>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19C81D89">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7843B1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08A153D">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94"/>
      <w:bookmarkEnd w:id="95"/>
      <w:bookmarkEnd w:id="96"/>
      <w:bookmarkEnd w:id="97"/>
      <w:bookmarkEnd w:id="98"/>
    </w:p>
    <w:p w14:paraId="243D6BFD">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4B47553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0772BC6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3BEBB72D">
      <w:pPr>
        <w:spacing w:line="360" w:lineRule="auto"/>
        <w:ind w:firstLine="480" w:firstLineChars="200"/>
        <w:rPr>
          <w:rFonts w:ascii="宋体" w:hAnsi="宋体"/>
          <w:bCs/>
          <w:color w:val="000000" w:themeColor="text1"/>
          <w:sz w:val="24"/>
          <w14:textFill>
            <w14:solidFill>
              <w14:schemeClr w14:val="tx1"/>
            </w14:solidFill>
          </w14:textFill>
        </w:rPr>
      </w:pPr>
      <w:bookmarkStart w:id="99" w:name="_Toc5698"/>
      <w:bookmarkStart w:id="100" w:name="_Toc8586"/>
      <w:bookmarkStart w:id="101" w:name="_Toc24662"/>
      <w:bookmarkStart w:id="102" w:name="_Toc2375"/>
      <w:bookmarkStart w:id="103" w:name="_Toc3079"/>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14:paraId="0C7348EE">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6A1CFEF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B4658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20084FBA">
      <w:pPr>
        <w:spacing w:line="360" w:lineRule="auto"/>
        <w:ind w:firstLine="482" w:firstLineChars="20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99"/>
      <w:bookmarkEnd w:id="100"/>
      <w:bookmarkEnd w:id="101"/>
      <w:bookmarkEnd w:id="102"/>
      <w:bookmarkEnd w:id="103"/>
    </w:p>
    <w:p w14:paraId="77E7A45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14:paraId="1F6CB83C">
      <w:pPr>
        <w:pStyle w:val="632"/>
        <w:rPr>
          <w:b/>
          <w:bCs/>
          <w:color w:val="000000" w:themeColor="text1"/>
          <w14:textFill>
            <w14:solidFill>
              <w14:schemeClr w14:val="tx1"/>
            </w14:solidFill>
          </w14:textFill>
        </w:rPr>
      </w:pPr>
      <w:r>
        <w:rPr>
          <w:rFonts w:hint="eastAsia"/>
          <w:color w:val="000000" w:themeColor="text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w:t>
      </w:r>
      <w:r>
        <w:rPr>
          <w:rFonts w:hint="eastAsia"/>
          <w:color w:val="000000" w:themeColor="text1"/>
          <w14:textFill>
            <w14:solidFill>
              <w14:schemeClr w14:val="tx1"/>
            </w14:solidFill>
          </w14:textFill>
        </w:rPr>
        <w:t xml:space="preserve">5（可根据情况修改）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015C6C7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14:paraId="01BF9F34">
      <w:pPr>
        <w:spacing w:line="360" w:lineRule="auto"/>
        <w:ind w:firstLine="480" w:firstLineChars="200"/>
        <w:rPr>
          <w:rFonts w:ascii="宋体" w:hAnsi="宋体" w:cs="宋体"/>
          <w:color w:val="000000" w:themeColor="text1"/>
          <w:sz w:val="24"/>
          <w14:textFill>
            <w14:solidFill>
              <w14:schemeClr w14:val="tx1"/>
            </w14:solidFill>
          </w14:textFill>
        </w:rPr>
      </w:pPr>
      <w:bookmarkStart w:id="104" w:name="_Toc9497"/>
      <w:bookmarkStart w:id="105" w:name="_Toc26807"/>
      <w:bookmarkStart w:id="106" w:name="_Toc32454"/>
      <w:bookmarkStart w:id="107" w:name="_Toc30329"/>
      <w:bookmarkStart w:id="108" w:name="_Toc18683"/>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DEF9B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9350F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5B23B1F6">
      <w:pPr>
        <w:spacing w:line="360" w:lineRule="auto"/>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104"/>
    <w:bookmarkEnd w:id="105"/>
    <w:bookmarkEnd w:id="106"/>
    <w:bookmarkEnd w:id="107"/>
    <w:bookmarkEnd w:id="108"/>
    <w:p w14:paraId="05A2BC36">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1.9合同争议的解决</w:t>
      </w:r>
    </w:p>
    <w:p w14:paraId="60E85C4F">
      <w:pPr>
        <w:spacing w:line="360" w:lineRule="auto"/>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7FCADDD7">
      <w:pPr>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595991CD">
      <w:pPr>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14:paraId="528CBC29">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 合同生效</w:t>
      </w:r>
    </w:p>
    <w:p w14:paraId="4F4EE390">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686BDD3B">
      <w:pPr>
        <w:autoSpaceDE w:val="0"/>
        <w:autoSpaceDN w:val="0"/>
        <w:spacing w:line="360" w:lineRule="auto"/>
        <w:rPr>
          <w:rFonts w:ascii="宋体" w:hAnsi="宋体"/>
          <w:color w:val="000000" w:themeColor="text1"/>
          <w:sz w:val="24"/>
          <w:lang w:val="zh-CN"/>
          <w14:textFill>
            <w14:solidFill>
              <w14:schemeClr w14:val="tx1"/>
            </w14:solidFill>
          </w14:textFill>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776A4A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1993AE5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A81A1A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14:paraId="39101F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0493B20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EE73806">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9808352">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1AE8619B">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97789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65393DB8">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134F8B63">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102A4202">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17B70F0">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407B128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55D54BE7">
            <w:pPr>
              <w:snapToGrid w:val="0"/>
              <w:spacing w:line="360" w:lineRule="auto"/>
              <w:jc w:val="center"/>
              <w:rPr>
                <w:rFonts w:ascii="Calibri" w:hAnsi="Calibri"/>
                <w:color w:val="000000" w:themeColor="text1"/>
                <w:sz w:val="24"/>
                <w14:textFill>
                  <w14:solidFill>
                    <w14:schemeClr w14:val="tx1"/>
                  </w14:solidFill>
                </w14:textFill>
              </w:rPr>
            </w:pPr>
          </w:p>
        </w:tc>
      </w:tr>
      <w:tr w14:paraId="067440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3003C3F2">
            <w:pPr>
              <w:widowControl/>
              <w:adjustRightInd/>
              <w:spacing w:line="360" w:lineRule="auto"/>
              <w:jc w:val="left"/>
              <w:rPr>
                <w:rFonts w:ascii="Calibri" w:hAnsi="Calibri"/>
                <w:color w:val="000000" w:themeColor="text1"/>
                <w:sz w:val="24"/>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596BD049">
            <w:pPr>
              <w:widowControl/>
              <w:adjustRightInd/>
              <w:spacing w:line="360" w:lineRule="auto"/>
              <w:jc w:val="left"/>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22BAB9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6527F90">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8F3AB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F582B0F">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CB3F334">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780044F">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33D6C512">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BAC84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8443AC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555BF6B5">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9A8837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22AA9D37">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53905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ADB7669">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C1F620B">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A0191F9">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528C96A3">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43939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1A5D15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D3225E0">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61BCAB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7F0588A6">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7EDD4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DE32BB2">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1EF5749">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B315BC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3D535259">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A7D0E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8CD63F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F7EF63A">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A89683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FA537D1">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049688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B820F92">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5CADB23">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840100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64CCADC">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59F5BB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DA7A474">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FAA0649">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147CB7F">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0BC4AF90">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F6963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FE95248">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3247F75">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AB7A20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6F89A87E">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B5BFC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C36F360">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64A348A">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DA14DC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7228E73D">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A2F37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46D2F436">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14:paraId="7A55C3D1">
      <w:pPr>
        <w:widowControl/>
        <w:spacing w:line="360" w:lineRule="auto"/>
        <w:jc w:val="left"/>
        <w:rPr>
          <w:rFonts w:ascii="宋体" w:hAnsi="宋体"/>
          <w:b/>
          <w:color w:val="000000" w:themeColor="text1"/>
          <w:sz w:val="24"/>
          <w14:textFill>
            <w14:solidFill>
              <w14:schemeClr w14:val="tx1"/>
            </w14:solidFill>
          </w14:textFill>
        </w:rPr>
      </w:pPr>
    </w:p>
    <w:p w14:paraId="62A5BDFD">
      <w:pPr>
        <w:pStyle w:val="282"/>
        <w:spacing w:after="0"/>
        <w:ind w:firstLine="482"/>
        <w:jc w:val="center"/>
        <w:outlineLvl w:val="1"/>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第二节</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14:paraId="20A2366E">
      <w:pPr>
        <w:spacing w:line="360" w:lineRule="auto"/>
        <w:ind w:firstLine="482" w:firstLineChars="200"/>
        <w:rPr>
          <w:rFonts w:ascii="宋体" w:hAnsi="宋体"/>
          <w:b/>
          <w:color w:val="000000" w:themeColor="text1"/>
          <w:sz w:val="24"/>
          <w14:textFill>
            <w14:solidFill>
              <w14:schemeClr w14:val="tx1"/>
            </w14:solidFill>
          </w14:textFill>
        </w:rPr>
      </w:pPr>
      <w:bookmarkStart w:id="109" w:name="_Toc19680"/>
      <w:bookmarkStart w:id="110" w:name="_Toc25079"/>
      <w:bookmarkStart w:id="111" w:name="_Toc5228"/>
      <w:bookmarkStart w:id="112" w:name="_Toc14021"/>
      <w:bookmarkStart w:id="113" w:name="_Toc31297"/>
      <w:r>
        <w:rPr>
          <w:rFonts w:ascii="宋体" w:hAnsi="宋体"/>
          <w:b/>
          <w:color w:val="000000" w:themeColor="text1"/>
          <w:sz w:val="24"/>
          <w14:textFill>
            <w14:solidFill>
              <w14:schemeClr w14:val="tx1"/>
            </w14:solidFill>
          </w14:textFill>
        </w:rPr>
        <w:t>2.1 定义</w:t>
      </w:r>
      <w:bookmarkEnd w:id="109"/>
      <w:bookmarkEnd w:id="110"/>
      <w:bookmarkEnd w:id="111"/>
      <w:bookmarkEnd w:id="112"/>
      <w:bookmarkEnd w:id="113"/>
    </w:p>
    <w:p w14:paraId="2C4EA22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14:paraId="25BE768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14:paraId="01621166">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14:paraId="56C7C3A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14:paraId="054A1C9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14:paraId="2F3BD69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CAA9A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14:paraId="3A3B35A5">
      <w:pPr>
        <w:spacing w:line="360" w:lineRule="auto"/>
        <w:ind w:firstLine="482" w:firstLineChars="200"/>
        <w:rPr>
          <w:rFonts w:ascii="宋体" w:hAnsi="宋体"/>
          <w:b/>
          <w:color w:val="000000" w:themeColor="text1"/>
          <w:sz w:val="24"/>
          <w14:textFill>
            <w14:solidFill>
              <w14:schemeClr w14:val="tx1"/>
            </w14:solidFill>
          </w14:textFill>
        </w:rPr>
      </w:pPr>
      <w:bookmarkStart w:id="114" w:name="_Toc23289"/>
      <w:bookmarkStart w:id="115" w:name="_Toc31402"/>
      <w:bookmarkStart w:id="116" w:name="_Toc3769"/>
      <w:bookmarkStart w:id="117" w:name="_Toc19539"/>
      <w:bookmarkStart w:id="118" w:name="_Toc16752"/>
      <w:r>
        <w:rPr>
          <w:rFonts w:ascii="宋体" w:hAnsi="宋体"/>
          <w:b/>
          <w:color w:val="000000" w:themeColor="text1"/>
          <w:sz w:val="24"/>
          <w14:textFill>
            <w14:solidFill>
              <w14:schemeClr w14:val="tx1"/>
            </w14:solidFill>
          </w14:textFill>
        </w:rPr>
        <w:t>2.2 技术规范</w:t>
      </w:r>
      <w:bookmarkEnd w:id="114"/>
      <w:bookmarkEnd w:id="115"/>
      <w:bookmarkEnd w:id="116"/>
      <w:bookmarkEnd w:id="117"/>
      <w:bookmarkEnd w:id="118"/>
    </w:p>
    <w:p w14:paraId="6DC5E41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14:paraId="49F4A78B">
      <w:pPr>
        <w:spacing w:line="360" w:lineRule="auto"/>
        <w:ind w:firstLine="482" w:firstLineChars="200"/>
        <w:rPr>
          <w:rFonts w:ascii="宋体" w:hAnsi="宋体"/>
          <w:b/>
          <w:color w:val="000000" w:themeColor="text1"/>
          <w:sz w:val="24"/>
          <w14:textFill>
            <w14:solidFill>
              <w14:schemeClr w14:val="tx1"/>
            </w14:solidFill>
          </w14:textFill>
        </w:rPr>
      </w:pPr>
      <w:bookmarkStart w:id="119" w:name="_Toc4133"/>
      <w:bookmarkStart w:id="120" w:name="_Toc12412"/>
      <w:bookmarkStart w:id="121" w:name="_Toc13673"/>
      <w:bookmarkStart w:id="122" w:name="_Toc27945"/>
      <w:bookmarkStart w:id="123" w:name="_Toc9161"/>
      <w:r>
        <w:rPr>
          <w:rFonts w:ascii="宋体" w:hAnsi="宋体"/>
          <w:b/>
          <w:color w:val="000000" w:themeColor="text1"/>
          <w:sz w:val="24"/>
          <w14:textFill>
            <w14:solidFill>
              <w14:schemeClr w14:val="tx1"/>
            </w14:solidFill>
          </w14:textFill>
        </w:rPr>
        <w:t>2.3 知识产权</w:t>
      </w:r>
      <w:bookmarkEnd w:id="119"/>
      <w:bookmarkEnd w:id="120"/>
      <w:bookmarkEnd w:id="121"/>
      <w:bookmarkEnd w:id="122"/>
      <w:bookmarkEnd w:id="123"/>
    </w:p>
    <w:p w14:paraId="17B464F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14:paraId="3D4ABCB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1638D02B">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14:paraId="26D8FCF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6BB2868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51FC103B">
      <w:pPr>
        <w:spacing w:line="360" w:lineRule="auto"/>
        <w:ind w:firstLine="482" w:firstLineChars="200"/>
        <w:rPr>
          <w:rFonts w:ascii="宋体" w:hAnsi="宋体"/>
          <w:b/>
          <w:color w:val="000000" w:themeColor="text1"/>
          <w:sz w:val="24"/>
          <w14:textFill>
            <w14:solidFill>
              <w14:schemeClr w14:val="tx1"/>
            </w14:solidFill>
          </w14:textFill>
        </w:rPr>
      </w:pPr>
      <w:bookmarkStart w:id="124" w:name="_Toc15447"/>
      <w:bookmarkStart w:id="125" w:name="_Toc26555"/>
      <w:bookmarkStart w:id="126" w:name="_Toc32670"/>
      <w:bookmarkStart w:id="127" w:name="_Toc22011"/>
      <w:bookmarkStart w:id="128" w:name="_Toc31233"/>
      <w:r>
        <w:rPr>
          <w:rFonts w:ascii="宋体" w:hAnsi="宋体"/>
          <w:b/>
          <w:color w:val="000000" w:themeColor="text1"/>
          <w:sz w:val="24"/>
          <w14:textFill>
            <w14:solidFill>
              <w14:schemeClr w14:val="tx1"/>
            </w14:solidFill>
          </w14:textFill>
        </w:rPr>
        <w:t>2.5 结算方式和付款条件</w:t>
      </w:r>
      <w:bookmarkEnd w:id="124"/>
      <w:bookmarkEnd w:id="125"/>
      <w:bookmarkEnd w:id="126"/>
      <w:bookmarkEnd w:id="127"/>
      <w:bookmarkEnd w:id="128"/>
    </w:p>
    <w:p w14:paraId="09790B1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68177C3F">
      <w:pPr>
        <w:spacing w:line="360" w:lineRule="auto"/>
        <w:ind w:firstLine="482" w:firstLineChars="200"/>
        <w:rPr>
          <w:rFonts w:ascii="宋体" w:hAnsi="宋体"/>
          <w:b/>
          <w:color w:val="000000" w:themeColor="text1"/>
          <w:sz w:val="24"/>
          <w14:textFill>
            <w14:solidFill>
              <w14:schemeClr w14:val="tx1"/>
            </w14:solidFill>
          </w14:textFill>
        </w:rPr>
      </w:pPr>
      <w:bookmarkStart w:id="129" w:name="_Toc16163"/>
      <w:bookmarkStart w:id="130" w:name="_Toc13154"/>
      <w:bookmarkStart w:id="131" w:name="_Toc18990"/>
      <w:bookmarkStart w:id="132" w:name="_Toc13467"/>
      <w:bookmarkStart w:id="133" w:name="_Toc30507"/>
      <w:r>
        <w:rPr>
          <w:rFonts w:ascii="宋体" w:hAnsi="宋体"/>
          <w:b/>
          <w:color w:val="000000" w:themeColor="text1"/>
          <w:sz w:val="24"/>
          <w14:textFill>
            <w14:solidFill>
              <w14:schemeClr w14:val="tx1"/>
            </w14:solidFill>
          </w14:textFill>
        </w:rPr>
        <w:t>2.6 技术资料和保密义务</w:t>
      </w:r>
      <w:bookmarkEnd w:id="129"/>
      <w:bookmarkEnd w:id="130"/>
      <w:bookmarkEnd w:id="131"/>
      <w:bookmarkEnd w:id="132"/>
      <w:bookmarkEnd w:id="133"/>
    </w:p>
    <w:p w14:paraId="2304CE0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14:paraId="519AB22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14:paraId="72C0F13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154CF916">
      <w:pPr>
        <w:spacing w:line="360" w:lineRule="auto"/>
        <w:ind w:firstLine="482" w:firstLineChars="200"/>
        <w:rPr>
          <w:rFonts w:ascii="宋体" w:hAnsi="宋体"/>
          <w:b/>
          <w:color w:val="000000" w:themeColor="text1"/>
          <w:sz w:val="24"/>
          <w14:textFill>
            <w14:solidFill>
              <w14:schemeClr w14:val="tx1"/>
            </w14:solidFill>
          </w14:textFill>
        </w:rPr>
      </w:pPr>
      <w:bookmarkStart w:id="134"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134"/>
    </w:p>
    <w:p w14:paraId="5A74038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2EFBCD2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4FF33C9C">
      <w:pPr>
        <w:spacing w:line="360" w:lineRule="auto"/>
        <w:ind w:firstLine="482" w:firstLineChars="200"/>
        <w:rPr>
          <w:rFonts w:ascii="宋体" w:hAnsi="宋体"/>
          <w:b/>
          <w:color w:val="000000" w:themeColor="text1"/>
          <w:sz w:val="24"/>
          <w14:textFill>
            <w14:solidFill>
              <w14:schemeClr w14:val="tx1"/>
            </w14:solidFill>
          </w14:textFill>
        </w:rPr>
      </w:pPr>
      <w:bookmarkStart w:id="135"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135"/>
    </w:p>
    <w:p w14:paraId="61977BD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14:paraId="4A3BFDEA">
      <w:pPr>
        <w:spacing w:line="360" w:lineRule="auto"/>
        <w:ind w:firstLine="482" w:firstLineChars="200"/>
        <w:rPr>
          <w:rFonts w:ascii="宋体" w:hAnsi="宋体"/>
          <w:b/>
          <w:color w:val="000000" w:themeColor="text1"/>
          <w:sz w:val="24"/>
          <w14:textFill>
            <w14:solidFill>
              <w14:schemeClr w14:val="tx1"/>
            </w14:solidFill>
          </w14:textFill>
        </w:rPr>
      </w:pPr>
      <w:bookmarkStart w:id="136"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136"/>
    </w:p>
    <w:p w14:paraId="0A59B64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54EC6AEF">
      <w:pPr>
        <w:spacing w:line="360" w:lineRule="auto"/>
        <w:ind w:firstLine="482" w:firstLineChars="200"/>
        <w:rPr>
          <w:rFonts w:ascii="宋体" w:hAnsi="宋体"/>
          <w:b/>
          <w:color w:val="000000" w:themeColor="text1"/>
          <w:sz w:val="24"/>
          <w14:textFill>
            <w14:solidFill>
              <w14:schemeClr w14:val="tx1"/>
            </w14:solidFill>
          </w14:textFill>
        </w:rPr>
      </w:pPr>
      <w:bookmarkStart w:id="137" w:name="_Toc10663"/>
      <w:bookmarkStart w:id="138" w:name="_Toc42"/>
      <w:bookmarkStart w:id="139" w:name="_Toc23368"/>
      <w:bookmarkStart w:id="140" w:name="_Toc21830"/>
      <w:bookmarkStart w:id="141" w:name="_Toc26689"/>
      <w:r>
        <w:rPr>
          <w:rFonts w:ascii="宋体" w:hAnsi="宋体"/>
          <w:b/>
          <w:color w:val="000000" w:themeColor="text1"/>
          <w:sz w:val="24"/>
          <w14:textFill>
            <w14:solidFill>
              <w14:schemeClr w14:val="tx1"/>
            </w14:solidFill>
          </w14:textFill>
        </w:rPr>
        <w:t>2.10 合同转让和分包</w:t>
      </w:r>
      <w:bookmarkEnd w:id="137"/>
      <w:bookmarkEnd w:id="138"/>
      <w:bookmarkEnd w:id="139"/>
      <w:bookmarkEnd w:id="140"/>
      <w:bookmarkEnd w:id="141"/>
    </w:p>
    <w:p w14:paraId="5AD12E4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14:paraId="10A1A5ED">
      <w:pPr>
        <w:spacing w:line="360" w:lineRule="auto"/>
        <w:ind w:firstLine="482" w:firstLineChars="200"/>
        <w:rPr>
          <w:rFonts w:ascii="宋体" w:hAnsi="宋体"/>
          <w:b/>
          <w:color w:val="000000" w:themeColor="text1"/>
          <w:sz w:val="24"/>
          <w14:textFill>
            <w14:solidFill>
              <w14:schemeClr w14:val="tx1"/>
            </w14:solidFill>
          </w14:textFill>
        </w:rPr>
      </w:pPr>
      <w:bookmarkStart w:id="142" w:name="_Toc25571"/>
      <w:bookmarkStart w:id="143" w:name="_Toc26633"/>
      <w:bookmarkStart w:id="144" w:name="_Toc32494"/>
      <w:bookmarkStart w:id="145" w:name="_Toc14371"/>
      <w:bookmarkStart w:id="146" w:name="_Toc4720"/>
      <w:r>
        <w:rPr>
          <w:rFonts w:ascii="宋体" w:hAnsi="宋体"/>
          <w:b/>
          <w:color w:val="000000" w:themeColor="text1"/>
          <w:sz w:val="24"/>
          <w14:textFill>
            <w14:solidFill>
              <w14:schemeClr w14:val="tx1"/>
            </w14:solidFill>
          </w14:textFill>
        </w:rPr>
        <w:t>2.11 不可抗力</w:t>
      </w:r>
      <w:bookmarkEnd w:id="142"/>
      <w:bookmarkEnd w:id="143"/>
      <w:bookmarkEnd w:id="144"/>
      <w:bookmarkEnd w:id="145"/>
      <w:bookmarkEnd w:id="146"/>
    </w:p>
    <w:p w14:paraId="611F0A2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14:paraId="0546EE9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14:paraId="5908886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14:paraId="531A001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14:paraId="731F02D0">
      <w:pPr>
        <w:spacing w:line="360" w:lineRule="auto"/>
        <w:ind w:firstLine="482" w:firstLineChars="200"/>
        <w:rPr>
          <w:rFonts w:ascii="宋体" w:hAnsi="宋体"/>
          <w:b/>
          <w:color w:val="000000" w:themeColor="text1"/>
          <w:sz w:val="24"/>
          <w14:textFill>
            <w14:solidFill>
              <w14:schemeClr w14:val="tx1"/>
            </w14:solidFill>
          </w14:textFill>
        </w:rPr>
      </w:pPr>
      <w:bookmarkStart w:id="147" w:name="_Toc23854"/>
      <w:bookmarkStart w:id="148" w:name="_Toc25783"/>
      <w:bookmarkStart w:id="149" w:name="_Toc24465"/>
      <w:bookmarkStart w:id="150" w:name="_Toc3638"/>
      <w:bookmarkStart w:id="151" w:name="_Toc14115"/>
      <w:r>
        <w:rPr>
          <w:rFonts w:ascii="宋体" w:hAnsi="宋体"/>
          <w:b/>
          <w:color w:val="000000" w:themeColor="text1"/>
          <w:sz w:val="24"/>
          <w14:textFill>
            <w14:solidFill>
              <w14:schemeClr w14:val="tx1"/>
            </w14:solidFill>
          </w14:textFill>
        </w:rPr>
        <w:t>2.12 税费</w:t>
      </w:r>
      <w:bookmarkEnd w:id="147"/>
      <w:bookmarkEnd w:id="148"/>
      <w:bookmarkEnd w:id="149"/>
      <w:bookmarkEnd w:id="150"/>
      <w:bookmarkEnd w:id="151"/>
    </w:p>
    <w:p w14:paraId="635375B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14:paraId="3C8BAD1F">
      <w:pPr>
        <w:spacing w:line="360" w:lineRule="auto"/>
        <w:ind w:firstLine="482" w:firstLineChars="200"/>
        <w:rPr>
          <w:rFonts w:ascii="宋体" w:hAnsi="宋体"/>
          <w:b/>
          <w:color w:val="000000" w:themeColor="text1"/>
          <w:sz w:val="24"/>
          <w14:textFill>
            <w14:solidFill>
              <w14:schemeClr w14:val="tx1"/>
            </w14:solidFill>
          </w14:textFill>
        </w:rPr>
      </w:pPr>
      <w:bookmarkStart w:id="152" w:name="_Toc26883"/>
      <w:bookmarkStart w:id="153" w:name="_Toc25525"/>
      <w:bookmarkStart w:id="154" w:name="_Toc14814"/>
      <w:bookmarkStart w:id="155" w:name="_Toc7315"/>
      <w:bookmarkStart w:id="156" w:name="_Toc30105"/>
      <w:r>
        <w:rPr>
          <w:rFonts w:ascii="宋体" w:hAnsi="宋体"/>
          <w:b/>
          <w:color w:val="000000" w:themeColor="text1"/>
          <w:sz w:val="24"/>
          <w14:textFill>
            <w14:solidFill>
              <w14:schemeClr w14:val="tx1"/>
            </w14:solidFill>
          </w14:textFill>
        </w:rPr>
        <w:t>2.13 乙方破产</w:t>
      </w:r>
      <w:bookmarkEnd w:id="152"/>
      <w:bookmarkEnd w:id="153"/>
      <w:bookmarkEnd w:id="154"/>
      <w:bookmarkEnd w:id="155"/>
      <w:bookmarkEnd w:id="156"/>
    </w:p>
    <w:p w14:paraId="044DEC7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14:paraId="5A2FFAA2">
      <w:pPr>
        <w:spacing w:line="360" w:lineRule="auto"/>
        <w:ind w:firstLine="482" w:firstLineChars="200"/>
        <w:rPr>
          <w:rFonts w:ascii="宋体" w:hAnsi="宋体"/>
          <w:b/>
          <w:color w:val="000000" w:themeColor="text1"/>
          <w:sz w:val="24"/>
          <w14:textFill>
            <w14:solidFill>
              <w14:schemeClr w14:val="tx1"/>
            </w14:solidFill>
          </w14:textFill>
        </w:rPr>
      </w:pPr>
      <w:bookmarkStart w:id="157" w:name="_Toc23323"/>
      <w:bookmarkStart w:id="158" w:name="_Toc1123"/>
      <w:bookmarkStart w:id="159" w:name="_Toc2016"/>
      <w:r>
        <w:rPr>
          <w:rFonts w:ascii="宋体" w:hAnsi="宋体"/>
          <w:b/>
          <w:color w:val="000000" w:themeColor="text1"/>
          <w:sz w:val="24"/>
          <w14:textFill>
            <w14:solidFill>
              <w14:schemeClr w14:val="tx1"/>
            </w14:solidFill>
          </w14:textFill>
        </w:rPr>
        <w:t>2.14 合同中止、终止</w:t>
      </w:r>
      <w:bookmarkEnd w:id="157"/>
      <w:bookmarkEnd w:id="158"/>
      <w:bookmarkEnd w:id="159"/>
    </w:p>
    <w:p w14:paraId="2642E84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14:paraId="77EC964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70BE3890">
      <w:pPr>
        <w:spacing w:line="360" w:lineRule="auto"/>
        <w:ind w:firstLine="482" w:firstLineChars="200"/>
        <w:rPr>
          <w:rFonts w:ascii="宋体" w:hAnsi="宋体"/>
          <w:b/>
          <w:color w:val="000000" w:themeColor="text1"/>
          <w:sz w:val="24"/>
          <w14:textFill>
            <w14:solidFill>
              <w14:schemeClr w14:val="tx1"/>
            </w14:solidFill>
          </w14:textFill>
        </w:rPr>
      </w:pPr>
      <w:bookmarkStart w:id="160" w:name="_Toc14525"/>
      <w:bookmarkStart w:id="161" w:name="_Toc1969"/>
      <w:bookmarkStart w:id="162" w:name="_Toc17363"/>
      <w:r>
        <w:rPr>
          <w:rFonts w:ascii="宋体" w:hAnsi="宋体"/>
          <w:b/>
          <w:color w:val="000000" w:themeColor="text1"/>
          <w:sz w:val="24"/>
          <w14:textFill>
            <w14:solidFill>
              <w14:schemeClr w14:val="tx1"/>
            </w14:solidFill>
          </w14:textFill>
        </w:rPr>
        <w:t>2.15 检验和验收</w:t>
      </w:r>
      <w:bookmarkEnd w:id="160"/>
      <w:bookmarkEnd w:id="161"/>
      <w:bookmarkEnd w:id="162"/>
    </w:p>
    <w:p w14:paraId="063765E0">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14:paraId="51D386EA">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23083B">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5380D6B">
      <w:pPr>
        <w:spacing w:line="360" w:lineRule="auto"/>
        <w:ind w:firstLine="482" w:firstLineChars="200"/>
        <w:rPr>
          <w:rFonts w:ascii="宋体" w:hAnsi="宋体"/>
          <w:b/>
          <w:color w:val="000000" w:themeColor="text1"/>
          <w:sz w:val="24"/>
          <w14:textFill>
            <w14:solidFill>
              <w14:schemeClr w14:val="tx1"/>
            </w14:solidFill>
          </w14:textFill>
        </w:rPr>
      </w:pPr>
      <w:bookmarkStart w:id="163" w:name="_Toc12666"/>
      <w:bookmarkStart w:id="164" w:name="_Toc9808"/>
      <w:bookmarkStart w:id="165" w:name="_Toc31892"/>
      <w:bookmarkStart w:id="166" w:name="_Toc2308"/>
      <w:bookmarkStart w:id="167" w:name="_Toc25198"/>
      <w:r>
        <w:rPr>
          <w:rFonts w:ascii="宋体" w:hAnsi="宋体"/>
          <w:b/>
          <w:color w:val="000000" w:themeColor="text1"/>
          <w:sz w:val="24"/>
          <w14:textFill>
            <w14:solidFill>
              <w14:schemeClr w14:val="tx1"/>
            </w14:solidFill>
          </w14:textFill>
        </w:rPr>
        <w:t>2.16 通知和送达</w:t>
      </w:r>
      <w:bookmarkEnd w:id="163"/>
      <w:bookmarkEnd w:id="164"/>
      <w:bookmarkEnd w:id="165"/>
      <w:bookmarkEnd w:id="166"/>
      <w:bookmarkEnd w:id="167"/>
    </w:p>
    <w:p w14:paraId="73832A3D">
      <w:pPr>
        <w:spacing w:line="360" w:lineRule="auto"/>
        <w:ind w:firstLine="480" w:firstLineChars="200"/>
        <w:rPr>
          <w:rFonts w:ascii="宋体" w:hAnsi="宋体"/>
          <w:color w:val="000000" w:themeColor="text1"/>
          <w:sz w:val="24"/>
          <w14:textFill>
            <w14:solidFill>
              <w14:schemeClr w14:val="tx1"/>
            </w14:solidFill>
          </w14:textFill>
        </w:rPr>
      </w:pPr>
      <w:bookmarkStart w:id="168" w:name="_Toc18401"/>
      <w:bookmarkStart w:id="169" w:name="_Toc27674"/>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7F1B088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168"/>
      <w:bookmarkEnd w:id="169"/>
    </w:p>
    <w:p w14:paraId="508FF6A5">
      <w:pPr>
        <w:spacing w:line="360" w:lineRule="auto"/>
        <w:ind w:firstLine="482" w:firstLineChars="200"/>
        <w:rPr>
          <w:rFonts w:ascii="宋体" w:hAnsi="宋体"/>
          <w:b/>
          <w:color w:val="000000" w:themeColor="text1"/>
          <w:sz w:val="24"/>
          <w14:textFill>
            <w14:solidFill>
              <w14:schemeClr w14:val="tx1"/>
            </w14:solidFill>
          </w14:textFill>
        </w:rPr>
      </w:pPr>
      <w:bookmarkStart w:id="170" w:name="_Toc5063"/>
      <w:bookmarkStart w:id="171" w:name="_Toc20808"/>
      <w:bookmarkStart w:id="172" w:name="_Toc12254"/>
      <w:bookmarkStart w:id="173" w:name="_Toc27644"/>
      <w:bookmarkStart w:id="174" w:name="_Toc28906"/>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170"/>
      <w:bookmarkEnd w:id="171"/>
      <w:bookmarkEnd w:id="172"/>
      <w:bookmarkEnd w:id="173"/>
      <w:bookmarkEnd w:id="174"/>
    </w:p>
    <w:p w14:paraId="0B32292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14:paraId="4EDA458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14:paraId="207BCD90">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2.18 计量单位</w:t>
      </w:r>
    </w:p>
    <w:p w14:paraId="0D3F397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1BED7642">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14:paraId="7E734B0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14:paraId="0839630D">
      <w:pPr>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第三节 合同专用条款</w:t>
      </w:r>
    </w:p>
    <w:p w14:paraId="15AFB697">
      <w:pPr>
        <w:spacing w:line="360" w:lineRule="auto"/>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2187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FABE81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4" w:type="pct"/>
            <w:vAlign w:val="center"/>
          </w:tcPr>
          <w:p w14:paraId="6FAC1DCA">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51505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6861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4" w:type="pct"/>
            <w:vAlign w:val="center"/>
          </w:tcPr>
          <w:p w14:paraId="6F06A9FB">
            <w:pPr>
              <w:spacing w:line="360" w:lineRule="auto"/>
              <w:rPr>
                <w:rFonts w:ascii="宋体" w:hAnsi="宋体" w:cs="宋体"/>
                <w:color w:val="000000" w:themeColor="text1"/>
                <w:sz w:val="24"/>
                <w14:textFill>
                  <w14:solidFill>
                    <w14:schemeClr w14:val="tx1"/>
                  </w14:solidFill>
                </w14:textFill>
              </w:rPr>
            </w:pPr>
          </w:p>
        </w:tc>
      </w:tr>
      <w:tr w14:paraId="37E18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7B784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4" w:type="pct"/>
            <w:vAlign w:val="center"/>
          </w:tcPr>
          <w:p w14:paraId="296F6DB2">
            <w:pPr>
              <w:spacing w:line="360" w:lineRule="auto"/>
              <w:rPr>
                <w:rFonts w:ascii="宋体" w:hAnsi="宋体" w:cs="宋体"/>
                <w:color w:val="000000" w:themeColor="text1"/>
                <w:sz w:val="24"/>
                <w14:textFill>
                  <w14:solidFill>
                    <w14:schemeClr w14:val="tx1"/>
                  </w14:solidFill>
                </w14:textFill>
              </w:rPr>
            </w:pPr>
          </w:p>
        </w:tc>
      </w:tr>
      <w:tr w14:paraId="67BA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BA496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4" w:type="pct"/>
            <w:vAlign w:val="center"/>
          </w:tcPr>
          <w:p w14:paraId="45151546">
            <w:pPr>
              <w:spacing w:line="360" w:lineRule="auto"/>
              <w:rPr>
                <w:rFonts w:ascii="宋体" w:hAnsi="宋体" w:cs="宋体"/>
                <w:color w:val="000000" w:themeColor="text1"/>
                <w:sz w:val="24"/>
                <w14:textFill>
                  <w14:solidFill>
                    <w14:schemeClr w14:val="tx1"/>
                  </w14:solidFill>
                </w14:textFill>
              </w:rPr>
            </w:pPr>
          </w:p>
        </w:tc>
      </w:tr>
      <w:tr w14:paraId="65F86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CAB70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4" w:type="pct"/>
            <w:vAlign w:val="center"/>
          </w:tcPr>
          <w:p w14:paraId="3B00FFFF">
            <w:pPr>
              <w:spacing w:line="360" w:lineRule="auto"/>
              <w:rPr>
                <w:rFonts w:ascii="宋体" w:hAnsi="宋体" w:cs="宋体"/>
                <w:color w:val="000000" w:themeColor="text1"/>
                <w:sz w:val="24"/>
                <w14:textFill>
                  <w14:solidFill>
                    <w14:schemeClr w14:val="tx1"/>
                  </w14:solidFill>
                </w14:textFill>
              </w:rPr>
            </w:pPr>
          </w:p>
        </w:tc>
      </w:tr>
      <w:tr w14:paraId="1D25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34D3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4" w:type="pct"/>
            <w:vAlign w:val="center"/>
          </w:tcPr>
          <w:p w14:paraId="4DC75CB2">
            <w:pPr>
              <w:spacing w:line="360" w:lineRule="auto"/>
              <w:rPr>
                <w:rFonts w:ascii="宋体" w:hAnsi="宋体" w:cs="宋体"/>
                <w:color w:val="000000" w:themeColor="text1"/>
                <w:sz w:val="24"/>
                <w14:textFill>
                  <w14:solidFill>
                    <w14:schemeClr w14:val="tx1"/>
                  </w14:solidFill>
                </w14:textFill>
              </w:rPr>
            </w:pPr>
          </w:p>
        </w:tc>
      </w:tr>
      <w:tr w14:paraId="1132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F4C74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4" w:type="pct"/>
            <w:vAlign w:val="center"/>
          </w:tcPr>
          <w:p w14:paraId="3A8504B7">
            <w:pPr>
              <w:spacing w:line="360" w:lineRule="auto"/>
              <w:rPr>
                <w:rFonts w:ascii="宋体" w:hAnsi="宋体" w:cs="宋体"/>
                <w:color w:val="000000" w:themeColor="text1"/>
                <w:sz w:val="24"/>
                <w14:textFill>
                  <w14:solidFill>
                    <w14:schemeClr w14:val="tx1"/>
                  </w14:solidFill>
                </w14:textFill>
              </w:rPr>
            </w:pPr>
          </w:p>
        </w:tc>
      </w:tr>
      <w:tr w14:paraId="3A897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F5962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4" w:type="pct"/>
            <w:vAlign w:val="center"/>
          </w:tcPr>
          <w:p w14:paraId="71E8C7C5">
            <w:pPr>
              <w:spacing w:line="360" w:lineRule="auto"/>
              <w:rPr>
                <w:rFonts w:ascii="宋体" w:hAnsi="宋体" w:cs="宋体"/>
                <w:color w:val="000000" w:themeColor="text1"/>
                <w:sz w:val="24"/>
                <w14:textFill>
                  <w14:solidFill>
                    <w14:schemeClr w14:val="tx1"/>
                  </w14:solidFill>
                </w14:textFill>
              </w:rPr>
            </w:pPr>
          </w:p>
        </w:tc>
      </w:tr>
      <w:tr w14:paraId="276D8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5AE30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4" w:type="pct"/>
            <w:vAlign w:val="center"/>
          </w:tcPr>
          <w:p w14:paraId="0770EA9A">
            <w:pPr>
              <w:spacing w:line="360" w:lineRule="auto"/>
              <w:rPr>
                <w:rFonts w:ascii="宋体" w:hAnsi="宋体" w:cs="宋体"/>
                <w:color w:val="000000" w:themeColor="text1"/>
                <w:sz w:val="24"/>
                <w14:textFill>
                  <w14:solidFill>
                    <w14:schemeClr w14:val="tx1"/>
                  </w14:solidFill>
                </w14:textFill>
              </w:rPr>
            </w:pPr>
          </w:p>
        </w:tc>
      </w:tr>
      <w:tr w14:paraId="1200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D412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4" w:type="pct"/>
            <w:vAlign w:val="center"/>
          </w:tcPr>
          <w:p w14:paraId="467A056C">
            <w:pPr>
              <w:spacing w:line="360" w:lineRule="auto"/>
              <w:rPr>
                <w:rFonts w:ascii="宋体" w:hAnsi="宋体" w:cs="宋体"/>
                <w:color w:val="000000" w:themeColor="text1"/>
                <w:sz w:val="24"/>
                <w14:textFill>
                  <w14:solidFill>
                    <w14:schemeClr w14:val="tx1"/>
                  </w14:solidFill>
                </w14:textFill>
              </w:rPr>
            </w:pPr>
          </w:p>
        </w:tc>
      </w:tr>
      <w:tr w14:paraId="2F16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ACB2A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4" w:type="pct"/>
            <w:vAlign w:val="center"/>
          </w:tcPr>
          <w:p w14:paraId="7580908F">
            <w:pPr>
              <w:spacing w:line="360" w:lineRule="auto"/>
              <w:rPr>
                <w:rFonts w:ascii="宋体" w:hAnsi="宋体" w:cs="宋体"/>
                <w:color w:val="000000" w:themeColor="text1"/>
                <w:sz w:val="24"/>
                <w14:textFill>
                  <w14:solidFill>
                    <w14:schemeClr w14:val="tx1"/>
                  </w14:solidFill>
                </w14:textFill>
              </w:rPr>
            </w:pPr>
          </w:p>
        </w:tc>
      </w:tr>
      <w:tr w14:paraId="6DFF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8F924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4" w:type="pct"/>
            <w:vAlign w:val="center"/>
          </w:tcPr>
          <w:p w14:paraId="74E17D23">
            <w:pPr>
              <w:spacing w:line="360" w:lineRule="auto"/>
              <w:rPr>
                <w:rFonts w:ascii="宋体" w:hAnsi="宋体" w:cs="宋体"/>
                <w:color w:val="000000" w:themeColor="text1"/>
                <w:sz w:val="24"/>
                <w14:textFill>
                  <w14:solidFill>
                    <w14:schemeClr w14:val="tx1"/>
                  </w14:solidFill>
                </w14:textFill>
              </w:rPr>
            </w:pPr>
          </w:p>
        </w:tc>
      </w:tr>
      <w:tr w14:paraId="0A281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C69ED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4" w:type="pct"/>
            <w:vAlign w:val="center"/>
          </w:tcPr>
          <w:p w14:paraId="79369F69">
            <w:pPr>
              <w:spacing w:line="360" w:lineRule="auto"/>
              <w:rPr>
                <w:rFonts w:ascii="宋体" w:hAnsi="宋体" w:cs="宋体"/>
                <w:color w:val="000000" w:themeColor="text1"/>
                <w:sz w:val="24"/>
                <w14:textFill>
                  <w14:solidFill>
                    <w14:schemeClr w14:val="tx1"/>
                  </w14:solidFill>
                </w14:textFill>
              </w:rPr>
            </w:pPr>
          </w:p>
        </w:tc>
      </w:tr>
      <w:tr w14:paraId="091EB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11A66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4" w:type="pct"/>
            <w:vAlign w:val="center"/>
          </w:tcPr>
          <w:p w14:paraId="1783CC89">
            <w:pPr>
              <w:spacing w:line="360" w:lineRule="auto"/>
              <w:rPr>
                <w:rFonts w:ascii="宋体" w:hAnsi="宋体" w:cs="宋体"/>
                <w:color w:val="000000" w:themeColor="text1"/>
                <w:sz w:val="24"/>
                <w14:textFill>
                  <w14:solidFill>
                    <w14:schemeClr w14:val="tx1"/>
                  </w14:solidFill>
                </w14:textFill>
              </w:rPr>
            </w:pPr>
          </w:p>
        </w:tc>
      </w:tr>
      <w:tr w14:paraId="42027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223AB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4" w:type="pct"/>
            <w:vAlign w:val="center"/>
          </w:tcPr>
          <w:p w14:paraId="0E80BCCB">
            <w:pPr>
              <w:spacing w:line="360" w:lineRule="auto"/>
              <w:rPr>
                <w:rFonts w:ascii="宋体" w:hAnsi="宋体" w:cs="宋体"/>
                <w:color w:val="000000" w:themeColor="text1"/>
                <w:sz w:val="24"/>
                <w14:textFill>
                  <w14:solidFill>
                    <w14:schemeClr w14:val="tx1"/>
                  </w14:solidFill>
                </w14:textFill>
              </w:rPr>
            </w:pPr>
          </w:p>
        </w:tc>
      </w:tr>
      <w:tr w14:paraId="151F6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DA081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4" w:type="pct"/>
            <w:vAlign w:val="center"/>
          </w:tcPr>
          <w:p w14:paraId="4C1B7A9E">
            <w:pPr>
              <w:spacing w:line="360" w:lineRule="auto"/>
              <w:rPr>
                <w:rFonts w:ascii="宋体" w:hAnsi="宋体" w:cs="宋体"/>
                <w:color w:val="000000" w:themeColor="text1"/>
                <w:sz w:val="24"/>
                <w14:textFill>
                  <w14:solidFill>
                    <w14:schemeClr w14:val="tx1"/>
                  </w14:solidFill>
                </w14:textFill>
              </w:rPr>
            </w:pPr>
          </w:p>
        </w:tc>
      </w:tr>
      <w:tr w14:paraId="2112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EF41C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4" w:type="pct"/>
            <w:vAlign w:val="center"/>
          </w:tcPr>
          <w:p w14:paraId="2EAB19D1">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012ED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8C2A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14:paraId="51780344">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4975D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D49AF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14:paraId="2D3FBCD3">
            <w:pPr>
              <w:spacing w:line="360" w:lineRule="auto"/>
              <w:rPr>
                <w:rFonts w:ascii="宋体" w:hAnsi="宋体" w:cs="宋体"/>
                <w:color w:val="000000" w:themeColor="text1"/>
                <w:sz w:val="24"/>
                <w14:textFill>
                  <w14:solidFill>
                    <w14:schemeClr w14:val="tx1"/>
                  </w14:solidFill>
                </w14:textFill>
              </w:rPr>
            </w:pPr>
          </w:p>
        </w:tc>
      </w:tr>
      <w:tr w14:paraId="08550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C4085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4" w:type="pct"/>
          </w:tcPr>
          <w:p w14:paraId="1E5D6CBB">
            <w:pPr>
              <w:spacing w:line="360" w:lineRule="auto"/>
              <w:rPr>
                <w:rFonts w:ascii="宋体" w:hAnsi="宋体" w:cs="宋体"/>
                <w:color w:val="000000" w:themeColor="text1"/>
                <w:sz w:val="24"/>
                <w14:textFill>
                  <w14:solidFill>
                    <w14:schemeClr w14:val="tx1"/>
                  </w14:solidFill>
                </w14:textFill>
              </w:rPr>
            </w:pPr>
          </w:p>
        </w:tc>
      </w:tr>
      <w:tr w14:paraId="621F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984C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4" w:type="pct"/>
            <w:vAlign w:val="center"/>
          </w:tcPr>
          <w:p w14:paraId="269F50CC">
            <w:pPr>
              <w:spacing w:line="360" w:lineRule="auto"/>
              <w:rPr>
                <w:rFonts w:ascii="宋体" w:hAnsi="宋体" w:cs="宋体"/>
                <w:color w:val="000000" w:themeColor="text1"/>
                <w:sz w:val="24"/>
                <w14:textFill>
                  <w14:solidFill>
                    <w14:schemeClr w14:val="tx1"/>
                  </w14:solidFill>
                </w14:textFill>
              </w:rPr>
            </w:pPr>
          </w:p>
        </w:tc>
      </w:tr>
      <w:tr w14:paraId="425ED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92CAF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14:paraId="06BECA02">
            <w:pPr>
              <w:spacing w:line="360" w:lineRule="auto"/>
              <w:rPr>
                <w:rFonts w:ascii="宋体" w:hAnsi="宋体" w:cs="宋体"/>
                <w:color w:val="000000" w:themeColor="text1"/>
                <w:sz w:val="24"/>
                <w14:textFill>
                  <w14:solidFill>
                    <w14:schemeClr w14:val="tx1"/>
                  </w14:solidFill>
                </w14:textFill>
              </w:rPr>
            </w:pPr>
          </w:p>
        </w:tc>
      </w:tr>
      <w:tr w14:paraId="1677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5C7315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4" w:type="pct"/>
          </w:tcPr>
          <w:p w14:paraId="55D8E131">
            <w:pPr>
              <w:spacing w:line="360" w:lineRule="auto"/>
              <w:rPr>
                <w:rFonts w:ascii="宋体" w:hAnsi="宋体" w:cs="宋体"/>
                <w:color w:val="000000" w:themeColor="text1"/>
                <w:sz w:val="24"/>
                <w14:textFill>
                  <w14:solidFill>
                    <w14:schemeClr w14:val="tx1"/>
                  </w14:solidFill>
                </w14:textFill>
              </w:rPr>
            </w:pPr>
          </w:p>
        </w:tc>
      </w:tr>
    </w:tbl>
    <w:p w14:paraId="05591D0B">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14:paraId="16BD0A2A">
      <w:pPr>
        <w:spacing w:line="360" w:lineRule="auto"/>
        <w:ind w:firstLine="562" w:firstLineChars="200"/>
        <w:jc w:val="center"/>
        <w:rPr>
          <w:rFonts w:asciiTheme="minorEastAsia" w:hAnsiTheme="minorEastAsia" w:eastAsiaTheme="minorEastAsia"/>
          <w:b/>
          <w:color w:val="000000" w:themeColor="text1"/>
          <w:sz w:val="28"/>
          <w:szCs w:val="28"/>
          <w14:textFill>
            <w14:solidFill>
              <w14:schemeClr w14:val="tx1"/>
            </w14:solidFill>
          </w14:textFill>
        </w:rPr>
      </w:pPr>
    </w:p>
    <w:p w14:paraId="7CE4CAD8">
      <w:pPr>
        <w:snapToGrid w:val="0"/>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175" w:name="_Toc181203100"/>
      <w:bookmarkStart w:id="176" w:name="_Toc30483"/>
      <w:r>
        <w:rPr>
          <w:rFonts w:hint="eastAsia" w:cs="仿宋_GB2312" w:asciiTheme="minorEastAsia" w:hAnsiTheme="minorEastAsia" w:eastAsiaTheme="minorEastAsia"/>
          <w:b/>
          <w:color w:val="000000" w:themeColor="text1"/>
          <w:sz w:val="36"/>
          <w:szCs w:val="20"/>
          <w14:textFill>
            <w14:solidFill>
              <w14:schemeClr w14:val="tx1"/>
            </w14:solidFill>
          </w14:textFill>
        </w:rPr>
        <w:t>第七部分</w:t>
      </w:r>
      <w:bookmarkEnd w:id="68"/>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w:t>
      </w:r>
      <w:bookmarkEnd w:id="69"/>
      <w:r>
        <w:rPr>
          <w:rFonts w:hint="eastAsia" w:cs="仿宋_GB2312" w:asciiTheme="minorEastAsia" w:hAnsiTheme="minorEastAsia" w:eastAsiaTheme="minorEastAsia"/>
          <w:b/>
          <w:color w:val="000000" w:themeColor="text1"/>
          <w:sz w:val="36"/>
          <w:szCs w:val="20"/>
          <w14:textFill>
            <w14:solidFill>
              <w14:schemeClr w14:val="tx1"/>
            </w14:solidFill>
          </w14:textFill>
        </w:rPr>
        <w:t>应提交的有关格式范例</w:t>
      </w:r>
      <w:bookmarkEnd w:id="175"/>
      <w:bookmarkEnd w:id="176"/>
    </w:p>
    <w:p w14:paraId="4BCA8907">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供应商按照以下格式编制响应文件。</w:t>
      </w:r>
    </w:p>
    <w:p w14:paraId="70F921EB">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21A29FB5">
      <w:pPr>
        <w:spacing w:line="360" w:lineRule="auto"/>
        <w:jc w:val="center"/>
        <w:rPr>
          <w:rFonts w:hint="eastAsia" w:cs="仿宋_GB2312" w:asciiTheme="minorEastAsia" w:hAnsiTheme="minorEastAsia" w:eastAsiaTheme="minorEastAsia"/>
          <w:b/>
          <w:color w:val="000000" w:themeColor="text1"/>
          <w:kern w:val="0"/>
          <w:sz w:val="40"/>
          <w:szCs w:val="40"/>
          <w:lang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40"/>
          <w:szCs w:val="40"/>
          <w:lang w:eastAsia="zh-CN"/>
          <w14:textFill>
            <w14:solidFill>
              <w14:schemeClr w14:val="tx1"/>
            </w14:solidFill>
          </w14:textFill>
        </w:rPr>
        <w:t>资格文件部分</w:t>
      </w:r>
    </w:p>
    <w:p w14:paraId="1D3747F1">
      <w:pPr>
        <w:snapToGrid w:val="0"/>
        <w:spacing w:line="360" w:lineRule="auto"/>
        <w:ind w:right="480"/>
        <w:jc w:val="both"/>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lang w:eastAsia="zh-CN"/>
          <w14:textFill>
            <w14:solidFill>
              <w14:schemeClr w14:val="tx1"/>
            </w14:solidFill>
          </w14:textFill>
        </w:rPr>
        <w:t>一、</w:t>
      </w:r>
      <w:r>
        <w:rPr>
          <w:rFonts w:hint="eastAsia" w:cs="宋体" w:asciiTheme="minorEastAsia" w:hAnsiTheme="minorEastAsia" w:eastAsiaTheme="minorEastAsia"/>
          <w:b/>
          <w:color w:val="000000" w:themeColor="text1"/>
          <w:kern w:val="0"/>
          <w:sz w:val="32"/>
          <w:szCs w:val="32"/>
          <w14:textFill>
            <w14:solidFill>
              <w14:schemeClr w14:val="tx1"/>
            </w14:solidFill>
          </w14:textFill>
        </w:rPr>
        <w:t>符合参加政府采购活动应当具备的一般条件的承诺函</w:t>
      </w:r>
    </w:p>
    <w:p w14:paraId="19428DF2">
      <w:pPr>
        <w:snapToGrid w:val="0"/>
        <w:spacing w:line="360" w:lineRule="auto"/>
        <w:ind w:right="480"/>
        <w:jc w:val="center"/>
        <w:rPr>
          <w:rFonts w:ascii="宋体" w:hAnsi="宋体" w:cs="宋体"/>
          <w:color w:val="000000" w:themeColor="text1"/>
          <w:sz w:val="24"/>
          <w14:textFill>
            <w14:solidFill>
              <w14:schemeClr w14:val="tx1"/>
            </w14:solidFill>
          </w14:textFill>
        </w:rPr>
      </w:pPr>
    </w:p>
    <w:p w14:paraId="5D316E7A">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北海市政府采购供应商信用承诺函（格式）</w:t>
      </w:r>
    </w:p>
    <w:p w14:paraId="15968BCA">
      <w:pPr>
        <w:snapToGrid w:val="0"/>
        <w:spacing w:line="360" w:lineRule="auto"/>
        <w:rPr>
          <w:rFonts w:ascii="宋体" w:hAnsi="宋体" w:cs="宋体"/>
          <w:color w:val="000000" w:themeColor="text1"/>
          <w:sz w:val="24"/>
          <w14:textFill>
            <w14:solidFill>
              <w14:schemeClr w14:val="tx1"/>
            </w14:solidFill>
          </w14:textFill>
        </w:rPr>
      </w:pPr>
    </w:p>
    <w:p w14:paraId="100A4E39">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 ：</w:t>
      </w:r>
    </w:p>
    <w:p w14:paraId="433B9761">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14:paraId="50007F24">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14:paraId="3170A952">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14:paraId="301506DA">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FFB3AF1">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14:paraId="0FABA3D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14:paraId="6C260CEE">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14:paraId="41FA9E6C">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14:paraId="6EBF6D5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135E9280">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14:paraId="0F4F059F">
      <w:pPr>
        <w:snapToGrid w:val="0"/>
        <w:spacing w:line="360" w:lineRule="auto"/>
        <w:ind w:right="480"/>
        <w:rPr>
          <w:rFonts w:ascii="宋体" w:hAnsi="宋体" w:cs="宋体"/>
          <w:color w:val="000000" w:themeColor="text1"/>
          <w:sz w:val="24"/>
          <w14:textFill>
            <w14:solidFill>
              <w14:schemeClr w14:val="tx1"/>
            </w14:solidFill>
          </w14:textFill>
        </w:rPr>
      </w:pPr>
    </w:p>
    <w:p w14:paraId="57C2FAA8">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磋商供应商名称（公章）：</w:t>
      </w:r>
    </w:p>
    <w:p w14:paraId="3EB13B29">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559E628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8E5DF23">
      <w:pPr>
        <w:snapToGrid w:val="0"/>
        <w:spacing w:line="360" w:lineRule="auto"/>
        <w:ind w:right="480"/>
        <w:rPr>
          <w:rFonts w:ascii="宋体" w:hAnsi="宋体" w:cs="宋体"/>
          <w:color w:val="000000" w:themeColor="text1"/>
          <w:sz w:val="24"/>
          <w14:textFill>
            <w14:solidFill>
              <w14:schemeClr w14:val="tx1"/>
            </w14:solidFill>
          </w14:textFill>
        </w:rPr>
      </w:pPr>
    </w:p>
    <w:p w14:paraId="494C92A6">
      <w:pP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br w:type="page"/>
      </w:r>
    </w:p>
    <w:p w14:paraId="171DEBD7">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二</w:t>
      </w:r>
      <w:r>
        <w:rPr>
          <w:rFonts w:hint="eastAsia" w:cs="仿宋_GB2312" w:asciiTheme="minorEastAsia" w:hAnsiTheme="minorEastAsia" w:eastAsiaTheme="minorEastAsia"/>
          <w:b/>
          <w:color w:val="000000" w:themeColor="text1"/>
          <w:sz w:val="32"/>
          <w:szCs w:val="32"/>
          <w14:textFill>
            <w14:solidFill>
              <w14:schemeClr w14:val="tx1"/>
            </w14:solidFill>
          </w14:textFill>
        </w:rPr>
        <w:t>、联合协议（如果有）</w:t>
      </w:r>
    </w:p>
    <w:p w14:paraId="1A569685">
      <w:pPr>
        <w:widowControl/>
        <w:spacing w:line="360" w:lineRule="auto"/>
        <w:ind w:firstLine="482" w:firstLineChars="20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（以联合体形式响应的，提供联合协议；本项目不接受联合体响应或者供应商不以联合体形式响应的，则不需要提供）</w:t>
      </w:r>
    </w:p>
    <w:p w14:paraId="4CE79F85">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14:textFill>
            <w14:solidFill>
              <w14:schemeClr w14:val="tx1"/>
            </w14:solidFill>
          </w14:textFill>
        </w:rPr>
        <w:t>自愿</w:t>
      </w:r>
      <w:r>
        <w:rPr>
          <w:rFonts w:hint="eastAsia" w:cs="宋体" w:asciiTheme="minorEastAsia" w:hAnsiTheme="minorEastAsia" w:eastAsiaTheme="minorEastAsia"/>
          <w:color w:val="000000" w:themeColor="text1"/>
          <w:kern w:val="0"/>
          <w:sz w:val="24"/>
          <w:lang w:val="zh-CN"/>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14:textFill>
            <w14:solidFill>
              <w14:schemeClr w14:val="tx1"/>
            </w14:solidFill>
          </w14:textFill>
        </w:rPr>
        <w:t>参加</w:t>
      </w:r>
      <w:r>
        <w:rPr>
          <w:rFonts w:hint="eastAsia" w:cs="仿宋_GB2312" w:asciiTheme="minorEastAsia" w:hAnsiTheme="minorEastAsia" w:eastAsiaTheme="minorEastAsia"/>
          <w:color w:val="000000" w:themeColor="text1"/>
          <w:sz w:val="24"/>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【项目编号：（采购编号）】响应</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14:paraId="1B43BE0C">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14:textFill>
            <w14:solidFill>
              <w14:schemeClr w14:val="tx1"/>
            </w14:solidFill>
          </w14:textFill>
        </w:rPr>
        <w:t>为联合体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牵头人</w:t>
      </w:r>
      <w:r>
        <w:rPr>
          <w:rFonts w:hint="eastAsia" w:cs="宋体" w:asciiTheme="minorEastAsia" w:hAnsiTheme="minorEastAsia" w:eastAsiaTheme="minorEastAsia"/>
          <w:color w:val="000000" w:themeColor="text1"/>
          <w:sz w:val="24"/>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286A5BF2">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w:t>
      </w:r>
      <w:r>
        <w:rPr>
          <w:rFonts w:hint="eastAsia" w:cs="宋体" w:asciiTheme="minorEastAsia" w:hAnsiTheme="minorEastAsia" w:eastAsiaTheme="minorEastAsia"/>
          <w:color w:val="000000" w:themeColor="text1"/>
          <w:sz w:val="24"/>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07E37878">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三、本次联合响应中，分工如下：</w:t>
      </w:r>
    </w:p>
    <w:p w14:paraId="7F5471C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12D3F6FB">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w:t>
      </w:r>
      <w:r>
        <w:rPr>
          <w:rFonts w:cs="宋体" w:asciiTheme="minorEastAsia" w:hAnsiTheme="minorEastAsia" w:eastAsiaTheme="minorEastAsia"/>
          <w:color w:val="000000" w:themeColor="text1"/>
          <w:kern w:val="0"/>
          <w:sz w:val="24"/>
          <w:u w:val="single"/>
          <w14:textFill>
            <w14:solidFill>
              <w14:schemeClr w14:val="tx1"/>
            </w14:solidFill>
          </w14:textFill>
        </w:rPr>
        <w:t>2</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2A8F2D77">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6E2CF8E7">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四、联合体成员中小企业合同份额（如果有）。</w:t>
      </w:r>
    </w:p>
    <w:p w14:paraId="7969084D">
      <w:pPr>
        <w:snapToGrid w:val="0"/>
        <w:spacing w:line="360" w:lineRule="auto"/>
        <w:ind w:firstLine="576"/>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bookmarkStart w:id="177" w:name="_Hlk101131882"/>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联合体成员X</w:t>
      </w:r>
      <w:r>
        <w:rPr>
          <w:rFonts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bookmarkEnd w:id="177"/>
      <w:r>
        <w:rPr>
          <w:rFonts w:hint="eastAsia"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提供的服务由小微企业承接，其合同份额占到合同总金额</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%以上</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bookmarkStart w:id="178" w:name="_Hlk101133598"/>
      <w:r>
        <w:rPr>
          <w:rFonts w:hint="eastAsia" w:cs="宋体" w:asciiTheme="minorEastAsia" w:hAnsiTheme="minorEastAsia" w:eastAsiaTheme="minorEastAsia"/>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000000" w:themeColor="text1"/>
          <w:kern w:val="0"/>
          <w:sz w:val="24"/>
          <w:lang w:val="zh-CN"/>
          <w14:textFill>
            <w14:solidFill>
              <w14:schemeClr w14:val="tx1"/>
            </w14:solidFill>
          </w14:textFill>
        </w:rPr>
        <w:t>对联合体报价按评标标准确定的比例给予扣除</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。供应商</w:t>
      </w:r>
      <w:r>
        <w:rPr>
          <w:rFonts w:hint="eastAsia" w:cs="宋体" w:asciiTheme="minorEastAsia" w:hAnsiTheme="minorEastAsia" w:eastAsiaTheme="minorEastAsia"/>
          <w:b/>
          <w:color w:val="000000" w:themeColor="text1"/>
          <w:sz w:val="24"/>
          <w14:textFill>
            <w14:solidFill>
              <w14:schemeClr w14:val="tx1"/>
            </w14:solidFill>
          </w14:textFill>
        </w:rPr>
        <w:t>拟享受以上价格扣除政策的，填写有关内容。</w:t>
      </w:r>
      <w:bookmarkEnd w:id="178"/>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p>
    <w:p w14:paraId="40954ED5">
      <w:pPr>
        <w:spacing w:line="360" w:lineRule="auto"/>
        <w:ind w:firstLine="480" w:firstLineChars="200"/>
        <w:rPr>
          <w:rFonts w:cs="宋体" w:asciiTheme="minorEastAsia" w:hAnsiTheme="minorEastAsia" w:eastAsiaTheme="minorEastAsia"/>
          <w:b/>
          <w:bCs/>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bookmarkStart w:id="179" w:name="_Hlk101133173"/>
      <w:r>
        <w:rPr>
          <w:rFonts w:hint="eastAsia" w:cs="宋体" w:asciiTheme="minorEastAsia" w:hAnsiTheme="minorEastAsia" w:eastAsiaTheme="minorEastAsia"/>
          <w:color w:val="000000" w:themeColor="text1"/>
          <w:sz w:val="24"/>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sz w:val="24"/>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bookmarkEnd w:id="179"/>
    </w:p>
    <w:p w14:paraId="0D071487">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五、如果成交，</w:t>
      </w:r>
      <w:r>
        <w:rPr>
          <w:rFonts w:hint="eastAsia" w:cs="宋体" w:asciiTheme="minorEastAsia" w:hAnsiTheme="minorEastAsia" w:eastAsiaTheme="minorEastAsia"/>
          <w:color w:val="000000" w:themeColor="text1"/>
          <w:sz w:val="24"/>
          <w14:textFill>
            <w14:solidFill>
              <w14:schemeClr w14:val="tx1"/>
            </w14:solidFill>
          </w14:textFill>
        </w:rPr>
        <w:t>联合体各成员方共同与采购人签订合同，并就采购合同约定的事项对采购人承担连带责任。</w:t>
      </w:r>
    </w:p>
    <w:p w14:paraId="0A3DFE8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六、有关本次联合响应的其他事宜：</w:t>
      </w:r>
    </w:p>
    <w:p w14:paraId="0CD354FA">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3BD5D409">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76C75635">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660BD251">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6EAD9604">
      <w:pPr>
        <w:snapToGrid w:val="0"/>
        <w:spacing w:line="360" w:lineRule="auto"/>
        <w:ind w:firstLine="5040" w:firstLineChars="2100"/>
        <w:rPr>
          <w:rStyle w:val="631"/>
          <w:color w:val="000000" w:themeColor="text1"/>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13639AF6">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631"/>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14350E01">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051177AC">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70E0453B">
      <w:pPr>
        <w:snapToGrid w:val="0"/>
        <w:spacing w:line="360" w:lineRule="auto"/>
        <w:jc w:val="righ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日期：  年  月   日</w:t>
      </w:r>
    </w:p>
    <w:p w14:paraId="44DE5E97">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5BB45B3D">
      <w:pPr>
        <w:rPr>
          <w:rFonts w:hint="eastAsia" w:cs="仿宋_GB2312" w:asciiTheme="minorEastAsia" w:hAnsiTheme="minorEastAsia" w:eastAsiaTheme="minorEastAsia"/>
          <w:b/>
          <w:color w:val="000000" w:themeColor="text1"/>
          <w:sz w:val="44"/>
          <w:szCs w:val="44"/>
          <w:lang w:eastAsia="zh-CN"/>
          <w14:textFill>
            <w14:solidFill>
              <w14:schemeClr w14:val="tx1"/>
            </w14:solidFill>
          </w14:textFill>
        </w:rPr>
      </w:pPr>
      <w:r>
        <w:rPr>
          <w:rFonts w:hint="eastAsia" w:cs="仿宋_GB2312" w:asciiTheme="minorEastAsia" w:hAnsiTheme="minorEastAsia" w:eastAsiaTheme="minorEastAsia"/>
          <w:b/>
          <w:color w:val="000000" w:themeColor="text1"/>
          <w:sz w:val="44"/>
          <w:szCs w:val="44"/>
          <w:lang w:eastAsia="zh-CN"/>
          <w14:textFill>
            <w14:solidFill>
              <w14:schemeClr w14:val="tx1"/>
            </w14:solidFill>
          </w14:textFill>
        </w:rPr>
        <w:br w:type="page"/>
      </w:r>
    </w:p>
    <w:p w14:paraId="34843212">
      <w:pPr>
        <w:snapToGrid w:val="0"/>
        <w:spacing w:line="360" w:lineRule="auto"/>
        <w:ind w:right="480"/>
        <w:jc w:val="center"/>
        <w:rPr>
          <w:rFonts w:hint="eastAsia" w:cs="仿宋_GB2312" w:asciiTheme="minorEastAsia" w:hAnsiTheme="minorEastAsia" w:eastAsiaTheme="minorEastAsia"/>
          <w:b/>
          <w:color w:val="000000" w:themeColor="text1"/>
          <w:sz w:val="44"/>
          <w:szCs w:val="44"/>
          <w:lang w:eastAsia="zh-CN"/>
          <w14:textFill>
            <w14:solidFill>
              <w14:schemeClr w14:val="tx1"/>
            </w14:solidFill>
          </w14:textFill>
        </w:rPr>
      </w:pPr>
      <w:r>
        <w:rPr>
          <w:rFonts w:hint="eastAsia" w:cs="仿宋_GB2312" w:asciiTheme="minorEastAsia" w:hAnsiTheme="minorEastAsia" w:eastAsiaTheme="minorEastAsia"/>
          <w:b/>
          <w:color w:val="000000" w:themeColor="text1"/>
          <w:sz w:val="44"/>
          <w:szCs w:val="44"/>
          <w:lang w:eastAsia="zh-CN"/>
          <w14:textFill>
            <w14:solidFill>
              <w14:schemeClr w14:val="tx1"/>
            </w14:solidFill>
          </w14:textFill>
        </w:rPr>
        <w:t>商务技术文件</w:t>
      </w:r>
    </w:p>
    <w:p w14:paraId="0731B99A">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14:textFill>
            <w14:solidFill>
              <w14:schemeClr w14:val="tx1"/>
            </w14:solidFill>
          </w14:textFill>
        </w:rPr>
        <w:t>函</w:t>
      </w:r>
    </w:p>
    <w:p w14:paraId="416FA65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10CA510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(职务、职称)为全权代表，参加贵方组织的（项目名称）【项目编号：（采购编号）】的有关活动，并对此项目进行响应。为此：</w:t>
      </w:r>
    </w:p>
    <w:p w14:paraId="769929F0">
      <w:pPr>
        <w:pStyle w:val="105"/>
        <w:numPr>
          <w:ilvl w:val="0"/>
          <w:numId w:val="9"/>
        </w:numPr>
        <w:snapToGrid w:val="0"/>
        <w:ind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天，</w:t>
      </w:r>
      <w:r>
        <w:rPr>
          <w:rFonts w:hint="eastAsia" w:cs="宋体" w:asciiTheme="minorEastAsia" w:hAnsiTheme="minorEastAsia" w:eastAsiaTheme="minorEastAsia"/>
          <w:color w:val="000000" w:themeColor="text1"/>
          <w14:textFill>
            <w14:solidFill>
              <w14:schemeClr w14:val="tx1"/>
            </w14:solidFill>
          </w14:textFill>
        </w:rPr>
        <w:t>（不少于60天），</w:t>
      </w:r>
      <w:r>
        <w:rPr>
          <w:rFonts w:hint="eastAsia" w:cs="仿宋_GB2312" w:asciiTheme="minorEastAsia" w:hAnsiTheme="minorEastAsia" w:eastAsiaTheme="minorEastAsia"/>
          <w:color w:val="000000" w:themeColor="text1"/>
          <w14:textFill>
            <w14:solidFill>
              <w14:schemeClr w14:val="tx1"/>
            </w14:solidFill>
          </w14:textFill>
        </w:rPr>
        <w:t>本响应文件在响应有效期满之前均具有约束力。</w:t>
      </w:r>
    </w:p>
    <w:p w14:paraId="669B3E62">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14:textFill>
            <w14:solidFill>
              <w14:schemeClr w14:val="tx1"/>
            </w14:solidFill>
          </w14:textFill>
        </w:rPr>
        <w:t>磋商文件中</w:t>
      </w:r>
      <w:r>
        <w:rPr>
          <w:rFonts w:hint="eastAsia" w:cs="仿宋_GB2312" w:asciiTheme="minorEastAsia" w:hAnsiTheme="minorEastAsia" w:eastAsiaTheme="minorEastAsia"/>
          <w:color w:val="000000" w:themeColor="text1"/>
          <w:sz w:val="24"/>
          <w14:textFill>
            <w14:solidFill>
              <w14:schemeClr w14:val="tx1"/>
            </w14:solidFill>
          </w14:textFill>
        </w:rPr>
        <w:t>规定的全部响应文件。</w:t>
      </w:r>
    </w:p>
    <w:p w14:paraId="3D7A6853">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我方承诺除响应文件列出的偏离外，我方响应磋商文件的全部要求。</w:t>
      </w:r>
    </w:p>
    <w:p w14:paraId="04D76CB1">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保证遵守磋商文件中的其他有关规定。</w:t>
      </w:r>
    </w:p>
    <w:p w14:paraId="77A40D08">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我方愿意向贵方提供任何与该项目响应有关的数据、情况和技术资料。若贵方需要，我方愿意提供我方作出的一切承诺的证明材料。</w:t>
      </w:r>
    </w:p>
    <w:p w14:paraId="082DA7D2">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我方已详细阅读全部磋商文件，包括磋商文件“更正（延期）公告”（如果有）、参考资料及有关附件，确认无误。</w:t>
      </w:r>
    </w:p>
    <w:p w14:paraId="012F944F">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如我方成交，我方承诺：</w:t>
      </w:r>
    </w:p>
    <w:p w14:paraId="51A1A904">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7.1在收到成交通知书后，在成交通知书规定的期限内与你方签订合同； </w:t>
      </w:r>
    </w:p>
    <w:p w14:paraId="0CFA5184">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7.2在签订合同时不向你方提出附加条件； </w:t>
      </w:r>
    </w:p>
    <w:p w14:paraId="5BF67767">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7.3按照磋商文件要求提交履约保证金； </w:t>
      </w:r>
    </w:p>
    <w:p w14:paraId="38AFB270">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7.4在合同约定的期限内完成合同规定的全部义务。 </w:t>
      </w:r>
    </w:p>
    <w:p w14:paraId="25CA5B9F">
      <w:pPr>
        <w:numPr>
          <w:ilvl w:val="0"/>
          <w:numId w:val="9"/>
        </w:numPr>
        <w:adjustRightInd/>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其他补充说明:                                        。</w:t>
      </w:r>
    </w:p>
    <w:p w14:paraId="5B11A241">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1E3554E4">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磋商供应商名称（公章）：</w:t>
      </w:r>
    </w:p>
    <w:p w14:paraId="37BD576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6731EEA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295720D4">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68A2A24A">
      <w:pPr>
        <w:widowControl/>
        <w:spacing w:line="360" w:lineRule="auto"/>
        <w:ind w:firstLine="643"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kern w:val="0"/>
          <w:sz w:val="32"/>
          <w:szCs w:val="32"/>
          <w14:textFill>
            <w14:solidFill>
              <w14:schemeClr w14:val="tx1"/>
            </w14:solidFill>
          </w14:textFill>
        </w:rPr>
        <w:br w:type="page"/>
      </w:r>
    </w:p>
    <w:p w14:paraId="2C804309">
      <w:pPr>
        <w:snapToGrid w:val="0"/>
        <w:spacing w:line="360" w:lineRule="auto"/>
        <w:ind w:right="48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sectPr>
          <w:footerReference r:id="rId5" w:type="first"/>
          <w:footerReference r:id="rId4" w:type="default"/>
          <w:pgSz w:w="11906" w:h="16838"/>
          <w:pgMar w:top="1247" w:right="1418" w:bottom="1276" w:left="1418" w:header="851" w:footer="992" w:gutter="0"/>
          <w:pgNumType w:fmt="decimal" w:start="1"/>
          <w:cols w:space="720" w:num="1"/>
          <w:titlePg/>
          <w:docGrid w:linePitch="312" w:charSpace="0"/>
        </w:sectPr>
      </w:pPr>
    </w:p>
    <w:p w14:paraId="669EF55F">
      <w:pPr>
        <w:widowControl/>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二、法人授权书（适用于非联合体响应）</w:t>
      </w:r>
    </w:p>
    <w:p w14:paraId="2FF5B946">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3DD985D4">
      <w:pPr>
        <w:snapToGrid w:val="0"/>
        <w:spacing w:line="360" w:lineRule="auto"/>
        <w:ind w:firstLine="576"/>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政府采购响应的一切事项，若成交则全权代表本公司签订相关合同，并负责处理合同履行等事宜。</w:t>
      </w:r>
    </w:p>
    <w:p w14:paraId="75C02D88">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本委托书有效期：自    年 月  日起至    年  月  日止。</w:t>
      </w:r>
    </w:p>
    <w:p w14:paraId="36F7914E">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特此告知。</w:t>
      </w:r>
    </w:p>
    <w:p w14:paraId="3DCE01E0">
      <w:pPr>
        <w:spacing w:line="360" w:lineRule="auto"/>
        <w:ind w:left="4649" w:leftChars="2214" w:firstLine="3600" w:firstLineChars="1500"/>
        <w:rPr>
          <w:rFonts w:ascii="宋体" w:hAnsi="宋体" w:cs="宋体"/>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磋商供应商名称（公章）：</w:t>
      </w:r>
    </w:p>
    <w:p w14:paraId="274FEE79">
      <w:pPr>
        <w:snapToGrid w:val="0"/>
        <w:spacing w:line="360" w:lineRule="auto"/>
        <w:ind w:left="4649" w:leftChars="221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 (签名)：</w:t>
      </w:r>
    </w:p>
    <w:p w14:paraId="25BAD9EA">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5DDA4FE3">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6DBBC7EB">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7815C89F">
      <w:pPr>
        <w:snapToGrid w:val="0"/>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联合体响应授权书（扫描件加盖上传单位电子签名）</w:t>
      </w:r>
    </w:p>
    <w:p w14:paraId="4BA1F5DC">
      <w:pPr>
        <w:snapToGrid w:val="0"/>
        <w:spacing w:line="360" w:lineRule="auto"/>
        <w:jc w:val="center"/>
        <w:rPr>
          <w:rFonts w:cs="仿宋_GB2312" w:asciiTheme="minorEastAsia" w:hAnsiTheme="minorEastAsia" w:eastAsiaTheme="minorEastAsia"/>
          <w:b/>
          <w:color w:val="000000" w:themeColor="text1"/>
          <w:kern w:val="0"/>
          <w:sz w:val="30"/>
          <w:szCs w:val="30"/>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lang w:val="zh-CN"/>
          <w14:textFill>
            <w14:solidFill>
              <w14:schemeClr w14:val="tx1"/>
            </w14:solidFill>
          </w14:textFill>
        </w:rPr>
        <w:t>（适用于联合体响应）</w:t>
      </w:r>
    </w:p>
    <w:p w14:paraId="168A7486">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4CE90DAB">
      <w:pPr>
        <w:snapToGrid w:val="0"/>
        <w:spacing w:line="360" w:lineRule="auto"/>
        <w:ind w:firstLine="576"/>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现</w:t>
      </w:r>
      <w:r>
        <w:rPr>
          <w:rFonts w:hint="eastAsia" w:cs="宋体" w:asciiTheme="minorEastAsia" w:hAnsiTheme="minorEastAsia" w:eastAsiaTheme="minorEastAsia"/>
          <w:color w:val="000000" w:themeColor="text1"/>
          <w:kern w:val="0"/>
          <w:sz w:val="24"/>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），以我方名义处理</w:t>
      </w:r>
      <w:r>
        <w:rPr>
          <w:rFonts w:hint="eastAsia" w:cs="仿宋_GB2312" w:asciiTheme="minorEastAsia" w:hAnsiTheme="minorEastAsia" w:eastAsiaTheme="minorEastAsia"/>
          <w:color w:val="000000" w:themeColor="text1"/>
          <w:sz w:val="24"/>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【项目编号：（采购编号）】政府采购响应的一切事项，</w:t>
      </w:r>
      <w:r>
        <w:rPr>
          <w:rFonts w:hint="eastAsia" w:cs="宋体" w:asciiTheme="minorEastAsia" w:hAnsiTheme="minorEastAsia" w:eastAsiaTheme="minorEastAsia"/>
          <w:color w:val="000000" w:themeColor="text1"/>
          <w:kern w:val="0"/>
          <w:sz w:val="24"/>
          <w:lang w:val="zh-CN"/>
          <w14:textFill>
            <w14:solidFill>
              <w14:schemeClr w14:val="tx1"/>
            </w14:solidFill>
          </w14:textFill>
        </w:rPr>
        <w:t>其法律后果由我方承担。</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5002907A">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本授权书有效期：自   年 月  日起至  年  月  日止。</w:t>
      </w:r>
    </w:p>
    <w:p w14:paraId="258C0EDB">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特此告知。</w:t>
      </w:r>
    </w:p>
    <w:p w14:paraId="1F2A5177">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4BB74026">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05E5976A">
      <w:pPr>
        <w:snapToGrid w:val="0"/>
        <w:spacing w:line="360" w:lineRule="auto"/>
        <w:ind w:firstLine="5040" w:firstLineChars="2100"/>
        <w:rPr>
          <w:rStyle w:val="631"/>
          <w:color w:val="000000" w:themeColor="text1"/>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7FAA996A">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631"/>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0CE7C51C">
      <w:pPr>
        <w:snapToGrid w:val="0"/>
        <w:spacing w:line="360" w:lineRule="auto"/>
        <w:ind w:firstLine="5040" w:firstLineChars="2100"/>
        <w:rPr>
          <w:rStyle w:val="631"/>
          <w:color w:val="000000" w:themeColor="text1"/>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46DE5820">
      <w:pPr>
        <w:snapToGrid w:val="0"/>
        <w:spacing w:line="360" w:lineRule="auto"/>
        <w:ind w:firstLine="5040" w:firstLineChars="21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57F5F5F5">
      <w:pPr>
        <w:snapToGrid w:val="0"/>
        <w:spacing w:line="360" w:lineRule="auto"/>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6B4651B1">
      <w:pPr>
        <w:widowControl/>
        <w:adjustRightInd/>
        <w:jc w:val="left"/>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br w:type="page"/>
      </w:r>
    </w:p>
    <w:p w14:paraId="68A8B92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0"/>
          <w:szCs w:val="30"/>
          <w14:textFill>
            <w14:solidFill>
              <w14:schemeClr w14:val="tx1"/>
            </w14:solidFill>
          </w14:textFill>
        </w:rPr>
        <w:t>授权代表的身份证（复印件）</w:t>
      </w:r>
    </w:p>
    <w:p w14:paraId="2D7F28FE">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9BA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9EEC850">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正面：                                 反面：</w:t>
            </w:r>
          </w:p>
          <w:p w14:paraId="19A1A2C5">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p>
        </w:tc>
      </w:tr>
    </w:tbl>
    <w:p w14:paraId="0D6EDEA9">
      <w:pPr>
        <w:snapToGrid w:val="0"/>
        <w:spacing w:line="360" w:lineRule="auto"/>
        <w:ind w:firstLine="576"/>
        <w:jc w:val="righ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553B378C">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磋商供应商名称(公章)：                              </w:t>
      </w:r>
    </w:p>
    <w:p w14:paraId="34D0854D">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6D8A606A">
      <w:pPr>
        <w:snapToGrid w:val="0"/>
        <w:spacing w:line="360" w:lineRule="auto"/>
        <w:ind w:firstLine="576"/>
        <w:jc w:val="center"/>
        <w:rPr>
          <w:rFonts w:cs="仿宋_GB2312" w:asciiTheme="minorEastAsia" w:hAnsiTheme="minorEastAsia" w:eastAsiaTheme="minorEastAsia"/>
          <w:color w:val="000000" w:themeColor="text1"/>
          <w:sz w:val="28"/>
          <w:szCs w:val="28"/>
          <w14:textFill>
            <w14:solidFill>
              <w14:schemeClr w14:val="tx1"/>
            </w14:solidFill>
          </w14:textFill>
        </w:rPr>
      </w:pPr>
    </w:p>
    <w:p w14:paraId="2E107406">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1A75D7E2">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58E923C0">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三</w:t>
      </w:r>
      <w:r>
        <w:rPr>
          <w:rFonts w:hint="eastAsia" w:cs="仿宋_GB2312" w:asciiTheme="minorEastAsia" w:hAnsiTheme="minorEastAsia" w:eastAsiaTheme="minorEastAsia"/>
          <w:b/>
          <w:color w:val="000000" w:themeColor="text1"/>
          <w:sz w:val="32"/>
          <w:szCs w:val="32"/>
          <w14:textFill>
            <w14:solidFill>
              <w14:schemeClr w14:val="tx1"/>
            </w14:solidFill>
          </w14:textFill>
        </w:rPr>
        <w:t>、所有资信文件（复印件）</w:t>
      </w:r>
    </w:p>
    <w:p w14:paraId="7708D21F">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2732A474">
      <w:pPr>
        <w:spacing w:line="360" w:lineRule="auto"/>
        <w:jc w:val="center"/>
        <w:rPr>
          <w:rFonts w:cs="仿宋_GB2312" w:asciiTheme="minorEastAsia" w:hAnsiTheme="minorEastAsia" w:eastAsiaTheme="minorEastAsia"/>
          <w:b/>
          <w:color w:val="000000" w:themeColor="text1"/>
          <w:sz w:val="30"/>
          <w:szCs w:val="30"/>
          <w14:textFill>
            <w14:solidFill>
              <w14:schemeClr w14:val="tx1"/>
            </w14:solidFill>
          </w14:textFill>
        </w:rPr>
      </w:pPr>
    </w:p>
    <w:p w14:paraId="0D8367EE">
      <w:pPr>
        <w:snapToGrid w:val="0"/>
        <w:spacing w:line="360" w:lineRule="auto"/>
        <w:ind w:firstLine="5160" w:firstLineChars="215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p>
    <w:p w14:paraId="4FE3DA4E">
      <w:pPr>
        <w:snapToGrid w:val="0"/>
        <w:spacing w:line="360" w:lineRule="auto"/>
        <w:ind w:firstLine="5160" w:firstLineChars="215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w:t>
      </w:r>
    </w:p>
    <w:p w14:paraId="39277016">
      <w:pPr>
        <w:spacing w:line="360" w:lineRule="auto"/>
        <w:jc w:val="cente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CD65823">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t>四</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主要业绩证明</w:t>
      </w:r>
    </w:p>
    <w:p w14:paraId="404F2C68">
      <w:pPr>
        <w:autoSpaceDE w:val="0"/>
        <w:autoSpaceDN w:val="0"/>
        <w:spacing w:line="360" w:lineRule="auto"/>
        <w:ind w:firstLine="12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DFFE03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E6AFB2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30FFA9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75D0CE8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D9C868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5A6CB2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28F3D2E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投资</w:t>
            </w:r>
          </w:p>
          <w:p w14:paraId="2DD6B86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D4BB2F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CF6D94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FF0555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所在页码</w:t>
            </w:r>
          </w:p>
        </w:tc>
      </w:tr>
      <w:tr w14:paraId="628919E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50A59C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01E760D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1281CA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318731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E78DA0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C8D178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2D66E8A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5C434BF">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96EB4A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2ECD72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3429AC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5CB75E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C8D321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EBBBB1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CEC4E6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691AD8D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1222F4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315095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E2323C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3AEA6F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DF2434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56BED5C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C5FAA4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4620D5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F92CFF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FD30E6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C0947B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BC6077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97AEDD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BED100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F1657E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F18CAC5">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65181F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200507C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01F0B3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F72990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A7B373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49D2A65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74529A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2BCB52A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注：供应商可按上述的格式自行编制，须随表提交相应的合同复印件和用户单位验收证明并注明所在文件页码。</w:t>
      </w:r>
    </w:p>
    <w:p w14:paraId="5E525EC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3D02715F">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1D86FCC9">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0C5B1A46">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6B449820">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DDD8699">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6D70A02F">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五</w:t>
      </w:r>
      <w:r>
        <w:rPr>
          <w:rFonts w:hint="eastAsia" w:cs="仿宋_GB2312" w:asciiTheme="minorEastAsia" w:hAnsiTheme="minorEastAsia" w:eastAsiaTheme="minorEastAsia"/>
          <w:b/>
          <w:bCs/>
          <w:color w:val="000000" w:themeColor="text1"/>
          <w:sz w:val="32"/>
          <w:szCs w:val="32"/>
          <w14:textFill>
            <w14:solidFill>
              <w14:schemeClr w14:val="tx1"/>
            </w14:solidFill>
          </w14:textFill>
        </w:rPr>
        <w:t>、关于</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对磋商文件中有关条款的拒绝声明</w:t>
      </w:r>
    </w:p>
    <w:p w14:paraId="3BB6B1F0">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6D5012D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E397C1C">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p>
    <w:p w14:paraId="09ECCC98">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法定代表人（负责人）或委托代理人(签名)：                          </w:t>
      </w:r>
    </w:p>
    <w:p w14:paraId="4F3AF2E7">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8C6A6DA">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60F10D8F">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52E14771">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69A4383">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14:textFill>
            <w14:solidFill>
              <w14:schemeClr w14:val="tx1"/>
            </w14:solidFill>
          </w14:textFill>
        </w:rPr>
        <w:t>、认为需要的</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其他商务文件或说明</w:t>
      </w:r>
    </w:p>
    <w:p w14:paraId="12EC7A98">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6FC5EDD6">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331DDDB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0B6EFE02">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6463E8FB">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39EE1EB6">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02C8822">
      <w:pPr>
        <w:spacing w:line="360" w:lineRule="auto"/>
        <w:rPr>
          <w:rFonts w:cs="仿宋_GB2312" w:asciiTheme="minorEastAsia" w:hAnsiTheme="minorEastAsia" w:eastAsiaTheme="minorEastAsia"/>
          <w:b/>
          <w:bCs/>
          <w:color w:val="000000" w:themeColor="text1"/>
          <w:kern w:val="0"/>
          <w:sz w:val="24"/>
          <w14:textFill>
            <w14:solidFill>
              <w14:schemeClr w14:val="tx1"/>
            </w14:solidFill>
          </w14:textFill>
        </w:rPr>
      </w:pPr>
    </w:p>
    <w:p w14:paraId="4DF0763B">
      <w:pPr>
        <w:widowControl/>
        <w:adjustRightInd/>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七</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服务</w:t>
      </w:r>
      <w:r>
        <w:rPr>
          <w:rFonts w:hint="eastAsia" w:cs="仿宋_GB2312" w:asciiTheme="minorEastAsia" w:hAnsiTheme="minorEastAsia" w:eastAsiaTheme="minorEastAsia"/>
          <w:b/>
          <w:bCs/>
          <w:color w:val="000000" w:themeColor="text1"/>
          <w:sz w:val="32"/>
          <w:szCs w:val="32"/>
          <w14:textFill>
            <w14:solidFill>
              <w14:schemeClr w14:val="tx1"/>
            </w14:solidFill>
          </w14:textFill>
        </w:rPr>
        <w:t>方案</w:t>
      </w:r>
    </w:p>
    <w:p w14:paraId="7317F297">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693DD449">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21C43BF7">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2F353BBC">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磋商供应商名称(公章)：</w:t>
      </w:r>
    </w:p>
    <w:p w14:paraId="5820EB5D">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法定代表人（负责人）或委托代理人(签名)：                          </w:t>
      </w:r>
    </w:p>
    <w:p w14:paraId="6EECE0B8">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4D44C86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 xml:space="preserve">     </w:t>
      </w:r>
    </w:p>
    <w:p w14:paraId="53323656">
      <w:pP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br w:type="page"/>
      </w:r>
    </w:p>
    <w:p w14:paraId="02456E4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八</w:t>
      </w:r>
      <w:r>
        <w:rPr>
          <w:rFonts w:hint="eastAsia" w:cs="仿宋_GB2312" w:asciiTheme="minorEastAsia" w:hAnsiTheme="minorEastAsia" w:eastAsiaTheme="minorEastAsia"/>
          <w:b/>
          <w:bCs/>
          <w:color w:val="000000" w:themeColor="text1"/>
          <w:sz w:val="32"/>
          <w:szCs w:val="32"/>
          <w14:textFill>
            <w14:solidFill>
              <w14:schemeClr w14:val="tx1"/>
            </w14:solidFill>
          </w14:textFill>
        </w:rPr>
        <w:t>、项目小组人员名单</w:t>
      </w:r>
    </w:p>
    <w:p w14:paraId="1C917CC8">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73732661">
      <w:pPr>
        <w:keepNext/>
        <w:autoSpaceDE w:val="0"/>
        <w:autoSpaceDN w:val="0"/>
        <w:spacing w:line="360" w:lineRule="auto"/>
        <w:ind w:firstLine="477"/>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24F679F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F56CEF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3543B8A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3D03D41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eastAsia="zh-CN"/>
                <w14:textFill>
                  <w14:solidFill>
                    <w14:schemeClr w14:val="tx1"/>
                  </w14:solidFill>
                </w14:textFill>
              </w:rPr>
              <w:t>主要</w:t>
            </w:r>
            <w:r>
              <w:rPr>
                <w:rFonts w:hint="eastAsia" w:cs="仿宋_GB2312" w:asciiTheme="minorEastAsia" w:hAnsiTheme="minorEastAsia" w:eastAsiaTheme="minorEastAsia"/>
                <w:color w:val="000000" w:themeColor="text1"/>
                <w:sz w:val="24"/>
                <w14:textFill>
                  <w14:solidFill>
                    <w14:schemeClr w14:val="tx1"/>
                  </w14:solidFill>
                </w14:textFill>
              </w:rPr>
              <w:t>业绩及承担的主要工作情况，曾担任项目经理的项目应列明细</w:t>
            </w:r>
          </w:p>
        </w:tc>
      </w:tr>
      <w:tr w14:paraId="1CC48DC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51E69B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9DAABE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6379D3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876294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623C91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59E914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88898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B92DD9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4EB034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C9C75A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5B41BD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4A2B53B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3E49C9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8CA3A1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BDE74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466C0CC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722AA9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4B4C8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849391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72627AD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0B7031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B1C9AD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1AB0E0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7000FC42">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426CB9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63E025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76635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5E043B3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14B9925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C7A111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B05DA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05917F43">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2AD877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DB47A3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C9C37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0A3C7A0E">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注：须随表提交相应的证书复印件。</w:t>
      </w:r>
    </w:p>
    <w:p w14:paraId="629147FC">
      <w:pPr>
        <w:keepNext/>
        <w:autoSpaceDE w:val="0"/>
        <w:autoSpaceDN w:val="0"/>
        <w:spacing w:line="360" w:lineRule="auto"/>
        <w:ind w:firstLine="477"/>
        <w:rPr>
          <w:rFonts w:hint="eastAsia" w:cs="仿宋_GB2312" w:asciiTheme="minorEastAsia" w:hAnsiTheme="minorEastAsia" w:eastAsiaTheme="minorEastAsia"/>
          <w:b/>
          <w:color w:val="000000" w:themeColor="text1"/>
          <w:sz w:val="24"/>
          <w14:textFill>
            <w14:solidFill>
              <w14:schemeClr w14:val="tx1"/>
            </w14:solidFill>
          </w14:textFill>
        </w:rPr>
      </w:pPr>
    </w:p>
    <w:p w14:paraId="198FD6EE">
      <w:pPr>
        <w:keepNext/>
        <w:autoSpaceDE w:val="0"/>
        <w:autoSpaceDN w:val="0"/>
        <w:spacing w:line="360" w:lineRule="auto"/>
        <w:ind w:firstLine="477"/>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w:t>
      </w:r>
      <w:r>
        <w:rPr>
          <w:rFonts w:hint="eastAsia" w:cs="仿宋_GB2312" w:asciiTheme="minorEastAsia" w:hAnsiTheme="minorEastAsia" w:eastAsiaTheme="minorEastAsia"/>
          <w:b/>
          <w:color w:val="000000" w:themeColor="text1"/>
          <w:sz w:val="24"/>
          <w:lang w:val="en-US" w:eastAsia="zh-CN"/>
          <w14:textFill>
            <w14:solidFill>
              <w14:schemeClr w14:val="tx1"/>
            </w14:solidFill>
          </w14:textFill>
        </w:rPr>
        <w:t>B</w:t>
      </w:r>
      <w:r>
        <w:rPr>
          <w:rFonts w:hint="eastAsia" w:cs="仿宋_GB2312" w:asciiTheme="minorEastAsia" w:hAnsiTheme="minorEastAsia" w:eastAsiaTheme="minorEastAsia"/>
          <w:b/>
          <w:color w:val="000000" w:themeColor="text1"/>
          <w:sz w:val="24"/>
          <w14:textFill>
            <w14:solidFill>
              <w14:schemeClr w14:val="tx1"/>
            </w14:solidFill>
          </w14:textFill>
        </w:rPr>
        <w:t>:本项目的</w:t>
      </w:r>
      <w:r>
        <w:rPr>
          <w:rFonts w:hint="eastAsia" w:cs="仿宋_GB2312" w:asciiTheme="minorEastAsia" w:hAnsiTheme="minorEastAsia" w:eastAsiaTheme="minorEastAsia"/>
          <w:b/>
          <w:color w:val="000000" w:themeColor="text1"/>
          <w:sz w:val="24"/>
          <w:lang w:eastAsia="zh-CN"/>
          <w14:textFill>
            <w14:solidFill>
              <w14:schemeClr w14:val="tx1"/>
            </w14:solidFill>
          </w14:textFill>
        </w:rPr>
        <w:t>技术负责人</w:t>
      </w:r>
      <w:r>
        <w:rPr>
          <w:rFonts w:hint="eastAsia" w:cs="仿宋_GB2312" w:asciiTheme="minorEastAsia" w:hAnsiTheme="minorEastAsia" w:eastAsiaTheme="minorEastAsia"/>
          <w:b/>
          <w:color w:val="000000" w:themeColor="text1"/>
          <w:sz w:val="24"/>
          <w14:textFill>
            <w14:solidFill>
              <w14:schemeClr w14:val="tx1"/>
            </w14:solidFill>
          </w14:textFill>
        </w:rPr>
        <w:t>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471BBD64">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E440BA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18BB598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104DF504">
            <w:pPr>
              <w:autoSpaceDE w:val="0"/>
              <w:autoSpaceDN w:val="0"/>
              <w:spacing w:line="360" w:lineRule="auto"/>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lang w:eastAsia="zh-CN"/>
                <w14:textFill>
                  <w14:solidFill>
                    <w14:schemeClr w14:val="tx1"/>
                  </w14:solidFill>
                </w14:textFill>
              </w:rPr>
              <w:t>主要</w:t>
            </w:r>
            <w:r>
              <w:rPr>
                <w:rFonts w:hint="eastAsia" w:cs="仿宋_GB2312" w:asciiTheme="minorEastAsia" w:hAnsiTheme="minorEastAsia" w:eastAsiaTheme="minorEastAsia"/>
                <w:color w:val="000000" w:themeColor="text1"/>
                <w:sz w:val="24"/>
                <w14:textFill>
                  <w14:solidFill>
                    <w14:schemeClr w14:val="tx1"/>
                  </w14:solidFill>
                </w14:textFill>
              </w:rPr>
              <w:t>业绩及承担的主要工作情况</w:t>
            </w:r>
          </w:p>
        </w:tc>
      </w:tr>
      <w:tr w14:paraId="76E3DB2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DEB989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CB5037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3787BE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F7EC5E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5D7E4B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BA86A6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5A50D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590A34E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B780F1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549D6E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03DE6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E2EA38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2AE3E5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80060F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CC8A7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05FA9A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17A51B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96AE5B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9652B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6C0AD15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53CBA0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6D19D9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9B878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483C6D50">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C5BC19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B892E2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CEFA6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25A0DB96">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6B4C8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54A82D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38248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4D0152D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C40EF6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7ED26D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38CBD5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38895BD8">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注：须随表提交相应的证书复印件。</w:t>
      </w:r>
    </w:p>
    <w:p w14:paraId="1F5DD6FE">
      <w:pPr>
        <w:rPr>
          <w:rFonts w:hint="eastAsia"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2B9AF892">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w:t>
      </w:r>
      <w:r>
        <w:rPr>
          <w:rFonts w:hint="eastAsia" w:cs="仿宋_GB2312" w:asciiTheme="minorEastAsia" w:hAnsiTheme="minorEastAsia" w:eastAsiaTheme="minorEastAsia"/>
          <w:b/>
          <w:color w:val="000000" w:themeColor="text1"/>
          <w:sz w:val="24"/>
          <w:lang w:val="en-US" w:eastAsia="zh-CN"/>
          <w14:textFill>
            <w14:solidFill>
              <w14:schemeClr w14:val="tx1"/>
            </w14:solidFill>
          </w14:textFill>
        </w:rPr>
        <w:t>C</w:t>
      </w:r>
      <w:r>
        <w:rPr>
          <w:rFonts w:hint="eastAsia" w:cs="仿宋_GB2312" w:asciiTheme="minorEastAsia" w:hAnsiTheme="minorEastAsia" w:eastAsiaTheme="minorEastAsia"/>
          <w:b/>
          <w:color w:val="000000" w:themeColor="text1"/>
          <w:sz w:val="24"/>
          <w14:textFill>
            <w14:solidFill>
              <w14:schemeClr w14:val="tx1"/>
            </w14:solidFill>
          </w14:textFill>
        </w:rPr>
        <w:t>:本项目的项目小组人员情况表</w:t>
      </w:r>
      <w:r>
        <w:rPr>
          <w:rFonts w:hint="eastAsia" w:cs="仿宋_GB2312" w:asciiTheme="minorEastAsia" w:hAnsiTheme="minorEastAsia" w:eastAsiaTheme="minorEastAsia"/>
          <w:color w:val="000000" w:themeColor="text1"/>
          <w:sz w:val="24"/>
          <w14:textFill>
            <w14:solidFill>
              <w14:schemeClr w14:val="tx1"/>
            </w14:solidFill>
          </w14:textFill>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1CB238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472779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2445A1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27B503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94D10E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25CE37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EFEC3E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BEF444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ACF94D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C4B3EC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2D1519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参与本项目的到位情况</w:t>
            </w:r>
          </w:p>
        </w:tc>
      </w:tr>
      <w:tr w14:paraId="4FAE38A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5A8CA6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4615F4F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4D6478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C3E0A6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5134095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A41148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187CDD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650CAA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6DAFAD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440AFC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0A7980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EAB50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42C62AB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0F3EFF3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2ECA787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176C836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3F6C28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EFD41E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468BB7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027DED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98B588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05CE593">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E06F8C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168546C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ED641B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1E4835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1547367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E03588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B0CBBD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91E459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C8833A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D4EC71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636BD76B">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注：供应商可按上述的格式自行编制，须随表提交相应的证书复印件。</w:t>
      </w:r>
    </w:p>
    <w:p w14:paraId="1869238C">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5AA1CDF6">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附表C:本项目的项目经理</w:t>
      </w:r>
      <w:r>
        <w:rPr>
          <w:rFonts w:hint="eastAsia" w:cs="仿宋_GB2312" w:asciiTheme="minorEastAsia" w:hAnsiTheme="minorEastAsia" w:eastAsiaTheme="minorEastAsia"/>
          <w:b/>
          <w:color w:val="000000" w:themeColor="text1"/>
          <w:sz w:val="24"/>
          <w:lang w:eastAsia="zh-CN"/>
          <w14:textFill>
            <w14:solidFill>
              <w14:schemeClr w14:val="tx1"/>
            </w14:solidFill>
          </w14:textFill>
        </w:rPr>
        <w:t>、技术负责人</w:t>
      </w:r>
      <w:r>
        <w:rPr>
          <w:rFonts w:hint="eastAsia" w:cs="仿宋_GB2312" w:asciiTheme="minorEastAsia" w:hAnsiTheme="minorEastAsia" w:eastAsiaTheme="minorEastAsia"/>
          <w:b/>
          <w:color w:val="000000" w:themeColor="text1"/>
          <w:sz w:val="24"/>
          <w14:textFill>
            <w14:solidFill>
              <w14:schemeClr w14:val="tx1"/>
            </w14:solidFill>
          </w14:textFill>
        </w:rPr>
        <w:t>和小组人员交纳社保记录情况表</w:t>
      </w:r>
      <w:r>
        <w:rPr>
          <w:rFonts w:hint="eastAsia" w:cs="仿宋_GB2312" w:asciiTheme="minorEastAsia" w:hAnsiTheme="minorEastAsia" w:eastAsiaTheme="minorEastAsia"/>
          <w:color w:val="000000" w:themeColor="text1"/>
          <w:sz w:val="24"/>
          <w14:textFill>
            <w14:solidFill>
              <w14:schemeClr w14:val="tx1"/>
            </w14:solidFill>
          </w14:textFill>
        </w:rPr>
        <w:t>（以社保局缴纳凭证作附件）</w:t>
      </w:r>
    </w:p>
    <w:p w14:paraId="417F2DAD">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6F306773">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21F21F17">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3A58EACC">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2222BB57">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九</w:t>
      </w:r>
      <w:r>
        <w:rPr>
          <w:rFonts w:hint="eastAsia" w:cs="仿宋_GB2312" w:asciiTheme="minorEastAsia" w:hAnsiTheme="minorEastAsia" w:eastAsiaTheme="minorEastAsia"/>
          <w:b/>
          <w:bCs/>
          <w:color w:val="000000" w:themeColor="text1"/>
          <w:sz w:val="32"/>
          <w:szCs w:val="32"/>
          <w14:textFill>
            <w14:solidFill>
              <w14:schemeClr w14:val="tx1"/>
            </w14:solidFill>
          </w14:textFill>
        </w:rPr>
        <w:t>、认为需求的</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其他技术文件或说明</w:t>
      </w:r>
    </w:p>
    <w:p w14:paraId="349F02A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277C921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E2F7D0F">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1C7E20F7">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562B7526">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0615E00F">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14:textFill>
            <w14:solidFill>
              <w14:schemeClr w14:val="tx1"/>
            </w14:solidFill>
          </w14:textFill>
        </w:rPr>
      </w:pPr>
    </w:p>
    <w:p w14:paraId="53F56A67">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p>
    <w:p w14:paraId="6616CD44">
      <w:pPr>
        <w:widowControl/>
        <w:adjustRightInd/>
        <w:jc w:val="left"/>
        <w:rPr>
          <w:rFonts w:cs="仿宋_GB2312" w:asciiTheme="minorEastAsia" w:hAnsiTheme="minorEastAsia" w:eastAsiaTheme="minorEastAsia"/>
          <w:b/>
          <w:bCs/>
          <w:color w:val="000000" w:themeColor="text1"/>
          <w:sz w:val="30"/>
          <w:szCs w:val="30"/>
          <w14:textFill>
            <w14:solidFill>
              <w14:schemeClr w14:val="tx1"/>
            </w14:solidFill>
          </w14:textFill>
        </w:rPr>
      </w:pPr>
      <w:r>
        <w:rPr>
          <w:rFonts w:cs="仿宋_GB2312" w:asciiTheme="minorEastAsia" w:hAnsiTheme="minorEastAsia" w:eastAsiaTheme="minorEastAsia"/>
          <w:b/>
          <w:bCs/>
          <w:color w:val="000000" w:themeColor="text1"/>
          <w:sz w:val="30"/>
          <w:szCs w:val="30"/>
          <w14:textFill>
            <w14:solidFill>
              <w14:schemeClr w14:val="tx1"/>
            </w14:solidFill>
          </w14:textFill>
        </w:rPr>
        <w:br w:type="page"/>
      </w:r>
    </w:p>
    <w:p w14:paraId="522660C7">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14:paraId="57B090FA">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4444AF0D">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14:paraId="43FB00E3">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D6EC0FC">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03F44332">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7CC8A67E">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四、不为项目有关人员及部门出国（境）、旅游等提供方便；</w:t>
      </w:r>
    </w:p>
    <w:p w14:paraId="4F02DB63">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五、不为项目有关人员个人装修住房、婚丧嫁娶、配偶子女工作安排等提供</w:t>
      </w:r>
    </w:p>
    <w:p w14:paraId="3A604834">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好处；</w:t>
      </w:r>
    </w:p>
    <w:p w14:paraId="3E84921C">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4C5575DA">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3ED989F0">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0FB7E40D">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4FA77D01">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571B44F7">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6A7DC658">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3A803428">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4AFB32ED">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6B8CADE0">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211A566C">
      <w:pPr>
        <w:jc w:val="center"/>
        <w:rPr>
          <w:rFonts w:ascii="宋体" w:hAnsi="宋体" w:cs="宋体"/>
          <w:b/>
          <w:color w:val="000000" w:themeColor="text1"/>
          <w:kern w:val="0"/>
          <w:sz w:val="32"/>
          <w:szCs w:val="21"/>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w:t>
      </w:r>
      <w:r>
        <w:rPr>
          <w:rFonts w:hint="eastAsia" w:cs="仿宋_GB2312" w:asciiTheme="minorEastAsia" w:hAnsiTheme="minorEastAsia" w:eastAsiaTheme="minorEastAsia"/>
          <w:b/>
          <w:bCs/>
          <w:color w:val="000000" w:themeColor="text1"/>
          <w:sz w:val="30"/>
          <w:szCs w:val="30"/>
          <w:lang w:eastAsia="zh-CN"/>
          <w14:textFill>
            <w14:solidFill>
              <w14:schemeClr w14:val="tx1"/>
            </w14:solidFill>
          </w14:textFill>
        </w:rPr>
        <w:t>一</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14:paraId="57E3E465">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735ECBC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4BACF00">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我方作为本次采购项目的磋商供应商，根据磋商文件要求，现郑重承诺如下：</w:t>
      </w:r>
    </w:p>
    <w:p w14:paraId="734929B8">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55245C7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二、参加本次磋商采购活动，不存在与单位负责人为同一人或者存在直接控股、管理关系的其他供应商参与同一合同项下的政府采购活动的行为。</w:t>
      </w:r>
    </w:p>
    <w:p w14:paraId="001C16B9">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6F8E1195">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14:paraId="6E5E593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17C4DAD3">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59A9F2C1">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52A4F1E6">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八、参加本次磋商采购活动，我方完全同意磋商文件第三部分关于“磋商费用”、“合同分包”、“合同转包”、“履约保证金”的实质性要求，并承诺严格按照磋商文件要求履行。</w:t>
      </w:r>
    </w:p>
    <w:p w14:paraId="47DCDEF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01885B65">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14:paraId="255CB527">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01E5F396">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25C2D075">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1B1A482F">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09E5B690">
      <w:pPr>
        <w:spacing w:line="360" w:lineRule="auto"/>
        <w:jc w:val="center"/>
        <w:rPr>
          <w:rFonts w:ascii="宋体" w:hAnsi="宋体" w:cs="宋体"/>
          <w:b/>
          <w:bCs/>
          <w:color w:val="000000" w:themeColor="text1"/>
          <w:sz w:val="24"/>
          <w14:textFill>
            <w14:solidFill>
              <w14:schemeClr w14:val="tx1"/>
            </w14:solidFill>
          </w14:textFill>
        </w:rPr>
      </w:pPr>
    </w:p>
    <w:p w14:paraId="2B66B0A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CA27906">
      <w:pPr>
        <w:pStyle w:val="115"/>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14:textFill>
            <w14:solidFill>
              <w14:schemeClr w14:val="tx1"/>
            </w14:solidFill>
          </w14:textFill>
        </w:rPr>
      </w:pPr>
    </w:p>
    <w:p w14:paraId="32D23503">
      <w:pP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br w:type="page"/>
      </w:r>
    </w:p>
    <w:p w14:paraId="06BACF5B">
      <w:pPr>
        <w:spacing w:line="30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十二、</w:t>
      </w:r>
      <w:r>
        <w:rPr>
          <w:rFonts w:hint="eastAsia" w:ascii="宋体" w:hAnsi="宋体" w:eastAsia="宋体" w:cs="宋体"/>
          <w:b/>
          <w:bCs/>
          <w:color w:val="auto"/>
          <w:sz w:val="36"/>
          <w:szCs w:val="36"/>
          <w:highlight w:val="none"/>
        </w:rPr>
        <w:t>商务、服务（技术）响应、偏离情况说明表</w:t>
      </w:r>
    </w:p>
    <w:p w14:paraId="3AC732D2">
      <w:pPr>
        <w:spacing w:line="300" w:lineRule="auto"/>
        <w:rPr>
          <w:rFonts w:hint="eastAsia" w:ascii="宋体" w:hAnsi="宋体" w:eastAsia="宋体" w:cs="宋体"/>
          <w:color w:val="auto"/>
          <w:szCs w:val="21"/>
          <w:highlight w:val="none"/>
        </w:rPr>
      </w:pPr>
    </w:p>
    <w:p w14:paraId="49F0916C">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项目名称:                 </w:t>
      </w:r>
    </w:p>
    <w:p w14:paraId="5316C799">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项目编号:                     </w:t>
      </w:r>
    </w:p>
    <w:tbl>
      <w:tblPr>
        <w:tblStyle w:val="61"/>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5589BD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29FE29E1">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067E172A">
            <w:pPr>
              <w:widowControl/>
              <w:adjustRightInd/>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6FEF89CC">
            <w:pPr>
              <w:widowControl/>
              <w:adjustRightInd/>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2CA4646B">
            <w:pPr>
              <w:widowControl/>
              <w:adjustRightInd/>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34116536">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说明</w:t>
            </w:r>
          </w:p>
        </w:tc>
      </w:tr>
      <w:tr w14:paraId="1E1E9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12B2D07E">
            <w:pPr>
              <w:widowControl/>
              <w:adjustRightInd/>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商务部分</w:t>
            </w:r>
          </w:p>
        </w:tc>
      </w:tr>
      <w:tr w14:paraId="1D807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8423764">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2809" w:type="dxa"/>
            <w:tcBorders>
              <w:top w:val="single" w:color="auto" w:sz="6" w:space="0"/>
              <w:left w:val="single" w:color="auto" w:sz="6" w:space="0"/>
              <w:bottom w:val="single" w:color="auto" w:sz="6" w:space="0"/>
              <w:right w:val="single" w:color="auto" w:sz="6" w:space="0"/>
            </w:tcBorders>
            <w:vAlign w:val="center"/>
          </w:tcPr>
          <w:p w14:paraId="05986D7B">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548D6A56">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4B491F00">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4F931C14">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r>
      <w:tr w14:paraId="16A84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AA96E17">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2809" w:type="dxa"/>
            <w:tcBorders>
              <w:top w:val="single" w:color="auto" w:sz="6" w:space="0"/>
              <w:left w:val="single" w:color="auto" w:sz="6" w:space="0"/>
              <w:bottom w:val="single" w:color="auto" w:sz="6" w:space="0"/>
              <w:right w:val="single" w:color="auto" w:sz="6" w:space="0"/>
            </w:tcBorders>
            <w:vAlign w:val="center"/>
          </w:tcPr>
          <w:p w14:paraId="3FD42850">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49427F51">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770460AB">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5C0F0AD0">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r>
      <w:tr w14:paraId="60E666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9DB4AFE">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2809" w:type="dxa"/>
            <w:tcBorders>
              <w:top w:val="single" w:color="auto" w:sz="6" w:space="0"/>
              <w:left w:val="single" w:color="auto" w:sz="6" w:space="0"/>
              <w:bottom w:val="single" w:color="auto" w:sz="6" w:space="0"/>
              <w:right w:val="single" w:color="auto" w:sz="6" w:space="0"/>
            </w:tcBorders>
            <w:vAlign w:val="center"/>
          </w:tcPr>
          <w:p w14:paraId="4685C179">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7CF168DB">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697BFA18">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13B76276">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r>
      <w:tr w14:paraId="2262E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7F70430">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2809" w:type="dxa"/>
            <w:tcBorders>
              <w:top w:val="single" w:color="auto" w:sz="6" w:space="0"/>
              <w:left w:val="single" w:color="auto" w:sz="6" w:space="0"/>
              <w:bottom w:val="single" w:color="auto" w:sz="6" w:space="0"/>
              <w:right w:val="single" w:color="auto" w:sz="6" w:space="0"/>
            </w:tcBorders>
            <w:vAlign w:val="center"/>
          </w:tcPr>
          <w:p w14:paraId="3945DF97">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3B05507C">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11EA0133">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399E7F6D">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r>
      <w:tr w14:paraId="5F17B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32694924">
            <w:pPr>
              <w:widowControl/>
              <w:adjustRightInd/>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服务（技术）部分</w:t>
            </w:r>
          </w:p>
        </w:tc>
      </w:tr>
      <w:tr w14:paraId="119359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196F769">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2809" w:type="dxa"/>
            <w:tcBorders>
              <w:top w:val="single" w:color="auto" w:sz="6" w:space="0"/>
              <w:left w:val="single" w:color="auto" w:sz="6" w:space="0"/>
              <w:bottom w:val="single" w:color="auto" w:sz="6" w:space="0"/>
              <w:right w:val="single" w:color="auto" w:sz="6" w:space="0"/>
            </w:tcBorders>
            <w:vAlign w:val="center"/>
          </w:tcPr>
          <w:p w14:paraId="7E676BD8">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1B43F99C">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335A1DEB">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47A3F3F9">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r>
      <w:tr w14:paraId="362C50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0440933">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2809" w:type="dxa"/>
            <w:tcBorders>
              <w:top w:val="single" w:color="auto" w:sz="6" w:space="0"/>
              <w:left w:val="single" w:color="auto" w:sz="6" w:space="0"/>
              <w:bottom w:val="single" w:color="auto" w:sz="6" w:space="0"/>
              <w:right w:val="single" w:color="auto" w:sz="6" w:space="0"/>
            </w:tcBorders>
            <w:vAlign w:val="center"/>
          </w:tcPr>
          <w:p w14:paraId="0F808D20">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57817566">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08461D49">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1F885AE0">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r>
      <w:tr w14:paraId="71A5E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B5FBE88">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2809" w:type="dxa"/>
            <w:tcBorders>
              <w:top w:val="single" w:color="auto" w:sz="6" w:space="0"/>
              <w:left w:val="single" w:color="auto" w:sz="6" w:space="0"/>
              <w:bottom w:val="single" w:color="auto" w:sz="6" w:space="0"/>
              <w:right w:val="single" w:color="auto" w:sz="6" w:space="0"/>
            </w:tcBorders>
            <w:vAlign w:val="center"/>
          </w:tcPr>
          <w:p w14:paraId="05C6E591">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29EF172D">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1B6080F0">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60B061B0">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r>
      <w:tr w14:paraId="619AE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36CAFCD1">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2809" w:type="dxa"/>
            <w:tcBorders>
              <w:top w:val="single" w:color="auto" w:sz="6" w:space="0"/>
              <w:left w:val="single" w:color="auto" w:sz="6" w:space="0"/>
              <w:bottom w:val="single" w:color="auto" w:sz="4" w:space="0"/>
              <w:right w:val="single" w:color="auto" w:sz="6" w:space="0"/>
            </w:tcBorders>
            <w:vAlign w:val="center"/>
          </w:tcPr>
          <w:p w14:paraId="0100F96B">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2945" w:type="dxa"/>
            <w:tcBorders>
              <w:top w:val="single" w:color="auto" w:sz="6" w:space="0"/>
              <w:left w:val="single" w:color="auto" w:sz="6" w:space="0"/>
              <w:bottom w:val="single" w:color="auto" w:sz="4" w:space="0"/>
              <w:right w:val="single" w:color="auto" w:sz="6" w:space="0"/>
            </w:tcBorders>
            <w:vAlign w:val="center"/>
          </w:tcPr>
          <w:p w14:paraId="2DD8FEC2">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464" w:type="dxa"/>
            <w:tcBorders>
              <w:top w:val="single" w:color="auto" w:sz="6" w:space="0"/>
              <w:left w:val="single" w:color="auto" w:sz="6" w:space="0"/>
              <w:bottom w:val="single" w:color="auto" w:sz="4" w:space="0"/>
              <w:right w:val="single" w:color="auto" w:sz="4" w:space="0"/>
            </w:tcBorders>
            <w:vAlign w:val="center"/>
          </w:tcPr>
          <w:p w14:paraId="24F3B8B2">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1361" w:type="dxa"/>
            <w:tcBorders>
              <w:top w:val="single" w:color="auto" w:sz="6" w:space="0"/>
              <w:left w:val="single" w:color="auto" w:sz="4" w:space="0"/>
              <w:bottom w:val="single" w:color="auto" w:sz="4" w:space="0"/>
              <w:right w:val="single" w:color="auto" w:sz="4" w:space="0"/>
            </w:tcBorders>
            <w:vAlign w:val="center"/>
          </w:tcPr>
          <w:p w14:paraId="3BF0DBE9">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r>
    </w:tbl>
    <w:p w14:paraId="4EC03A88">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 说明：应对照谈判文件“第三章 采购需求”中的商务条款逐条明确响应，并作出偏离说明。</w:t>
      </w:r>
    </w:p>
    <w:p w14:paraId="68EB3A14">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2.供应商应根据自身的承诺，对照谈判文件要求在“偏离说明”中注明“正偏离”、“负偏离”或者“无偏离”。既不属于“正偏离”也不属于“负偏离”即为“无偏离”。</w:t>
      </w:r>
    </w:p>
    <w:p w14:paraId="63574553">
      <w:pPr>
        <w:widowControl/>
        <w:adjustRightInd/>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p w14:paraId="4D3924BD">
      <w:pPr>
        <w:widowControl/>
        <w:adjustRightInd/>
        <w:spacing w:line="360" w:lineRule="auto"/>
        <w:ind w:firstLine="480" w:firstLineChars="200"/>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磋商供应商名称(公章)： </w:t>
      </w:r>
    </w:p>
    <w:p w14:paraId="0A6C7BDA">
      <w:pPr>
        <w:widowControl/>
        <w:adjustRightInd/>
        <w:spacing w:line="360" w:lineRule="auto"/>
        <w:ind w:firstLine="480" w:firstLineChars="200"/>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法定代表人（负责人）或委托代理人(签名)：              </w:t>
      </w:r>
    </w:p>
    <w:p w14:paraId="72F1C85D">
      <w:pPr>
        <w:widowControl/>
        <w:adjustRightInd/>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42B3B382">
      <w:pPr>
        <w:widowControl/>
        <w:adjustRightInd/>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6" w:h="16838"/>
          <w:pgMar w:top="779" w:right="1418" w:bottom="468" w:left="1418" w:header="851" w:footer="992" w:gutter="0"/>
          <w:pgNumType w:fmt="decimal"/>
          <w:cols w:space="720" w:num="1"/>
          <w:titlePg/>
          <w:docGrid w:linePitch="312" w:charSpace="0"/>
        </w:sectPr>
      </w:pPr>
    </w:p>
    <w:p w14:paraId="2188CD9D">
      <w:pPr>
        <w:pStyle w:val="632"/>
        <w:spacing w:line="360" w:lineRule="auto"/>
        <w:jc w:val="center"/>
        <w:rPr>
          <w:rFonts w:hint="eastAsia" w:cs="仿宋_GB2312" w:asciiTheme="minorEastAsia" w:hAnsiTheme="minorEastAsia" w:eastAsiaTheme="minorEastAsia"/>
          <w:b/>
          <w:color w:val="000000" w:themeColor="text1"/>
          <w:sz w:val="44"/>
          <w:szCs w:val="44"/>
          <w:lang w:eastAsia="zh-CN"/>
          <w14:textFill>
            <w14:solidFill>
              <w14:schemeClr w14:val="tx1"/>
            </w14:solidFill>
          </w14:textFill>
        </w:rPr>
      </w:pPr>
      <w:r>
        <w:rPr>
          <w:rFonts w:hint="eastAsia" w:cs="仿宋_GB2312" w:asciiTheme="minorEastAsia" w:hAnsiTheme="minorEastAsia" w:eastAsiaTheme="minorEastAsia"/>
          <w:b/>
          <w:color w:val="000000" w:themeColor="text1"/>
          <w:sz w:val="44"/>
          <w:szCs w:val="44"/>
          <w:lang w:eastAsia="zh-CN"/>
          <w14:textFill>
            <w14:solidFill>
              <w14:schemeClr w14:val="tx1"/>
            </w14:solidFill>
          </w14:textFill>
        </w:rPr>
        <w:t>报价文件</w:t>
      </w:r>
    </w:p>
    <w:p w14:paraId="44626488">
      <w:pPr>
        <w:pStyle w:val="632"/>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一、</w:t>
      </w:r>
      <w:r>
        <w:rPr>
          <w:rFonts w:hint="eastAsia"/>
          <w:b/>
          <w:color w:val="000000" w:themeColor="text1"/>
          <w:sz w:val="32"/>
          <w:szCs w:val="32"/>
          <w14:textFill>
            <w14:solidFill>
              <w14:schemeClr w14:val="tx1"/>
            </w14:solidFill>
          </w14:textFill>
        </w:rPr>
        <w:t>报价一览表</w:t>
      </w:r>
    </w:p>
    <w:p w14:paraId="10340DCB">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61BDCD0E">
      <w:pPr>
        <w:spacing w:line="360" w:lineRule="auto"/>
        <w:ind w:firstLine="72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的实施。</w:t>
      </w:r>
    </w:p>
    <w:p w14:paraId="035AD00A">
      <w:pPr>
        <w:snapToGrid w:val="0"/>
        <w:spacing w:line="360" w:lineRule="auto"/>
        <w:ind w:left="480"/>
        <w:jc w:val="center"/>
        <w:rPr>
          <w:rFonts w:cs="仿宋_GB2312" w:asciiTheme="minorEastAsia" w:hAnsiTheme="minorEastAsia" w:eastAsiaTheme="minorEastAsia"/>
          <w:b/>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lang w:val="zh-CN"/>
          <w14:textFill>
            <w14:solidFill>
              <w14:schemeClr w14:val="tx1"/>
            </w14:solidFill>
          </w14:textFill>
        </w:rPr>
        <w:t>报价一览表(单位均为人民币元)</w:t>
      </w:r>
    </w:p>
    <w:tbl>
      <w:tblPr>
        <w:tblStyle w:val="61"/>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3003"/>
        <w:gridCol w:w="1036"/>
        <w:gridCol w:w="1069"/>
        <w:gridCol w:w="2331"/>
        <w:gridCol w:w="1494"/>
      </w:tblGrid>
      <w:tr w14:paraId="546C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1019473B">
            <w:pPr>
              <w:snapToGrid w:val="0"/>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3003" w:type="dxa"/>
            <w:tcBorders>
              <w:top w:val="single" w:color="auto" w:sz="4" w:space="0"/>
              <w:left w:val="single" w:color="auto" w:sz="4" w:space="0"/>
              <w:bottom w:val="single" w:color="auto" w:sz="4" w:space="0"/>
              <w:right w:val="single" w:color="auto" w:sz="4" w:space="0"/>
            </w:tcBorders>
            <w:vAlign w:val="center"/>
          </w:tcPr>
          <w:p w14:paraId="54F8C37D">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w:t>
            </w:r>
          </w:p>
        </w:tc>
        <w:tc>
          <w:tcPr>
            <w:tcW w:w="1036" w:type="dxa"/>
            <w:tcBorders>
              <w:top w:val="single" w:color="auto" w:sz="4" w:space="0"/>
              <w:left w:val="single" w:color="auto" w:sz="4" w:space="0"/>
              <w:bottom w:val="single" w:color="auto" w:sz="4" w:space="0"/>
              <w:right w:val="single" w:color="auto" w:sz="4" w:space="0"/>
            </w:tcBorders>
            <w:vAlign w:val="center"/>
          </w:tcPr>
          <w:p w14:paraId="61D7C8B8">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069" w:type="dxa"/>
            <w:tcBorders>
              <w:top w:val="single" w:color="auto" w:sz="4" w:space="0"/>
              <w:left w:val="single" w:color="auto" w:sz="4" w:space="0"/>
              <w:bottom w:val="single" w:color="auto" w:sz="4" w:space="0"/>
              <w:right w:val="single" w:color="auto" w:sz="4" w:space="0"/>
            </w:tcBorders>
            <w:vAlign w:val="center"/>
          </w:tcPr>
          <w:p w14:paraId="7D7A674B">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331" w:type="dxa"/>
            <w:tcBorders>
              <w:top w:val="single" w:color="auto" w:sz="4" w:space="0"/>
              <w:left w:val="single" w:color="auto" w:sz="4" w:space="0"/>
              <w:bottom w:val="single" w:color="auto" w:sz="4" w:space="0"/>
              <w:right w:val="single" w:color="auto" w:sz="4" w:space="0"/>
            </w:tcBorders>
          </w:tcPr>
          <w:p w14:paraId="3613581F">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 w:val="24"/>
                <w:szCs w:val="24"/>
                <w:lang w:eastAsia="zh-CN"/>
              </w:rPr>
            </w:pPr>
          </w:p>
          <w:p w14:paraId="715464A3">
            <w:pPr>
              <w:keepNext w:val="0"/>
              <w:keepLines w:val="0"/>
              <w:pageBreakBefore w:val="0"/>
              <w:widowControl w:val="0"/>
              <w:kinsoku/>
              <w:wordWrap/>
              <w:overflowPunct/>
              <w:topLinePunct w:val="0"/>
              <w:autoSpaceDE w:val="0"/>
              <w:autoSpaceDN w:val="0"/>
              <w:bidi w:val="0"/>
              <w:adjustRightInd/>
              <w:snapToGrid/>
              <w:spacing w:line="300" w:lineRule="atLeast"/>
              <w:jc w:val="center"/>
              <w:textAlignment w:val="auto"/>
              <w:rPr>
                <w:rFonts w:hint="default" w:ascii="仿宋" w:hAnsi="仿宋" w:eastAsia="仿宋" w:cs="仿宋"/>
                <w:color w:val="auto"/>
                <w:sz w:val="28"/>
                <w:szCs w:val="28"/>
                <w:lang w:val="en-US" w:eastAsia="zh-CN" w:bidi="zh-CN"/>
              </w:rPr>
            </w:pPr>
            <w:r>
              <w:rPr>
                <w:rFonts w:hint="eastAsia" w:ascii="宋体" w:hAnsi="宋体" w:eastAsia="宋体" w:cs="宋体"/>
                <w:color w:val="auto"/>
                <w:sz w:val="24"/>
                <w:szCs w:val="24"/>
                <w:lang w:val="zh-CN" w:eastAsia="zh-CN"/>
              </w:rPr>
              <w:t>投标金额（</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val="zh-CN" w:eastAsia="zh-CN"/>
              </w:rPr>
              <w:t>）</w:t>
            </w:r>
          </w:p>
        </w:tc>
        <w:tc>
          <w:tcPr>
            <w:tcW w:w="1494" w:type="dxa"/>
            <w:tcBorders>
              <w:top w:val="single" w:color="auto" w:sz="4" w:space="0"/>
              <w:left w:val="single" w:color="auto" w:sz="4" w:space="0"/>
              <w:bottom w:val="single" w:color="auto" w:sz="4" w:space="0"/>
              <w:right w:val="single" w:color="auto" w:sz="4" w:space="0"/>
            </w:tcBorders>
            <w:vAlign w:val="center"/>
          </w:tcPr>
          <w:p w14:paraId="40B15E43">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ascii="宋体" w:hAnsi="宋体" w:eastAsia="宋体" w:cs="宋体"/>
                <w:color w:val="auto"/>
                <w:sz w:val="24"/>
                <w:szCs w:val="24"/>
              </w:rPr>
            </w:pPr>
            <w:r>
              <w:rPr>
                <w:rFonts w:hint="eastAsia" w:ascii="宋体" w:hAnsi="宋体" w:eastAsia="宋体" w:cs="宋体"/>
                <w:bCs/>
                <w:color w:val="auto"/>
                <w:sz w:val="24"/>
                <w:szCs w:val="24"/>
              </w:rPr>
              <w:t>说明</w:t>
            </w:r>
          </w:p>
        </w:tc>
      </w:tr>
      <w:tr w14:paraId="1A30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1A5ED48D">
            <w:pPr>
              <w:snapToGrid w:val="0"/>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003" w:type="dxa"/>
            <w:tcBorders>
              <w:top w:val="single" w:color="auto" w:sz="4" w:space="0"/>
              <w:left w:val="single" w:color="auto" w:sz="4" w:space="0"/>
              <w:bottom w:val="single" w:color="auto" w:sz="4" w:space="0"/>
              <w:right w:val="single" w:color="auto" w:sz="4" w:space="0"/>
            </w:tcBorders>
            <w:vAlign w:val="center"/>
          </w:tcPr>
          <w:p w14:paraId="71092B63">
            <w:pPr>
              <w:snapToGrid w:val="0"/>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lang w:eastAsia="zh-CN"/>
              </w:rPr>
              <w:t>新建合浦至湛江铁路—铁山港跨海特大桥工程红树林移植工程</w:t>
            </w:r>
          </w:p>
        </w:tc>
        <w:tc>
          <w:tcPr>
            <w:tcW w:w="1036" w:type="dxa"/>
            <w:tcBorders>
              <w:top w:val="single" w:color="auto" w:sz="4" w:space="0"/>
              <w:left w:val="single" w:color="auto" w:sz="4" w:space="0"/>
              <w:bottom w:val="single" w:color="auto" w:sz="4" w:space="0"/>
              <w:right w:val="single" w:color="auto" w:sz="4" w:space="0"/>
            </w:tcBorders>
            <w:vAlign w:val="center"/>
          </w:tcPr>
          <w:p w14:paraId="5FC9B0B9">
            <w:pPr>
              <w:snapToGrid w:val="0"/>
              <w:spacing w:line="400" w:lineRule="exact"/>
              <w:jc w:val="center"/>
              <w:rPr>
                <w:rFonts w:ascii="宋体" w:hAnsi="宋体" w:eastAsia="宋体" w:cs="宋体"/>
                <w:color w:val="auto"/>
                <w:sz w:val="24"/>
                <w:szCs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30751385">
            <w:pPr>
              <w:snapToGrid w:val="0"/>
              <w:spacing w:line="400" w:lineRule="exact"/>
              <w:jc w:val="center"/>
              <w:rPr>
                <w:rFonts w:ascii="宋体" w:hAnsi="宋体" w:eastAsia="宋体" w:cs="宋体"/>
                <w:color w:val="auto"/>
                <w:sz w:val="24"/>
                <w:szCs w:val="24"/>
              </w:rPr>
            </w:pPr>
          </w:p>
        </w:tc>
        <w:tc>
          <w:tcPr>
            <w:tcW w:w="2331" w:type="dxa"/>
            <w:tcBorders>
              <w:top w:val="single" w:color="auto" w:sz="4" w:space="0"/>
              <w:left w:val="single" w:color="auto" w:sz="4" w:space="0"/>
              <w:bottom w:val="single" w:color="auto" w:sz="4" w:space="0"/>
              <w:right w:val="single" w:color="auto" w:sz="4" w:space="0"/>
            </w:tcBorders>
          </w:tcPr>
          <w:p w14:paraId="4A2C1E73">
            <w:pPr>
              <w:snapToGrid w:val="0"/>
              <w:spacing w:line="400" w:lineRule="exact"/>
              <w:jc w:val="center"/>
              <w:rPr>
                <w:rFonts w:ascii="宋体" w:hAnsi="宋体" w:eastAsia="宋体" w:cs="宋体"/>
                <w:color w:val="auto"/>
                <w:sz w:val="24"/>
                <w:szCs w:val="24"/>
              </w:rPr>
            </w:pPr>
          </w:p>
        </w:tc>
        <w:tc>
          <w:tcPr>
            <w:tcW w:w="1494" w:type="dxa"/>
            <w:tcBorders>
              <w:top w:val="single" w:color="auto" w:sz="4" w:space="0"/>
              <w:left w:val="single" w:color="auto" w:sz="4" w:space="0"/>
              <w:bottom w:val="single" w:color="auto" w:sz="4" w:space="0"/>
              <w:right w:val="single" w:color="auto" w:sz="4" w:space="0"/>
            </w:tcBorders>
          </w:tcPr>
          <w:p w14:paraId="118584FE">
            <w:pPr>
              <w:snapToGrid w:val="0"/>
              <w:spacing w:line="400" w:lineRule="exact"/>
              <w:jc w:val="center"/>
              <w:rPr>
                <w:rFonts w:ascii="宋体" w:hAnsi="宋体" w:eastAsia="宋体" w:cs="宋体"/>
                <w:color w:val="auto"/>
                <w:sz w:val="24"/>
                <w:szCs w:val="24"/>
              </w:rPr>
            </w:pPr>
            <w:r>
              <w:rPr>
                <w:rFonts w:hint="eastAsia" w:ascii="宋体" w:hAnsi="宋体" w:eastAsia="宋体" w:cs="宋体"/>
                <w:b/>
                <w:bCs/>
                <w:color w:val="auto"/>
                <w:sz w:val="24"/>
                <w:szCs w:val="24"/>
                <w:lang w:eastAsia="zh-CN"/>
              </w:rPr>
              <w:t>此项报价</w:t>
            </w:r>
            <w:r>
              <w:rPr>
                <w:rFonts w:hint="eastAsia" w:ascii="宋体" w:hAnsi="宋体" w:eastAsia="宋体" w:cs="宋体"/>
                <w:b/>
                <w:bCs/>
                <w:color w:val="auto"/>
                <w:sz w:val="24"/>
                <w:szCs w:val="24"/>
              </w:rPr>
              <w:t>须</w:t>
            </w:r>
            <w:r>
              <w:rPr>
                <w:rFonts w:hint="eastAsia" w:ascii="宋体" w:hAnsi="宋体" w:eastAsia="宋体" w:cs="宋体"/>
                <w:b/>
                <w:bCs/>
                <w:color w:val="auto"/>
                <w:sz w:val="24"/>
                <w:szCs w:val="24"/>
                <w:lang w:eastAsia="zh-CN"/>
              </w:rPr>
              <w:t>提供</w:t>
            </w:r>
            <w:r>
              <w:rPr>
                <w:rFonts w:hint="eastAsia" w:ascii="宋体" w:hAnsi="宋体" w:eastAsia="宋体" w:cs="宋体"/>
                <w:b/>
                <w:bCs/>
                <w:color w:val="auto"/>
                <w:sz w:val="24"/>
                <w:szCs w:val="24"/>
              </w:rPr>
              <w:t>工程量清单报价</w:t>
            </w:r>
          </w:p>
        </w:tc>
      </w:tr>
      <w:tr w14:paraId="7DCD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22200F21">
            <w:pPr>
              <w:snapToGrid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003" w:type="dxa"/>
            <w:tcBorders>
              <w:top w:val="single" w:color="auto" w:sz="4" w:space="0"/>
              <w:left w:val="single" w:color="auto" w:sz="4" w:space="0"/>
              <w:bottom w:val="single" w:color="auto" w:sz="4" w:space="0"/>
              <w:right w:val="single" w:color="auto" w:sz="4" w:space="0"/>
            </w:tcBorders>
            <w:vAlign w:val="center"/>
          </w:tcPr>
          <w:p w14:paraId="10DDADD7">
            <w:pPr>
              <w:snapToGrid w:val="0"/>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lang w:eastAsia="zh-CN"/>
              </w:rPr>
              <w:t>新建合浦至湛江铁路—铁山港跨海特大桥工程红树林实验性移植服务</w:t>
            </w:r>
          </w:p>
        </w:tc>
        <w:tc>
          <w:tcPr>
            <w:tcW w:w="1036" w:type="dxa"/>
            <w:tcBorders>
              <w:top w:val="single" w:color="auto" w:sz="4" w:space="0"/>
              <w:left w:val="single" w:color="auto" w:sz="4" w:space="0"/>
              <w:bottom w:val="single" w:color="auto" w:sz="4" w:space="0"/>
              <w:right w:val="single" w:color="auto" w:sz="4" w:space="0"/>
            </w:tcBorders>
            <w:vAlign w:val="center"/>
          </w:tcPr>
          <w:p w14:paraId="43D948E8">
            <w:pPr>
              <w:snapToGrid w:val="0"/>
              <w:spacing w:line="400" w:lineRule="exact"/>
              <w:jc w:val="center"/>
              <w:rPr>
                <w:rFonts w:ascii="宋体" w:hAnsi="宋体" w:eastAsia="宋体" w:cs="宋体"/>
                <w:color w:val="auto"/>
                <w:sz w:val="24"/>
                <w:szCs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51987EFC">
            <w:pPr>
              <w:snapToGrid w:val="0"/>
              <w:spacing w:line="400" w:lineRule="exact"/>
              <w:jc w:val="center"/>
              <w:rPr>
                <w:rFonts w:ascii="宋体" w:hAnsi="宋体" w:eastAsia="宋体" w:cs="宋体"/>
                <w:color w:val="auto"/>
                <w:sz w:val="24"/>
                <w:szCs w:val="24"/>
              </w:rPr>
            </w:pPr>
          </w:p>
        </w:tc>
        <w:tc>
          <w:tcPr>
            <w:tcW w:w="2331" w:type="dxa"/>
            <w:tcBorders>
              <w:top w:val="single" w:color="auto" w:sz="4" w:space="0"/>
              <w:left w:val="single" w:color="auto" w:sz="4" w:space="0"/>
              <w:bottom w:val="single" w:color="auto" w:sz="4" w:space="0"/>
              <w:right w:val="single" w:color="auto" w:sz="4" w:space="0"/>
            </w:tcBorders>
          </w:tcPr>
          <w:p w14:paraId="63C6868D">
            <w:pPr>
              <w:snapToGrid w:val="0"/>
              <w:spacing w:line="400" w:lineRule="exact"/>
              <w:jc w:val="center"/>
              <w:rPr>
                <w:rFonts w:ascii="宋体" w:hAnsi="宋体" w:eastAsia="宋体" w:cs="宋体"/>
                <w:color w:val="auto"/>
                <w:sz w:val="24"/>
                <w:szCs w:val="24"/>
              </w:rPr>
            </w:pPr>
          </w:p>
        </w:tc>
        <w:tc>
          <w:tcPr>
            <w:tcW w:w="1494" w:type="dxa"/>
            <w:tcBorders>
              <w:top w:val="single" w:color="auto" w:sz="4" w:space="0"/>
              <w:left w:val="single" w:color="auto" w:sz="4" w:space="0"/>
              <w:bottom w:val="single" w:color="auto" w:sz="4" w:space="0"/>
              <w:right w:val="single" w:color="auto" w:sz="4" w:space="0"/>
            </w:tcBorders>
          </w:tcPr>
          <w:p w14:paraId="1F78F99B">
            <w:pPr>
              <w:snapToGrid w:val="0"/>
              <w:spacing w:line="400" w:lineRule="exact"/>
              <w:jc w:val="center"/>
              <w:rPr>
                <w:rFonts w:ascii="宋体" w:hAnsi="宋体" w:eastAsia="宋体" w:cs="宋体"/>
                <w:color w:val="auto"/>
                <w:sz w:val="24"/>
                <w:szCs w:val="24"/>
              </w:rPr>
            </w:pPr>
          </w:p>
        </w:tc>
      </w:tr>
      <w:tr w14:paraId="002A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9421" w:type="dxa"/>
            <w:gridSpan w:val="6"/>
            <w:tcBorders>
              <w:top w:val="single" w:color="auto" w:sz="4" w:space="0"/>
              <w:left w:val="single" w:color="auto" w:sz="4" w:space="0"/>
              <w:bottom w:val="single" w:color="auto" w:sz="4" w:space="0"/>
              <w:right w:val="single" w:color="auto" w:sz="4" w:space="0"/>
            </w:tcBorders>
          </w:tcPr>
          <w:p w14:paraId="71CEEE6B">
            <w:pPr>
              <w:snapToGrid w:val="0"/>
              <w:spacing w:line="400" w:lineRule="exact"/>
              <w:rPr>
                <w:rFonts w:ascii="宋体" w:hAnsi="宋体" w:eastAsia="宋体" w:cs="宋体"/>
                <w:color w:val="auto"/>
                <w:sz w:val="24"/>
                <w:szCs w:val="24"/>
              </w:rPr>
            </w:pPr>
          </w:p>
          <w:p w14:paraId="3D4F131C">
            <w:pPr>
              <w:snapToGrid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合计（大写）：小写：</w:t>
            </w:r>
            <w:r>
              <w:rPr>
                <w:rFonts w:hint="eastAsia" w:ascii="宋体" w:hAnsi="宋体" w:eastAsia="宋体" w:cs="宋体"/>
                <w:color w:val="auto"/>
                <w:sz w:val="24"/>
                <w:szCs w:val="24"/>
                <w:lang w:val="en-US" w:eastAsia="zh-CN"/>
              </w:rPr>
              <w:t>¥元</w:t>
            </w:r>
          </w:p>
        </w:tc>
      </w:tr>
    </w:tbl>
    <w:p w14:paraId="52D61E22">
      <w:pPr>
        <w:spacing w:line="360" w:lineRule="auto"/>
        <w:ind w:left="-2" w:leftChars="-1"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供应商需按本表格式填写</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响应文件含有采购人不能接受的附加条件，响应无效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33C09ED7">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2</w:t>
      </w:r>
      <w:r>
        <w:rPr>
          <w:rFonts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；采购内容未包含在《报价一览表》名称栏中，供应商不能作出合理解释的，</w:t>
      </w:r>
      <w:r>
        <w:rPr>
          <w:rFonts w:hint="eastAsia" w:cs="宋体" w:asciiTheme="minorEastAsia" w:hAnsiTheme="minorEastAsia" w:eastAsiaTheme="minorEastAsia"/>
          <w:b/>
          <w:color w:val="000000" w:themeColor="text1"/>
          <w:kern w:val="0"/>
          <w:sz w:val="24"/>
          <w14:textFill>
            <w14:solidFill>
              <w14:schemeClr w14:val="tx1"/>
            </w14:solidFill>
          </w14:textFill>
        </w:rPr>
        <w:t>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响应文件含有采购人不能接受的附加条件的，响应无效。</w:t>
      </w:r>
    </w:p>
    <w:p w14:paraId="338DCCCF">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lang w:val="en-US" w:eastAsia="zh-CN"/>
          <w14:textFill>
            <w14:solidFill>
              <w14:schemeClr w14:val="tx1"/>
            </w14:solidFill>
          </w14:textFill>
        </w:rPr>
        <w:t>3</w:t>
      </w:r>
      <w:r>
        <w:rPr>
          <w:rFonts w:cs="仿宋_GB2312" w:asciiTheme="minorEastAsia" w:hAnsiTheme="minorEastAsia" w:eastAsiaTheme="minorEastAsia"/>
          <w:color w:val="000000" w:themeColor="text1"/>
          <w:kern w:val="0"/>
          <w:sz w:val="24"/>
          <w:szCs w:val="22"/>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14:paraId="4A113D20">
      <w:pPr>
        <w:autoSpaceDE w:val="0"/>
        <w:autoSpaceDN w:val="0"/>
        <w:spacing w:line="360" w:lineRule="auto"/>
        <w:jc w:val="left"/>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p>
    <w:p w14:paraId="356EBFC5">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0316C51C">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23FB13C1">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7DD1E41C">
      <w:pPr>
        <w:spacing w:line="360" w:lineRule="auto"/>
        <w:ind w:right="-874" w:rightChars="-416"/>
        <w:rPr>
          <w:rFonts w:cs="仿宋_GB2312" w:asciiTheme="minorEastAsia" w:hAnsiTheme="minorEastAsia" w:eastAsiaTheme="minorEastAsia"/>
          <w:color w:val="000000" w:themeColor="text1"/>
          <w:kern w:val="0"/>
          <w:sz w:val="24"/>
          <w:lang w:val="zh-CN"/>
          <w14:textFill>
            <w14:solidFill>
              <w14:schemeClr w14:val="tx1"/>
            </w14:solidFill>
          </w14:textFill>
        </w:rPr>
        <w:sectPr>
          <w:pgSz w:w="11906" w:h="16838"/>
          <w:pgMar w:top="471" w:right="1418" w:bottom="777" w:left="1418" w:header="851" w:footer="992" w:gutter="0"/>
          <w:pgNumType w:fmt="decimal"/>
          <w:cols w:space="720" w:num="1"/>
          <w:titlePg/>
          <w:docGrid w:linePitch="312" w:charSpace="0"/>
        </w:sectPr>
      </w:pPr>
    </w:p>
    <w:p w14:paraId="7A3720C8">
      <w:pPr>
        <w:spacing w:line="300" w:lineRule="auto"/>
        <w:ind w:left="420" w:hanging="4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5E2F7DE5">
      <w:pPr>
        <w:pStyle w:val="32"/>
        <w:spacing w:line="440" w:lineRule="exact"/>
        <w:jc w:val="center"/>
        <w:rPr>
          <w:rFonts w:hint="eastAsia" w:ascii="宋体" w:hAnsi="宋体" w:eastAsia="宋体" w:cs="Times New Roman"/>
          <w:b/>
          <w:color w:val="auto"/>
          <w:sz w:val="32"/>
          <w:szCs w:val="32"/>
          <w:lang w:eastAsia="zh-CN"/>
        </w:rPr>
      </w:pPr>
      <w:r>
        <w:rPr>
          <w:rFonts w:hint="eastAsia" w:ascii="宋体" w:hAnsi="宋体" w:eastAsia="宋体" w:cs="Times New Roman"/>
          <w:b/>
          <w:color w:val="auto"/>
          <w:sz w:val="32"/>
          <w:szCs w:val="32"/>
          <w:lang w:eastAsia="zh-CN"/>
        </w:rPr>
        <w:t>新建合浦至湛江铁路—铁山港跨海特大桥工程红树林移植工程</w:t>
      </w:r>
    </w:p>
    <w:p w14:paraId="3C678718">
      <w:pPr>
        <w:pStyle w:val="32"/>
        <w:spacing w:line="440" w:lineRule="exact"/>
        <w:jc w:val="center"/>
        <w:rPr>
          <w:rFonts w:hint="eastAsia" w:hAnsi="宋体"/>
          <w:b/>
          <w:color w:val="auto"/>
          <w:sz w:val="32"/>
          <w:szCs w:val="32"/>
        </w:rPr>
      </w:pPr>
      <w:r>
        <w:rPr>
          <w:rFonts w:hint="eastAsia" w:hAnsi="宋体"/>
          <w:b/>
          <w:color w:val="auto"/>
          <w:sz w:val="32"/>
          <w:szCs w:val="32"/>
        </w:rPr>
        <w:t>报价表（格式）</w:t>
      </w:r>
    </w:p>
    <w:p w14:paraId="28536D1E">
      <w:pPr>
        <w:rPr>
          <w:rFonts w:hint="eastAsia" w:ascii="宋体" w:hAnsi="宋体"/>
          <w:color w:val="auto"/>
        </w:rPr>
      </w:pPr>
    </w:p>
    <w:p w14:paraId="651A7FAA">
      <w:pPr>
        <w:spacing w:line="360" w:lineRule="auto"/>
        <w:jc w:val="center"/>
        <w:rPr>
          <w:rFonts w:hint="eastAsia" w:ascii="宋体" w:hAnsi="宋体"/>
          <w:b/>
          <w:color w:val="auto"/>
          <w:sz w:val="28"/>
          <w:szCs w:val="28"/>
        </w:rPr>
      </w:pPr>
      <w:r>
        <w:rPr>
          <w:rFonts w:hint="eastAsia" w:ascii="宋体" w:hAnsi="宋体"/>
          <w:color w:val="auto"/>
        </w:rPr>
        <w:t xml:space="preserve">                                      </w:t>
      </w:r>
    </w:p>
    <w:p w14:paraId="2AB8ADC1">
      <w:pPr>
        <w:spacing w:line="360" w:lineRule="auto"/>
        <w:rPr>
          <w:rFonts w:hint="eastAsia" w:ascii="宋体" w:hAnsi="宋体"/>
          <w:b/>
          <w:color w:val="auto"/>
          <w:sz w:val="28"/>
          <w:szCs w:val="28"/>
          <w:u w:val="single"/>
        </w:rPr>
      </w:pPr>
      <w:r>
        <w:rPr>
          <w:rFonts w:hint="eastAsia" w:ascii="宋体" w:hAnsi="宋体"/>
          <w:b/>
          <w:color w:val="auto"/>
          <w:sz w:val="28"/>
          <w:szCs w:val="28"/>
        </w:rPr>
        <w:t>采购人：</w:t>
      </w:r>
      <w:r>
        <w:rPr>
          <w:rFonts w:hint="eastAsia" w:ascii="宋体" w:hAnsi="宋体"/>
          <w:b/>
          <w:color w:val="auto"/>
          <w:sz w:val="28"/>
          <w:szCs w:val="28"/>
          <w:u w:val="single"/>
        </w:rPr>
        <w:t xml:space="preserve">                                   </w:t>
      </w:r>
    </w:p>
    <w:p w14:paraId="56CB8F07">
      <w:pPr>
        <w:spacing w:line="360" w:lineRule="auto"/>
        <w:rPr>
          <w:rFonts w:hint="eastAsia" w:ascii="宋体" w:hAnsi="宋体"/>
          <w:b/>
          <w:color w:val="auto"/>
          <w:sz w:val="28"/>
          <w:szCs w:val="28"/>
        </w:rPr>
      </w:pPr>
      <w:r>
        <w:rPr>
          <w:rFonts w:hint="eastAsia" w:ascii="宋体" w:hAnsi="宋体"/>
          <w:b/>
          <w:color w:val="auto"/>
          <w:sz w:val="28"/>
          <w:szCs w:val="28"/>
          <w:lang w:eastAsia="zh-CN"/>
        </w:rPr>
        <w:t>项目</w:t>
      </w:r>
      <w:r>
        <w:rPr>
          <w:rFonts w:hint="eastAsia" w:ascii="宋体" w:hAnsi="宋体"/>
          <w:b/>
          <w:color w:val="auto"/>
          <w:sz w:val="28"/>
          <w:szCs w:val="28"/>
        </w:rPr>
        <w:t>名称：</w:t>
      </w:r>
      <w:r>
        <w:rPr>
          <w:rFonts w:hint="eastAsia" w:ascii="宋体" w:hAnsi="宋体"/>
          <w:b/>
          <w:color w:val="auto"/>
          <w:sz w:val="28"/>
          <w:szCs w:val="28"/>
          <w:u w:val="single"/>
        </w:rPr>
        <w:t xml:space="preserve">                                 </w:t>
      </w:r>
      <w:r>
        <w:rPr>
          <w:rFonts w:hint="eastAsia" w:ascii="宋体" w:hAnsi="宋体"/>
          <w:b/>
          <w:color w:val="auto"/>
          <w:sz w:val="28"/>
          <w:szCs w:val="28"/>
          <w:lang w:eastAsia="zh-CN"/>
        </w:rPr>
        <w:br w:type="textWrapping"/>
      </w:r>
      <w:r>
        <w:rPr>
          <w:rFonts w:hint="eastAsia" w:ascii="宋体" w:hAnsi="宋体"/>
          <w:b/>
          <w:color w:val="auto"/>
          <w:sz w:val="28"/>
          <w:szCs w:val="28"/>
          <w:lang w:eastAsia="zh-CN"/>
        </w:rPr>
        <w:t>磋商报价</w:t>
      </w:r>
      <w:r>
        <w:rPr>
          <w:rFonts w:hint="eastAsia" w:ascii="宋体" w:hAnsi="宋体"/>
          <w:b/>
          <w:color w:val="auto"/>
          <w:sz w:val="28"/>
          <w:szCs w:val="28"/>
        </w:rPr>
        <w:t>：</w:t>
      </w:r>
      <w:r>
        <w:rPr>
          <w:rFonts w:hint="eastAsia" w:ascii="宋体" w:hAnsi="宋体"/>
          <w:b/>
          <w:color w:val="auto"/>
          <w:sz w:val="28"/>
          <w:szCs w:val="28"/>
          <w:u w:val="single"/>
        </w:rPr>
        <w:t xml:space="preserve">                                 </w:t>
      </w:r>
      <w:r>
        <w:rPr>
          <w:rFonts w:hint="eastAsia" w:ascii="宋体" w:hAnsi="宋体"/>
          <w:b/>
          <w:color w:val="auto"/>
          <w:sz w:val="28"/>
          <w:szCs w:val="28"/>
        </w:rPr>
        <w:t>（小写）</w:t>
      </w:r>
    </w:p>
    <w:p w14:paraId="4C83FD8C">
      <w:pPr>
        <w:spacing w:line="360" w:lineRule="auto"/>
        <w:rPr>
          <w:rFonts w:hint="eastAsia" w:ascii="宋体" w:hAnsi="宋体"/>
          <w:b/>
          <w:color w:val="auto"/>
          <w:sz w:val="28"/>
          <w:szCs w:val="28"/>
        </w:rPr>
      </w:pPr>
      <w:r>
        <w:rPr>
          <w:rFonts w:hint="eastAsia" w:ascii="宋体" w:hAnsi="宋体"/>
          <w:b/>
          <w:color w:val="auto"/>
          <w:sz w:val="28"/>
          <w:szCs w:val="28"/>
        </w:rPr>
        <w:t xml:space="preserve">          </w:t>
      </w:r>
      <w:r>
        <w:rPr>
          <w:rFonts w:hint="eastAsia" w:ascii="宋体" w:hAnsi="宋体"/>
          <w:b/>
          <w:color w:val="auto"/>
          <w:sz w:val="28"/>
          <w:szCs w:val="28"/>
          <w:u w:val="single"/>
        </w:rPr>
        <w:t xml:space="preserve">                                 </w:t>
      </w:r>
      <w:r>
        <w:rPr>
          <w:rFonts w:hint="eastAsia" w:ascii="宋体" w:hAnsi="宋体"/>
          <w:b/>
          <w:color w:val="auto"/>
          <w:sz w:val="28"/>
          <w:szCs w:val="28"/>
        </w:rPr>
        <w:t>（大写）</w:t>
      </w:r>
    </w:p>
    <w:p w14:paraId="511D8AE4">
      <w:pPr>
        <w:spacing w:line="360" w:lineRule="auto"/>
        <w:rPr>
          <w:rFonts w:hint="eastAsia" w:ascii="宋体" w:hAnsi="宋体"/>
          <w:b/>
          <w:color w:val="auto"/>
          <w:sz w:val="28"/>
          <w:szCs w:val="28"/>
          <w:u w:val="single"/>
        </w:rPr>
      </w:pPr>
      <w:r>
        <w:rPr>
          <w:rFonts w:hint="eastAsia" w:ascii="宋体" w:hAnsi="宋体"/>
          <w:b/>
          <w:color w:val="auto"/>
          <w:sz w:val="28"/>
          <w:szCs w:val="28"/>
          <w:lang w:eastAsia="zh-CN"/>
        </w:rPr>
        <w:t>磋商供应商</w:t>
      </w:r>
      <w:r>
        <w:rPr>
          <w:rFonts w:hint="eastAsia" w:ascii="宋体" w:hAnsi="宋体"/>
          <w:b/>
          <w:color w:val="auto"/>
          <w:sz w:val="28"/>
          <w:szCs w:val="28"/>
        </w:rPr>
        <w:t>：</w:t>
      </w:r>
      <w:r>
        <w:rPr>
          <w:rFonts w:hint="eastAsia" w:ascii="宋体" w:hAnsi="宋体"/>
          <w:b/>
          <w:color w:val="auto"/>
          <w:sz w:val="28"/>
          <w:szCs w:val="28"/>
          <w:u w:val="single"/>
        </w:rPr>
        <w:t xml:space="preserve">                                </w:t>
      </w:r>
      <w:r>
        <w:rPr>
          <w:rFonts w:hint="eastAsia" w:ascii="宋体" w:hAnsi="宋体"/>
          <w:b/>
          <w:color w:val="auto"/>
          <w:sz w:val="28"/>
          <w:szCs w:val="28"/>
        </w:rPr>
        <w:t>（</w:t>
      </w:r>
      <w:r>
        <w:rPr>
          <w:rFonts w:hint="eastAsia" w:ascii="宋体" w:hAnsi="宋体"/>
          <w:b/>
          <w:color w:val="auto"/>
          <w:sz w:val="28"/>
          <w:szCs w:val="28"/>
          <w:lang w:eastAsia="zh-CN"/>
        </w:rPr>
        <w:t>盖章</w:t>
      </w:r>
      <w:r>
        <w:rPr>
          <w:rFonts w:hint="eastAsia" w:ascii="宋体" w:hAnsi="宋体"/>
          <w:b/>
          <w:color w:val="auto"/>
          <w:sz w:val="28"/>
          <w:szCs w:val="28"/>
        </w:rPr>
        <w:t>）</w:t>
      </w:r>
    </w:p>
    <w:p w14:paraId="00904346">
      <w:pPr>
        <w:spacing w:line="360" w:lineRule="auto"/>
        <w:rPr>
          <w:rFonts w:hint="eastAsia" w:ascii="宋体" w:hAnsi="宋体"/>
          <w:b/>
          <w:color w:val="auto"/>
          <w:sz w:val="28"/>
          <w:szCs w:val="28"/>
          <w:u w:val="single"/>
        </w:rPr>
      </w:pPr>
      <w:r>
        <w:rPr>
          <w:rFonts w:hint="eastAsia" w:ascii="宋体" w:hAnsi="宋体"/>
          <w:b/>
          <w:color w:val="auto"/>
          <w:sz w:val="28"/>
          <w:szCs w:val="28"/>
        </w:rPr>
        <w:t>法定代表人:</w:t>
      </w:r>
      <w:r>
        <w:rPr>
          <w:rFonts w:hint="eastAsia" w:ascii="宋体" w:hAnsi="宋体"/>
          <w:b/>
          <w:color w:val="auto"/>
          <w:sz w:val="28"/>
          <w:szCs w:val="28"/>
          <w:u w:val="single"/>
        </w:rPr>
        <w:t xml:space="preserve">                                 </w:t>
      </w:r>
      <w:r>
        <w:rPr>
          <w:rFonts w:hint="eastAsia" w:ascii="宋体" w:hAnsi="宋体"/>
          <w:b/>
          <w:color w:val="auto"/>
          <w:sz w:val="28"/>
          <w:szCs w:val="28"/>
        </w:rPr>
        <w:t>（签字）</w:t>
      </w:r>
    </w:p>
    <w:p w14:paraId="4EF6560F">
      <w:pPr>
        <w:spacing w:line="360" w:lineRule="auto"/>
        <w:rPr>
          <w:rFonts w:hint="eastAsia" w:ascii="宋体" w:hAnsi="宋体"/>
          <w:b/>
          <w:color w:val="auto"/>
          <w:sz w:val="28"/>
          <w:szCs w:val="28"/>
        </w:rPr>
      </w:pPr>
      <w:r>
        <w:rPr>
          <w:rFonts w:hint="eastAsia" w:ascii="宋体" w:hAnsi="宋体"/>
          <w:b/>
          <w:color w:val="auto"/>
          <w:sz w:val="28"/>
          <w:szCs w:val="28"/>
        </w:rPr>
        <w:t>或其授权人：</w:t>
      </w:r>
      <w:r>
        <w:rPr>
          <w:rFonts w:hint="eastAsia" w:ascii="宋体" w:hAnsi="宋体"/>
          <w:b/>
          <w:color w:val="auto"/>
          <w:sz w:val="28"/>
          <w:szCs w:val="28"/>
          <w:u w:val="single"/>
        </w:rPr>
        <w:t xml:space="preserve">                                </w:t>
      </w:r>
      <w:r>
        <w:rPr>
          <w:rFonts w:hint="eastAsia" w:ascii="宋体" w:hAnsi="宋体"/>
          <w:b/>
          <w:color w:val="auto"/>
          <w:sz w:val="28"/>
          <w:szCs w:val="28"/>
        </w:rPr>
        <w:t>（签字）</w:t>
      </w:r>
    </w:p>
    <w:p w14:paraId="6DDB21B0">
      <w:pPr>
        <w:spacing w:line="360" w:lineRule="auto"/>
        <w:rPr>
          <w:rFonts w:hint="eastAsia" w:ascii="宋体" w:hAnsi="宋体" w:eastAsia="宋体"/>
          <w:b/>
          <w:color w:val="auto"/>
          <w:sz w:val="28"/>
          <w:szCs w:val="28"/>
          <w:u w:val="single"/>
          <w:lang w:val="en-US" w:eastAsia="zh-CN"/>
        </w:rPr>
      </w:pPr>
      <w:r>
        <w:rPr>
          <w:rFonts w:hint="eastAsia" w:ascii="宋体" w:hAnsi="宋体"/>
          <w:b/>
          <w:color w:val="auto"/>
          <w:sz w:val="28"/>
          <w:szCs w:val="28"/>
          <w:lang w:eastAsia="zh-CN"/>
        </w:rPr>
        <w:t>编制人：</w:t>
      </w:r>
      <w:r>
        <w:rPr>
          <w:rFonts w:hint="eastAsia" w:ascii="宋体" w:hAnsi="宋体"/>
          <w:b/>
          <w:color w:val="auto"/>
          <w:sz w:val="28"/>
          <w:szCs w:val="28"/>
          <w:u w:val="single"/>
          <w:lang w:val="en-US" w:eastAsia="zh-CN"/>
        </w:rPr>
        <w:t xml:space="preserve">                                 （造价人员签字盖专用章）</w:t>
      </w:r>
    </w:p>
    <w:p w14:paraId="49B3FC0A">
      <w:pPr>
        <w:spacing w:line="360" w:lineRule="auto"/>
        <w:rPr>
          <w:rFonts w:hint="eastAsia" w:ascii="宋体" w:hAnsi="宋体"/>
          <w:b/>
          <w:color w:val="auto"/>
          <w:sz w:val="28"/>
          <w:szCs w:val="28"/>
        </w:rPr>
      </w:pPr>
      <w:r>
        <w:rPr>
          <w:rFonts w:hint="eastAsia" w:ascii="宋体" w:hAnsi="宋体"/>
          <w:b/>
          <w:color w:val="auto"/>
          <w:sz w:val="28"/>
          <w:szCs w:val="28"/>
        </w:rPr>
        <w:t>编制日期：</w:t>
      </w:r>
    </w:p>
    <w:p w14:paraId="054A79FE">
      <w:pPr>
        <w:tabs>
          <w:tab w:val="left" w:pos="900"/>
        </w:tabs>
        <w:spacing w:line="360" w:lineRule="auto"/>
        <w:rPr>
          <w:rFonts w:hint="eastAsia" w:ascii="宋体" w:hAnsi="宋体"/>
          <w:b/>
          <w:color w:val="auto"/>
          <w:sz w:val="28"/>
          <w:szCs w:val="28"/>
        </w:rPr>
      </w:pPr>
    </w:p>
    <w:p w14:paraId="066E99AA">
      <w:pPr>
        <w:tabs>
          <w:tab w:val="left" w:pos="900"/>
        </w:tabs>
        <w:spacing w:line="360" w:lineRule="auto"/>
        <w:rPr>
          <w:rFonts w:hint="eastAsia" w:ascii="宋体" w:hAnsi="宋体"/>
          <w:b/>
          <w:color w:val="auto"/>
          <w:sz w:val="28"/>
          <w:szCs w:val="28"/>
        </w:rPr>
      </w:pPr>
    </w:p>
    <w:p w14:paraId="592A3819">
      <w:pPr>
        <w:tabs>
          <w:tab w:val="left" w:pos="900"/>
        </w:tabs>
        <w:spacing w:line="360" w:lineRule="auto"/>
        <w:rPr>
          <w:rFonts w:hint="eastAsia" w:ascii="宋体" w:hAnsi="宋体"/>
          <w:b/>
          <w:color w:val="auto"/>
          <w:sz w:val="28"/>
          <w:szCs w:val="28"/>
        </w:rPr>
      </w:pPr>
    </w:p>
    <w:p w14:paraId="187DC930">
      <w:pPr>
        <w:tabs>
          <w:tab w:val="left" w:pos="900"/>
        </w:tabs>
        <w:spacing w:line="360" w:lineRule="auto"/>
        <w:rPr>
          <w:rFonts w:hint="eastAsia" w:ascii="宋体" w:hAnsi="宋体"/>
          <w:b/>
          <w:color w:val="auto"/>
          <w:sz w:val="28"/>
          <w:szCs w:val="28"/>
        </w:rPr>
      </w:pPr>
      <w:r>
        <w:rPr>
          <w:rFonts w:hint="eastAsia" w:ascii="宋体" w:hAnsi="宋体"/>
          <w:b/>
          <w:color w:val="auto"/>
          <w:sz w:val="28"/>
          <w:szCs w:val="28"/>
        </w:rPr>
        <w:t>报价须按照工程量清单报价，报价表格按</w:t>
      </w:r>
      <w:r>
        <w:rPr>
          <w:rFonts w:hint="eastAsia" w:ascii="宋体" w:hAnsi="宋体"/>
          <w:b/>
          <w:color w:val="auto"/>
          <w:sz w:val="28"/>
          <w:szCs w:val="28"/>
          <w:lang w:eastAsia="zh-CN"/>
        </w:rPr>
        <w:t>竞新建合浦至湛江铁路—铁山港跨海特大桥工程红树林移植工程</w:t>
      </w:r>
      <w:r>
        <w:rPr>
          <w:rFonts w:hint="eastAsia" w:ascii="宋体" w:hAnsi="宋体"/>
          <w:b/>
          <w:color w:val="auto"/>
          <w:sz w:val="28"/>
          <w:szCs w:val="28"/>
        </w:rPr>
        <w:t>中工程量清单及控制价的要求填写。</w:t>
      </w:r>
    </w:p>
    <w:p w14:paraId="2711CA65">
      <w:pPr>
        <w:rPr>
          <w:rFonts w:hint="eastAsia" w:asciiTheme="minorEastAsia" w:hAnsiTheme="minorEastAsia" w:eastAsiaTheme="minorEastAsia"/>
          <w:b/>
          <w:color w:val="000000" w:themeColor="text1"/>
          <w:sz w:val="44"/>
          <w:szCs w:val="44"/>
          <w:lang w:eastAsia="zh-CN"/>
          <w14:textFill>
            <w14:solidFill>
              <w14:schemeClr w14:val="tx1"/>
            </w14:solidFill>
          </w14:textFill>
        </w:rPr>
      </w:pPr>
      <w:r>
        <w:rPr>
          <w:rFonts w:hint="eastAsia" w:ascii="宋体" w:hAnsi="宋体"/>
          <w:b/>
          <w:color w:val="auto"/>
          <w:sz w:val="28"/>
          <w:szCs w:val="28"/>
        </w:rPr>
        <w:t>说明：</w:t>
      </w:r>
      <w:r>
        <w:rPr>
          <w:rFonts w:hint="eastAsia" w:ascii="宋体" w:hAnsi="宋体"/>
          <w:b/>
          <w:color w:val="auto"/>
          <w:sz w:val="28"/>
          <w:szCs w:val="28"/>
          <w:lang w:eastAsia="zh-CN"/>
        </w:rPr>
        <w:t>磋商供应商</w:t>
      </w:r>
      <w:r>
        <w:rPr>
          <w:rFonts w:hint="eastAsia" w:ascii="宋体" w:hAnsi="宋体"/>
          <w:b/>
          <w:color w:val="auto"/>
          <w:sz w:val="28"/>
          <w:szCs w:val="28"/>
        </w:rPr>
        <w:t>的报价必须加盖公章和签字，无签字和盖章的</w:t>
      </w:r>
      <w:r>
        <w:rPr>
          <w:rFonts w:hint="eastAsia" w:ascii="宋体" w:hAnsi="宋体"/>
          <w:b/>
          <w:color w:val="auto"/>
          <w:sz w:val="28"/>
          <w:szCs w:val="28"/>
          <w:lang w:eastAsia="zh-CN"/>
        </w:rPr>
        <w:t>磋商</w:t>
      </w:r>
      <w:r>
        <w:rPr>
          <w:rFonts w:hint="eastAsia" w:ascii="宋体" w:hAnsi="宋体"/>
          <w:b/>
          <w:color w:val="auto"/>
          <w:sz w:val="28"/>
          <w:szCs w:val="28"/>
        </w:rPr>
        <w:t>无效。</w:t>
      </w:r>
    </w:p>
    <w:p w14:paraId="431F1A21">
      <w:pPr>
        <w:rPr>
          <w:rFonts w:hint="eastAsia" w:asciiTheme="minorEastAsia" w:hAnsiTheme="minorEastAsia" w:eastAsia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b/>
          <w:color w:val="000000" w:themeColor="text1"/>
          <w:sz w:val="32"/>
          <w:szCs w:val="32"/>
          <w:lang w:eastAsia="zh-CN"/>
          <w14:textFill>
            <w14:solidFill>
              <w14:schemeClr w14:val="tx1"/>
            </w14:solidFill>
          </w14:textFill>
        </w:rPr>
        <w:br w:type="page"/>
      </w:r>
    </w:p>
    <w:p w14:paraId="571316A3">
      <w:pPr>
        <w:widowControl/>
        <w:adjustRightInd/>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lang w:eastAsia="zh-CN"/>
          <w14:textFill>
            <w14:solidFill>
              <w14:schemeClr w14:val="tx1"/>
            </w14:solidFill>
          </w14:textFill>
        </w:rPr>
        <w:t>三、</w:t>
      </w:r>
      <w:r>
        <w:rPr>
          <w:rFonts w:hint="eastAsia" w:asciiTheme="minorEastAsia" w:hAnsiTheme="minorEastAsia" w:eastAsiaTheme="minorEastAsia"/>
          <w:b/>
          <w:color w:val="000000" w:themeColor="text1"/>
          <w:sz w:val="32"/>
          <w:szCs w:val="32"/>
          <w14:textFill>
            <w14:solidFill>
              <w14:schemeClr w14:val="tx1"/>
            </w14:solidFill>
          </w14:textFill>
        </w:rPr>
        <w:t>中小企业声明函</w:t>
      </w:r>
      <w:bookmarkStart w:id="180" w:name="_Toc465665161"/>
      <w:r>
        <w:rPr>
          <w:rFonts w:hint="eastAsia" w:asciiTheme="minorEastAsia" w:hAnsiTheme="minorEastAsia" w:eastAsiaTheme="minorEastAsia"/>
          <w:b/>
          <w:color w:val="000000" w:themeColor="text1"/>
          <w:sz w:val="32"/>
          <w:szCs w:val="32"/>
          <w14:textFill>
            <w14:solidFill>
              <w14:schemeClr w14:val="tx1"/>
            </w14:solidFill>
          </w14:textFill>
        </w:rPr>
        <w:t>（如果有）</w:t>
      </w:r>
    </w:p>
    <w:p w14:paraId="197DC0C8">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p>
    <w:p w14:paraId="38E12FDC">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14:textFill>
            <w14:solidFill>
              <w14:schemeClr w14:val="tx1"/>
            </w14:solidFill>
          </w14:textFill>
        </w:rPr>
        <w:t>5</w:t>
      </w:r>
      <w:r>
        <w:rPr>
          <w:rFonts w:hint="eastAsia" w:cs="宋体" w:asciiTheme="minorEastAsia" w:hAnsiTheme="minorEastAsia" w:eastAsiaTheme="minorEastAsia"/>
          <w:b/>
          <w:color w:val="000000" w:themeColor="text1"/>
          <w:sz w:val="24"/>
          <w14:textFill>
            <w14:solidFill>
              <w14:schemeClr w14:val="tx1"/>
            </w14:solidFill>
          </w14:textFill>
        </w:rPr>
        <w:t>）。]</w:t>
      </w:r>
    </w:p>
    <w:p w14:paraId="3A2F9410">
      <w:pPr>
        <w:widowControl/>
        <w:adjustRightInd/>
        <w:jc w:val="center"/>
        <w:rPr>
          <w:rFonts w:cs="仿宋_GB2312" w:asciiTheme="minorEastAsia" w:hAnsiTheme="minorEastAsia" w:eastAsiaTheme="minorEastAsia"/>
          <w:color w:val="000000" w:themeColor="text1"/>
          <w:sz w:val="24"/>
          <w14:textFill>
            <w14:solidFill>
              <w14:schemeClr w14:val="tx1"/>
            </w14:solidFill>
          </w14:textFill>
        </w:rPr>
      </w:pPr>
    </w:p>
    <w:p w14:paraId="0ADC203A">
      <w:pPr>
        <w:widowControl/>
        <w:adjustRightInd/>
        <w:jc w:val="left"/>
        <w:rPr>
          <w:rFonts w:cs="宋体" w:asciiTheme="minorEastAsia" w:hAnsiTheme="minorEastAsia" w:eastAsiaTheme="minorEastAsia"/>
          <w:b/>
          <w:color w:val="000000" w:themeColor="text1"/>
          <w:sz w:val="32"/>
          <w:szCs w:val="32"/>
          <w14:textFill>
            <w14:solidFill>
              <w14:schemeClr w14:val="tx1"/>
            </w14:solidFill>
          </w14:textFill>
        </w:rPr>
      </w:pPr>
      <w:r>
        <w:rPr>
          <w:rFonts w:cs="宋体" w:asciiTheme="minorEastAsia" w:hAnsiTheme="minorEastAsia" w:eastAsiaTheme="minorEastAsia"/>
          <w:b/>
          <w:color w:val="000000" w:themeColor="text1"/>
          <w:sz w:val="32"/>
          <w:szCs w:val="32"/>
          <w14:textFill>
            <w14:solidFill>
              <w14:schemeClr w14:val="tx1"/>
            </w14:solidFill>
          </w14:textFill>
        </w:rPr>
        <w:br w:type="page"/>
      </w:r>
    </w:p>
    <w:p w14:paraId="7A41BD53">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bookmarkEnd w:id="180"/>
    </w:p>
    <w:p w14:paraId="00088109">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附件1：质疑函范本及制作说明</w:t>
      </w:r>
    </w:p>
    <w:p w14:paraId="0BF20A32">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质疑函范本</w:t>
      </w:r>
    </w:p>
    <w:p w14:paraId="49A169E4">
      <w:pPr>
        <w:snapToGrid w:val="0"/>
        <w:spacing w:before="240" w:beforeLines="100"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一、质疑供应商基本信息</w:t>
      </w:r>
    </w:p>
    <w:p w14:paraId="065FCA05">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BD473E9">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4F3538C">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580B053">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767154B">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38680908">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8ABF4C2">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二、质疑项目基本情况</w:t>
      </w:r>
    </w:p>
    <w:p w14:paraId="413D09E3">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64C17CF">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CB27347">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42533BC">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D6BBA7C">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三、质疑事项具体内容</w:t>
      </w:r>
    </w:p>
    <w:p w14:paraId="633658CF">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517C8C0">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69DF38F">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FEB9DF6">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2D6E9F0">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014CE02">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质疑事项2</w:t>
      </w:r>
    </w:p>
    <w:p w14:paraId="5C9CC965">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45F4AB38">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四、与质疑事项相关的质疑请求</w:t>
      </w:r>
    </w:p>
    <w:p w14:paraId="0331D777">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2D2138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33C9D6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2D33BE06">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093B11D0">
      <w:pPr>
        <w:rPr>
          <w:rFonts w:hint="eastAsia"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7B04A9CA">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质疑函制作说明：</w:t>
      </w:r>
    </w:p>
    <w:p w14:paraId="5381D6CE">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6FCA8AA7">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3307622">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3EDE50FA">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4A117228">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5.质疑函的质疑请求应与质疑事项相关。</w:t>
      </w:r>
    </w:p>
    <w:p w14:paraId="6B53D4D6">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CA4CCBB">
      <w:pPr>
        <w:widowControl/>
        <w:spacing w:line="360" w:lineRule="auto"/>
        <w:ind w:firstLine="600" w:firstLineChars="200"/>
        <w:jc w:val="left"/>
        <w:rPr>
          <w:rFonts w:cs="仿宋_GB2312" w:asciiTheme="minorEastAsia" w:hAnsiTheme="minorEastAsia" w:eastAsiaTheme="minorEastAsia"/>
          <w:color w:val="000000" w:themeColor="text1"/>
          <w:sz w:val="30"/>
          <w:szCs w:val="30"/>
          <w14:textFill>
            <w14:solidFill>
              <w14:schemeClr w14:val="tx1"/>
            </w14:solidFill>
          </w14:textFill>
        </w:rPr>
      </w:pPr>
    </w:p>
    <w:p w14:paraId="3D46257F">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附件2：投诉书范本及制作说明</w:t>
      </w:r>
    </w:p>
    <w:p w14:paraId="3D296556">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703AFBDE">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投诉书范本</w:t>
      </w:r>
    </w:p>
    <w:p w14:paraId="1BD1E42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一、投诉相关主体基本情况</w:t>
      </w:r>
    </w:p>
    <w:p w14:paraId="4F2FE055">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0659672">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01E252A8">
      <w:pPr>
        <w:tabs>
          <w:tab w:val="left" w:pos="6510"/>
        </w:tabs>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2A151B74">
      <w:pPr>
        <w:tabs>
          <w:tab w:val="left" w:pos="6510"/>
        </w:tabs>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FBCC136">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771058B">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2C61737">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F278516">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4E669D6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656E93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被投诉人2</w:t>
      </w:r>
    </w:p>
    <w:p w14:paraId="6C0B45A6">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0696239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相关供应商：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DBBC7C4">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24FEC6C">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394AE5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二、投诉项目基本情况</w:t>
      </w:r>
    </w:p>
    <w:p w14:paraId="4024076F">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E0FC7A1">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A075F2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52CC732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代理机构名称：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C8EECB8">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8048431">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采购结果公告: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231B81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三、质疑基本情况</w:t>
      </w:r>
    </w:p>
    <w:p w14:paraId="614EA8BC">
      <w:pPr>
        <w:spacing w:line="360" w:lineRule="auto"/>
        <w:ind w:firstLine="480" w:firstLineChars="200"/>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日,向</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4D7B486">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BD30F66">
      <w:pPr>
        <w:spacing w:line="360" w:lineRule="auto"/>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14:textFill>
            <w14:solidFill>
              <w14:schemeClr w14:val="tx1"/>
            </w14:solidFill>
          </w14:textFill>
        </w:rPr>
        <w:t>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日,就质疑事项作出了答复/没有在法定期限内作出答复。</w:t>
      </w:r>
    </w:p>
    <w:p w14:paraId="0A198CD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四、投诉事项具体内容</w:t>
      </w:r>
    </w:p>
    <w:p w14:paraId="556088C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 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0DCA57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B62D394">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6926E8E">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2E66D15">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DF62C5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投诉事项2</w:t>
      </w:r>
    </w:p>
    <w:p w14:paraId="3D6C3C84">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3E6C6D5E">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五、与投诉事项相关的投诉请求</w:t>
      </w:r>
    </w:p>
    <w:p w14:paraId="7BEBB50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2E21D49C">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3F5BA34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6AA705E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46C01A6D">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1FFDCD50">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3906216E">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投诉书制作说明：</w:t>
      </w:r>
    </w:p>
    <w:p w14:paraId="0B5D9DC0">
      <w:pPr>
        <w:widowControl/>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DB5E4FA">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23407327">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14:paraId="403C743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14:paraId="125ACE81">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14:paraId="7222A3E1">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6.投诉书的投诉请求应与投诉事项相关。</w:t>
      </w:r>
    </w:p>
    <w:p w14:paraId="4D32A25A">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845DD22">
      <w:pPr>
        <w:rPr>
          <w:rFonts w:cs="仿宋_GB2312" w:asciiTheme="minorEastAsia" w:hAnsiTheme="minorEastAsia" w:eastAsiaTheme="minorEastAsia"/>
          <w:b/>
          <w:color w:val="000000" w:themeColor="text1"/>
          <w:sz w:val="24"/>
          <w14:textFill>
            <w14:solidFill>
              <w14:schemeClr w14:val="tx1"/>
            </w14:solidFill>
          </w14:textFill>
        </w:rPr>
      </w:pPr>
    </w:p>
    <w:p w14:paraId="03E059F1">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480AE701">
      <w:pPr>
        <w:spacing w:line="360" w:lineRule="auto"/>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附件3：</w:t>
      </w:r>
    </w:p>
    <w:p w14:paraId="7334D54C">
      <w:pPr>
        <w:spacing w:line="360" w:lineRule="auto"/>
        <w:rPr>
          <w:rFonts w:asciiTheme="minorEastAsia" w:hAnsiTheme="minorEastAsia" w:eastAsiaTheme="minorEastAsia"/>
          <w:b/>
          <w:color w:val="000000" w:themeColor="text1"/>
          <w:spacing w:val="6"/>
          <w:sz w:val="32"/>
          <w:szCs w:val="32"/>
          <w14:textFill>
            <w14:solidFill>
              <w14:schemeClr w14:val="tx1"/>
            </w14:solidFill>
          </w14:textFill>
        </w:rPr>
      </w:pPr>
    </w:p>
    <w:p w14:paraId="4B49BD84">
      <w:pPr>
        <w:spacing w:line="360" w:lineRule="auto"/>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残疾人福利性单位声明函</w:t>
      </w:r>
    </w:p>
    <w:p w14:paraId="4EDE74AD">
      <w:pPr>
        <w:spacing w:line="360" w:lineRule="auto"/>
        <w:rPr>
          <w:rFonts w:asciiTheme="minorEastAsia" w:hAnsiTheme="minorEastAsia" w:eastAsiaTheme="minorEastAsia"/>
          <w:b/>
          <w:color w:val="000000" w:themeColor="text1"/>
          <w:spacing w:val="6"/>
          <w:sz w:val="30"/>
          <w:szCs w:val="30"/>
          <w14:textFill>
            <w14:solidFill>
              <w14:schemeClr w14:val="tx1"/>
            </w14:solidFill>
          </w14:textFill>
        </w:rPr>
      </w:pPr>
    </w:p>
    <w:p w14:paraId="3CE5AB38">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14:textFill>
            <w14:solidFill>
              <w14:schemeClr w14:val="tx1"/>
            </w14:solidFill>
          </w14:textFill>
        </w:rPr>
        <w:t>单位的</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451D820">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43130F8A">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0A2D75FE">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7F2A1CA1">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sz w:val="24"/>
          <w14:textFill>
            <w14:solidFill>
              <w14:schemeClr w14:val="tx1"/>
            </w14:solidFill>
          </w14:textFill>
        </w:rPr>
        <w:t>：</w:t>
      </w:r>
    </w:p>
    <w:p w14:paraId="7C3DCAB4">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日  期：</w:t>
      </w:r>
    </w:p>
    <w:p w14:paraId="1FF7D702">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08AF42BF">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259F18D0">
      <w:pPr>
        <w:autoSpaceDE w:val="0"/>
        <w:autoSpaceDN w:val="0"/>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附件4：</w:t>
      </w:r>
    </w:p>
    <w:p w14:paraId="25C990D0">
      <w:pPr>
        <w:spacing w:line="360" w:lineRule="auto"/>
        <w:jc w:val="left"/>
        <w:rPr>
          <w:rFonts w:cs="仿宋_GB2312" w:asciiTheme="minorEastAsia" w:hAnsiTheme="minorEastAsia" w:eastAsiaTheme="minorEastAsia"/>
          <w:b/>
          <w:color w:val="000000" w:themeColor="text1"/>
          <w:sz w:val="24"/>
          <w14:textFill>
            <w14:solidFill>
              <w14:schemeClr w14:val="tx1"/>
            </w14:solidFill>
          </w14:textFill>
        </w:rPr>
      </w:pPr>
    </w:p>
    <w:p w14:paraId="1DB08159">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14:paraId="197594D8">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p>
    <w:p w14:paraId="2D068314">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33D92704">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w:t>
      </w:r>
      <w:r>
        <w:rPr>
          <w:rFonts w:hint="eastAsia" w:asciiTheme="minorEastAsia" w:hAnsiTheme="minorEastAsia" w:eastAsiaTheme="minorEastAsia"/>
          <w:color w:val="000000" w:themeColor="text1"/>
          <w:sz w:val="24"/>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14:textFill>
            <w14:solidFill>
              <w14:schemeClr w14:val="tx1"/>
            </w14:solidFill>
          </w14:textFill>
        </w:rPr>
        <w:t>在参加</w:t>
      </w:r>
      <w:r>
        <w:rPr>
          <w:rFonts w:hint="eastAsia" w:cs="仿宋_GB2312" w:asciiTheme="minorEastAsia" w:hAnsiTheme="minorEastAsia" w:eastAsiaTheme="minorEastAsia"/>
          <w:color w:val="000000" w:themeColor="text1"/>
          <w:sz w:val="24"/>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14:textFill>
            <w14:solidFill>
              <w14:schemeClr w14:val="tx1"/>
            </w14:solidFill>
          </w14:textFill>
        </w:rPr>
        <w:t>我方所使用的“</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 xml:space="preserve">专用章”的行为予以完全承认，并愿意承担相应责任。   </w:t>
      </w:r>
    </w:p>
    <w:p w14:paraId="490C218D">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特此说明。</w:t>
      </w:r>
    </w:p>
    <w:p w14:paraId="31CD5A79">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5369331A">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5AFA5CD1">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186FD4E1">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1C0AA19A">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供应商（法定名称章）：</w:t>
      </w:r>
    </w:p>
    <w:p w14:paraId="2FE7563E">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日期：       年     月     日</w:t>
      </w:r>
    </w:p>
    <w:p w14:paraId="60A6021D">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附：</w:t>
      </w:r>
    </w:p>
    <w:p w14:paraId="4C772EF0">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专用章”（印模）</w:t>
      </w:r>
    </w:p>
    <w:p w14:paraId="66566F95">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p>
    <w:p w14:paraId="53710850">
      <w:pPr>
        <w:snapToGrid w:val="0"/>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5950C965">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sz w:val="24"/>
          <w14:textFill>
            <w14:solidFill>
              <w14:schemeClr w14:val="tx1"/>
            </w14:solidFill>
          </w14:textFill>
        </w:rPr>
        <w:br w:type="page"/>
      </w:r>
    </w:p>
    <w:p w14:paraId="3B53D372">
      <w:pPr>
        <w:autoSpaceDE w:val="0"/>
        <w:autoSpaceDN w:val="0"/>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附件5：</w:t>
      </w:r>
    </w:p>
    <w:p w14:paraId="7327A2DD">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05FE58F2">
      <w:pPr>
        <w:adjustRightInd/>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中小企业声明函（服务）</w:t>
      </w:r>
    </w:p>
    <w:p w14:paraId="0D1D2280">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4533B38A">
      <w:pPr>
        <w:spacing w:line="360" w:lineRule="auto"/>
        <w:ind w:firstLine="360" w:firstLineChars="1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cs="宋体" w:asciiTheme="minorEastAsia" w:hAnsiTheme="minorEastAsia" w:eastAsiaTheme="minorEastAsia"/>
          <w:color w:val="000000" w:themeColor="text1"/>
          <w:sz w:val="24"/>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6A5830F">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56F6120D">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23C37E3B">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14:paraId="2DEC0974">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9FFFDB7">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4CE7363A">
      <w:pPr>
        <w:spacing w:line="360" w:lineRule="auto"/>
        <w:ind w:right="1760"/>
        <w:jc w:val="right"/>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宋体" w:asciiTheme="minorEastAsia" w:hAnsiTheme="minorEastAsia" w:eastAsiaTheme="minorEastAsia"/>
          <w:color w:val="000000" w:themeColor="text1"/>
          <w:sz w:val="24"/>
          <w14:textFill>
            <w14:solidFill>
              <w14:schemeClr w14:val="tx1"/>
            </w14:solidFill>
          </w14:textFill>
        </w:rPr>
        <w:t>：</w:t>
      </w:r>
    </w:p>
    <w:p w14:paraId="1BCF02A2">
      <w:pPr>
        <w:spacing w:line="360" w:lineRule="auto"/>
        <w:ind w:right="1120" w:firstLine="4680" w:firstLineChars="19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14:paraId="04434D7B">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注：</w:t>
      </w:r>
    </w:p>
    <w:p w14:paraId="4F7D83FC">
      <w:pPr>
        <w:spacing w:line="360" w:lineRule="auto"/>
        <w:ind w:right="42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397D087">
      <w:pPr>
        <w:spacing w:line="360" w:lineRule="auto"/>
        <w:ind w:right="420" w:firstLine="720" w:firstLineChars="3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D41DAB">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54E49335">
      <w:pPr>
        <w:spacing w:line="360" w:lineRule="auto"/>
        <w:ind w:firstLine="482" w:firstLineChars="200"/>
        <w:rPr>
          <w:rFonts w:cs="仿宋_GB2312" w:asciiTheme="minorEastAsia" w:hAnsiTheme="minorEastAsia" w:eastAsiaTheme="minorEastAsia"/>
          <w:b/>
          <w:color w:val="000000" w:themeColor="text1"/>
          <w:sz w:val="24"/>
          <w14:textFill>
            <w14:solidFill>
              <w14:schemeClr w14:val="tx1"/>
            </w14:solidFill>
          </w14:textFill>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DBEE">
    <w:pPr>
      <w:pStyle w:val="38"/>
      <w:framePr w:wrap="around" w:vAnchor="text" w:hAnchor="margin" w:xAlign="right" w:y="1"/>
      <w:rPr>
        <w:rStyle w:val="65"/>
      </w:rPr>
    </w:pPr>
    <w:r>
      <w:fldChar w:fldCharType="begin"/>
    </w:r>
    <w:r>
      <w:rPr>
        <w:rStyle w:val="65"/>
      </w:rPr>
      <w:instrText xml:space="preserve">PAGE  </w:instrText>
    </w:r>
    <w:r>
      <w:fldChar w:fldCharType="end"/>
    </w:r>
  </w:p>
  <w:p w14:paraId="0E033740">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8A70">
    <w:pPr>
      <w:pStyle w:val="38"/>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9E0B1">
                          <w:pPr>
                            <w:pStyle w:val="3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C39E0B1">
                    <w:pPr>
                      <w:pStyle w:val="3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67D5">
    <w:pPr>
      <w:pStyle w:val="38"/>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6B519">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216B519">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F31D">
    <w:pPr>
      <w:pStyle w:val="38"/>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FFF68">
                          <w:pPr>
                            <w:pStyle w:val="3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9EFFF68">
                    <w:pPr>
                      <w:pStyle w:val="3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49C7">
    <w:pPr>
      <w:pStyle w:val="38"/>
      <w:framePr w:wrap="around" w:vAnchor="text" w:hAnchor="margin" w:xAlign="right" w:y="1"/>
      <w:rPr>
        <w:rStyle w:val="65"/>
      </w:rPr>
    </w:pPr>
    <w:r>
      <w:fldChar w:fldCharType="begin"/>
    </w:r>
    <w:r>
      <w:rPr>
        <w:rStyle w:val="65"/>
      </w:rPr>
      <w:instrText xml:space="preserve">PAGE  </w:instrText>
    </w:r>
    <w:r>
      <w:fldChar w:fldCharType="end"/>
    </w:r>
  </w:p>
  <w:p w14:paraId="2F52F491">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EC1D">
    <w:pPr>
      <w:pStyle w:val="38"/>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0DD5F">
                          <w:pPr>
                            <w:pStyle w:val="3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620DD5F">
                    <w:pPr>
                      <w:pStyle w:val="3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E666">
    <w:pPr>
      <w:pStyle w:val="3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25AE">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7C09EA"/>
    <w:multiLevelType w:val="singleLevel"/>
    <w:tmpl w:val="0A7C09EA"/>
    <w:lvl w:ilvl="0" w:tentative="0">
      <w:start w:val="1"/>
      <w:numFmt w:val="decimal"/>
      <w:suff w:val="nothing"/>
      <w:lvlText w:val="（%1）"/>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2"/>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87121AB"/>
    <w:multiLevelType w:val="singleLevel"/>
    <w:tmpl w:val="187121AB"/>
    <w:lvl w:ilvl="0" w:tentative="0">
      <w:start w:val="4"/>
      <w:numFmt w:val="chineseCounting"/>
      <w:suff w:val="space"/>
      <w:lvlText w:val="第%1部分"/>
      <w:lvlJc w:val="left"/>
      <w:rPr>
        <w:rFonts w:hint="eastAsia"/>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93E3BBF"/>
    <w:rsid w:val="1B2A271F"/>
    <w:rsid w:val="1B890139"/>
    <w:rsid w:val="1D266CE1"/>
    <w:rsid w:val="1D3963AF"/>
    <w:rsid w:val="1E714A66"/>
    <w:rsid w:val="1FE868A9"/>
    <w:rsid w:val="211E26D6"/>
    <w:rsid w:val="21283D08"/>
    <w:rsid w:val="24B87835"/>
    <w:rsid w:val="25B440B3"/>
    <w:rsid w:val="2AA1365A"/>
    <w:rsid w:val="2DD15014"/>
    <w:rsid w:val="2FD25781"/>
    <w:rsid w:val="319C6071"/>
    <w:rsid w:val="32DB72BE"/>
    <w:rsid w:val="342E63AB"/>
    <w:rsid w:val="345D260B"/>
    <w:rsid w:val="365302AE"/>
    <w:rsid w:val="37F142D2"/>
    <w:rsid w:val="39A13F14"/>
    <w:rsid w:val="3B7E6362"/>
    <w:rsid w:val="3B9C5F07"/>
    <w:rsid w:val="3C5F759A"/>
    <w:rsid w:val="3D143CBF"/>
    <w:rsid w:val="3D5C78D4"/>
    <w:rsid w:val="3FFF72A6"/>
    <w:rsid w:val="42E1381E"/>
    <w:rsid w:val="43FB717C"/>
    <w:rsid w:val="448E07FB"/>
    <w:rsid w:val="451E447A"/>
    <w:rsid w:val="45345B76"/>
    <w:rsid w:val="47307808"/>
    <w:rsid w:val="486F747C"/>
    <w:rsid w:val="4A513E5D"/>
    <w:rsid w:val="4B2A1C61"/>
    <w:rsid w:val="4D861CF6"/>
    <w:rsid w:val="50D027FA"/>
    <w:rsid w:val="51A0432A"/>
    <w:rsid w:val="527140E5"/>
    <w:rsid w:val="5292508F"/>
    <w:rsid w:val="52A96B6F"/>
    <w:rsid w:val="54EE4229"/>
    <w:rsid w:val="550764A4"/>
    <w:rsid w:val="551926E0"/>
    <w:rsid w:val="561279B9"/>
    <w:rsid w:val="56515F3B"/>
    <w:rsid w:val="572B71CA"/>
    <w:rsid w:val="57E958DA"/>
    <w:rsid w:val="58AE4F0C"/>
    <w:rsid w:val="58E23FB8"/>
    <w:rsid w:val="5A2A7C7B"/>
    <w:rsid w:val="5AB23368"/>
    <w:rsid w:val="5C80234E"/>
    <w:rsid w:val="5E261785"/>
    <w:rsid w:val="5F017568"/>
    <w:rsid w:val="5FCC5339"/>
    <w:rsid w:val="5FE70807"/>
    <w:rsid w:val="60017C7C"/>
    <w:rsid w:val="60E53485"/>
    <w:rsid w:val="61054A27"/>
    <w:rsid w:val="611D2366"/>
    <w:rsid w:val="62885958"/>
    <w:rsid w:val="64CE2EAA"/>
    <w:rsid w:val="662E75B1"/>
    <w:rsid w:val="66342C2E"/>
    <w:rsid w:val="663E784C"/>
    <w:rsid w:val="685867EC"/>
    <w:rsid w:val="6BEC17E0"/>
    <w:rsid w:val="6E8E12EF"/>
    <w:rsid w:val="71D43752"/>
    <w:rsid w:val="73DD6243"/>
    <w:rsid w:val="74392A0E"/>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2">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semiHidden/>
    <w:unhideWhenUsed/>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link w:val="511"/>
    <w:qFormat/>
    <w:uiPriority w:val="0"/>
    <w:pPr>
      <w:autoSpaceDE w:val="0"/>
      <w:autoSpaceDN w:val="0"/>
      <w:spacing w:line="360" w:lineRule="auto"/>
    </w:pPr>
    <w:rPr>
      <w:rFonts w:ascii="宋体"/>
      <w:sz w:val="24"/>
      <w:szCs w:val="21"/>
      <w:lang w:val="zh-CN"/>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2"/>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4"/>
    <w:qFormat/>
    <w:uiPriority w:val="0"/>
    <w:pPr>
      <w:ind w:firstLine="420"/>
    </w:pPr>
    <w:rPr>
      <w:szCs w:val="20"/>
    </w:rPr>
  </w:style>
  <w:style w:type="paragraph" w:styleId="60">
    <w:name w:val="Body Text First Indent 2"/>
    <w:basedOn w:val="24"/>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2"/>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2"/>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2"/>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2"/>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2"/>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2"/>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2"/>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24"/>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2"/>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Table Paragraph"/>
    <w:basedOn w:val="1"/>
    <w:qFormat/>
    <w:uiPriority w:val="1"/>
    <w:rPr>
      <w:rFonts w:ascii="宋体" w:hAnsi="宋体" w:cs="宋体"/>
      <w:lang w:val="zh-CN" w:bidi="zh-CN"/>
    </w:rPr>
  </w:style>
  <w:style w:type="character" w:customStyle="1" w:styleId="63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7AFEF-B9E9-492B-AA95-E96BFCF1A49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39345</Words>
  <Characters>41882</Characters>
  <Lines>380</Lines>
  <Paragraphs>107</Paragraphs>
  <TotalTime>42</TotalTime>
  <ScaleCrop>false</ScaleCrop>
  <LinksUpToDate>false</LinksUpToDate>
  <CharactersWithSpaces>47134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上山捉松鼠</cp:lastModifiedBy>
  <cp:lastPrinted>2021-10-22T18:37:00Z</cp:lastPrinted>
  <dcterms:modified xsi:type="dcterms:W3CDTF">2025-07-28T10:06:36Z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D2BC36CA9B4B4CAAB2BFF766FDFD5889_13</vt:lpwstr>
  </property>
  <property fmtid="{D5CDD505-2E9C-101B-9397-08002B2CF9AE}" pid="4" name="KSOTemplateDocerSaveRecord">
    <vt:lpwstr>eyJoZGlkIjoiZjBiMDY2ZmIxNjMyMzUyMWMzZjRhNTFhZGYzYzk1N2QiLCJ1c2VySWQiOiI2Mzg1Mjk4In0=</vt:lpwstr>
  </property>
</Properties>
</file>