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D3C6">
      <w:pPr>
        <w:jc w:val="center"/>
        <w:rPr>
          <w:rFonts w:hint="eastAsia" w:ascii="宋体" w:hAnsi="宋体" w:eastAsia="宋体" w:cs="宋体"/>
          <w:b/>
          <w:color w:val="auto"/>
          <w:sz w:val="56"/>
          <w:highlight w:val="none"/>
          <w:lang w:eastAsia="zh-CN"/>
        </w:rPr>
      </w:pPr>
      <w:bookmarkStart w:id="161" w:name="_GoBack"/>
      <w:bookmarkEnd w:id="161"/>
      <w:r>
        <w:rPr>
          <w:rFonts w:hint="eastAsia" w:ascii="宋体" w:hAnsi="宋体" w:eastAsia="宋体" w:cs="宋体"/>
          <w:b/>
          <w:color w:val="auto"/>
          <w:sz w:val="56"/>
          <w:highlight w:val="none"/>
          <w:lang w:eastAsia="zh-CN"/>
        </w:rPr>
        <w:drawing>
          <wp:inline distT="0" distB="0" distL="114300" distR="114300">
            <wp:extent cx="6333490" cy="8743315"/>
            <wp:effectExtent l="0" t="0" r="10160" b="635"/>
            <wp:docPr id="2" name="图片 2" descr="QQ_175792260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_1757922601393"/>
                    <pic:cNvPicPr>
                      <a:picLocks noChangeAspect="1"/>
                    </pic:cNvPicPr>
                  </pic:nvPicPr>
                  <pic:blipFill>
                    <a:blip r:embed="rId12"/>
                    <a:stretch>
                      <a:fillRect/>
                    </a:stretch>
                  </pic:blipFill>
                  <pic:spPr>
                    <a:xfrm>
                      <a:off x="0" y="0"/>
                      <a:ext cx="6333490" cy="8743315"/>
                    </a:xfrm>
                    <a:prstGeom prst="rect">
                      <a:avLst/>
                    </a:prstGeom>
                  </pic:spPr>
                </pic:pic>
              </a:graphicData>
            </a:graphic>
          </wp:inline>
        </w:drawing>
      </w:r>
    </w:p>
    <w:p w14:paraId="41426F27">
      <w:pPr>
        <w:pStyle w:val="16"/>
        <w:rPr>
          <w:rFonts w:hint="eastAsia" w:ascii="宋体" w:hAnsi="宋体" w:cs="宋体"/>
          <w:b/>
          <w:bCs/>
          <w:color w:val="auto"/>
          <w:sz w:val="10"/>
          <w:highlight w:val="none"/>
        </w:rPr>
      </w:pPr>
    </w:p>
    <w:p w14:paraId="091B2880">
      <w:pPr>
        <w:pStyle w:val="16"/>
        <w:rPr>
          <w:rFonts w:hint="eastAsia" w:ascii="宋体" w:hAnsi="宋体" w:cs="宋体"/>
          <w:color w:val="auto"/>
          <w:sz w:val="11"/>
          <w:szCs w:val="11"/>
          <w:highlight w:val="none"/>
        </w:rPr>
      </w:pPr>
    </w:p>
    <w:p w14:paraId="2269F555">
      <w:pPr>
        <w:jc w:val="center"/>
        <w:rPr>
          <w:rFonts w:hint="eastAsia" w:ascii="宋体" w:hAnsi="宋体" w:eastAsia="宋体" w:cs="宋体"/>
          <w:b/>
          <w:bCs/>
          <w:color w:val="auto"/>
          <w:sz w:val="44"/>
          <w:szCs w:val="44"/>
          <w:highlight w:val="none"/>
        </w:rPr>
      </w:pPr>
      <w:bookmarkStart w:id="0" w:name="_Toc246095513"/>
      <w:bookmarkStart w:id="1" w:name="_Toc246094907"/>
      <w:bookmarkStart w:id="2" w:name="_Toc246095451"/>
    </w:p>
    <w:p w14:paraId="08D2B479">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65DE29DA">
      <w:pPr>
        <w:spacing w:line="400" w:lineRule="exact"/>
        <w:rPr>
          <w:rFonts w:hint="eastAsia" w:ascii="宋体" w:hAnsi="宋体" w:eastAsia="宋体" w:cs="宋体"/>
          <w:color w:val="auto"/>
          <w:sz w:val="28"/>
          <w:szCs w:val="28"/>
          <w:highlight w:val="none"/>
        </w:rPr>
      </w:pPr>
    </w:p>
    <w:p w14:paraId="65034B0E">
      <w:pPr>
        <w:pStyle w:val="27"/>
        <w:tabs>
          <w:tab w:val="right" w:leader="dot" w:pos="9412"/>
        </w:tabs>
        <w:spacing w:line="500" w:lineRule="exact"/>
        <w:rPr>
          <w:rFonts w:hint="eastAsia" w:ascii="宋体" w:hAnsi="宋体" w:cs="宋体"/>
          <w:color w:val="auto"/>
          <w:sz w:val="28"/>
          <w:szCs w:val="28"/>
          <w:highlight w:val="none"/>
        </w:rPr>
      </w:pPr>
      <w:r>
        <w:rPr>
          <w:rFonts w:hint="eastAsia" w:ascii="宋体" w:hAnsi="宋体" w:cs="宋体"/>
          <w:b w:val="0"/>
          <w:color w:val="auto"/>
          <w:sz w:val="28"/>
          <w:szCs w:val="28"/>
          <w:highlight w:val="none"/>
        </w:rPr>
        <w:fldChar w:fldCharType="begin"/>
      </w:r>
      <w:r>
        <w:rPr>
          <w:rFonts w:hint="eastAsia" w:ascii="宋体" w:hAnsi="宋体" w:cs="宋体"/>
          <w:b w:val="0"/>
          <w:color w:val="auto"/>
          <w:sz w:val="28"/>
          <w:szCs w:val="28"/>
          <w:highlight w:val="none"/>
        </w:rPr>
        <w:instrText xml:space="preserve"> TOC \o "1-3" \h \z \u </w:instrText>
      </w:r>
      <w:r>
        <w:rPr>
          <w:rFonts w:hint="eastAsia" w:ascii="宋体" w:hAnsi="宋体" w:cs="宋体"/>
          <w:b w:val="0"/>
          <w:color w:val="auto"/>
          <w:sz w:val="28"/>
          <w:szCs w:val="28"/>
          <w:highlight w:val="none"/>
        </w:rPr>
        <w:fldChar w:fldCharType="separate"/>
      </w:r>
      <w:r>
        <w:rPr>
          <w:color w:val="auto"/>
          <w:highlight w:val="none"/>
        </w:rPr>
        <w:fldChar w:fldCharType="begin"/>
      </w:r>
      <w:r>
        <w:rPr>
          <w:color w:val="auto"/>
          <w:highlight w:val="none"/>
        </w:rPr>
        <w:instrText xml:space="preserve"> HYPERLINK \l "_Toc9108" </w:instrText>
      </w:r>
      <w:r>
        <w:rPr>
          <w:color w:val="auto"/>
          <w:highlight w:val="none"/>
        </w:rPr>
        <w:fldChar w:fldCharType="separate"/>
      </w:r>
      <w:r>
        <w:rPr>
          <w:rFonts w:hint="eastAsia" w:ascii="宋体" w:hAnsi="宋体" w:cs="宋体"/>
          <w:color w:val="auto"/>
          <w:sz w:val="28"/>
          <w:szCs w:val="28"/>
          <w:highlight w:val="none"/>
        </w:rPr>
        <w:t>第一章 竞争性谈判公告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14:paraId="5AA86D87">
      <w:pPr>
        <w:pStyle w:val="27"/>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"_Toc13678" </w:instrText>
      </w:r>
      <w:r>
        <w:rPr>
          <w:color w:val="auto"/>
          <w:highlight w:val="none"/>
        </w:rPr>
        <w:fldChar w:fldCharType="separate"/>
      </w:r>
      <w:r>
        <w:rPr>
          <w:rFonts w:hint="eastAsia" w:ascii="宋体" w:hAnsi="宋体" w:cs="宋体"/>
          <w:color w:val="auto"/>
          <w:sz w:val="28"/>
          <w:szCs w:val="28"/>
          <w:highlight w:val="none"/>
        </w:rPr>
        <w:t>第二章  竞标人须知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_Toc13678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754A992">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"_Toc31896" </w:instrText>
      </w:r>
      <w:r>
        <w:rPr>
          <w:color w:val="auto"/>
          <w:highlight w:val="none"/>
        </w:rPr>
        <w:fldChar w:fldCharType="separate"/>
      </w:r>
      <w:r>
        <w:rPr>
          <w:rFonts w:hint="eastAsia" w:ascii="宋体" w:hAnsi="宋体" w:cs="宋体"/>
          <w:color w:val="auto"/>
          <w:sz w:val="28"/>
          <w:szCs w:val="28"/>
          <w:highlight w:val="none"/>
        </w:rPr>
        <w:t>竞标人须知前附表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_Toc31896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4ED8AF2">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"_Toc23082" </w:instrText>
      </w:r>
      <w:r>
        <w:rPr>
          <w:color w:val="auto"/>
          <w:highlight w:val="none"/>
        </w:rPr>
        <w:fldChar w:fldCharType="separate"/>
      </w:r>
      <w:r>
        <w:rPr>
          <w:rFonts w:hint="eastAsia" w:ascii="宋体" w:hAnsi="宋体" w:cs="宋体"/>
          <w:color w:val="auto"/>
          <w:sz w:val="28"/>
          <w:szCs w:val="28"/>
          <w:highlight w:val="none"/>
        </w:rPr>
        <w:t>一、总则</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_Toc23082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B7D8B60">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"_Toc13358" </w:instrText>
      </w:r>
      <w:r>
        <w:rPr>
          <w:color w:val="auto"/>
          <w:highlight w:val="none"/>
        </w:rPr>
        <w:fldChar w:fldCharType="separate"/>
      </w:r>
      <w:r>
        <w:rPr>
          <w:rFonts w:hint="eastAsia" w:ascii="宋体" w:hAnsi="宋体" w:cs="宋体"/>
          <w:color w:val="auto"/>
          <w:sz w:val="28"/>
          <w:szCs w:val="28"/>
          <w:highlight w:val="none"/>
        </w:rPr>
        <w:t>二、竞争性谈判文件</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_Toc13358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B6B008E">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"_Toc27175" </w:instrText>
      </w:r>
      <w:r>
        <w:rPr>
          <w:color w:val="auto"/>
          <w:highlight w:val="none"/>
        </w:rPr>
        <w:fldChar w:fldCharType="separate"/>
      </w:r>
      <w:r>
        <w:rPr>
          <w:rFonts w:hint="eastAsia" w:ascii="宋体" w:hAnsi="宋体" w:cs="宋体"/>
          <w:color w:val="auto"/>
          <w:sz w:val="28"/>
          <w:szCs w:val="28"/>
          <w:highlight w:val="none"/>
        </w:rPr>
        <w:t>三、响应文件</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_Toc27175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F1A7C46">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"_Toc26527" </w:instrText>
      </w:r>
      <w:r>
        <w:rPr>
          <w:color w:val="auto"/>
          <w:highlight w:val="none"/>
        </w:rPr>
        <w:fldChar w:fldCharType="separate"/>
      </w:r>
      <w:r>
        <w:rPr>
          <w:rFonts w:hint="eastAsia" w:ascii="宋体" w:hAnsi="宋体" w:cs="宋体"/>
          <w:color w:val="auto"/>
          <w:sz w:val="28"/>
          <w:szCs w:val="28"/>
          <w:highlight w:val="none"/>
        </w:rPr>
        <w:t>四、谈判与评审</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_Toc26527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3B69381">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"_Toc3773" </w:instrText>
      </w:r>
      <w:r>
        <w:rPr>
          <w:color w:val="auto"/>
          <w:highlight w:val="none"/>
        </w:rPr>
        <w:fldChar w:fldCharType="separate"/>
      </w:r>
      <w:r>
        <w:rPr>
          <w:rFonts w:hint="eastAsia" w:ascii="宋体" w:hAnsi="宋体" w:cs="宋体"/>
          <w:color w:val="auto"/>
          <w:sz w:val="28"/>
          <w:szCs w:val="28"/>
          <w:highlight w:val="none"/>
        </w:rPr>
        <w:t>五、评审结果</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_Toc3773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37BF1C4">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"_Toc453" </w:instrText>
      </w:r>
      <w:r>
        <w:rPr>
          <w:color w:val="auto"/>
          <w:highlight w:val="none"/>
        </w:rPr>
        <w:fldChar w:fldCharType="separate"/>
      </w:r>
      <w:r>
        <w:rPr>
          <w:rFonts w:hint="eastAsia" w:ascii="宋体" w:hAnsi="宋体" w:cs="宋体"/>
          <w:color w:val="auto"/>
          <w:sz w:val="28"/>
          <w:szCs w:val="28"/>
          <w:highlight w:val="none"/>
        </w:rPr>
        <w:t>六、合同授予</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_Toc453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C0E13B6">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"_Toc23225" </w:instrText>
      </w:r>
      <w:r>
        <w:rPr>
          <w:color w:val="auto"/>
          <w:highlight w:val="none"/>
        </w:rPr>
        <w:fldChar w:fldCharType="separate"/>
      </w:r>
      <w:r>
        <w:rPr>
          <w:rFonts w:hint="eastAsia" w:ascii="宋体" w:hAnsi="宋体" w:cs="宋体"/>
          <w:color w:val="auto"/>
          <w:sz w:val="28"/>
          <w:szCs w:val="28"/>
          <w:highlight w:val="none"/>
        </w:rPr>
        <w:t>七、其他</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_Toc23225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29E3DDC">
      <w:pPr>
        <w:pStyle w:val="27"/>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"_Toc14373" </w:instrText>
      </w:r>
      <w:r>
        <w:rPr>
          <w:color w:val="auto"/>
          <w:highlight w:val="none"/>
        </w:rPr>
        <w:fldChar w:fldCharType="separate"/>
      </w:r>
      <w:r>
        <w:rPr>
          <w:rFonts w:hint="eastAsia" w:ascii="宋体" w:hAnsi="宋体" w:cs="宋体"/>
          <w:color w:val="auto"/>
          <w:sz w:val="28"/>
          <w:szCs w:val="28"/>
          <w:highlight w:val="none"/>
        </w:rPr>
        <w:t>第三章  项目采购需求和说明</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_Toc14373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DB05D1A">
      <w:pPr>
        <w:pStyle w:val="27"/>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"_Toc11191" </w:instrText>
      </w:r>
      <w:r>
        <w:rPr>
          <w:color w:val="auto"/>
          <w:highlight w:val="none"/>
        </w:rPr>
        <w:fldChar w:fldCharType="separate"/>
      </w:r>
      <w:r>
        <w:rPr>
          <w:rFonts w:hint="eastAsia" w:ascii="宋体" w:hAnsi="宋体" w:cs="宋体"/>
          <w:color w:val="auto"/>
          <w:sz w:val="28"/>
          <w:szCs w:val="28"/>
          <w:highlight w:val="none"/>
        </w:rPr>
        <w:t>第四章  评审方法及评审标准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_Toc11191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541FE43">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"_Toc8052" </w:instrText>
      </w:r>
      <w:r>
        <w:rPr>
          <w:color w:val="auto"/>
          <w:highlight w:val="none"/>
        </w:rPr>
        <w:fldChar w:fldCharType="separate"/>
      </w:r>
      <w:r>
        <w:rPr>
          <w:rFonts w:hint="eastAsia" w:ascii="宋体" w:hAnsi="宋体" w:cs="宋体"/>
          <w:bCs/>
          <w:color w:val="auto"/>
          <w:sz w:val="28"/>
          <w:szCs w:val="28"/>
          <w:highlight w:val="none"/>
        </w:rPr>
        <w:t>一、评审原则</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_Toc8052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E02D73D">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"_Toc17167" </w:instrText>
      </w:r>
      <w:r>
        <w:rPr>
          <w:color w:val="auto"/>
          <w:highlight w:val="none"/>
        </w:rPr>
        <w:fldChar w:fldCharType="separate"/>
      </w:r>
      <w:r>
        <w:rPr>
          <w:rFonts w:hint="eastAsia" w:ascii="宋体" w:hAnsi="宋体" w:cs="宋体"/>
          <w:bCs/>
          <w:color w:val="auto"/>
          <w:sz w:val="28"/>
          <w:szCs w:val="28"/>
          <w:highlight w:val="none"/>
        </w:rPr>
        <w:t>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_Toc17167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FD18373">
      <w:pPr>
        <w:pStyle w:val="32"/>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"_Toc23866" </w:instrText>
      </w:r>
      <w:r>
        <w:rPr>
          <w:color w:val="auto"/>
          <w:highlight w:val="none"/>
        </w:rPr>
        <w:fldChar w:fldCharType="separate"/>
      </w:r>
      <w:r>
        <w:rPr>
          <w:rFonts w:hint="eastAsia" w:ascii="宋体" w:hAnsi="宋体" w:cs="宋体"/>
          <w:bCs/>
          <w:color w:val="auto"/>
          <w:sz w:val="28"/>
          <w:szCs w:val="28"/>
          <w:highlight w:val="none"/>
        </w:rPr>
        <w:t>三、确定成交竞标人</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_Toc23866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A78C2FB">
      <w:pPr>
        <w:pStyle w:val="27"/>
        <w:tabs>
          <w:tab w:val="right" w:leader="dot" w:pos="9412"/>
        </w:tabs>
        <w:spacing w:line="500" w:lineRule="exac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"_Toc15224" </w:instrText>
      </w:r>
      <w:r>
        <w:rPr>
          <w:color w:val="auto"/>
          <w:highlight w:val="none"/>
        </w:rPr>
        <w:fldChar w:fldCharType="separate"/>
      </w:r>
      <w:r>
        <w:rPr>
          <w:rFonts w:hint="eastAsia" w:ascii="宋体" w:hAnsi="宋体" w:cs="宋体"/>
          <w:color w:val="auto"/>
          <w:sz w:val="28"/>
          <w:szCs w:val="28"/>
          <w:highlight w:val="none"/>
        </w:rPr>
        <w:t>第五章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_Toc15224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99B4E82">
      <w:pPr>
        <w:pStyle w:val="27"/>
        <w:tabs>
          <w:tab w:val="right" w:leader="dot" w:pos="9412"/>
        </w:tabs>
        <w:spacing w:line="500" w:lineRule="exact"/>
        <w:rPr>
          <w:rFonts w:hint="eastAsia" w:ascii="宋体" w:hAnsi="宋体" w:cs="宋体"/>
          <w:color w:val="auto"/>
          <w:highlight w:val="none"/>
        </w:rPr>
      </w:pPr>
      <w:r>
        <w:rPr>
          <w:color w:val="auto"/>
          <w:highlight w:val="none"/>
        </w:rPr>
        <w:fldChar w:fldCharType="begin"/>
      </w:r>
      <w:r>
        <w:rPr>
          <w:color w:val="auto"/>
          <w:highlight w:val="none"/>
        </w:rPr>
        <w:instrText xml:space="preserve"> HYPERLINK \l "_Toc10098" </w:instrText>
      </w:r>
      <w:r>
        <w:rPr>
          <w:color w:val="auto"/>
          <w:highlight w:val="none"/>
        </w:rPr>
        <w:fldChar w:fldCharType="separate"/>
      </w:r>
      <w:r>
        <w:rPr>
          <w:rFonts w:hint="eastAsia" w:ascii="宋体" w:hAnsi="宋体" w:cs="宋体"/>
          <w:color w:val="auto"/>
          <w:sz w:val="28"/>
          <w:szCs w:val="28"/>
          <w:highlight w:val="none"/>
        </w:rPr>
        <w:t>第六章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_Toc10098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52716EA">
      <w:pPr>
        <w:spacing w:after="0" w:line="500" w:lineRule="exact"/>
        <w:ind w:firstLine="220" w:firstLineChars="100"/>
        <w:rPr>
          <w:rFonts w:hint="eastAsia" w:ascii="宋体" w:hAnsi="宋体" w:eastAsia="宋体" w:cs="宋体"/>
          <w:color w:val="auto"/>
          <w:sz w:val="20"/>
          <w:szCs w:val="20"/>
          <w:highlight w:val="none"/>
        </w:rPr>
        <w:sectPr>
          <w:headerReference r:id="rId5" w:type="first"/>
          <w:footerReference r:id="rId7" w:type="first"/>
          <w:headerReference r:id="rId4" w:type="default"/>
          <w:footerReference r:id="rId6" w:type="default"/>
          <w:pgSz w:w="11907" w:h="16840"/>
          <w:pgMar w:top="1077" w:right="1418" w:bottom="1418" w:left="1077" w:header="624" w:footer="737" w:gutter="0"/>
          <w:pgNumType w:start="1"/>
          <w:cols w:space="720" w:num="1"/>
          <w:docGrid w:linePitch="312" w:charSpace="0"/>
        </w:sectPr>
      </w:pPr>
      <w:r>
        <w:rPr>
          <w:rFonts w:hint="eastAsia" w:ascii="宋体" w:hAnsi="宋体" w:eastAsia="宋体" w:cs="宋体"/>
          <w:bCs/>
          <w:color w:val="auto"/>
          <w:szCs w:val="28"/>
          <w:highlight w:val="none"/>
        </w:rPr>
        <w:fldChar w:fldCharType="end"/>
      </w:r>
    </w:p>
    <w:bookmarkEnd w:id="0"/>
    <w:bookmarkEnd w:id="1"/>
    <w:bookmarkEnd w:id="2"/>
    <w:p w14:paraId="7CE22D9C">
      <w:pPr>
        <w:pStyle w:val="2"/>
        <w:rPr>
          <w:rFonts w:hint="eastAsia" w:ascii="宋体" w:hAnsi="宋体" w:eastAsia="宋体" w:cs="宋体"/>
          <w:color w:val="auto"/>
          <w:highlight w:val="none"/>
        </w:rPr>
      </w:pPr>
      <w:r>
        <w:rPr>
          <w:rFonts w:hint="eastAsia" w:ascii="宋体" w:hAnsi="宋体" w:eastAsia="宋体" w:cs="宋体"/>
          <w:color w:val="auto"/>
          <w:highlight w:val="none"/>
        </w:rPr>
        <w:t>第一章  竞争性谈判公告</w:t>
      </w:r>
    </w:p>
    <w:p w14:paraId="10D7A112">
      <w:pPr>
        <w:pStyle w:val="39"/>
        <w:ind w:left="0" w:leftChars="0" w:firstLine="0" w:firstLineChars="0"/>
        <w:jc w:val="center"/>
        <w:rPr>
          <w:rFonts w:hint="eastAsia" w:ascii="宋体" w:eastAsia="宋体" w:cs="宋体"/>
          <w:b/>
          <w:color w:val="auto"/>
          <w:szCs w:val="28"/>
          <w:highlight w:val="none"/>
          <w:lang w:eastAsia="zh-CN"/>
        </w:rPr>
      </w:pPr>
      <w:r>
        <w:rPr>
          <w:rFonts w:hint="eastAsia" w:ascii="宋体" w:cs="宋体"/>
          <w:b/>
          <w:color w:val="auto"/>
          <w:szCs w:val="28"/>
          <w:highlight w:val="none"/>
          <w:lang w:eastAsia="zh-CN"/>
        </w:rPr>
        <w:t>河池市第一看守所门禁系统建设</w:t>
      </w:r>
    </w:p>
    <w:p w14:paraId="24D1B58C">
      <w:pPr>
        <w:pStyle w:val="39"/>
        <w:ind w:left="0" w:leftChars="0" w:firstLine="0" w:firstLineChars="0"/>
        <w:jc w:val="center"/>
        <w:rPr>
          <w:rFonts w:hint="eastAsia" w:ascii="宋体" w:cs="宋体"/>
          <w:b/>
          <w:color w:val="auto"/>
          <w:szCs w:val="28"/>
          <w:highlight w:val="none"/>
        </w:rPr>
      </w:pPr>
      <w:r>
        <w:rPr>
          <w:rFonts w:hint="eastAsia" w:ascii="宋体" w:cs="宋体"/>
          <w:b/>
          <w:color w:val="auto"/>
          <w:szCs w:val="28"/>
          <w:highlight w:val="none"/>
        </w:rPr>
        <w:t>竞争性谈判公告</w:t>
      </w:r>
    </w:p>
    <w:p w14:paraId="0B1292EC">
      <w:pPr>
        <w:widowControl w:val="0"/>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u w:val="single"/>
          <w:lang w:eastAsia="zh-CN"/>
        </w:rPr>
        <w:t>河池市第一看守所门禁系统建设</w:t>
      </w:r>
      <w:r>
        <w:rPr>
          <w:rFonts w:hint="eastAsia" w:ascii="宋体" w:hAnsi="宋体" w:eastAsia="宋体" w:cs="宋体"/>
          <w:color w:val="auto"/>
          <w:sz w:val="24"/>
          <w:szCs w:val="24"/>
          <w:highlight w:val="none"/>
        </w:rPr>
        <w:t>项目的潜在竞标人应在广西政府采购云平台（https://www.gcy.zfcg.gxzf.gov.cn/）获取谈判文件，并于</w:t>
      </w:r>
      <w:r>
        <w:rPr>
          <w:rFonts w:hint="eastAsia" w:ascii="宋体" w:hAnsi="宋体" w:eastAsia="宋体" w:cs="宋体"/>
          <w:color w:val="auto"/>
          <w:sz w:val="24"/>
          <w:szCs w:val="24"/>
          <w:highlight w:val="none"/>
          <w:u w:val="single"/>
        </w:rPr>
        <w:t>2025年</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 10点00分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1C235F42">
      <w:pPr>
        <w:spacing w:after="0" w:line="440" w:lineRule="exact"/>
        <w:rPr>
          <w:rFonts w:hint="eastAsia" w:ascii="宋体" w:hAnsi="宋体" w:eastAsia="宋体" w:cs="宋体"/>
          <w:color w:val="auto"/>
          <w:sz w:val="24"/>
          <w:szCs w:val="24"/>
          <w:highlight w:val="none"/>
        </w:rPr>
      </w:pPr>
      <w:bookmarkStart w:id="3" w:name="_Toc28359089"/>
      <w:bookmarkStart w:id="4" w:name="_Toc35393798"/>
      <w:bookmarkStart w:id="5" w:name="_Toc35393629"/>
      <w:bookmarkStart w:id="6" w:name="_Toc28359012"/>
      <w:r>
        <w:rPr>
          <w:rFonts w:hint="eastAsia" w:ascii="宋体" w:hAnsi="宋体" w:eastAsia="宋体" w:cs="宋体"/>
          <w:color w:val="auto"/>
          <w:sz w:val="24"/>
          <w:szCs w:val="24"/>
          <w:highlight w:val="none"/>
        </w:rPr>
        <w:t>一、项目基本情况</w:t>
      </w:r>
      <w:bookmarkEnd w:id="3"/>
      <w:bookmarkEnd w:id="4"/>
      <w:bookmarkEnd w:id="5"/>
      <w:bookmarkEnd w:id="6"/>
    </w:p>
    <w:p w14:paraId="3B4DED90">
      <w:pPr>
        <w:widowControl w:val="0"/>
        <w:spacing w:after="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HCZC2025-J1-990152-GXZC</w:t>
      </w:r>
    </w:p>
    <w:p w14:paraId="3654FF8B">
      <w:pPr>
        <w:widowControl w:val="0"/>
        <w:spacing w:after="0" w:line="44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河池市第一看守所门禁系统建设</w:t>
      </w:r>
    </w:p>
    <w:p w14:paraId="1BE72CAD">
      <w:pPr>
        <w:widowControl w:val="0"/>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采购方式：竞争性谈判</w:t>
      </w:r>
    </w:p>
    <w:p w14:paraId="1E46D2E6">
      <w:pPr>
        <w:widowControl w:val="0"/>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预算金额：116.7296万元；</w:t>
      </w:r>
    </w:p>
    <w:p w14:paraId="0CDC6056">
      <w:pPr>
        <w:widowControl w:val="0"/>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最高限价：116.7296万元；</w:t>
      </w:r>
    </w:p>
    <w:p w14:paraId="016585D9">
      <w:pPr>
        <w:widowControl w:val="0"/>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根据公安部有关监所监室门建设标准，对看守所ABCD门、放风场门、监室门等监区门进行更换，同时所有通道门安装人脸识别仪，实现监所门禁系统自动化、安全化、功能化管理，也要符合保密机关要求，门禁系统需符合监所相关标准及规定；详见采购货物需求一览表。</w:t>
      </w:r>
    </w:p>
    <w:p w14:paraId="740EB23E">
      <w:pPr>
        <w:widowControl w:val="0"/>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合同履行期限：自签订合同之日起60天内交货并安装调试完毕。</w:t>
      </w:r>
    </w:p>
    <w:p w14:paraId="70758A3E">
      <w:pPr>
        <w:widowControl w:val="0"/>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w:t>
      </w:r>
    </w:p>
    <w:p w14:paraId="6D579CEB">
      <w:pPr>
        <w:spacing w:after="0" w:line="440" w:lineRule="exact"/>
        <w:rPr>
          <w:rFonts w:hint="eastAsia" w:ascii="宋体" w:hAnsi="宋体" w:eastAsia="宋体" w:cs="宋体"/>
          <w:b/>
          <w:bCs/>
          <w:color w:val="auto"/>
          <w:sz w:val="24"/>
          <w:szCs w:val="24"/>
          <w:highlight w:val="none"/>
        </w:rPr>
      </w:pPr>
      <w:bookmarkStart w:id="7" w:name="_Toc35393630"/>
      <w:bookmarkStart w:id="8" w:name="_Toc28359013"/>
      <w:bookmarkStart w:id="9" w:name="_Toc35393799"/>
      <w:bookmarkStart w:id="10" w:name="_Toc28359090"/>
      <w:r>
        <w:rPr>
          <w:rFonts w:hint="eastAsia" w:ascii="宋体" w:hAnsi="宋体" w:eastAsia="宋体" w:cs="宋体"/>
          <w:b/>
          <w:bCs/>
          <w:color w:val="auto"/>
          <w:sz w:val="24"/>
          <w:szCs w:val="24"/>
          <w:highlight w:val="none"/>
        </w:rPr>
        <w:t>二、申请人的资格要求：</w:t>
      </w:r>
      <w:bookmarkEnd w:id="7"/>
      <w:bookmarkEnd w:id="8"/>
      <w:bookmarkEnd w:id="9"/>
      <w:bookmarkEnd w:id="10"/>
    </w:p>
    <w:p w14:paraId="3DC6B66D">
      <w:pPr>
        <w:widowControl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25B119F">
      <w:pPr>
        <w:widowControl w:val="0"/>
        <w:spacing w:after="0" w:line="440" w:lineRule="exact"/>
        <w:ind w:firstLine="480" w:firstLineChars="200"/>
        <w:rPr>
          <w:rFonts w:hint="eastAsia" w:ascii="宋体" w:hAnsi="宋体" w:eastAsia="宋体" w:cs="宋体"/>
          <w:color w:val="auto"/>
          <w:sz w:val="24"/>
          <w:szCs w:val="24"/>
          <w:highlight w:val="none"/>
        </w:rPr>
      </w:pPr>
      <w:bookmarkStart w:id="11" w:name="_Toc28359091"/>
      <w:bookmarkStart w:id="12" w:name="_Toc28359014"/>
      <w:r>
        <w:rPr>
          <w:rFonts w:hint="eastAsia" w:ascii="宋体" w:hAnsi="宋体" w:eastAsia="宋体" w:cs="宋体"/>
          <w:color w:val="auto"/>
          <w:sz w:val="24"/>
          <w:szCs w:val="24"/>
          <w:highlight w:val="none"/>
        </w:rPr>
        <w:t>2.落实政府采购政策需满足的资格要求：本项目专门面向中小企业采购的项目。</w:t>
      </w:r>
    </w:p>
    <w:p w14:paraId="04BA918F">
      <w:pPr>
        <w:widowControl w:val="0"/>
        <w:spacing w:after="0" w:line="440" w:lineRule="exact"/>
        <w:ind w:firstLine="48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rPr>
        <w:t xml:space="preserve">3.本项目的特定资格要求：无。 </w:t>
      </w:r>
    </w:p>
    <w:p w14:paraId="4A2547F2">
      <w:pPr>
        <w:widowControl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位负责人为同一人或者存在直接控股、管理关系的不同竞标人，不得参加同一合同项下的政府采购活动。除单一来源采购项目外，为采购项目提供整体设计、规范编制或者项目管理、监理、检测等服务的竞标人，不得再参加该采购项目的其他采购活动；</w:t>
      </w:r>
    </w:p>
    <w:p w14:paraId="4B437706">
      <w:pPr>
        <w:widowControl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在“信用中国”网站(www.creditchina.gov.cn)、中国政府采购网(www.ccgp.gov.cn)等渠道列入失信被执行人、重大税收违法失信主体、政府采购严重违法失信行为记录名单及其他不符合《中华人民共和国政府采购法》第二十二条规定条件的竞标人，不得参与政府采购活动。</w:t>
      </w:r>
    </w:p>
    <w:p w14:paraId="7439B568">
      <w:pPr>
        <w:widowControl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6.本项目不接受未按竞争性谈判公告要求获取采购文件的竞标人谈判。</w:t>
      </w:r>
    </w:p>
    <w:p w14:paraId="461A4F3B">
      <w:pPr>
        <w:spacing w:line="480" w:lineRule="exact"/>
        <w:rPr>
          <w:rFonts w:hint="eastAsia" w:ascii="宋体" w:hAnsi="宋体" w:eastAsia="宋体" w:cs="宋体"/>
          <w:b/>
          <w:bCs/>
          <w:color w:val="auto"/>
          <w:sz w:val="24"/>
          <w:szCs w:val="24"/>
          <w:highlight w:val="none"/>
        </w:rPr>
      </w:pPr>
      <w:bookmarkStart w:id="13" w:name="_Toc35393800"/>
      <w:bookmarkStart w:id="14" w:name="_Toc35393631"/>
      <w:r>
        <w:rPr>
          <w:rFonts w:hint="eastAsia" w:ascii="宋体" w:hAnsi="宋体" w:eastAsia="宋体" w:cs="宋体"/>
          <w:b/>
          <w:bCs/>
          <w:color w:val="auto"/>
          <w:sz w:val="24"/>
          <w:szCs w:val="24"/>
          <w:highlight w:val="none"/>
        </w:rPr>
        <w:t>三、获取采购文件</w:t>
      </w:r>
      <w:bookmarkEnd w:id="11"/>
      <w:bookmarkEnd w:id="12"/>
      <w:bookmarkEnd w:id="13"/>
      <w:bookmarkEnd w:id="14"/>
    </w:p>
    <w:p w14:paraId="4E9B025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时间：自本公告发布之时起至响应文件递交截止时间前</w:t>
      </w:r>
    </w:p>
    <w:p w14:paraId="058299A0">
      <w:pPr>
        <w:widowControl w:val="0"/>
        <w:spacing w:after="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地点：广西政府采购云平台（https://www.gcy.zfcg.gxzf.gov.cn/）</w:t>
      </w:r>
    </w:p>
    <w:p w14:paraId="7AD0734D">
      <w:pPr>
        <w:widowControl w:val="0"/>
        <w:spacing w:after="0"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在广西政府采购云平台下载竞争性谈判文件。电子响应文件制作需要基于“广西政府采购云平台模块获取的采购文件制作，供应商需根据本项目编号进一步前往广西政府采购云平台“获取采购文件”模块下载采购文件。</w:t>
      </w:r>
    </w:p>
    <w:p w14:paraId="6DD824A8">
      <w:pPr>
        <w:widowControl w:val="0"/>
        <w:spacing w:after="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4C559DC5">
      <w:pPr>
        <w:spacing w:line="480" w:lineRule="exact"/>
        <w:rPr>
          <w:rFonts w:hint="eastAsia" w:ascii="宋体" w:hAnsi="宋体" w:eastAsia="宋体" w:cs="宋体"/>
          <w:b/>
          <w:bCs/>
          <w:color w:val="auto"/>
          <w:sz w:val="24"/>
          <w:szCs w:val="24"/>
          <w:highlight w:val="none"/>
        </w:rPr>
      </w:pPr>
      <w:bookmarkStart w:id="15" w:name="_Toc35393801"/>
      <w:bookmarkStart w:id="16" w:name="_Toc35393632"/>
      <w:bookmarkStart w:id="17" w:name="_Toc28359015"/>
      <w:bookmarkStart w:id="18" w:name="_Toc28359092"/>
      <w:r>
        <w:rPr>
          <w:rFonts w:hint="eastAsia" w:ascii="宋体" w:hAnsi="宋体" w:eastAsia="宋体" w:cs="宋体"/>
          <w:b/>
          <w:bCs/>
          <w:color w:val="auto"/>
          <w:sz w:val="24"/>
          <w:szCs w:val="24"/>
          <w:highlight w:val="none"/>
        </w:rPr>
        <w:t>四、响应文件提交</w:t>
      </w:r>
      <w:bookmarkEnd w:id="15"/>
      <w:bookmarkEnd w:id="16"/>
      <w:bookmarkEnd w:id="17"/>
      <w:bookmarkEnd w:id="18"/>
    </w:p>
    <w:p w14:paraId="722DDD32">
      <w:pPr>
        <w:widowControl w:val="0"/>
        <w:spacing w:after="0"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2025年</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日10点00分</w:t>
      </w:r>
      <w:r>
        <w:rPr>
          <w:rFonts w:hint="eastAsia" w:ascii="宋体" w:hAnsi="宋体" w:eastAsia="宋体" w:cs="宋体"/>
          <w:bCs/>
          <w:color w:val="auto"/>
          <w:sz w:val="24"/>
          <w:szCs w:val="24"/>
          <w:highlight w:val="none"/>
        </w:rPr>
        <w:t>（北京时间）</w:t>
      </w:r>
    </w:p>
    <w:p w14:paraId="7FC1E646">
      <w:pPr>
        <w:widowControl w:val="0"/>
        <w:spacing w:after="0"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地点：本项目为全流程电子化项目，申请人需要提交电子响应文件，电子响应文件必须用数字证书CA锁加密后在响应文件提交截止时间前，通过网络上传至广西政府采购云平台。</w:t>
      </w:r>
    </w:p>
    <w:p w14:paraId="37020ED7">
      <w:pPr>
        <w:spacing w:line="500" w:lineRule="exact"/>
        <w:rPr>
          <w:rFonts w:hint="eastAsia" w:ascii="宋体" w:hAnsi="宋体" w:eastAsia="宋体" w:cs="宋体"/>
          <w:b/>
          <w:bCs/>
          <w:color w:val="auto"/>
          <w:sz w:val="24"/>
          <w:szCs w:val="24"/>
          <w:highlight w:val="none"/>
        </w:rPr>
      </w:pPr>
      <w:bookmarkStart w:id="19" w:name="_Toc35393802"/>
      <w:bookmarkStart w:id="20" w:name="_Toc35393633"/>
      <w:bookmarkStart w:id="21" w:name="_Toc28359093"/>
      <w:bookmarkStart w:id="22" w:name="_Toc28359016"/>
      <w:r>
        <w:rPr>
          <w:rFonts w:hint="eastAsia" w:ascii="宋体" w:hAnsi="宋体" w:eastAsia="宋体" w:cs="宋体"/>
          <w:b/>
          <w:bCs/>
          <w:color w:val="auto"/>
          <w:sz w:val="24"/>
          <w:szCs w:val="24"/>
          <w:highlight w:val="none"/>
        </w:rPr>
        <w:t>五、开启</w:t>
      </w:r>
      <w:bookmarkEnd w:id="19"/>
      <w:bookmarkEnd w:id="20"/>
      <w:bookmarkEnd w:id="21"/>
      <w:bookmarkEnd w:id="22"/>
    </w:p>
    <w:p w14:paraId="6A48D366">
      <w:pPr>
        <w:widowControl w:val="0"/>
        <w:spacing w:after="0" w:line="500" w:lineRule="exact"/>
        <w:ind w:firstLine="439" w:firstLineChars="183"/>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时间：响应文件递交截止时间后</w:t>
      </w:r>
    </w:p>
    <w:p w14:paraId="7CC5B6B7">
      <w:pPr>
        <w:widowControl w:val="0"/>
        <w:spacing w:after="0" w:line="500" w:lineRule="exact"/>
        <w:ind w:firstLine="439" w:firstLineChars="183"/>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地点：登录广西政府采购云平台电子开标大厅开标。</w:t>
      </w:r>
    </w:p>
    <w:p w14:paraId="19D43D6C">
      <w:pPr>
        <w:spacing w:line="500" w:lineRule="exact"/>
        <w:rPr>
          <w:rFonts w:hint="eastAsia" w:ascii="宋体" w:hAnsi="宋体" w:eastAsia="宋体" w:cs="宋体"/>
          <w:b/>
          <w:bCs/>
          <w:color w:val="auto"/>
          <w:sz w:val="24"/>
          <w:szCs w:val="24"/>
          <w:highlight w:val="none"/>
        </w:rPr>
      </w:pPr>
      <w:bookmarkStart w:id="23" w:name="_Toc28359017"/>
      <w:bookmarkStart w:id="24" w:name="_Toc35393634"/>
      <w:bookmarkStart w:id="25" w:name="_Toc35393803"/>
      <w:bookmarkStart w:id="26" w:name="_Toc28359094"/>
      <w:r>
        <w:rPr>
          <w:rFonts w:hint="eastAsia" w:ascii="宋体" w:hAnsi="宋体" w:eastAsia="宋体" w:cs="宋体"/>
          <w:b/>
          <w:bCs/>
          <w:color w:val="auto"/>
          <w:sz w:val="24"/>
          <w:szCs w:val="24"/>
          <w:highlight w:val="none"/>
        </w:rPr>
        <w:t>六、公告期限</w:t>
      </w:r>
      <w:bookmarkEnd w:id="23"/>
      <w:bookmarkEnd w:id="24"/>
      <w:bookmarkEnd w:id="25"/>
      <w:bookmarkEnd w:id="26"/>
    </w:p>
    <w:p w14:paraId="2A1178F5">
      <w:pPr>
        <w:widowControl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170345B1">
      <w:pPr>
        <w:widowControl w:val="0"/>
        <w:spacing w:line="500" w:lineRule="exact"/>
        <w:rPr>
          <w:rFonts w:hint="eastAsia" w:ascii="宋体" w:hAnsi="宋体" w:eastAsia="宋体" w:cs="宋体"/>
          <w:b/>
          <w:bCs/>
          <w:color w:val="auto"/>
          <w:sz w:val="24"/>
          <w:szCs w:val="24"/>
          <w:highlight w:val="none"/>
        </w:rPr>
      </w:pPr>
      <w:bookmarkStart w:id="27" w:name="_Toc35393635"/>
      <w:bookmarkStart w:id="28" w:name="_Toc35393804"/>
      <w:r>
        <w:rPr>
          <w:rFonts w:hint="eastAsia" w:ascii="宋体" w:hAnsi="宋体" w:eastAsia="宋体" w:cs="宋体"/>
          <w:b/>
          <w:bCs/>
          <w:color w:val="auto"/>
          <w:sz w:val="24"/>
          <w:szCs w:val="24"/>
          <w:highlight w:val="none"/>
        </w:rPr>
        <w:t>七、其他补充事宜</w:t>
      </w:r>
      <w:bookmarkEnd w:id="27"/>
      <w:bookmarkEnd w:id="28"/>
    </w:p>
    <w:p w14:paraId="6EA8B460">
      <w:pPr>
        <w:pStyle w:val="23"/>
        <w:spacing w:line="500" w:lineRule="exact"/>
        <w:ind w:firstLine="439" w:firstLineChars="183"/>
        <w:rPr>
          <w:rFonts w:hint="eastAsia" w:ascii="宋体" w:hAnsi="宋体" w:cs="宋体"/>
          <w:color w:val="auto"/>
          <w:sz w:val="24"/>
          <w:highlight w:val="none"/>
        </w:rPr>
      </w:pPr>
      <w:r>
        <w:rPr>
          <w:rFonts w:hint="eastAsia" w:ascii="宋体" w:hAnsi="宋体" w:cs="宋体"/>
          <w:color w:val="auto"/>
          <w:sz w:val="24"/>
          <w:highlight w:val="none"/>
        </w:rPr>
        <w:t>1、采购项目需要落实的政府采购政策：</w:t>
      </w:r>
    </w:p>
    <w:p w14:paraId="0298C047">
      <w:pPr>
        <w:pStyle w:val="23"/>
        <w:spacing w:line="500" w:lineRule="exact"/>
        <w:ind w:firstLine="0" w:firstLineChars="0"/>
        <w:rPr>
          <w:rFonts w:hint="eastAsia" w:ascii="宋体" w:hAnsi="宋体" w:cs="宋体"/>
          <w:color w:val="auto"/>
          <w:sz w:val="24"/>
          <w:highlight w:val="none"/>
        </w:rPr>
      </w:pPr>
      <w:r>
        <w:rPr>
          <w:rFonts w:hint="eastAsia" w:ascii="宋体" w:hAnsi="宋体" w:cs="宋体"/>
          <w:color w:val="auto"/>
          <w:sz w:val="24"/>
          <w:highlight w:val="none"/>
        </w:rPr>
        <w:t>（1）政府采购促进中小企业发展管理办法。（2）政府采购支持采用本国产品的政策。</w:t>
      </w:r>
    </w:p>
    <w:p w14:paraId="4F3244FE">
      <w:pPr>
        <w:pStyle w:val="23"/>
        <w:spacing w:line="500" w:lineRule="exact"/>
        <w:ind w:firstLine="0" w:firstLineChars="0"/>
        <w:rPr>
          <w:rFonts w:hint="eastAsia" w:ascii="宋体" w:hAnsi="宋体" w:cs="宋体"/>
          <w:color w:val="auto"/>
          <w:sz w:val="24"/>
          <w:highlight w:val="none"/>
        </w:rPr>
      </w:pPr>
      <w:r>
        <w:rPr>
          <w:rFonts w:hint="eastAsia" w:ascii="宋体" w:hAnsi="宋体" w:cs="宋体"/>
          <w:color w:val="auto"/>
          <w:sz w:val="24"/>
          <w:highlight w:val="none"/>
        </w:rPr>
        <w:t>（3）强制采购、优先采购环境标志产品、节能产品。（4）政府采购促进残疾人就业政策。（5）政府采购支持监狱企业发展。</w:t>
      </w:r>
    </w:p>
    <w:p w14:paraId="1D6BE37F">
      <w:pPr>
        <w:pStyle w:val="23"/>
        <w:spacing w:line="500" w:lineRule="exact"/>
        <w:ind w:firstLine="439" w:firstLineChars="183"/>
        <w:rPr>
          <w:rFonts w:hint="eastAsia" w:ascii="宋体" w:hAnsi="宋体" w:cs="宋体"/>
          <w:color w:val="auto"/>
          <w:sz w:val="24"/>
          <w:highlight w:val="none"/>
        </w:rPr>
      </w:pPr>
      <w:r>
        <w:rPr>
          <w:rFonts w:hint="eastAsia" w:ascii="宋体" w:hAnsi="宋体" w:cs="宋体"/>
          <w:color w:val="auto"/>
          <w:sz w:val="24"/>
          <w:highlight w:val="none"/>
        </w:rPr>
        <w:t>2、查询公告地址：</w:t>
      </w:r>
      <w:bookmarkStart w:id="29" w:name="_Toc28359018"/>
      <w:bookmarkStart w:id="30" w:name="_Toc35393636"/>
      <w:bookmarkStart w:id="31" w:name="_Toc35393805"/>
      <w:bookmarkStart w:id="32" w:name="_Toc28359095"/>
    </w:p>
    <w:p w14:paraId="6844E7DF">
      <w:pPr>
        <w:pStyle w:val="23"/>
        <w:spacing w:line="500" w:lineRule="exact"/>
        <w:ind w:firstLine="439" w:firstLineChars="183"/>
        <w:rPr>
          <w:rFonts w:hint="eastAsia" w:ascii="宋体" w:hAnsi="宋体" w:cs="宋体"/>
          <w:color w:val="auto"/>
          <w:sz w:val="24"/>
          <w:highlight w:val="none"/>
        </w:rPr>
      </w:pPr>
      <w:r>
        <w:rPr>
          <w:rFonts w:hint="eastAsia" w:ascii="宋体" w:hAnsi="宋体" w:cs="宋体"/>
          <w:color w:val="auto"/>
          <w:sz w:val="24"/>
          <w:highlight w:val="none"/>
        </w:rPr>
        <w:t>中国政府采购网（http://www.ccgp.gov.cn）、</w:t>
      </w:r>
    </w:p>
    <w:p w14:paraId="5A6F8FD0">
      <w:pPr>
        <w:pStyle w:val="23"/>
        <w:spacing w:line="500" w:lineRule="exact"/>
        <w:ind w:firstLine="439" w:firstLineChars="183"/>
        <w:rPr>
          <w:rFonts w:hint="eastAsia" w:ascii="宋体" w:hAnsi="宋体" w:cs="宋体"/>
          <w:color w:val="auto"/>
          <w:sz w:val="24"/>
          <w:highlight w:val="none"/>
        </w:rPr>
      </w:pPr>
      <w:r>
        <w:rPr>
          <w:rFonts w:hint="eastAsia" w:ascii="宋体" w:hAnsi="宋体" w:cs="宋体"/>
          <w:color w:val="auto"/>
          <w:sz w:val="24"/>
          <w:highlight w:val="none"/>
        </w:rPr>
        <w:t>广西壮族自治区政府采购网（http://zfcg.gxzf.gov.cn）、</w:t>
      </w:r>
    </w:p>
    <w:p w14:paraId="72E14580">
      <w:pPr>
        <w:pStyle w:val="23"/>
        <w:spacing w:line="500" w:lineRule="exact"/>
        <w:ind w:firstLine="439" w:firstLineChars="183"/>
        <w:rPr>
          <w:rFonts w:hint="eastAsia" w:ascii="宋体" w:hAnsi="宋体" w:cs="宋体"/>
          <w:color w:val="auto"/>
          <w:highlight w:val="none"/>
        </w:rPr>
      </w:pPr>
      <w:r>
        <w:rPr>
          <w:rFonts w:hint="eastAsia" w:ascii="宋体" w:hAnsi="宋体" w:cs="宋体"/>
          <w:color w:val="auto"/>
          <w:sz w:val="24"/>
          <w:highlight w:val="none"/>
        </w:rPr>
        <w:t>全国公共资源交易平台(广西.河池)（http://ggzy.jgswj.gxzf.gov.cn/hcggzy）</w:t>
      </w:r>
    </w:p>
    <w:p w14:paraId="5F883AD1">
      <w:pPr>
        <w:pStyle w:val="23"/>
        <w:spacing w:line="500" w:lineRule="exact"/>
        <w:ind w:firstLine="439" w:firstLineChars="183"/>
        <w:rPr>
          <w:rFonts w:hint="eastAsia" w:ascii="宋体" w:hAnsi="宋体" w:cs="宋体"/>
          <w:color w:val="auto"/>
          <w:sz w:val="24"/>
          <w:highlight w:val="none"/>
        </w:rPr>
      </w:pPr>
      <w:r>
        <w:rPr>
          <w:rFonts w:hint="eastAsia" w:ascii="宋体" w:hAnsi="宋体" w:cs="宋体"/>
          <w:color w:val="auto"/>
          <w:sz w:val="24"/>
          <w:highlight w:val="none"/>
        </w:rPr>
        <w:t>3、在线竞标响应（电子竞标）说明</w:t>
      </w:r>
    </w:p>
    <w:p w14:paraId="563DD213">
      <w:pPr>
        <w:pStyle w:val="23"/>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竞标响应（电子竞标），竞标人需要先安装“广西政府采购云平台电子交易客户端”，并按照本竞争性谈判文件和广西政府采购云平台的要求，通过“广西政府采购云平台电子交易客户端”编制并加密响应文件。竞标人未按规定编制并加密的响应文件，广西政府采购云平台将予以拒收。</w:t>
      </w:r>
    </w:p>
    <w:p w14:paraId="732D08D3">
      <w:pPr>
        <w:pStyle w:val="23"/>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广西政府采购云平台电子交易客户端”请自行前往广西政府采购网下载并安装（http://zfcg.gxzf.gov.cn/）；电子竞标具体操作流程参考《政府采购项目电子交易管理操作指南-竞标人》，指南可在“广西政府采购云平台（https://www.gcy.zfcg.gxzf.gov.cn）服务中心-帮助文档-最新指南”下载；通过广西政府采购云平台参与在线竞标时如遇平台技术问题详询95763。</w:t>
      </w:r>
    </w:p>
    <w:p w14:paraId="27E1D011">
      <w:pPr>
        <w:pStyle w:val="23"/>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确保网上操作合法、有效和安全，竞标人应当在响应文件递交截止时间前完成在“广西政府采购云平台”的身份认证，确保在电子竞标过程中能够对相关数据电文进行加密和使用电子签章。使用“广西政府采购云平台电子交易客户端”需要提前申领CA数字证书；</w:t>
      </w:r>
    </w:p>
    <w:p w14:paraId="5F7FECE3">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3）竞标人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644D9BD5">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（4）响应文件提交截止时间后，代理机构向各竞标人发出电子加密响应文件【开始解密】通知，代理机构发起解密通知后 30 分钟内，响应文件提交截止时间前已将生成的“电子加密响应文件”上传递交至广西政府采购云平台的竞标人，必须在此时间段内登录广西政府采购云平台，用“项目采购-开标评标”功能完成电子响应文件的解密。竞标人响应文件提交截止前通过“广西政府采购云平台”上传递交的“电子加密响应文件”无法正常解密的，请及时联系代理机构，代理机构与项目归属监督部门备案后告知竞标人通过邮件传输递交电子备份文件，通过邮件传输递交电子备份文件也必须在发起解密通知后 30 分钟内完成，逾期未完成传输的，拒收其响应文件。</w:t>
      </w:r>
    </w:p>
    <w:p w14:paraId="300DCA2B">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5）请各竞标人在获取采购文件时，认真填写竞标人名称、联系人、联系电话等相关信息。项目开标当天联系人要保持电话畅通，如因竞标人自身原因导致无法响应文件无法正常解密、电子备份文件未能在规定的时间内传输递交、无法正常谈判等，后果由竞标人自行承担。</w:t>
      </w:r>
    </w:p>
    <w:p w14:paraId="7AFCDFC4">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（6）本项目为全流程电子标项目，无需竞标人来开标现场递交响应文件，竞标人授权委托代理人可以不用到开标现场参加开标（截标）会。</w:t>
      </w:r>
    </w:p>
    <w:p w14:paraId="104181AC">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注：能够处理异常解密、递交电子备份文件的前提，是竞标人已上传了标书且未能按时正常解密标书；系统生成标书时，生成两份，一份是投标用的标书，一份是备份标书；提供的备份标书要跟上传的电子标书是同一份，否则系统也不支持进行异常解密。</w:t>
      </w:r>
    </w:p>
    <w:p w14:paraId="3580CBB2">
      <w:pPr>
        <w:widowControl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bookmarkEnd w:id="29"/>
      <w:bookmarkEnd w:id="30"/>
      <w:bookmarkEnd w:id="31"/>
      <w:bookmarkEnd w:id="32"/>
    </w:p>
    <w:p w14:paraId="7E1691C7">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1.采购人信息</w:t>
      </w:r>
    </w:p>
    <w:p w14:paraId="30034D50">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名    称：</w:t>
      </w:r>
      <w:bookmarkStart w:id="33" w:name="_Toc28359020"/>
      <w:bookmarkStart w:id="34" w:name="_Toc35393638"/>
      <w:bookmarkStart w:id="35" w:name="_Toc35393807"/>
      <w:bookmarkStart w:id="36" w:name="_Toc28359097"/>
      <w:r>
        <w:rPr>
          <w:rFonts w:hint="eastAsia" w:ascii="宋体" w:hAnsi="宋体" w:cs="宋体"/>
          <w:color w:val="auto"/>
          <w:sz w:val="24"/>
          <w:highlight w:val="none"/>
        </w:rPr>
        <w:t>河池市公安局</w:t>
      </w:r>
    </w:p>
    <w:p w14:paraId="209DCCA0">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地    址：河池市金城江区金城东路32号</w:t>
      </w:r>
    </w:p>
    <w:p w14:paraId="336778FC">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联系方式：0778-2295188 </w:t>
      </w:r>
    </w:p>
    <w:p w14:paraId="60CACE96">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2.采购代理机构信息</w:t>
      </w:r>
      <w:bookmarkEnd w:id="33"/>
      <w:bookmarkEnd w:id="34"/>
      <w:bookmarkEnd w:id="35"/>
      <w:bookmarkEnd w:id="36"/>
      <w:r>
        <w:rPr>
          <w:rFonts w:hint="eastAsia" w:ascii="宋体" w:hAnsi="宋体" w:cs="宋体"/>
          <w:color w:val="auto"/>
          <w:sz w:val="24"/>
          <w:highlight w:val="none"/>
        </w:rPr>
        <w:t>：</w:t>
      </w:r>
    </w:p>
    <w:p w14:paraId="1996582B">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名    称：广西真诚工程咨询有限公司</w:t>
      </w:r>
    </w:p>
    <w:p w14:paraId="15A51E29">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地    址：河池市金城江区金城中路2-4号铜鼓园写字楼3楼B座</w:t>
      </w:r>
    </w:p>
    <w:p w14:paraId="14DD2556">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联系方式：0778-2206666</w:t>
      </w:r>
    </w:p>
    <w:p w14:paraId="06892181">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14208166">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项目联系人：阮工   电话：0778-2206666</w:t>
      </w:r>
    </w:p>
    <w:p w14:paraId="391AF79C">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 xml:space="preserve">4.监督部门：河池市财政局政府采购监督管理科  联系电话：0778-2270025   </w:t>
      </w:r>
    </w:p>
    <w:p w14:paraId="502EC429">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 xml:space="preserve">5.交易服务单位：河池市公共资源交易中心      联系电话：0778－2302718 </w:t>
      </w:r>
    </w:p>
    <w:p w14:paraId="6B327D51">
      <w:pPr>
        <w:pStyle w:val="23"/>
        <w:spacing w:line="500" w:lineRule="exact"/>
        <w:ind w:firstLine="468"/>
        <w:rPr>
          <w:rFonts w:hint="eastAsia" w:ascii="宋体" w:hAnsi="宋体" w:cs="宋体"/>
          <w:color w:val="auto"/>
          <w:sz w:val="24"/>
          <w:highlight w:val="none"/>
        </w:rPr>
      </w:pP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p>
    <w:p w14:paraId="767BE049">
      <w:pPr>
        <w:pStyle w:val="16"/>
        <w:rPr>
          <w:rFonts w:hint="eastAsia" w:ascii="宋体" w:hAnsi="宋体" w:cs="宋体"/>
          <w:color w:val="auto"/>
          <w:highlight w:val="none"/>
        </w:rPr>
      </w:pPr>
    </w:p>
    <w:p w14:paraId="0FBDC888">
      <w:pPr>
        <w:rPr>
          <w:color w:val="auto"/>
          <w:highlight w:val="none"/>
        </w:rPr>
      </w:pPr>
    </w:p>
    <w:p w14:paraId="1BD55B37">
      <w:pPr>
        <w:pStyle w:val="2"/>
        <w:spacing w:before="240" w:beforeLines="100" w:after="240" w:afterLines="100"/>
        <w:ind w:firstLine="1084" w:firstLineChars="300"/>
        <w:rPr>
          <w:rFonts w:hint="eastAsia" w:ascii="宋体" w:hAnsi="宋体" w:eastAsia="宋体" w:cs="宋体"/>
          <w:b/>
          <w:bCs/>
          <w:color w:val="auto"/>
          <w:highlight w:val="none"/>
        </w:rPr>
      </w:pPr>
      <w:bookmarkStart w:id="37" w:name="_Toc246095514"/>
      <w:bookmarkStart w:id="38" w:name="_Toc246094908"/>
      <w:bookmarkStart w:id="39" w:name="_Toc13678"/>
      <w:bookmarkStart w:id="40" w:name="_Toc246095452"/>
      <w:r>
        <w:rPr>
          <w:rFonts w:hint="eastAsia" w:ascii="宋体" w:hAnsi="宋体" w:eastAsia="宋体" w:cs="宋体"/>
          <w:b/>
          <w:bCs/>
          <w:color w:val="auto"/>
          <w:highlight w:val="none"/>
        </w:rPr>
        <w:br w:type="page"/>
      </w:r>
    </w:p>
    <w:p w14:paraId="045C2E46">
      <w:pPr>
        <w:pStyle w:val="2"/>
        <w:spacing w:before="240" w:beforeLines="100" w:after="240" w:afterLines="100"/>
        <w:ind w:firstLine="1084" w:firstLineChars="300"/>
        <w:rPr>
          <w:rFonts w:hint="eastAsia" w:ascii="宋体" w:hAnsi="宋体" w:eastAsia="宋体" w:cs="宋体"/>
          <w:color w:val="auto"/>
          <w:highlight w:val="none"/>
        </w:rPr>
      </w:pPr>
      <w:r>
        <w:rPr>
          <w:rFonts w:hint="eastAsia" w:ascii="宋体" w:hAnsi="宋体" w:eastAsia="宋体" w:cs="宋体"/>
          <w:b/>
          <w:bCs/>
          <w:color w:val="auto"/>
          <w:highlight w:val="none"/>
        </w:rPr>
        <w:t>第二章  竞标人须知</w:t>
      </w:r>
      <w:bookmarkEnd w:id="37"/>
      <w:bookmarkEnd w:id="38"/>
      <w:bookmarkEnd w:id="39"/>
      <w:bookmarkEnd w:id="40"/>
    </w:p>
    <w:p w14:paraId="38B86B2A">
      <w:pPr>
        <w:pStyle w:val="3"/>
        <w:spacing w:after="240" w:afterLines="100" w:line="400" w:lineRule="exact"/>
        <w:ind w:firstLine="640" w:firstLineChars="200"/>
        <w:rPr>
          <w:rFonts w:hint="eastAsia" w:ascii="宋体" w:hAnsi="宋体" w:eastAsia="宋体" w:cs="宋体"/>
          <w:color w:val="auto"/>
          <w:highlight w:val="none"/>
        </w:rPr>
      </w:pPr>
      <w:bookmarkStart w:id="41" w:name="_Toc246094909"/>
      <w:bookmarkStart w:id="42" w:name="_Toc246095453"/>
      <w:bookmarkStart w:id="43" w:name="_Toc246095515"/>
      <w:bookmarkStart w:id="44" w:name="_Toc31896"/>
      <w:r>
        <w:rPr>
          <w:rFonts w:hint="eastAsia" w:ascii="宋体" w:hAnsi="宋体" w:eastAsia="宋体" w:cs="宋体"/>
          <w:color w:val="auto"/>
          <w:highlight w:val="none"/>
        </w:rPr>
        <w:t>竞标人须知前附表</w:t>
      </w:r>
      <w:bookmarkEnd w:id="41"/>
      <w:bookmarkEnd w:id="42"/>
      <w:bookmarkEnd w:id="43"/>
      <w:bookmarkEnd w:id="44"/>
    </w:p>
    <w:tbl>
      <w:tblPr>
        <w:tblStyle w:val="41"/>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625"/>
        <w:gridCol w:w="7226"/>
      </w:tblGrid>
      <w:tr w14:paraId="65BA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blHeader/>
          <w:jc w:val="center"/>
        </w:trPr>
        <w:tc>
          <w:tcPr>
            <w:tcW w:w="1030" w:type="dxa"/>
            <w:vAlign w:val="center"/>
          </w:tcPr>
          <w:p w14:paraId="2BD01669">
            <w:pPr>
              <w:spacing w:after="0"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625" w:type="dxa"/>
            <w:vAlign w:val="center"/>
          </w:tcPr>
          <w:p w14:paraId="00A0F318">
            <w:pPr>
              <w:spacing w:after="0"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226" w:type="dxa"/>
            <w:vAlign w:val="center"/>
          </w:tcPr>
          <w:p w14:paraId="2DE482E0">
            <w:pPr>
              <w:spacing w:after="0" w:line="360" w:lineRule="exact"/>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138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030" w:type="dxa"/>
            <w:vAlign w:val="center"/>
          </w:tcPr>
          <w:p w14:paraId="6458A9B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25" w:type="dxa"/>
            <w:vAlign w:val="center"/>
          </w:tcPr>
          <w:p w14:paraId="7C1D634F">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226" w:type="dxa"/>
            <w:vAlign w:val="center"/>
          </w:tcPr>
          <w:p w14:paraId="11B44156">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称：河池市公安局　　　　　　　　　　　　</w:t>
            </w:r>
          </w:p>
          <w:p w14:paraId="293B28B0">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址：河池市金城江区金城东路32号　</w:t>
            </w:r>
          </w:p>
          <w:p w14:paraId="21E68241">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联系人：覃警官      </w:t>
            </w:r>
          </w:p>
          <w:p w14:paraId="1486EF24">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rPr>
              <w:t>0778-2295188 </w:t>
            </w:r>
            <w:r>
              <w:rPr>
                <w:rFonts w:hint="eastAsia" w:ascii="宋体" w:hAnsi="宋体" w:eastAsia="宋体" w:cs="宋体"/>
                <w:color w:val="auto"/>
                <w:sz w:val="24"/>
                <w:szCs w:val="24"/>
                <w:highlight w:val="none"/>
              </w:rPr>
              <w:t xml:space="preserve">  </w:t>
            </w:r>
          </w:p>
        </w:tc>
      </w:tr>
      <w:tr w14:paraId="498A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74F4596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625" w:type="dxa"/>
            <w:vAlign w:val="center"/>
          </w:tcPr>
          <w:p w14:paraId="416F99B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w:t>
            </w:r>
          </w:p>
        </w:tc>
        <w:tc>
          <w:tcPr>
            <w:tcW w:w="7226" w:type="dxa"/>
            <w:vAlign w:val="center"/>
          </w:tcPr>
          <w:p w14:paraId="43AA6D0D">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名称：广西真诚工程咨询有限公司</w:t>
            </w:r>
          </w:p>
          <w:p w14:paraId="220990B4">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地址：河池市金城江区金城中路2-4号铜鼓园写字楼3楼B座</w:t>
            </w:r>
          </w:p>
          <w:p w14:paraId="024DB8D5">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联系人：阮工        </w:t>
            </w:r>
          </w:p>
          <w:p w14:paraId="52CAB890">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联系电话：0778-2206666</w:t>
            </w:r>
          </w:p>
        </w:tc>
      </w:tr>
      <w:tr w14:paraId="63D9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3EE15B2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625" w:type="dxa"/>
            <w:vAlign w:val="center"/>
          </w:tcPr>
          <w:p w14:paraId="316F1AE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26" w:type="dxa"/>
            <w:vAlign w:val="center"/>
          </w:tcPr>
          <w:p w14:paraId="6AC923D9">
            <w:pPr>
              <w:spacing w:after="0"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河池市第一看守所门禁系统建设</w:t>
            </w:r>
          </w:p>
        </w:tc>
      </w:tr>
      <w:tr w14:paraId="334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3CC6B04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625" w:type="dxa"/>
            <w:vAlign w:val="center"/>
          </w:tcPr>
          <w:p w14:paraId="495C0058">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p>
        </w:tc>
        <w:tc>
          <w:tcPr>
            <w:tcW w:w="7226" w:type="dxa"/>
            <w:vAlign w:val="center"/>
          </w:tcPr>
          <w:p w14:paraId="1B5AA61C">
            <w:pPr>
              <w:spacing w:after="0"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HCZC2025-J1-990152-GXZC</w:t>
            </w:r>
          </w:p>
        </w:tc>
      </w:tr>
      <w:tr w14:paraId="5F2A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3D3FE70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625" w:type="dxa"/>
            <w:vAlign w:val="center"/>
          </w:tcPr>
          <w:p w14:paraId="5C43C58E">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采购预算</w:t>
            </w:r>
          </w:p>
        </w:tc>
        <w:tc>
          <w:tcPr>
            <w:tcW w:w="7226" w:type="dxa"/>
            <w:vAlign w:val="center"/>
          </w:tcPr>
          <w:p w14:paraId="4B49B05A">
            <w:pPr>
              <w:spacing w:after="0" w:line="3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116.7296万元；有效报价范围为小于或等于采购预算，大于采购预算的为无效竞标。</w:t>
            </w:r>
          </w:p>
        </w:tc>
      </w:tr>
      <w:tr w14:paraId="399E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30" w:type="dxa"/>
            <w:vAlign w:val="center"/>
          </w:tcPr>
          <w:p w14:paraId="36D179B7">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625" w:type="dxa"/>
            <w:vAlign w:val="center"/>
          </w:tcPr>
          <w:p w14:paraId="67156127">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资金来源</w:t>
            </w:r>
          </w:p>
        </w:tc>
        <w:tc>
          <w:tcPr>
            <w:tcW w:w="7226" w:type="dxa"/>
            <w:vAlign w:val="center"/>
          </w:tcPr>
          <w:p w14:paraId="2F209AA6">
            <w:pPr>
              <w:spacing w:after="0" w:line="36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财政性资金</w:t>
            </w:r>
          </w:p>
        </w:tc>
      </w:tr>
      <w:tr w14:paraId="059F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6C04184D">
            <w:pPr>
              <w:pStyle w:val="20"/>
              <w:spacing w:line="360" w:lineRule="exact"/>
              <w:jc w:val="center"/>
              <w:rPr>
                <w:rFonts w:hint="eastAsia" w:hAnsi="宋体" w:cs="宋体"/>
                <w:bCs/>
                <w:color w:val="auto"/>
                <w:kern w:val="0"/>
                <w:sz w:val="24"/>
                <w:szCs w:val="24"/>
                <w:highlight w:val="none"/>
              </w:rPr>
            </w:pPr>
            <w:r>
              <w:rPr>
                <w:rFonts w:hint="eastAsia" w:hAnsi="宋体" w:cs="宋体"/>
                <w:bCs/>
                <w:color w:val="auto"/>
                <w:kern w:val="0"/>
                <w:sz w:val="24"/>
                <w:szCs w:val="24"/>
                <w:highlight w:val="none"/>
              </w:rPr>
              <w:t>1.8</w:t>
            </w:r>
          </w:p>
        </w:tc>
        <w:tc>
          <w:tcPr>
            <w:tcW w:w="1625" w:type="dxa"/>
            <w:vAlign w:val="center"/>
          </w:tcPr>
          <w:p w14:paraId="7AD736C7">
            <w:pPr>
              <w:pStyle w:val="20"/>
              <w:spacing w:line="360" w:lineRule="exact"/>
              <w:jc w:val="center"/>
              <w:rPr>
                <w:rFonts w:hint="eastAsia" w:hAnsi="宋体" w:cs="宋体"/>
                <w:color w:val="auto"/>
                <w:kern w:val="0"/>
                <w:sz w:val="24"/>
                <w:szCs w:val="24"/>
                <w:highlight w:val="none"/>
              </w:rPr>
            </w:pPr>
            <w:r>
              <w:rPr>
                <w:rFonts w:hint="eastAsia" w:hAnsi="宋体" w:cs="宋体"/>
                <w:color w:val="auto"/>
                <w:kern w:val="0"/>
                <w:sz w:val="24"/>
                <w:szCs w:val="24"/>
                <w:highlight w:val="none"/>
              </w:rPr>
              <w:t>所属行业</w:t>
            </w:r>
          </w:p>
        </w:tc>
        <w:tc>
          <w:tcPr>
            <w:tcW w:w="7226" w:type="dxa"/>
            <w:vAlign w:val="center"/>
          </w:tcPr>
          <w:p w14:paraId="7012DAA3">
            <w:pPr>
              <w:pStyle w:val="20"/>
              <w:spacing w:line="360" w:lineRule="exact"/>
              <w:ind w:left="682" w:hanging="681" w:hangingChars="284"/>
              <w:rPr>
                <w:rFonts w:hint="eastAsia" w:hAnsi="宋体" w:cs="宋体"/>
                <w:color w:val="auto"/>
                <w:kern w:val="0"/>
                <w:sz w:val="24"/>
                <w:szCs w:val="24"/>
                <w:highlight w:val="none"/>
              </w:rPr>
            </w:pPr>
            <w:r>
              <w:rPr>
                <w:rFonts w:hint="eastAsia" w:hAnsi="宋体" w:cs="宋体"/>
                <w:color w:val="auto"/>
                <w:kern w:val="0"/>
                <w:sz w:val="24"/>
                <w:szCs w:val="24"/>
                <w:highlight w:val="none"/>
              </w:rPr>
              <w:t>工业</w:t>
            </w:r>
          </w:p>
        </w:tc>
      </w:tr>
      <w:tr w14:paraId="7B05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01C0DD8">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625" w:type="dxa"/>
            <w:vAlign w:val="center"/>
          </w:tcPr>
          <w:p w14:paraId="2394E0C3">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竞标人资格条件</w:t>
            </w:r>
          </w:p>
        </w:tc>
        <w:tc>
          <w:tcPr>
            <w:tcW w:w="7226" w:type="dxa"/>
            <w:vAlign w:val="center"/>
          </w:tcPr>
          <w:p w14:paraId="5AC47D1D">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3070FAB">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2.落实政府采购政策需满足的资格要求：本项目专门面向中小企业采购的项目。</w:t>
            </w:r>
          </w:p>
          <w:p w14:paraId="05C6F285">
            <w:pPr>
              <w:widowControl w:val="0"/>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b/>
                <w:bCs/>
                <w:color w:val="auto"/>
                <w:sz w:val="21"/>
                <w:szCs w:val="21"/>
                <w:highlight w:val="none"/>
              </w:rPr>
              <w:t xml:space="preserve">无。 </w:t>
            </w:r>
          </w:p>
          <w:p w14:paraId="6138171D">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位负责人为同一人或者存在直接控股、管理关系的不同竞标人，不得参加同一合同项下的政府采购活动。除单一来源采购项目外，为采购项目提供整体设计、规范编制或者项目管理、监理、检测等服务的竞标人，不得再参加该采购项目的其他采购活动；</w:t>
            </w:r>
          </w:p>
          <w:p w14:paraId="64914EF4">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在“信用中国”网站(www.creditchina.gov.cn)、中国政府采购网(www.ccgp.gov.cn)等渠道列入失信被执行人、重大税收违法失信主体、政府采购严重违法失信行为记录名单及其他不符合《中华人民共和国政府采购法》第二十二条规定条件的竞标人，不得参与政府采购活动。</w:t>
            </w:r>
          </w:p>
          <w:p w14:paraId="350B0FB7">
            <w:pPr>
              <w:spacing w:after="0" w:line="360" w:lineRule="exact"/>
              <w:rPr>
                <w:color w:val="auto"/>
                <w:highlight w:val="none"/>
              </w:rPr>
            </w:pPr>
            <w:r>
              <w:rPr>
                <w:rFonts w:hint="eastAsia" w:ascii="宋体" w:hAnsi="宋体" w:eastAsia="宋体" w:cs="宋体"/>
                <w:color w:val="auto"/>
                <w:sz w:val="24"/>
                <w:szCs w:val="24"/>
                <w:highlight w:val="none"/>
              </w:rPr>
              <w:t>6.本项目不接受未按竞争性谈判公告要求获取采购文件的竞标人谈判。</w:t>
            </w:r>
          </w:p>
        </w:tc>
      </w:tr>
      <w:tr w14:paraId="22C4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0C14CAA1">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1625" w:type="dxa"/>
            <w:vAlign w:val="center"/>
          </w:tcPr>
          <w:p w14:paraId="6C9568FA">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7226" w:type="dxa"/>
            <w:vAlign w:val="center"/>
          </w:tcPr>
          <w:p w14:paraId="3A1514E0">
            <w:pPr>
              <w:autoSpaceDE w:val="0"/>
              <w:autoSpaceDN w:val="0"/>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本项目招标代理服务费按本章第33条规定的费率标准，按差额定率累进法计算。成交人领取成交通知书前，应向采购代理机构一次付清招标代理服务费。</w:t>
            </w:r>
          </w:p>
        </w:tc>
      </w:tr>
      <w:tr w14:paraId="7E86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FD82A3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1625" w:type="dxa"/>
            <w:vAlign w:val="center"/>
          </w:tcPr>
          <w:p w14:paraId="7FB64B67">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现场勘察</w:t>
            </w:r>
          </w:p>
        </w:tc>
        <w:tc>
          <w:tcPr>
            <w:tcW w:w="7226" w:type="dxa"/>
            <w:vAlign w:val="center"/>
          </w:tcPr>
          <w:p w14:paraId="735289DF">
            <w:pPr>
              <w:autoSpaceDE w:val="0"/>
              <w:autoSpaceDN w:val="0"/>
              <w:spacing w:after="0" w:line="360" w:lineRule="exact"/>
              <w:ind w:firstLine="480" w:firstLineChars="20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0" distR="0">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hint="eastAsia" w:ascii="宋体" w:hAnsi="宋体" w:eastAsia="宋体" w:cs="宋体"/>
                <w:color w:val="auto"/>
                <w:sz w:val="24"/>
                <w:szCs w:val="24"/>
                <w:highlight w:val="none"/>
              </w:rPr>
              <w:t>不组织。由竞标人自行决定是否勘察现场，建议竞标人自行对项目现场和其周围环境进行现场勘察，以获取有关编制响应文件和签署实施项目合同所需的各种资料。</w:t>
            </w:r>
          </w:p>
        </w:tc>
      </w:tr>
      <w:tr w14:paraId="1154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30" w:type="dxa"/>
            <w:vAlign w:val="center"/>
          </w:tcPr>
          <w:p w14:paraId="69E817B8">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w:t>
            </w:r>
          </w:p>
        </w:tc>
        <w:tc>
          <w:tcPr>
            <w:tcW w:w="1625" w:type="dxa"/>
            <w:vAlign w:val="center"/>
          </w:tcPr>
          <w:p w14:paraId="5D852C3E">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价格文件组成内容</w:t>
            </w:r>
          </w:p>
        </w:tc>
        <w:tc>
          <w:tcPr>
            <w:tcW w:w="7226" w:type="dxa"/>
            <w:vAlign w:val="center"/>
          </w:tcPr>
          <w:p w14:paraId="29310F6A">
            <w:pPr>
              <w:autoSpaceDE w:val="0"/>
              <w:autoSpaceDN w:val="0"/>
              <w:spacing w:after="0"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价格文件（下列文件列明“必须提供”的，须加盖公章按要求提供，否则作竞标无效处理）</w:t>
            </w:r>
            <w:r>
              <w:rPr>
                <w:rFonts w:hint="eastAsia" w:ascii="宋体" w:hAnsi="宋体" w:eastAsia="宋体" w:cs="宋体"/>
                <w:color w:val="auto"/>
                <w:sz w:val="24"/>
                <w:szCs w:val="24"/>
                <w:highlight w:val="none"/>
              </w:rPr>
              <w:t>：</w:t>
            </w:r>
          </w:p>
          <w:p w14:paraId="446DF9BB">
            <w:pPr>
              <w:pStyle w:val="71"/>
              <w:autoSpaceDE w:val="0"/>
              <w:autoSpaceDN w:val="0"/>
              <w:spacing w:after="0" w:line="360" w:lineRule="exact"/>
              <w:ind w:left="840" w:hanging="36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谈判报价表；（格式见附件，</w:t>
            </w:r>
            <w:r>
              <w:rPr>
                <w:rFonts w:hint="eastAsia" w:ascii="宋体" w:hAnsi="宋体" w:eastAsia="宋体" w:cs="宋体"/>
                <w:b/>
                <w:color w:val="auto"/>
                <w:sz w:val="24"/>
                <w:szCs w:val="24"/>
                <w:highlight w:val="none"/>
              </w:rPr>
              <w:t>必须提供)</w:t>
            </w:r>
          </w:p>
          <w:p w14:paraId="687CC101">
            <w:pPr>
              <w:autoSpaceDE w:val="0"/>
              <w:autoSpaceDN w:val="0"/>
              <w:spacing w:after="0" w:line="360" w:lineRule="exact"/>
              <w:ind w:left="840" w:hanging="360"/>
              <w:rPr>
                <w:color w:val="auto"/>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竞标人针对报价需要说明的其他文件和说明（格式自拟）。</w:t>
            </w:r>
          </w:p>
        </w:tc>
      </w:tr>
      <w:tr w14:paraId="3E57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029598AE">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w:t>
            </w:r>
          </w:p>
        </w:tc>
        <w:tc>
          <w:tcPr>
            <w:tcW w:w="1625" w:type="dxa"/>
            <w:vAlign w:val="center"/>
          </w:tcPr>
          <w:p w14:paraId="4EFDB83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商务技术文件组成内容</w:t>
            </w:r>
          </w:p>
        </w:tc>
        <w:tc>
          <w:tcPr>
            <w:tcW w:w="7226" w:type="dxa"/>
            <w:vAlign w:val="center"/>
          </w:tcPr>
          <w:p w14:paraId="2859273E">
            <w:pPr>
              <w:topLinePunct/>
              <w:adjustRightInd/>
              <w:spacing w:after="0" w:line="3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技术文件（下列文件列明“必须提供”的，须加盖公章按要求提供，否则作竞标无效处理；其余项结合第三章“项目采购需求和说明”要求提供，要求“必须提供”的，如未提供，谈判小组有权拒绝其响应文件。</w:t>
            </w:r>
            <w:r>
              <w:rPr>
                <w:rFonts w:hint="eastAsia" w:ascii="宋体" w:hAnsi="宋体" w:eastAsia="宋体" w:cs="宋体"/>
                <w:b/>
                <w:color w:val="auto"/>
                <w:sz w:val="24"/>
                <w:szCs w:val="24"/>
                <w:highlight w:val="none"/>
                <w:u w:val="single"/>
              </w:rPr>
              <w:t>竞标人所提供的材料不完整，或模糊不清以致关键信息无法辨认的，谈判小组有权认定该材料无效</w:t>
            </w:r>
            <w:r>
              <w:rPr>
                <w:rFonts w:hint="eastAsia" w:ascii="宋体" w:hAnsi="宋体" w:eastAsia="宋体" w:cs="宋体"/>
                <w:b/>
                <w:color w:val="auto"/>
                <w:sz w:val="24"/>
                <w:szCs w:val="24"/>
                <w:highlight w:val="none"/>
              </w:rPr>
              <w:t>。其他如有请提供）</w:t>
            </w:r>
          </w:p>
          <w:p w14:paraId="0643EB28">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bookmarkStart w:id="45" w:name="_Hlk38193327"/>
            <w:r>
              <w:rPr>
                <w:rFonts w:hint="eastAsia" w:ascii="宋体" w:hAnsi="宋体" w:eastAsia="宋体" w:cs="宋体"/>
                <w:color w:val="auto"/>
                <w:sz w:val="24"/>
                <w:szCs w:val="24"/>
                <w:highlight w:val="none"/>
              </w:rPr>
              <w:t>谈判书；（格式见附件，</w:t>
            </w:r>
            <w:r>
              <w:rPr>
                <w:rFonts w:hint="eastAsia" w:ascii="宋体" w:hAnsi="宋体" w:eastAsia="宋体" w:cs="宋体"/>
                <w:b/>
                <w:color w:val="auto"/>
                <w:sz w:val="24"/>
                <w:szCs w:val="24"/>
                <w:highlight w:val="none"/>
              </w:rPr>
              <w:t>必须提供)</w:t>
            </w:r>
          </w:p>
          <w:p w14:paraId="5770C168">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竞标声明书；（格式见附件，</w:t>
            </w:r>
            <w:r>
              <w:rPr>
                <w:rFonts w:hint="eastAsia" w:ascii="宋体" w:hAnsi="宋体" w:eastAsia="宋体" w:cs="宋体"/>
                <w:b/>
                <w:color w:val="auto"/>
                <w:sz w:val="24"/>
                <w:szCs w:val="24"/>
                <w:highlight w:val="none"/>
              </w:rPr>
              <w:t>必须提供)</w:t>
            </w:r>
          </w:p>
          <w:p w14:paraId="17BF3B06">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技术响应、偏离情况说明表及商务偏离表；（格式见附件，</w:t>
            </w:r>
            <w:r>
              <w:rPr>
                <w:rFonts w:hint="eastAsia" w:ascii="宋体" w:hAnsi="宋体" w:eastAsia="宋体" w:cs="宋体"/>
                <w:b/>
                <w:color w:val="auto"/>
                <w:sz w:val="24"/>
                <w:szCs w:val="24"/>
                <w:highlight w:val="none"/>
              </w:rPr>
              <w:t>必须提供)</w:t>
            </w:r>
          </w:p>
          <w:p w14:paraId="5BF8CA6F">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售后服务承诺（由竞标人按本项目竞争性谈判文件第三章“项目采购需求和说明”要求自行编制）；</w:t>
            </w:r>
            <w:r>
              <w:rPr>
                <w:rFonts w:hint="eastAsia" w:ascii="宋体" w:hAnsi="宋体" w:eastAsia="宋体" w:cs="宋体"/>
                <w:b/>
                <w:color w:val="auto"/>
                <w:sz w:val="24"/>
                <w:szCs w:val="24"/>
                <w:highlight w:val="none"/>
              </w:rPr>
              <w:t>（必须提供）</w:t>
            </w:r>
          </w:p>
          <w:p w14:paraId="3E924BC8">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有效的“营业执照”正本或副本复印件(事业单位提供事业单位法人证书）；</w:t>
            </w:r>
            <w:r>
              <w:rPr>
                <w:rFonts w:hint="eastAsia" w:ascii="宋体" w:hAnsi="宋体" w:eastAsia="宋体" w:cs="宋体"/>
                <w:b/>
                <w:color w:val="auto"/>
                <w:sz w:val="24"/>
                <w:szCs w:val="24"/>
                <w:highlight w:val="none"/>
              </w:rPr>
              <w:t>(必须提供)</w:t>
            </w:r>
          </w:p>
          <w:p w14:paraId="3F9C1788">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之日前近半年以来连续三个月依法缴纳税费或依法免缴税费（包括无纳税记录或零报税）的证明（新成立的且不足三个月的企业按实际提供），证明材料可以是：银行已缴纳税费凭证复印件或第三方有效的相关业务托缴凭证或其他有效证明，或竞标人所在地税务部门出具的有效证明（复印件）；(必须提供)；</w:t>
            </w:r>
            <w:r>
              <w:rPr>
                <w:rFonts w:hint="eastAsia" w:ascii="宋体" w:hAnsi="宋体" w:eastAsia="宋体" w:cs="宋体"/>
                <w:b/>
                <w:color w:val="auto"/>
                <w:sz w:val="24"/>
                <w:szCs w:val="24"/>
                <w:highlight w:val="none"/>
              </w:rPr>
              <w:t>(必须提供)</w:t>
            </w:r>
          </w:p>
          <w:p w14:paraId="1A95EB6F">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之日前近半年以来连续三个月依法缴纳社会保险费（新成立的且不足三个月的企业按实际提供），证明材料可以是：银行已缴纳社会保险费凭证复印件或第三方有效的相关业务托缴凭证或其他有效证明（复印件）；</w:t>
            </w:r>
            <w:r>
              <w:rPr>
                <w:rFonts w:hint="eastAsia" w:ascii="宋体" w:hAnsi="宋体" w:eastAsia="宋体" w:cs="宋体"/>
                <w:b/>
                <w:color w:val="auto"/>
                <w:sz w:val="24"/>
                <w:szCs w:val="24"/>
                <w:highlight w:val="none"/>
              </w:rPr>
              <w:t>（必须提供）</w:t>
            </w:r>
          </w:p>
          <w:p w14:paraId="3519A0C9">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2024年度经第三方审计的财务报表（账务报表至少包含资产负债表、利润表、现金流量表及其附注、审计报告）复印件或竞标人提交响应文件截止之日前三个月内其基本开户银行出具的银行资信证明（仅提供银行出具的存款证明不能作为其银行资信证明）复印件；</w:t>
            </w:r>
            <w:r>
              <w:rPr>
                <w:rFonts w:hint="eastAsia" w:ascii="宋体" w:hAnsi="宋体" w:eastAsia="宋体" w:cs="宋体"/>
                <w:b/>
                <w:color w:val="auto"/>
                <w:sz w:val="24"/>
                <w:szCs w:val="24"/>
                <w:highlight w:val="none"/>
              </w:rPr>
              <w:t>（必须提供）</w:t>
            </w:r>
          </w:p>
          <w:p w14:paraId="348805D6">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具备履行合同所必需的设备和专业技术服务能力的承诺书（格式见附件）；</w:t>
            </w:r>
            <w:r>
              <w:rPr>
                <w:rFonts w:hint="eastAsia" w:ascii="宋体" w:hAnsi="宋体" w:eastAsia="宋体" w:cs="宋体"/>
                <w:b/>
                <w:color w:val="auto"/>
                <w:sz w:val="24"/>
                <w:szCs w:val="24"/>
                <w:highlight w:val="none"/>
              </w:rPr>
              <w:t>（必须提供）</w:t>
            </w:r>
          </w:p>
          <w:p w14:paraId="79F0BCCF">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参加本次政府采购活动前三年内在经营活动中无重大违法记录的书面声明原件；（格式见附件，</w:t>
            </w:r>
            <w:r>
              <w:rPr>
                <w:rFonts w:hint="eastAsia" w:ascii="宋体" w:hAnsi="宋体" w:eastAsia="宋体" w:cs="宋体"/>
                <w:b/>
                <w:color w:val="auto"/>
                <w:sz w:val="24"/>
                <w:szCs w:val="24"/>
                <w:highlight w:val="none"/>
              </w:rPr>
              <w:t>必须提供）</w:t>
            </w:r>
          </w:p>
          <w:p w14:paraId="7E7BE97E">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本须知3.1款对竞标人特定要求的证明材料</w:t>
            </w:r>
            <w:r>
              <w:rPr>
                <w:rFonts w:hint="eastAsia" w:ascii="宋体" w:hAnsi="宋体" w:eastAsia="宋体" w:cs="宋体"/>
                <w:b/>
                <w:color w:val="auto"/>
                <w:sz w:val="24"/>
                <w:szCs w:val="24"/>
                <w:highlight w:val="none"/>
              </w:rPr>
              <w:t>（如有要求的，必须提供）</w:t>
            </w:r>
          </w:p>
          <w:p w14:paraId="1A1E777F">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竞标人控股及管理关系情况申报表；（格式见附件，</w:t>
            </w:r>
            <w:r>
              <w:rPr>
                <w:rFonts w:hint="eastAsia" w:ascii="宋体" w:hAnsi="宋体" w:eastAsia="宋体" w:cs="宋体"/>
                <w:b/>
                <w:color w:val="auto"/>
                <w:sz w:val="24"/>
                <w:szCs w:val="24"/>
                <w:highlight w:val="none"/>
              </w:rPr>
              <w:t>必须提供)</w:t>
            </w:r>
          </w:p>
          <w:p w14:paraId="29F32707">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法定代表人身份证明书原件及法定代表人有效身份证正反面复印件；（格式见附件）</w:t>
            </w:r>
            <w:r>
              <w:rPr>
                <w:rFonts w:hint="eastAsia" w:ascii="宋体" w:hAnsi="宋体" w:eastAsia="宋体" w:cs="宋体"/>
                <w:b/>
                <w:color w:val="auto"/>
                <w:sz w:val="24"/>
                <w:szCs w:val="24"/>
                <w:highlight w:val="none"/>
              </w:rPr>
              <w:t>（必须提供）</w:t>
            </w:r>
          </w:p>
          <w:p w14:paraId="5EDA2260">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法定代表人授权委托书原件及被授权人有效身份证正反面复印件；（格式见附件，</w:t>
            </w:r>
            <w:r>
              <w:rPr>
                <w:rFonts w:hint="eastAsia" w:ascii="宋体" w:hAnsi="宋体" w:eastAsia="宋体" w:cs="宋体"/>
                <w:b/>
                <w:color w:val="auto"/>
                <w:sz w:val="24"/>
                <w:szCs w:val="24"/>
                <w:highlight w:val="none"/>
              </w:rPr>
              <w:t>委托时必须提供，否则竞标无效）</w:t>
            </w:r>
            <w:bookmarkEnd w:id="45"/>
          </w:p>
          <w:p w14:paraId="1B0735AC">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是中小企业，须提供中小企业声明函（格式后附）；若是监狱企业，须提供由省级以上监狱管理局、戒毒管理局(含新疆生产建设兵团)出具的属于监狱企业的证明文件）；若是残疾人福利性单位参加，须提供该通知规定的《残疾人福利性单位声明函》（格式后附）；</w:t>
            </w:r>
            <w:r>
              <w:rPr>
                <w:rFonts w:hint="eastAsia" w:ascii="宋体" w:hAnsi="宋体" w:eastAsia="宋体" w:cs="宋体"/>
                <w:b/>
                <w:bCs/>
                <w:color w:val="auto"/>
                <w:sz w:val="24"/>
                <w:szCs w:val="24"/>
                <w:highlight w:val="none"/>
                <w:lang w:eastAsia="zh-CN"/>
              </w:rPr>
              <w:t>中小企业声明函只需对本项目主要标的物进行填写，辅材、配件不做要求，可不填写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竞标时必须提供，否则作无效竞标处理</w:t>
            </w:r>
            <w:r>
              <w:rPr>
                <w:rFonts w:hint="eastAsia" w:ascii="宋体" w:hAnsi="宋体" w:eastAsia="宋体" w:cs="宋体"/>
                <w:color w:val="auto"/>
                <w:sz w:val="24"/>
                <w:szCs w:val="24"/>
                <w:highlight w:val="none"/>
              </w:rPr>
              <w:t>】；</w:t>
            </w:r>
          </w:p>
          <w:p w14:paraId="50996D28">
            <w:pPr>
              <w:pStyle w:val="71"/>
              <w:numPr>
                <w:ilvl w:val="0"/>
                <w:numId w:val="1"/>
              </w:numPr>
              <w:autoSpaceDE w:val="0"/>
              <w:autoSpaceDN w:val="0"/>
              <w:spacing w:after="0" w:line="360" w:lineRule="exact"/>
              <w:ind w:left="2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w:t>
            </w:r>
            <w:r>
              <w:rPr>
                <w:rFonts w:hint="eastAsia" w:ascii="宋体" w:hAnsi="宋体" w:eastAsia="宋体" w:cs="宋体"/>
                <w:color w:val="auto"/>
                <w:sz w:val="24"/>
                <w:szCs w:val="24"/>
                <w:highlight w:val="none"/>
              </w:rPr>
              <w:t>标人认为需要说明的其他文件。（格式自拟，如有请提供）</w:t>
            </w:r>
          </w:p>
        </w:tc>
      </w:tr>
      <w:tr w14:paraId="6C1E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30" w:type="dxa"/>
            <w:vAlign w:val="center"/>
          </w:tcPr>
          <w:p w14:paraId="241EC9D2">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625" w:type="dxa"/>
            <w:vAlign w:val="center"/>
          </w:tcPr>
          <w:p w14:paraId="7ACCC2D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7226" w:type="dxa"/>
            <w:vAlign w:val="center"/>
          </w:tcPr>
          <w:p w14:paraId="77599C0D">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自响应文件提交截止之日起60天（日历天）内</w:t>
            </w:r>
          </w:p>
        </w:tc>
      </w:tr>
      <w:tr w14:paraId="7570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30" w:type="dxa"/>
            <w:vAlign w:val="center"/>
          </w:tcPr>
          <w:p w14:paraId="6346DB4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625" w:type="dxa"/>
            <w:vAlign w:val="center"/>
          </w:tcPr>
          <w:p w14:paraId="63241FB9">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7226" w:type="dxa"/>
            <w:vAlign w:val="center"/>
          </w:tcPr>
          <w:p w14:paraId="1D01C07F">
            <w:pPr>
              <w:spacing w:after="0" w:line="360" w:lineRule="exact"/>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无需缴纳保证金。</w:t>
            </w:r>
          </w:p>
        </w:tc>
      </w:tr>
      <w:tr w14:paraId="10F5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0313295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1625" w:type="dxa"/>
            <w:vAlign w:val="center"/>
          </w:tcPr>
          <w:p w14:paraId="4CA75A8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响应文件电子版形式</w:t>
            </w:r>
          </w:p>
        </w:tc>
        <w:tc>
          <w:tcPr>
            <w:tcW w:w="7226" w:type="dxa"/>
            <w:vAlign w:val="center"/>
          </w:tcPr>
          <w:p w14:paraId="401DC122">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广西政府采购云平台项目采购-电子招投标操作指南中上传的电子响应文件。</w:t>
            </w:r>
          </w:p>
        </w:tc>
      </w:tr>
      <w:tr w14:paraId="3DD5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15C7D3F6">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1625" w:type="dxa"/>
            <w:vAlign w:val="center"/>
          </w:tcPr>
          <w:p w14:paraId="11E7FEF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递交响应文件截止时间</w:t>
            </w:r>
          </w:p>
        </w:tc>
        <w:tc>
          <w:tcPr>
            <w:tcW w:w="7226" w:type="dxa"/>
            <w:vAlign w:val="center"/>
          </w:tcPr>
          <w:p w14:paraId="0C0A9443">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递交响应文件截止时间：</w:t>
            </w:r>
            <w:r>
              <w:rPr>
                <w:rFonts w:hint="eastAsia" w:ascii="宋体" w:hAnsi="宋体" w:eastAsia="宋体" w:cs="宋体"/>
                <w:color w:val="auto"/>
                <w:sz w:val="24"/>
                <w:szCs w:val="24"/>
                <w:highlight w:val="none"/>
                <w:u w:val="single"/>
              </w:rPr>
              <w:t>2025年</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日10点00分</w:t>
            </w:r>
          </w:p>
          <w:p w14:paraId="018A28C7">
            <w:pPr>
              <w:spacing w:after="0" w:line="360" w:lineRule="exact"/>
              <w:ind w:firstLine="480" w:firstLineChars="200"/>
              <w:rPr>
                <w:color w:val="auto"/>
                <w:highlight w:val="none"/>
              </w:rPr>
            </w:pPr>
            <w:r>
              <w:rPr>
                <w:rFonts w:hint="eastAsia" w:ascii="宋体" w:hAnsi="宋体" w:eastAsia="宋体" w:cs="宋体"/>
                <w:color w:val="auto"/>
                <w:sz w:val="24"/>
                <w:szCs w:val="24"/>
                <w:highlight w:val="none"/>
              </w:rPr>
              <w:t>电子响应文件解密时间：首次响应文件提交截止时间后 30 分钟内，竞标人必须在此时间段内登录广西政府采购云平台，用“项目采购-开标评标”功能完成电子响应文件的解密。</w:t>
            </w:r>
          </w:p>
        </w:tc>
      </w:tr>
      <w:tr w14:paraId="0239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A64AE2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1625" w:type="dxa"/>
            <w:vAlign w:val="center"/>
          </w:tcPr>
          <w:p w14:paraId="2905BFB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响应文件递交地点</w:t>
            </w:r>
          </w:p>
        </w:tc>
        <w:tc>
          <w:tcPr>
            <w:tcW w:w="7226" w:type="dxa"/>
            <w:vAlign w:val="center"/>
          </w:tcPr>
          <w:p w14:paraId="6BC29587">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本项目为全流程电子化项目，申请人需要提交电子响应文件，电子响应文件必须用数字证书CA锁加密后在响应文件提交截止时间前，通过网络上传至广西政府采购云平台。</w:t>
            </w:r>
          </w:p>
        </w:tc>
      </w:tr>
      <w:tr w14:paraId="47D0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5F5B5AA6">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625" w:type="dxa"/>
            <w:vAlign w:val="center"/>
          </w:tcPr>
          <w:p w14:paraId="1BBB74E3">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w:t>
            </w:r>
          </w:p>
        </w:tc>
        <w:tc>
          <w:tcPr>
            <w:tcW w:w="7226" w:type="dxa"/>
            <w:vAlign w:val="center"/>
          </w:tcPr>
          <w:p w14:paraId="57343E95">
            <w:pPr>
              <w:spacing w:after="0" w:line="36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谈判时间：</w:t>
            </w:r>
            <w:r>
              <w:rPr>
                <w:rFonts w:hint="eastAsia" w:ascii="宋体" w:hAnsi="宋体" w:eastAsia="宋体" w:cs="宋体"/>
                <w:color w:val="auto"/>
                <w:sz w:val="24"/>
                <w:szCs w:val="24"/>
                <w:highlight w:val="none"/>
                <w:u w:val="single"/>
              </w:rPr>
              <w:t>2025年</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日10点00分</w:t>
            </w:r>
            <w:r>
              <w:rPr>
                <w:rFonts w:hint="eastAsia" w:ascii="宋体" w:hAnsi="宋体" w:eastAsia="宋体" w:cs="宋体"/>
                <w:color w:val="auto"/>
                <w:sz w:val="24"/>
                <w:szCs w:val="24"/>
                <w:highlight w:val="none"/>
              </w:rPr>
              <w:t>整截标后</w:t>
            </w:r>
            <w:r>
              <w:rPr>
                <w:rFonts w:hint="eastAsia" w:ascii="宋体" w:hAnsi="宋体" w:eastAsia="宋体" w:cs="宋体"/>
                <w:b/>
                <w:bCs/>
                <w:color w:val="auto"/>
                <w:sz w:val="24"/>
                <w:szCs w:val="24"/>
                <w:highlight w:val="none"/>
              </w:rPr>
              <w:t>（具体时间由采购代理机构另行通知）；</w:t>
            </w:r>
          </w:p>
          <w:p w14:paraId="041C633A">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本项目为全流程电子标项目，无需竞标人来开标现场递交响应文件，竞标人授权委托代理人可以不用到开标现场参加开标（截标）会。代理机构将电话通知竞标人进行谈判等相关事宜。</w:t>
            </w:r>
          </w:p>
        </w:tc>
      </w:tr>
      <w:tr w14:paraId="4243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030" w:type="dxa"/>
            <w:vAlign w:val="center"/>
          </w:tcPr>
          <w:p w14:paraId="5FCC49E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625" w:type="dxa"/>
            <w:vAlign w:val="center"/>
          </w:tcPr>
          <w:p w14:paraId="679B68A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7226" w:type="dxa"/>
            <w:vAlign w:val="center"/>
          </w:tcPr>
          <w:p w14:paraId="196A0B25">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w:t>
            </w:r>
          </w:p>
        </w:tc>
      </w:tr>
      <w:tr w14:paraId="47E2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1591F4B9">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625" w:type="dxa"/>
            <w:vAlign w:val="center"/>
          </w:tcPr>
          <w:p w14:paraId="6EF85CE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履约保证金</w:t>
            </w:r>
          </w:p>
        </w:tc>
        <w:tc>
          <w:tcPr>
            <w:tcW w:w="7226" w:type="dxa"/>
            <w:vAlign w:val="center"/>
          </w:tcPr>
          <w:p w14:paraId="1868F698">
            <w:pPr>
              <w:spacing w:after="0" w:line="36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无</w:t>
            </w:r>
          </w:p>
        </w:tc>
      </w:tr>
      <w:tr w14:paraId="2086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2" w:hRule="atLeast"/>
          <w:jc w:val="center"/>
        </w:trPr>
        <w:tc>
          <w:tcPr>
            <w:tcW w:w="1030" w:type="dxa"/>
            <w:vAlign w:val="center"/>
          </w:tcPr>
          <w:p w14:paraId="209B7BEC">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625" w:type="dxa"/>
            <w:vAlign w:val="center"/>
          </w:tcPr>
          <w:p w14:paraId="0E57DFA8">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7226" w:type="dxa"/>
            <w:vAlign w:val="center"/>
          </w:tcPr>
          <w:p w14:paraId="3F5606EF">
            <w:pPr>
              <w:autoSpaceDE w:val="0"/>
              <w:autoSpaceDN w:val="0"/>
              <w:spacing w:after="0" w:line="3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招标代理服务费由成交人支付。</w:t>
            </w:r>
          </w:p>
          <w:p w14:paraId="298B9DB5">
            <w:pPr>
              <w:autoSpaceDE w:val="0"/>
              <w:autoSpaceDN w:val="0"/>
              <w:spacing w:after="0" w:line="3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（1）成交人领取成交通知书前，应向采购代理机构一次付清招标代理服务费，代理服务收费按下述标准（货物招标）以差额定率累进法计算收取，具体标准如下：</w:t>
            </w:r>
          </w:p>
          <w:tbl>
            <w:tblPr>
              <w:tblStyle w:val="41"/>
              <w:tblW w:w="6315"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1329"/>
              <w:gridCol w:w="1208"/>
              <w:gridCol w:w="1281"/>
            </w:tblGrid>
            <w:tr w14:paraId="3FB0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97" w:type="dxa"/>
                  <w:tcBorders>
                    <w:tl2br w:val="single" w:color="auto" w:sz="4" w:space="0"/>
                  </w:tcBorders>
                </w:tcPr>
                <w:p w14:paraId="54C8BB50">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费率</w:t>
                  </w:r>
                </w:p>
                <w:p w14:paraId="1D3618E8">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w:t>
                  </w:r>
                </w:p>
              </w:tc>
              <w:tc>
                <w:tcPr>
                  <w:tcW w:w="1329" w:type="dxa"/>
                  <w:vAlign w:val="center"/>
                </w:tcPr>
                <w:p w14:paraId="2D308117">
                  <w:pPr>
                    <w:spacing w:after="0"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货物招标</w:t>
                  </w:r>
                </w:p>
              </w:tc>
              <w:tc>
                <w:tcPr>
                  <w:tcW w:w="1208" w:type="dxa"/>
                  <w:vAlign w:val="center"/>
                </w:tcPr>
                <w:p w14:paraId="58BA9AE2">
                  <w:pPr>
                    <w:spacing w:after="0"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服务招标</w:t>
                  </w:r>
                </w:p>
              </w:tc>
              <w:tc>
                <w:tcPr>
                  <w:tcW w:w="1281" w:type="dxa"/>
                  <w:vAlign w:val="center"/>
                </w:tcPr>
                <w:p w14:paraId="1305BE00">
                  <w:pPr>
                    <w:spacing w:after="0"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工程招标</w:t>
                  </w:r>
                </w:p>
              </w:tc>
            </w:tr>
            <w:tr w14:paraId="10D0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7" w:type="dxa"/>
                </w:tcPr>
                <w:p w14:paraId="4B04692A">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tc>
              <w:tc>
                <w:tcPr>
                  <w:tcW w:w="1329" w:type="dxa"/>
                </w:tcPr>
                <w:p w14:paraId="3EF3817A">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08" w:type="dxa"/>
                </w:tcPr>
                <w:p w14:paraId="3ED424D2">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81" w:type="dxa"/>
                </w:tcPr>
                <w:p w14:paraId="41D6F39A">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22CC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7" w:type="dxa"/>
                </w:tcPr>
                <w:p w14:paraId="29FE6087">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100～500万元</w:t>
                  </w:r>
                </w:p>
              </w:tc>
              <w:tc>
                <w:tcPr>
                  <w:tcW w:w="1329" w:type="dxa"/>
                </w:tcPr>
                <w:p w14:paraId="44562C6D">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208" w:type="dxa"/>
                </w:tcPr>
                <w:p w14:paraId="70DD03E9">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281" w:type="dxa"/>
                </w:tcPr>
                <w:p w14:paraId="012CEC37">
                  <w:pPr>
                    <w:spacing w:after="0"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bl>
          <w:p w14:paraId="18D9A2D5">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例如：某货物招标代理业务中标金额为300万元，招标代理服务费金额按如下计算：</w:t>
            </w:r>
          </w:p>
          <w:p w14:paraId="33BEA3CE">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 万元</w:t>
            </w:r>
          </w:p>
          <w:p w14:paraId="5C9DF518">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（300－100）万元×1.1%＝2.2万元</w:t>
            </w:r>
          </w:p>
          <w:p w14:paraId="7BBFBC12">
            <w:pPr>
              <w:adjustRightInd/>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合计收费＝1.5＋2.2=3.7万元</w:t>
            </w:r>
          </w:p>
        </w:tc>
      </w:tr>
      <w:tr w14:paraId="6C5B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5A44E823">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625" w:type="dxa"/>
            <w:vAlign w:val="center"/>
          </w:tcPr>
          <w:p w14:paraId="64FD15E9">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质疑函接收及联系方式</w:t>
            </w:r>
          </w:p>
        </w:tc>
        <w:tc>
          <w:tcPr>
            <w:tcW w:w="7226" w:type="dxa"/>
            <w:vAlign w:val="center"/>
          </w:tcPr>
          <w:p w14:paraId="6A7F345C">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接收质疑函的方式：接收竞标人或其委托代理人以书面形式递交的质疑函原件，委托代理人提出质疑的，还应当提交竞标人签署的授权委托书。</w:t>
            </w:r>
          </w:p>
          <w:p w14:paraId="76F160EB">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联系部门：广西真诚工程咨询有限公司</w:t>
            </w:r>
          </w:p>
          <w:p w14:paraId="471A2799">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联系电话：0778-2206666</w:t>
            </w:r>
          </w:p>
          <w:p w14:paraId="4535A591">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通讯地址：河池市金城江区金城中路2-4号铜鼓园写字楼3楼B座</w:t>
            </w:r>
          </w:p>
        </w:tc>
      </w:tr>
      <w:tr w14:paraId="12BE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160541E8">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625" w:type="dxa"/>
            <w:vAlign w:val="center"/>
          </w:tcPr>
          <w:p w14:paraId="524E9CD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7226" w:type="dxa"/>
            <w:vAlign w:val="center"/>
          </w:tcPr>
          <w:p w14:paraId="2DD97FEE">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递交响应文件截止时间后，由采购人或采购代理机构对竞标人进行信用信息查询，具体规定如下：</w:t>
            </w:r>
          </w:p>
          <w:p w14:paraId="76FDFEB7">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w:t>
            </w:r>
          </w:p>
          <w:p w14:paraId="749D8534">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“信用中国”网站查询内容：失信被执行人、重大税收违法失信主体、政府采购严重违法失信行为记录名单查询结果或界面截图；查询或打印截止时点：递交响应文件截止时间。</w:t>
            </w:r>
          </w:p>
          <w:p w14:paraId="3614B0B6">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“中国政府采购网”的查询内容：政府采购严重违法失信行为信息记录；查询时间：递交响应文件截止时间前三年内。</w:t>
            </w:r>
          </w:p>
          <w:p w14:paraId="4C23655E">
            <w:pPr>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查询记录和证据留存方式：在查询网站中直接打印查询记录，打印材料作为评审资料保存。</w:t>
            </w:r>
          </w:p>
          <w:p w14:paraId="1B059A98">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竞标人，资格审查不通过，不得参与政府采购活动。两个以上的自然人、法人或者其他组织组成一个联合体，以一个竞标人的身份共同参加政府采购活动的，应当对所有联合体成员进行信用记录查询，联合体成员存在不良信用记录的，视同联合体存在不良信用记录。</w:t>
            </w:r>
          </w:p>
        </w:tc>
      </w:tr>
      <w:tr w14:paraId="1E11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vAlign w:val="center"/>
          </w:tcPr>
          <w:p w14:paraId="2D69F483">
            <w:pPr>
              <w:spacing w:after="0" w:line="360" w:lineRule="exact"/>
              <w:jc w:val="center"/>
              <w:rPr>
                <w:rFonts w:hint="eastAsia" w:ascii="宋体" w:hAnsi="宋体" w:eastAsia="宋体" w:cs="宋体"/>
                <w:color w:val="auto"/>
                <w:sz w:val="24"/>
                <w:szCs w:val="24"/>
                <w:highlight w:val="none"/>
              </w:rPr>
            </w:pPr>
            <w:bookmarkStart w:id="46" w:name="_Toc246094910"/>
            <w:bookmarkStart w:id="47" w:name="_Toc246095454"/>
            <w:bookmarkStart w:id="48" w:name="_Toc246095516"/>
          </w:p>
        </w:tc>
        <w:tc>
          <w:tcPr>
            <w:tcW w:w="8851" w:type="dxa"/>
            <w:gridSpan w:val="2"/>
            <w:vAlign w:val="center"/>
          </w:tcPr>
          <w:p w14:paraId="1F7DC2EA">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在线竞标响应（电子竞标）说明</w:t>
            </w:r>
          </w:p>
          <w:p w14:paraId="0A7FF1A9">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广西政府采购云平台实行在线竞标响应（电子竞标），竞标人需要先安装“广西政府采购云平台电子交易客户端”，并按照本竞争性谈判文件和广西政府采购云平台的要求，通过“广西政府采购云平台电子交易客户端”编制并加密响应文件。竞标人未按规定编制并加密的响应文件，广西政府采购云平台将予以拒收。</w:t>
            </w:r>
          </w:p>
          <w:p w14:paraId="268EF76B">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政府采购云平台电子交易客户端”请自行前往广西政府采购网下载并安装（http://zfcg.gxzf.gov.cn/OfficeService/DownloadArea/2455918.html?utm=sites_group_front.b8b6c91.0.0.c51f9820a48111eabb9bcbdf01af125e）；电子竞标具体操作流程参考《政府采购项目电子交易管理操作指南-竞标人》，指南可在“广西政府采购云平台（https://www.gcy.zfcg.gxzf.gov.cn）服务中心-帮助文档-最新指南”下载；通过广西政府采购云平台参与在线竞标时如遇平台技术问题详询95763。</w:t>
            </w:r>
          </w:p>
          <w:p w14:paraId="716A434F">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确保网上操作合法、有效和安全，竞标人应当在响应文件递交截止时间前完成在“广西政府采购云平台”的身份认证，确保在电子竞标过程中能够对相关数据电文进行加密和使用电子签章。使用“广西政府采购云平台电子交易客户端”需要提前申领CA数字证书；</w:t>
            </w:r>
          </w:p>
          <w:p w14:paraId="51FDA90F">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标人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59910799">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（4）响应文件提交截止时间后，代理机构将发起解密，代理机构发起解密后 30 分钟内，响应文件提交截止时间前已将生成的“电子加密响应文件”上传递交至广西政府采购云平台的竞标人，必须在此时间段内登录广西政府采购云平台，用“项目采购-开标评标”功能完成电子响应文件的解密。竞标人响应文件提交截止前通过“广西政府采购云平台”上传递交的“电子加密响应文件”无法正常解密的，请及时联系代理机构，代理机构与项目归属监督部门备案后告知竞标人通过邮件传输递交电子备份文件，通过邮件传输递交电子备份文件也必须在发起解密后 30 分钟内完成，逾期未完成传输的，拒收其响应文件。</w:t>
            </w:r>
          </w:p>
          <w:p w14:paraId="73ED26AE">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请各竞标人在获取采购文件时，认真填写竞标人名称、联系人、联系电话等相关信息。项目开标当天联系人要保持电话畅通，如因竞标人自身原因导致无法响应文件无法正常解密、电子备份文件未能在规定的时间内传输递交、无法正常谈判等，后果由竞标人自行承担。</w:t>
            </w:r>
          </w:p>
          <w:p w14:paraId="5E029582">
            <w:pPr>
              <w:spacing w:after="0" w:line="3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（6）本项目为全流程电子标项目，无需竞标人来开标现场递交响应文件，竞标人授权委托代理人可以不用到开标现场参加开标（截标）会。</w:t>
            </w:r>
          </w:p>
          <w:p w14:paraId="61890063">
            <w:pPr>
              <w:spacing w:after="0" w:line="36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能够处理异常解密、递交电子备份文件的前提，是竞标人已上传了标书且未能按时正常解密标书；系统生成标书时，生成两份，一份是投标用的标书，一份是备份标书；提供的备份标书要跟上传的电子标书是同一份，否则系统也不支持进行异常解密。</w:t>
            </w:r>
          </w:p>
        </w:tc>
      </w:tr>
    </w:tbl>
    <w:p w14:paraId="74B026B9">
      <w:pPr>
        <w:pStyle w:val="3"/>
        <w:spacing w:before="240" w:beforeLines="100"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 w:name="_Toc23082"/>
      <w:r>
        <w:rPr>
          <w:rFonts w:hint="eastAsia" w:ascii="宋体" w:hAnsi="宋体" w:eastAsia="宋体" w:cs="宋体"/>
          <w:color w:val="auto"/>
          <w:highlight w:val="none"/>
        </w:rPr>
        <w:t>一、总则</w:t>
      </w:r>
      <w:bookmarkEnd w:id="46"/>
      <w:bookmarkEnd w:id="47"/>
      <w:bookmarkEnd w:id="48"/>
      <w:bookmarkEnd w:id="49"/>
    </w:p>
    <w:p w14:paraId="00B8C5C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l. 项目概况</w:t>
      </w:r>
    </w:p>
    <w:p w14:paraId="7C801B4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1.1适用范围：本文件仅适用于本文件中所叙述的货物类政府采购项目。</w:t>
      </w:r>
    </w:p>
    <w:p w14:paraId="553FEA06">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  采购人：见竞标人须知前附表。</w:t>
      </w:r>
    </w:p>
    <w:p w14:paraId="5FC72D64">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  采购代理机构：见竞标人须知前附表。</w:t>
      </w:r>
    </w:p>
    <w:p w14:paraId="23B118E7">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1.4  项目名称：</w:t>
      </w:r>
      <w:r>
        <w:rPr>
          <w:rFonts w:hint="eastAsia" w:ascii="宋体" w:hAnsi="宋体" w:eastAsia="宋体" w:cs="宋体"/>
          <w:bCs/>
          <w:color w:val="auto"/>
          <w:sz w:val="24"/>
          <w:highlight w:val="none"/>
        </w:rPr>
        <w:t>见竞标人须知前附表。</w:t>
      </w:r>
    </w:p>
    <w:p w14:paraId="500787A7">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1.5  采购编号：</w:t>
      </w:r>
      <w:r>
        <w:rPr>
          <w:rFonts w:hint="eastAsia" w:ascii="宋体" w:hAnsi="宋体" w:eastAsia="宋体" w:cs="宋体"/>
          <w:bCs/>
          <w:color w:val="auto"/>
          <w:sz w:val="24"/>
          <w:highlight w:val="none"/>
        </w:rPr>
        <w:t>见竞标人须知前附表。</w:t>
      </w:r>
    </w:p>
    <w:p w14:paraId="1060177E">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1.6  采购预算：见竞标人须知前附表。</w:t>
      </w:r>
    </w:p>
    <w:p w14:paraId="45E666A5">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1.7  资金来源：见竞标人须知前附表。</w:t>
      </w:r>
    </w:p>
    <w:p w14:paraId="3D6B73CD">
      <w:pPr>
        <w:spacing w:after="0"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sz w:val="24"/>
          <w:highlight w:val="none"/>
        </w:rPr>
        <w:t>1.8  预留采购份额：见竞标人须知前附表。</w:t>
      </w:r>
    </w:p>
    <w:p w14:paraId="7D5A832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4325306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“采购人"是指依法进行政府采购的国家机关、事业单位、团体组织。</w:t>
      </w:r>
    </w:p>
    <w:p w14:paraId="76B3497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“采购代理机构”是指依法设立、从事采购代理业务并提供相关服务的社会中介机构。</w:t>
      </w:r>
    </w:p>
    <w:p w14:paraId="2AA2CF6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竞标人”是指响应本文件要求，参加谈判的法人、其他组织或者自然人。如果该竞标人在本次谈判中成交，即成为"成交竞标人"。法人包括企业法人、机关法人、事业单位法人和社会团体法人。其他组织包括合伙企业、非企业专业服务机构、个体工商户、农村承包经营户及国家有关法律法规规定的组织。自然人是指中国公民。</w:t>
      </w:r>
    </w:p>
    <w:p w14:paraId="0DCEF4B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2.4“货物”是指各种形态和种类的物品，包括原材料、燃料、设备、产品等。</w:t>
      </w:r>
    </w:p>
    <w:p w14:paraId="5229ECD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2.5“服务”系指除货物和工程以外的其他政府采购对象。</w:t>
      </w:r>
    </w:p>
    <w:p w14:paraId="1FA3D79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2.6“响应文件”是指竞标人根据本文件要求，编制包含报价、技术和服务等所有内容的文件。</w:t>
      </w:r>
    </w:p>
    <w:p w14:paraId="48AC1B6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2.7“书面形式”如无特殊规定，“书面形式”是指信函和数据电文（包括地表现所载内容的形式。采购文件如有特殊规定，以采购文件规定为准。</w:t>
      </w:r>
    </w:p>
    <w:p w14:paraId="5150A14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本文件中的“法定代表人”若法律法规无特别规定，当竞标人是企业的，是指企业法人营业执照上的法定代表人；当竞标人是事业单位的，是指事业单位法人证书上的法定代表人；当竞标人是社会团体、民办非企业的，是指法人登记证书中的法定代表人；当竞标人是个体工商户的，是指个体工商户营业执照上的经营者；当竞标人是自然人的，是指参与本项目响应的自然人本人。</w:t>
      </w:r>
    </w:p>
    <w:p w14:paraId="4F61D4D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2.9标注“</w:t>
      </w:r>
      <w:r>
        <w:rPr>
          <w:rFonts w:hint="eastAsia" w:ascii="宋体" w:hAnsi="宋体" w:eastAsia="宋体" w:cs="宋体"/>
          <w:color w:val="auto"/>
          <w:sz w:val="21"/>
          <w:szCs w:val="21"/>
          <w:highlight w:val="none"/>
        </w:rPr>
        <w:t>▲</w:t>
      </w:r>
      <w:r>
        <w:rPr>
          <w:rFonts w:hint="eastAsia" w:ascii="宋体" w:hAnsi="宋体" w:eastAsia="宋体" w:cs="宋体"/>
          <w:color w:val="auto"/>
          <w:sz w:val="24"/>
          <w:highlight w:val="none"/>
        </w:rPr>
        <w:t>”号的条款或要求系指实质性条款或实质性要求。</w:t>
      </w:r>
    </w:p>
    <w:p w14:paraId="128A1371">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竞标人资格条件</w:t>
      </w:r>
    </w:p>
    <w:p w14:paraId="435E4A3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基本资格条件：见“竞标人须知前附表”规定。</w:t>
      </w:r>
    </w:p>
    <w:p w14:paraId="5E2D698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竞标人的特定要求：见“竞标人须知前附表”规定。</w:t>
      </w:r>
    </w:p>
    <w:p w14:paraId="7EBFED5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 存在下列情形之一的竞标人不得参加资格性审查： </w:t>
      </w:r>
    </w:p>
    <w:p w14:paraId="7E09995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单位负责人为同一人或者存在直接控股、管理关系的不同竞标人，不得参加本项目同一合同项下的政府采购活动。为本项目提供整体设计、规范编制或者项目管理、监理、检测等服务的竞标人，不得再参加本项目的采购活动。 </w:t>
      </w:r>
    </w:p>
    <w:p w14:paraId="1B85B2C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（2）在财政部门禁止参加政府采购活动期限以内的。</w:t>
      </w:r>
    </w:p>
    <w:p w14:paraId="2A512C3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 按本项目采购公告规定方式获得竞争性谈判文件。 </w:t>
      </w:r>
    </w:p>
    <w:p w14:paraId="66BB1DE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本项目是否接受联合体竞标，见“竞标人须知前附表”规定。</w:t>
      </w:r>
    </w:p>
    <w:p w14:paraId="44DB2A6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14:paraId="2A228A9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14:paraId="46B3F4F0">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竞标费用</w:t>
      </w:r>
    </w:p>
    <w:p w14:paraId="770A08A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5.1竞标人应自行承担所有与编写和提交响应文件有关的费用，不论谈判结果如何，采购人和采购代理机构在任何情况下无义务和责任承担此类费用。</w:t>
      </w:r>
    </w:p>
    <w:p w14:paraId="64498E5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5.2本项目的招标代理服务费按须知</w:t>
      </w:r>
      <w:r>
        <w:rPr>
          <w:rFonts w:hint="eastAsia" w:ascii="宋体" w:hAnsi="宋体" w:eastAsia="宋体" w:cs="宋体"/>
          <w:b/>
          <w:bCs/>
          <w:color w:val="auto"/>
          <w:sz w:val="24"/>
          <w:highlight w:val="none"/>
        </w:rPr>
        <w:t>前附表</w:t>
      </w:r>
      <w:r>
        <w:rPr>
          <w:rFonts w:hint="eastAsia" w:ascii="宋体" w:hAnsi="宋体" w:eastAsia="宋体" w:cs="宋体"/>
          <w:color w:val="auto"/>
          <w:sz w:val="24"/>
          <w:highlight w:val="none"/>
        </w:rPr>
        <w:t>的规定执行，由成交竞标人在领取成交通知书前，一次性向采购代理机构支付。</w:t>
      </w:r>
    </w:p>
    <w:p w14:paraId="0B3CF71A">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现场勘察</w:t>
      </w:r>
    </w:p>
    <w:p w14:paraId="4148692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6.1前附表如规定现场踏勘的，竞标人应按规定时间地点参加踏勘。</w:t>
      </w:r>
    </w:p>
    <w:p w14:paraId="73169D6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竞标人应承担现场勘察的责任和风险。勘查现场的费用由竞标人自己承担。采购人对竞标人由此而做出的推论、理解和结论概不负责。</w:t>
      </w:r>
    </w:p>
    <w:p w14:paraId="438F72D2">
      <w:pPr>
        <w:pStyle w:val="3"/>
        <w:spacing w:before="240" w:beforeLines="100" w:line="400" w:lineRule="exact"/>
        <w:rPr>
          <w:rFonts w:hint="eastAsia" w:ascii="宋体" w:hAnsi="宋体" w:eastAsia="宋体" w:cs="宋体"/>
          <w:color w:val="auto"/>
          <w:highlight w:val="none"/>
        </w:rPr>
      </w:pPr>
      <w:bookmarkStart w:id="50" w:name="_Toc246095517"/>
      <w:bookmarkStart w:id="51" w:name="_Toc246095455"/>
      <w:bookmarkStart w:id="52" w:name="_Toc246094911"/>
      <w:bookmarkStart w:id="53" w:name="_Toc13358"/>
      <w:r>
        <w:rPr>
          <w:rFonts w:hint="eastAsia" w:ascii="宋体" w:hAnsi="宋体" w:eastAsia="宋体" w:cs="宋体"/>
          <w:color w:val="auto"/>
          <w:highlight w:val="none"/>
        </w:rPr>
        <w:t>二、竞争性谈判文件</w:t>
      </w:r>
      <w:bookmarkEnd w:id="50"/>
      <w:bookmarkEnd w:id="51"/>
      <w:bookmarkEnd w:id="52"/>
      <w:bookmarkEnd w:id="53"/>
    </w:p>
    <w:p w14:paraId="3D6E661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竞争性谈判文件的组成</w:t>
      </w:r>
    </w:p>
    <w:p w14:paraId="0E77995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14:paraId="5148583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14:paraId="6582283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竞标人须知</w:t>
      </w:r>
    </w:p>
    <w:p w14:paraId="5D45DAC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项目采购需求和说明</w:t>
      </w:r>
    </w:p>
    <w:p w14:paraId="745A8AA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评标办法</w:t>
      </w:r>
    </w:p>
    <w:p w14:paraId="06B7D74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合同条款</w:t>
      </w:r>
    </w:p>
    <w:p w14:paraId="6199B32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46508D7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除本竞标人须知第7.1款所述的竞争性谈判文件内容外，采购人在采购期间、符合法定时间发出的答疑、澄清、修改或补充内容，均是竞争性谈判文件的组成部分，对采购人和竞标人起约束作用。根据本章第8条、第9条对竞争性谈判文件所作的澄清、修改，构成竞争性谈判文件的组成部分。</w:t>
      </w:r>
    </w:p>
    <w:p w14:paraId="7396845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竞标人应认真审阅竞争性谈判文件。如果竞标人编制的响应文件不符合竞争性谈判文件的要求，责任由竞标人自负。实质上不响应竞争性谈判文件要求的响应文件将被采购人拒绝。</w:t>
      </w:r>
    </w:p>
    <w:p w14:paraId="351B2E7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竞争性谈判文件的澄清</w:t>
      </w:r>
    </w:p>
    <w:p w14:paraId="65436CE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竞标人应仔细阅读和检查竞争性谈判文件的全部内容。如发现缺页、有误或有不合理要求的，竞标人必须在提交首次响应文件截止之日前，以书面形式要求采购人或采购代理机构澄清。逾期不提出澄清要求视为对竞争性谈判文件无异议。</w:t>
      </w:r>
    </w:p>
    <w:p w14:paraId="252C81F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采购人、采购代理机构可以对已发出的谈判文件进行必要的澄清，澄清的内容作为谈判文件的组成部分。澄清的内容可能影响响应文件编制的，谈判文件的澄清将在提交首次响应文件截止之日3个工作日前以书面形式（在发布竞争性谈判公告的政府采购信息发布媒体上发布）发给所有购买竞争性谈判文件的竞标人，但不指明澄清问题的来源，竞标人未及时关注采购代理机构在公告发布媒介上发布的澄清文件造成的损失，由竞标人自行负责。不足3个工作日的，将顺延提交首次响应文件截止之日。该澄清的内容为谈判文件的组成部分。</w:t>
      </w:r>
    </w:p>
    <w:p w14:paraId="405B3E6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8.3当谈判文件与谈判文件的澄清就同一内容的表述不一致时，以最后发出的公告或书面文件为准。</w:t>
      </w:r>
    </w:p>
    <w:p w14:paraId="657ADDFA">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14:paraId="66B8976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采购人、采购代理机构可以对已发出的谈判文件进行必要的修改，修改的内容作为谈判文件的组成部分。修改的内容可能影响响应文件编制的，谈判文件的修改将在提交首次响应文件截止之日3个工作日前以书面形式（在发布竞争性谈判公告的政府采购信息发布媒体上发布）发给所有购买竞争性谈判文件的竞标人，竞标人未及时关注采购代理机构在公告发布媒介上发布的修改文件造成的损失，由竞标人自行负责。不足3个工作日的，将顺延提交首次响应文件截止之日。该修改的内容为谈判文件的组成部分。</w:t>
      </w:r>
    </w:p>
    <w:p w14:paraId="7A168CD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9.2当谈判文件与谈判文件的修改就同一内容的表述不一致时，以最后发出的公告或书面文件为准。</w:t>
      </w:r>
    </w:p>
    <w:p w14:paraId="38BC33F7">
      <w:pPr>
        <w:pStyle w:val="3"/>
        <w:spacing w:before="240" w:beforeLines="100" w:line="400" w:lineRule="exact"/>
        <w:rPr>
          <w:rFonts w:hint="eastAsia" w:ascii="宋体" w:hAnsi="宋体" w:eastAsia="宋体" w:cs="宋体"/>
          <w:color w:val="auto"/>
          <w:highlight w:val="none"/>
        </w:rPr>
      </w:pPr>
      <w:bookmarkStart w:id="54" w:name="_Toc246095518"/>
      <w:bookmarkStart w:id="55" w:name="_Toc246095456"/>
      <w:bookmarkStart w:id="56" w:name="_Toc27175"/>
      <w:bookmarkStart w:id="57" w:name="_Toc246094912"/>
      <w:r>
        <w:rPr>
          <w:rFonts w:hint="eastAsia" w:ascii="宋体" w:hAnsi="宋体" w:eastAsia="宋体" w:cs="宋体"/>
          <w:color w:val="auto"/>
          <w:highlight w:val="none"/>
        </w:rPr>
        <w:t>三、响应文件</w:t>
      </w:r>
      <w:bookmarkEnd w:id="54"/>
      <w:bookmarkEnd w:id="55"/>
      <w:bookmarkEnd w:id="56"/>
      <w:bookmarkEnd w:id="57"/>
    </w:p>
    <w:p w14:paraId="28E4A860">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14:paraId="1DD1570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10.1响应文件应分为价格文件和商务技术文件两个部分组成。</w:t>
      </w:r>
    </w:p>
    <w:p w14:paraId="2D2355D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10.1.1价格文件：具体材料见“竞标人须知前附表”。</w:t>
      </w:r>
    </w:p>
    <w:p w14:paraId="07BE3A1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10.1.2 商务技术文件：具体材料见“竞标人须知前附表”。</w:t>
      </w:r>
    </w:p>
    <w:p w14:paraId="4E12114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竞标人应按照采购人提供的响应文件格式和顺序，自行编制响应文件，响应文件应包含本须知第10.1条中规定的内容，但表格可以按同样格式扩展。</w:t>
      </w:r>
      <w:bookmarkStart w:id="58" w:name="_Toc219773118"/>
    </w:p>
    <w:bookmarkEnd w:id="58"/>
    <w:p w14:paraId="23D46429">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谈判报价</w:t>
      </w:r>
    </w:p>
    <w:p w14:paraId="2DCF177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11.1响应文件中的报价均采用人民币表示。谈判报价应按谈判文件中相关附表格式填写。</w:t>
      </w:r>
    </w:p>
    <w:p w14:paraId="16B26EA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11.2最后谈判报价是履行合同的最终价格。应包括第三章“项目采购需求和说明”规定的各项价格。若无特殊规定，报价包含完成本项目所有内容所需的一切费用（包括但不限于</w:t>
      </w:r>
      <w:r>
        <w:rPr>
          <w:rFonts w:hint="eastAsia" w:ascii="宋体" w:hAnsi="宋体" w:eastAsia="宋体" w:cs="宋体"/>
          <w:bCs/>
          <w:color w:val="auto"/>
          <w:sz w:val="24"/>
          <w:highlight w:val="none"/>
        </w:rPr>
        <w:t>货物、货物包装、运输、</w:t>
      </w:r>
      <w:r>
        <w:rPr>
          <w:rFonts w:hint="eastAsia" w:ascii="宋体" w:hAnsi="宋体" w:eastAsia="宋体" w:cs="宋体"/>
          <w:color w:val="auto"/>
          <w:sz w:val="24"/>
          <w:highlight w:val="none"/>
        </w:rPr>
        <w:t>装卸、</w:t>
      </w:r>
      <w:r>
        <w:rPr>
          <w:rFonts w:hint="eastAsia" w:ascii="宋体" w:hAnsi="宋体" w:eastAsia="宋体" w:cs="宋体"/>
          <w:bCs/>
          <w:color w:val="auto"/>
          <w:sz w:val="24"/>
          <w:highlight w:val="none"/>
        </w:rPr>
        <w:t>保险、税费以及</w:t>
      </w:r>
      <w:r>
        <w:rPr>
          <w:rFonts w:hint="eastAsia" w:ascii="宋体" w:hAnsi="宋体" w:eastAsia="宋体" w:cs="宋体"/>
          <w:color w:val="auto"/>
          <w:sz w:val="24"/>
          <w:highlight w:val="none"/>
        </w:rPr>
        <w:t>货到就位的各种费用，</w:t>
      </w:r>
      <w:r>
        <w:rPr>
          <w:rFonts w:hint="eastAsia" w:ascii="宋体" w:hAnsi="宋体" w:eastAsia="宋体" w:cs="宋体"/>
          <w:bCs/>
          <w:color w:val="auto"/>
          <w:sz w:val="24"/>
          <w:highlight w:val="none"/>
        </w:rPr>
        <w:t>种植、清山炼山、开梯田、验收、技术培训、技术服务、售后服务等所发生的一切费用。</w:t>
      </w:r>
    </w:p>
    <w:p w14:paraId="6CFFB81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11.3对于本文件中未列明，而竞标人认为必需的费用也需列入总报价。在合同实施时，采购人将不予支付成交竞标人没有列入的项目费用，并认为此项目的费用已包括在总报价中。</w:t>
      </w:r>
    </w:p>
    <w:p w14:paraId="34316C7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11.4竞标人必须就所竞项目（或分标）的全部内容作完整唯一报价，漏项报价的或有选择的或有条件的报价，其竞标将视为无效。</w:t>
      </w:r>
    </w:p>
    <w:p w14:paraId="77D4B5E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11.5竞标人的报价超出采购预算价或最高限价（如有）的，其竞标无效。</w:t>
      </w:r>
    </w:p>
    <w:p w14:paraId="73DD6CAF">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响应有效期</w:t>
      </w:r>
    </w:p>
    <w:p w14:paraId="209E300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12.1在竞标人须知前附表规定的响应有效期内，竞标人不得要求撤销或修改其响应文件。</w:t>
      </w:r>
    </w:p>
    <w:p w14:paraId="27C507E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响应有效期的，采购人以书面形式通知所有竞标人延长响应有效期。竞标人同意延长的，应相应延长其谈判保证金的有效期，但不得要求或被允许修改或撤销其响应文件；竞标人拒绝延长的，其报价失效，但竞标人有权收回其谈判保证金。</w:t>
      </w:r>
    </w:p>
    <w:p w14:paraId="082F3350">
      <w:pPr>
        <w:spacing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13. 谈判保证金：无需缴纳保证金。</w:t>
      </w:r>
    </w:p>
    <w:p w14:paraId="1D8E569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14:paraId="479BF36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响应文件应按第六章“响应文件格式”进行编写，如有必要，可以增加附页，作为响应文件的组成部分。</w:t>
      </w:r>
    </w:p>
    <w:p w14:paraId="0590AAC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竞标人应按本文件规定的格式和顺序编制，编制完整的页码、目录，响应文件内容不完整、编排混乱导致响应文件被误读、漏读或者查找不到相关内容，后果由竞标人自行负责。</w:t>
      </w:r>
    </w:p>
    <w:p w14:paraId="525BD162">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pacing w:val="2"/>
          <w:sz w:val="24"/>
          <w:highlight w:val="none"/>
        </w:rPr>
        <w:t xml:space="preserve"> 电子响应文件中须加盖竞标人公章均采用 CA 签章，并根据“政府采购项目电子交易管理操作指南-竞标人” 及本竞争性谈判文件规定的格式和顺序编制电子响应文件并进行关联定位，以便评标委员会在评审时，点击评分项可直接定位到该评分项内容。如对竞争性谈判文件的某项要求，竞标人的电子响应文件未能关联定位提供相应的内容与其对应，则谈判小组在评审时如做出对竞标人不利的评审由竞标人自行承担。电子响应文件如内容不完整、编排混乱导致响应文件被误读、漏读，或者在按竞争性谈判文件规定的部位查找不到相关内容的，由竞标人自行承担。 </w:t>
      </w:r>
    </w:p>
    <w:p w14:paraId="33D04B7D">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14.4 </w:t>
      </w:r>
      <w:r>
        <w:rPr>
          <w:rFonts w:hint="eastAsia" w:ascii="宋体" w:hAnsi="宋体" w:eastAsia="宋体" w:cs="宋体"/>
          <w:color w:val="auto"/>
          <w:spacing w:val="2"/>
          <w:sz w:val="24"/>
          <w:highlight w:val="none"/>
        </w:rPr>
        <w:t xml:space="preserve"> CA 签章上关于法定代表人（负责人）或授权代表签字信息，竞标人在响应文件中涉及到签字的位置线下【签好字然后扫描或者拍照做成 PDF 的格式】或【通过广西政府采购云平台电子交易客户端使用 CA 法定代表人（负责人）或授权代表签章】亦可。响应文件中涉及到签字的位置未按要求签字的，提供的材料视为无效。 </w:t>
      </w:r>
    </w:p>
    <w:p w14:paraId="6B1C6020">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14.5</w:t>
      </w:r>
      <w:r>
        <w:rPr>
          <w:rFonts w:hint="eastAsia" w:ascii="宋体" w:hAnsi="宋体" w:eastAsia="宋体" w:cs="宋体"/>
          <w:color w:val="auto"/>
          <w:spacing w:val="2"/>
          <w:sz w:val="24"/>
          <w:highlight w:val="none"/>
        </w:rPr>
        <w:t xml:space="preserve"> 响应文件不得涂改，若有修改错漏处，须加盖单位公章或者法定代表人（负责人）或授权委托人签字或盖章。响应文件因字迹潦草或表达不清所引起的后果由竞标人负责。 </w:t>
      </w:r>
    </w:p>
    <w:p w14:paraId="33520CB4">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14.6</w:t>
      </w:r>
      <w:r>
        <w:rPr>
          <w:rFonts w:hint="eastAsia" w:ascii="宋体" w:hAnsi="宋体" w:eastAsia="宋体" w:cs="宋体"/>
          <w:color w:val="auto"/>
          <w:spacing w:val="2"/>
          <w:sz w:val="24"/>
          <w:highlight w:val="none"/>
        </w:rPr>
        <w:t>响应文件（包含电子备份响应文件），其中电子响应文件中所须加盖公章均采用 CA 签章。若竞争性谈判文件中有专门标注的某关联点，并要求竞标人在电子竞标系统中作出竞标响应的，如竞标人未对关联点进行响应或者在响应文件其它内容进行描述，造成电子评审不能查询的责任由竞标人自行承担。</w:t>
      </w:r>
    </w:p>
    <w:p w14:paraId="242FB87D">
      <w:pPr>
        <w:spacing w:after="0" w:line="40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14.7</w:t>
      </w:r>
      <w:r>
        <w:rPr>
          <w:rFonts w:hint="eastAsia" w:ascii="宋体" w:hAnsi="宋体" w:eastAsia="宋体" w:cs="宋体"/>
          <w:color w:val="auto"/>
          <w:spacing w:val="2"/>
          <w:sz w:val="24"/>
          <w:highlight w:val="none"/>
        </w:rPr>
        <w:t>竞标人应认真阅读竞争性谈判文件，按照竞争性谈判文件的要求编制谈判响应文件。如果没有按照竞争性谈判文件要求提交谈判响应文件,没有对竞争性谈判文件提出的实质性要求和条件作出响应，谈判专家有权判定为无效竞标。</w:t>
      </w:r>
    </w:p>
    <w:p w14:paraId="571C4C78">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响应文件的密封和标识：/</w:t>
      </w:r>
    </w:p>
    <w:p w14:paraId="600A7706">
      <w:pPr>
        <w:spacing w:after="0" w:line="400" w:lineRule="exact"/>
        <w:ind w:firstLine="490" w:firstLineChars="200"/>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16. 响应文件的递交</w:t>
      </w:r>
    </w:p>
    <w:p w14:paraId="05ADB719">
      <w:pPr>
        <w:spacing w:after="0" w:line="400" w:lineRule="exact"/>
        <w:ind w:firstLine="488" w:firstLineChars="200"/>
        <w:rPr>
          <w:rFonts w:hint="eastAsia" w:ascii="宋体" w:hAnsi="宋体" w:eastAsia="宋体" w:cs="宋体"/>
          <w:color w:val="auto"/>
          <w:spacing w:val="2"/>
          <w:sz w:val="24"/>
          <w:highlight w:val="none"/>
        </w:rPr>
      </w:pPr>
      <w:r>
        <w:rPr>
          <w:rFonts w:hint="eastAsia" w:ascii="宋体" w:hAnsi="宋体" w:eastAsia="宋体" w:cs="宋体"/>
          <w:bCs/>
          <w:color w:val="auto"/>
          <w:spacing w:val="2"/>
          <w:sz w:val="24"/>
          <w:highlight w:val="none"/>
        </w:rPr>
        <w:t xml:space="preserve">16.1 </w:t>
      </w:r>
      <w:r>
        <w:rPr>
          <w:rFonts w:hint="eastAsia" w:ascii="宋体" w:hAnsi="宋体" w:eastAsia="宋体" w:cs="宋体"/>
          <w:color w:val="auto"/>
          <w:spacing w:val="2"/>
          <w:sz w:val="24"/>
          <w:highlight w:val="none"/>
        </w:rPr>
        <w:t>竞标人应在</w:t>
      </w:r>
      <w:r>
        <w:rPr>
          <w:rFonts w:hint="eastAsia" w:ascii="宋体" w:hAnsi="宋体" w:eastAsia="宋体" w:cs="宋体"/>
          <w:color w:val="auto"/>
          <w:sz w:val="24"/>
          <w:highlight w:val="none"/>
        </w:rPr>
        <w:t>竞标人须知前附表</w:t>
      </w:r>
      <w:r>
        <w:rPr>
          <w:rFonts w:hint="eastAsia" w:ascii="宋体" w:hAnsi="宋体" w:eastAsia="宋体" w:cs="宋体"/>
          <w:color w:val="auto"/>
          <w:spacing w:val="2"/>
          <w:sz w:val="24"/>
          <w:highlight w:val="none"/>
        </w:rPr>
        <w:t>规定的截止时间前递交响应文件。凡逾期送达的响应文件将视为无效响应文件处理。</w:t>
      </w:r>
    </w:p>
    <w:p w14:paraId="7BC5B9BA">
      <w:pPr>
        <w:spacing w:after="0" w:line="400" w:lineRule="exact"/>
        <w:ind w:firstLine="488" w:firstLineChars="200"/>
        <w:rPr>
          <w:rFonts w:hint="eastAsia"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16.2 竞标人按</w:t>
      </w:r>
      <w:r>
        <w:rPr>
          <w:rFonts w:hint="eastAsia" w:ascii="宋体" w:hAnsi="宋体" w:eastAsia="宋体" w:cs="宋体"/>
          <w:color w:val="auto"/>
          <w:sz w:val="24"/>
          <w:highlight w:val="none"/>
        </w:rPr>
        <w:t>竞标人须知前附表</w:t>
      </w:r>
      <w:r>
        <w:rPr>
          <w:rFonts w:hint="eastAsia" w:ascii="宋体" w:hAnsi="宋体" w:eastAsia="宋体" w:cs="宋体"/>
          <w:color w:val="auto"/>
          <w:spacing w:val="2"/>
          <w:sz w:val="24"/>
          <w:highlight w:val="none"/>
        </w:rPr>
        <w:t>规定的地点</w:t>
      </w:r>
      <w:r>
        <w:rPr>
          <w:rFonts w:hint="eastAsia" w:ascii="宋体" w:hAnsi="宋体" w:eastAsia="宋体" w:cs="宋体"/>
          <w:bCs/>
          <w:color w:val="auto"/>
          <w:spacing w:val="2"/>
          <w:sz w:val="24"/>
          <w:highlight w:val="none"/>
        </w:rPr>
        <w:t>递交响应文件，并政采云系统上</w:t>
      </w:r>
      <w:r>
        <w:rPr>
          <w:rFonts w:hint="eastAsia" w:ascii="宋体" w:hAnsi="宋体" w:eastAsia="宋体" w:cs="宋体"/>
          <w:color w:val="auto"/>
          <w:spacing w:val="2"/>
          <w:sz w:val="24"/>
          <w:highlight w:val="none"/>
        </w:rPr>
        <w:t>签到</w:t>
      </w:r>
      <w:r>
        <w:rPr>
          <w:rFonts w:hint="eastAsia" w:ascii="宋体" w:hAnsi="宋体" w:eastAsia="宋体" w:cs="宋体"/>
          <w:b/>
          <w:color w:val="auto"/>
          <w:spacing w:val="2"/>
          <w:sz w:val="24"/>
          <w:highlight w:val="none"/>
        </w:rPr>
        <w:t>。</w:t>
      </w:r>
    </w:p>
    <w:p w14:paraId="3AFA331E">
      <w:pPr>
        <w:spacing w:after="0" w:line="400" w:lineRule="exact"/>
        <w:ind w:firstLine="488" w:firstLineChars="200"/>
        <w:rPr>
          <w:rFonts w:hint="eastAsia"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16.3 除竞争性谈判文件另有规定外，竞标人所递交的响应文件不予退还。</w:t>
      </w:r>
    </w:p>
    <w:p w14:paraId="239F1B38">
      <w:pPr>
        <w:spacing w:after="0" w:line="400" w:lineRule="exact"/>
        <w:ind w:firstLine="488" w:firstLineChars="200"/>
        <w:rPr>
          <w:rFonts w:hint="eastAsia"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16.4 逾期送达的或者未送达指定地点的响应文件，</w:t>
      </w:r>
      <w:r>
        <w:rPr>
          <w:rFonts w:hint="eastAsia" w:ascii="宋体" w:hAnsi="宋体" w:eastAsia="宋体" w:cs="宋体"/>
          <w:color w:val="auto"/>
          <w:spacing w:val="2"/>
          <w:sz w:val="24"/>
          <w:highlight w:val="none"/>
        </w:rPr>
        <w:t>采购代理机构将拒绝接收</w:t>
      </w:r>
      <w:r>
        <w:rPr>
          <w:rFonts w:hint="eastAsia" w:ascii="宋体" w:hAnsi="宋体" w:eastAsia="宋体" w:cs="宋体"/>
          <w:bCs/>
          <w:color w:val="auto"/>
          <w:spacing w:val="2"/>
          <w:sz w:val="24"/>
          <w:highlight w:val="none"/>
        </w:rPr>
        <w:t>。</w:t>
      </w:r>
    </w:p>
    <w:p w14:paraId="730FB50B">
      <w:pPr>
        <w:spacing w:after="0" w:line="400" w:lineRule="exact"/>
        <w:ind w:firstLine="490" w:firstLineChars="200"/>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17. 响应文件的修改和撤回</w:t>
      </w:r>
    </w:p>
    <w:p w14:paraId="69BA718E">
      <w:pPr>
        <w:spacing w:after="0" w:line="400" w:lineRule="exact"/>
        <w:ind w:firstLine="488"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竞标人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1A65EE17">
      <w:pPr>
        <w:spacing w:after="0" w:line="400" w:lineRule="exact"/>
        <w:ind w:firstLine="490" w:firstLineChars="200"/>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18.响应文件的编写说明</w:t>
      </w:r>
    </w:p>
    <w:p w14:paraId="518A0C0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竞标人在响应文件中提供不真实的材料，都将视为虚假应标，竞谈无效，并承担由此产生的经济与法律责任。</w:t>
      </w:r>
    </w:p>
    <w:p w14:paraId="0878D3D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 竞标人在详细报价中，应按竞争性谈判文件提供的《项目采购需求》进行完整报价。</w:t>
      </w:r>
    </w:p>
    <w:p w14:paraId="6364008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 报价栏项目中如出现唯一的数字“0”或空白，则视报价为零。</w:t>
      </w:r>
    </w:p>
    <w:p w14:paraId="4F39706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18.5竞标人必须自行承担因其响应文件中的任何错漏而导致的一切后果。</w:t>
      </w:r>
    </w:p>
    <w:p w14:paraId="76ACB37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18.6电子响应文件中须加盖竞标人公章均采用 CA 签章，并根据“政府采购项目电子交易管理操作指南-竞标人” 及本竞争性谈判文件规定的格式和顺序编制电子响应文件并进行关联定位，以便评标委员会在评审时，点击评分项可直接定位到该评分项内容。如对竞争性谈判文件的某项要求，竞标人的电子响应文件未能关联定位提供相应的内容与其对应，则谈判小组在评审时如做出对竞标人不利的评审由竞标人自行承担。电子响应文件如内容不完整、编排混乱导致响应文件被误读、漏读，或者在按采购文件规定的部位查找不到相关内容的，由竞标人自行承担。 </w:t>
      </w:r>
    </w:p>
    <w:p w14:paraId="74CA2E0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18.7 CA 签章上关于法定代表人（负责人）或授权代表签字信息，竞标人在响应文件中涉及到签字的位置线下【签好字然后扫描或者拍照做成 PDF 的格式】或【通过广西政府采购云平台电子交易客户端使用 CA 法定代表人（负责人）或授权代表签章】亦可。响应文件中涉及到签字的位置未按要求签字的，提供的材料视为无效。 </w:t>
      </w:r>
    </w:p>
    <w:p w14:paraId="2E50A07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18.8响应文件（包含电子备份响应文件），其中电子响应文件中所须加盖公章均采用 CA 签章或企业公章。若竞争性谈判文件中有专门标注的某关联点，并要求竞标人在电子竞标系统中作出竞标响应的，如竞标人未对关联点进行响应或者在响应文件其它内容进行描述，造成电子评审不能查询的责任由竞标人自行承担。</w:t>
      </w:r>
    </w:p>
    <w:p w14:paraId="5F3A39B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18.9谈判响应文件中所提供的资格证明文件及相关材料若为复印件必须加盖谈判单位电子公章，否则视为无效。</w:t>
      </w:r>
    </w:p>
    <w:p w14:paraId="565CDD06">
      <w:pPr>
        <w:pStyle w:val="3"/>
        <w:spacing w:before="240" w:beforeLines="100" w:line="400" w:lineRule="exact"/>
        <w:rPr>
          <w:rFonts w:hint="eastAsia" w:ascii="宋体" w:hAnsi="宋体" w:eastAsia="宋体" w:cs="宋体"/>
          <w:color w:val="auto"/>
          <w:highlight w:val="none"/>
        </w:rPr>
      </w:pPr>
      <w:bookmarkStart w:id="59" w:name="_Toc26527"/>
      <w:r>
        <w:rPr>
          <w:rFonts w:hint="eastAsia" w:ascii="宋体" w:hAnsi="宋体" w:eastAsia="宋体" w:cs="宋体"/>
          <w:color w:val="auto"/>
          <w:highlight w:val="none"/>
        </w:rPr>
        <w:t>四、谈判与评审</w:t>
      </w:r>
      <w:bookmarkEnd w:id="59"/>
    </w:p>
    <w:p w14:paraId="6DF72C3C">
      <w:pPr>
        <w:pStyle w:val="20"/>
        <w:spacing w:line="400" w:lineRule="exact"/>
        <w:ind w:firstLine="482" w:firstLineChars="200"/>
        <w:rPr>
          <w:rFonts w:hint="eastAsia" w:hAnsi="宋体" w:cs="宋体"/>
          <w:b/>
          <w:color w:val="auto"/>
          <w:sz w:val="24"/>
          <w:highlight w:val="none"/>
        </w:rPr>
      </w:pPr>
      <w:r>
        <w:rPr>
          <w:rFonts w:hint="eastAsia" w:hAnsi="宋体" w:cs="宋体"/>
          <w:b/>
          <w:color w:val="auto"/>
          <w:sz w:val="24"/>
          <w:highlight w:val="none"/>
        </w:rPr>
        <w:t>19. 谈判时间和地点</w:t>
      </w:r>
    </w:p>
    <w:p w14:paraId="61F1ABE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采购代理机构将在竞标人须知前附表规定的时间和地点组织谈判。</w:t>
      </w:r>
    </w:p>
    <w:p w14:paraId="6B34F2DE">
      <w:pPr>
        <w:pStyle w:val="20"/>
        <w:spacing w:line="400" w:lineRule="exact"/>
        <w:ind w:firstLine="482" w:firstLineChars="200"/>
        <w:rPr>
          <w:rFonts w:hint="eastAsia" w:hAnsi="宋体" w:cs="宋体"/>
          <w:b/>
          <w:color w:val="auto"/>
          <w:sz w:val="24"/>
          <w:highlight w:val="none"/>
        </w:rPr>
      </w:pPr>
      <w:r>
        <w:rPr>
          <w:rFonts w:hint="eastAsia" w:hAnsi="宋体" w:cs="宋体"/>
          <w:b/>
          <w:color w:val="auto"/>
          <w:sz w:val="24"/>
          <w:highlight w:val="none"/>
        </w:rPr>
        <w:t>20. 谈判小组成立</w:t>
      </w:r>
    </w:p>
    <w:p w14:paraId="4C883522">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20.1竞争性谈判小组成立</w:t>
      </w:r>
    </w:p>
    <w:p w14:paraId="0ABE2CF5">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采购代理机构依据法律规定，在政府采购监督部门规定的专家库中上随机抽取政府采购评审专家与采购人组成竞争性谈判小组。</w:t>
      </w:r>
    </w:p>
    <w:p w14:paraId="3199C77D">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20.2 竞争性谈判小组在采购活动过程中应当履行下列职责：</w:t>
      </w:r>
    </w:p>
    <w:p w14:paraId="73EE1F3C">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 xml:space="preserve">（1）确认谈判文件； </w:t>
      </w:r>
    </w:p>
    <w:p w14:paraId="05C0AF27">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（2）从符合相应资格条件的竞标人名单中确定不少于3家的竞标人参加谈判；</w:t>
      </w:r>
    </w:p>
    <w:p w14:paraId="1C619B62">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（3）审查竞标人的响应文件并作出评价；</w:t>
      </w:r>
    </w:p>
    <w:p w14:paraId="2CC5955D">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（4）要求竞标人解释或者澄清其响应文件；</w:t>
      </w:r>
    </w:p>
    <w:p w14:paraId="495509B4">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 xml:space="preserve">（5）编写评审报告； </w:t>
      </w:r>
    </w:p>
    <w:p w14:paraId="12E20AA8">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（6）告知采购人、采购代理机构在评审过程中发现的竞标人的违法违规行为。</w:t>
      </w:r>
    </w:p>
    <w:p w14:paraId="57C7F295">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20.3竞争性谈判小组成员应当履行下列义务：</w:t>
      </w:r>
    </w:p>
    <w:p w14:paraId="69C69083">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（1）遵纪守法，客观、公正、廉洁地履行职责；</w:t>
      </w:r>
    </w:p>
    <w:p w14:paraId="12A5D7BE">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（2）根据采购文件的规定独立进行评审，对个人的评审意见承担法律责任；</w:t>
      </w:r>
    </w:p>
    <w:p w14:paraId="543D0F35">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（3）参与评审报告的起草；</w:t>
      </w:r>
    </w:p>
    <w:p w14:paraId="0059D482">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（4）配合采购人、采购代理机构答复竞标人提出的质疑；</w:t>
      </w:r>
    </w:p>
    <w:p w14:paraId="59BF642F">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（5）配合财政部门的投诉处理和监督检查工作。</w:t>
      </w:r>
    </w:p>
    <w:p w14:paraId="459D7339">
      <w:pPr>
        <w:pStyle w:val="20"/>
        <w:spacing w:line="400" w:lineRule="exact"/>
        <w:ind w:firstLine="482" w:firstLineChars="200"/>
        <w:rPr>
          <w:rFonts w:hint="eastAsia" w:hAnsi="宋体" w:cs="宋体"/>
          <w:b/>
          <w:color w:val="auto"/>
          <w:sz w:val="24"/>
          <w:highlight w:val="none"/>
        </w:rPr>
      </w:pPr>
      <w:r>
        <w:rPr>
          <w:rFonts w:hint="eastAsia" w:hAnsi="宋体" w:cs="宋体"/>
          <w:b/>
          <w:bCs/>
          <w:color w:val="auto"/>
          <w:sz w:val="24"/>
          <w:highlight w:val="none"/>
        </w:rPr>
        <w:t>20.4 评</w:t>
      </w:r>
      <w:r>
        <w:rPr>
          <w:rFonts w:hint="eastAsia" w:hAnsi="宋体" w:cs="宋体"/>
          <w:b/>
          <w:color w:val="auto"/>
          <w:sz w:val="24"/>
          <w:highlight w:val="none"/>
        </w:rPr>
        <w:t>审原则及方法</w:t>
      </w:r>
    </w:p>
    <w:p w14:paraId="0091865D">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（1）评审原则：</w:t>
      </w:r>
    </w:p>
    <w:p w14:paraId="6DD0555A">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评审活动遵循公平、公正、科学和择优的原则。</w:t>
      </w:r>
    </w:p>
    <w:p w14:paraId="7BC412A0">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（2）评审方法：</w:t>
      </w:r>
    </w:p>
    <w:p w14:paraId="5B47AF2B">
      <w:pPr>
        <w:pStyle w:val="2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谈判小组按照竞标人须知前附表和第四章“评审方法及评审标准”规定的方法、评审因素和标准对响应文件进行评审。在评审中，不得改变第四章“评审方法及评审标准”规定的方法、评审因素和标准；第四章“评审方法及评审标准”没有规定的方法、评审因素和标准，不作为评审依据。</w:t>
      </w:r>
    </w:p>
    <w:p w14:paraId="2C99291E">
      <w:pPr>
        <w:pStyle w:val="20"/>
        <w:spacing w:line="400" w:lineRule="exact"/>
        <w:ind w:firstLine="482" w:firstLineChars="200"/>
        <w:rPr>
          <w:rFonts w:hint="eastAsia" w:hAnsi="宋体" w:cs="宋体"/>
          <w:b/>
          <w:color w:val="auto"/>
          <w:sz w:val="24"/>
          <w:highlight w:val="none"/>
        </w:rPr>
      </w:pPr>
      <w:r>
        <w:rPr>
          <w:rFonts w:hint="eastAsia" w:hAnsi="宋体" w:cs="宋体"/>
          <w:b/>
          <w:color w:val="auto"/>
          <w:sz w:val="24"/>
          <w:highlight w:val="none"/>
        </w:rPr>
        <w:t>21. 评审程序</w:t>
      </w:r>
    </w:p>
    <w:p w14:paraId="3AC98B9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21.1谈判小组确认竞争性谈判文件。</w:t>
      </w:r>
    </w:p>
    <w:p w14:paraId="1E27F0F6">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21.2资格审查和符合性审查</w:t>
      </w:r>
    </w:p>
    <w:p w14:paraId="142ED4C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对竞标人资格条件及响应文件进行评审，并从符合竞争性谈判文件规定的相应资格条件的竞标人名单中确定不少于3家的竞标人参加谈判除《政府采购非招标采购方式管理办法》（财政部74号令）第二十七条第二款规定的“公开招标的货物、服务采购项目，招标过程中提交响应文件或者经评审实质性响应采购文件要求的竞标人只有两家时，采购人、采购代理机构按照本办法第四条经本级财政部门批准后可以与该两家竞标人进行竞争性谈判采购”情形除外，竞标人最低数量可以为两家。</w:t>
      </w:r>
    </w:p>
    <w:p w14:paraId="60F53B1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资格条件不符合的竞标人或未实质性响应谈判文件的响应文件按无效竞标处理，谈判小组告知有关竞标人。</w:t>
      </w:r>
    </w:p>
    <w:p w14:paraId="41AFEBF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21.2.1资格审查</w:t>
      </w:r>
    </w:p>
    <w:p w14:paraId="7269BA7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竞标人有下列情形之一的，资格审查不通过：</w:t>
      </w:r>
    </w:p>
    <w:p w14:paraId="2C8F92E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（1）不符合《中华人民共和国政府采购法》第二十二条规定条件的。</w:t>
      </w:r>
    </w:p>
    <w:p w14:paraId="1CBCF50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（2）未按本项目采购公告规定方式获得竞争性谈判文件的。</w:t>
      </w:r>
    </w:p>
    <w:p w14:paraId="68A2FE6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（3）参加同一合同项下的政府采购活动的不同竞标人，单位负责人为同一人或者存在直接控股、管理关系的。</w:t>
      </w:r>
    </w:p>
    <w:p w14:paraId="59276FA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（4）为本次采购项目提供整体设计、规范编制或者项目管理、监理、检测等服务的。</w:t>
      </w:r>
    </w:p>
    <w:p w14:paraId="1805FAF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（5）在“信用中国”网站(www.creditchina.gov.cn)、中国政府采购网（www.ccgp.gov.cn）等渠道被列入失信被执行人、重大税收违法失信主体、政府采购严重违法失信行为记录名单的。</w:t>
      </w:r>
    </w:p>
    <w:p w14:paraId="102786E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（6）不按照采购文件要求提供合格的资格证明材料的。</w:t>
      </w:r>
    </w:p>
    <w:p w14:paraId="45921F2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（7）违反国家法律法规规定的其他资格内容的。</w:t>
      </w:r>
    </w:p>
    <w:p w14:paraId="1D6FCAA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21.2.2符合性审查</w:t>
      </w:r>
    </w:p>
    <w:p w14:paraId="7BA5784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依据采购文件的规定，谈判小组对通过资格审查的竞标人的响应文件从有效性、完整性和对采购文件的响应程度等几方面进行审查，以确定是否对采购文件的实质性要求和条件作出响应。</w:t>
      </w:r>
    </w:p>
    <w:p w14:paraId="0C9772F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21.3澄清有关问题</w:t>
      </w:r>
    </w:p>
    <w:p w14:paraId="662FB17F">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响应文件中含义不明确、同类问题表述不一致或者有明显文字和计算错误的内容，谈判小组可以书面形式（应当由谈判小组专家签字）要求竞标人作出必要的澄清、说明或者纠正。竞标人的澄清、说明或者纠正应当采用书面形式，由法定代表人或其委托代理人签字或盖章确认，且不得超出响应文件的范围或者改变响应文件的实质性内容。该澄清、说明或者纠正是响应文件的组成部分</w:t>
      </w:r>
    </w:p>
    <w:p w14:paraId="576A90B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21.4谈判</w:t>
      </w:r>
    </w:p>
    <w:p w14:paraId="06EF997A">
      <w:pPr>
        <w:spacing w:after="0"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在谈判过程中，</w:t>
      </w:r>
      <w:r>
        <w:rPr>
          <w:rFonts w:hint="eastAsia" w:ascii="宋体" w:hAnsi="宋体" w:eastAsia="宋体" w:cs="宋体"/>
          <w:color w:val="auto"/>
          <w:sz w:val="24"/>
          <w:highlight w:val="none"/>
          <w:u w:val="single"/>
        </w:rPr>
        <w:t>谈判小组可以根据谈判文件和谈判情况实质性变动采购需求中的技术、服务要求以及合同草案条款，但不得变动谈判文件中的其他内容。实质性变动的内容，须经采购人代表确认。</w:t>
      </w:r>
    </w:p>
    <w:p w14:paraId="0AE06014">
      <w:pPr>
        <w:tabs>
          <w:tab w:val="left" w:pos="540"/>
        </w:tabs>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21.5最后报价</w:t>
      </w:r>
    </w:p>
    <w:p w14:paraId="413C5B5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谈判文件能够详细列明采购标的的技术、服务要求的，谈判结束后，谈判小组告知代理机构开启最后报价环节，代理机构在政采云系统上开启最终报价程序，所有继续参加谈判的供应商在接到系统短息提醒或代理电话通知后，必须在规定时间内提交最终报价，提交最后报价的竞标人不得少于3家。</w:t>
      </w:r>
    </w:p>
    <w:p w14:paraId="4CB752B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谈判文件不能详细列明采购标的的技术、服务要求，需经谈判由竞标人提供最终设计方案或解决方案的，谈判结束后，谈判小组应当按照少数服从多数的原则投票推荐3家以上竞标人的设计方案或者解决方案，并要求其在规定时间内密封提交最后报价。</w:t>
      </w:r>
    </w:p>
    <w:p w14:paraId="563754A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最后报价是竞标人响应文件的有效组成部分。</w:t>
      </w:r>
    </w:p>
    <w:p w14:paraId="5C4AA3E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21.5.4 已经提交响应文件的竞标人，在提交最后报价之前，可以根据谈判情况退出谈判。采购人、采购代理机构将退还退出谈判的竞标人的保证金。</w:t>
      </w:r>
    </w:p>
    <w:p w14:paraId="7F9B3018">
      <w:pPr>
        <w:tabs>
          <w:tab w:val="left" w:pos="540"/>
        </w:tabs>
        <w:spacing w:after="0"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21.6</w:t>
      </w:r>
      <w:r>
        <w:rPr>
          <w:rFonts w:hint="eastAsia" w:ascii="宋体" w:hAnsi="宋体" w:eastAsia="宋体" w:cs="宋体"/>
          <w:b/>
          <w:bCs/>
          <w:color w:val="auto"/>
          <w:sz w:val="24"/>
          <w:highlight w:val="none"/>
        </w:rPr>
        <w:t>在谈判过程中出现法律法规和谈判文件均没有明确规定的情形时，由谈判小组现场协商解决，协商不一致的，由全体谈判小组投票表决，以得票率二分之一以上专家的意见为准。</w:t>
      </w:r>
    </w:p>
    <w:p w14:paraId="1C0E2229">
      <w:pPr>
        <w:spacing w:after="0"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错误修正</w:t>
      </w:r>
    </w:p>
    <w:p w14:paraId="144C7EA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22.1响应文件如果出现计算或表达上的错误，修正错误的原则如下：</w:t>
      </w:r>
    </w:p>
    <w:p w14:paraId="3A21D2E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（1）响应文件的大写金额和小写金额不一致的，以大写金额为准；</w:t>
      </w:r>
    </w:p>
    <w:p w14:paraId="2F3A0FB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（2）总价金额与按单价汇总金额不一致的，以单价金额计算结果为准；</w:t>
      </w:r>
    </w:p>
    <w:p w14:paraId="0D33466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（3）单价金额小数点有明显错位的，应以总价为准，并修正单价；</w:t>
      </w:r>
    </w:p>
    <w:p w14:paraId="1973B140">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（4）对不同文字文本响应文件的解释发生异议的，以中文文本为准。</w:t>
      </w:r>
    </w:p>
    <w:p w14:paraId="7CE8F2FA">
      <w:pPr>
        <w:pStyle w:val="20"/>
        <w:spacing w:line="400" w:lineRule="exact"/>
        <w:ind w:firstLine="480" w:firstLineChars="200"/>
        <w:rPr>
          <w:rFonts w:hint="eastAsia" w:hAnsi="宋体" w:cs="宋体"/>
          <w:b/>
          <w:color w:val="auto"/>
          <w:sz w:val="24"/>
          <w:highlight w:val="none"/>
        </w:rPr>
      </w:pPr>
      <w:r>
        <w:rPr>
          <w:rFonts w:hint="eastAsia" w:hAnsi="宋体" w:cs="宋体"/>
          <w:color w:val="auto"/>
          <w:sz w:val="24"/>
          <w:highlight w:val="none"/>
        </w:rPr>
        <w:t>22.2谈判小组按上述修正错误的原则及方法调整或修正响应文件的响应报价，竞标人同意并签字确认后，调整后的响应报价对竞标人具有约束作用。如果竞标人不接受修正后的报价，则其响应将作为无效响应处理。</w:t>
      </w:r>
    </w:p>
    <w:p w14:paraId="39A3C3B8">
      <w:pPr>
        <w:spacing w:after="0"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评审过程的保密</w:t>
      </w:r>
    </w:p>
    <w:p w14:paraId="1C286D62">
      <w:pPr>
        <w:spacing w:after="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23.1 在评审活动中，凡属于审查、澄清、评价和比较的有关资料及有关授予合同的信息，都不应向竞标人或与评审无关的其他人泄露。</w:t>
      </w:r>
    </w:p>
    <w:p w14:paraId="4B385CB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23.2 在响应文件的审查、澄清、评价和比较以及授予合同的过程中，竞标人对采购人和谈判小组成员施加影响的任何行为，都将导致被取消谈判资格。</w:t>
      </w:r>
    </w:p>
    <w:p w14:paraId="0D55DAFA">
      <w:pPr>
        <w:spacing w:after="0"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24.</w:t>
      </w:r>
      <w:bookmarkStart w:id="60" w:name="_Toc254970673"/>
      <w:bookmarkStart w:id="61" w:name="_Toc254970532"/>
      <w:r>
        <w:rPr>
          <w:rFonts w:hint="eastAsia" w:ascii="宋体" w:hAnsi="宋体" w:eastAsia="宋体" w:cs="宋体"/>
          <w:b/>
          <w:bCs/>
          <w:color w:val="auto"/>
          <w:sz w:val="24"/>
          <w:highlight w:val="none"/>
        </w:rPr>
        <w:t xml:space="preserve"> 特别说明：</w:t>
      </w:r>
      <w:bookmarkEnd w:id="60"/>
      <w:bookmarkEnd w:id="61"/>
    </w:p>
    <w:p w14:paraId="32BA743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（本条款所述竞标人等同于竞标人，评标等同于评审，竞标等同于谈判或响应）</w:t>
      </w:r>
    </w:p>
    <w:p w14:paraId="7EFF7EA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24.1单位负责人为同一人或者存在直接控股、管理关系的，不得参加同一合同项下投标或未划分分标的同一合同项下投标，否则响应文件将被视为无效。</w:t>
      </w:r>
      <w:r>
        <w:rPr>
          <w:rFonts w:hint="eastAsia" w:ascii="宋体" w:hAnsi="宋体" w:eastAsia="宋体" w:cs="宋体"/>
          <w:b/>
          <w:color w:val="auto"/>
          <w:sz w:val="24"/>
          <w:highlight w:val="none"/>
        </w:rPr>
        <w:t>生产厂商授权给竞标人后自己不得参加同一合同项下的政府采购活动；生产厂商对同一品牌同一型号的货物，仅能委托一个代理商参加竞标。</w:t>
      </w:r>
    </w:p>
    <w:p w14:paraId="4213934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24.2除单一来源采购项目外，为采购项目提供整体设计、规范编制或者项目管理、监理、检测等服务的竞标人，不得再参加该采购项目的其他采购活动，否则投标无效。</w:t>
      </w:r>
    </w:p>
    <w:p w14:paraId="1CA77256">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24.3出现下列情形之一的，在评审过程中，取其中通过资格审查、符合性审查且报价最低的参加评审；当报价相同时，则由采购人自主选择确定一个参加评审的竞标人，其他响应文件无效：</w:t>
      </w:r>
    </w:p>
    <w:p w14:paraId="707D5F38">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（1）根据桂财采[2016]42号的规定，提供相同品牌产品的不同竞标人参加同一合同项下投标的，评审时，按上述规定确定其中一家为有效竞标人。</w:t>
      </w:r>
    </w:p>
    <w:p w14:paraId="4717AC89">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（2）非单一产品采购项目中，多家竞标人提供的核心产品相同的，视为提供相同品牌产品，应当按一个竞标人认定，评审时，按上述规定确定其中一家为有效竞标人。核心产品在谈判文件中写明。</w:t>
      </w:r>
    </w:p>
    <w:p w14:paraId="27D52292">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 竞标人投标所使用的资格、信誉、荣誉、业绩与企业认证必须为本法人所拥有。</w:t>
      </w:r>
      <w:r>
        <w:rPr>
          <w:rFonts w:hint="eastAsia" w:ascii="宋体" w:hAnsi="宋体" w:eastAsia="宋体" w:cs="宋体"/>
          <w:b/>
          <w:color w:val="auto"/>
          <w:sz w:val="24"/>
          <w:highlight w:val="none"/>
        </w:rPr>
        <w:t>（本采购文件第三章“项目采购需求和说明”另有约定的从其约定）</w:t>
      </w:r>
    </w:p>
    <w:p w14:paraId="7E04E25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24.5 竞标人应仔细阅读采购文件的所有内容，按照采购文件的要求提交响应文件，并对所提供的全部资料的真实性承担法律责任。</w:t>
      </w:r>
    </w:p>
    <w:p w14:paraId="2B068FED">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24.6竞标人在投标活动中提供任何虚假材料,其投标无效，并报监管部门查处；中标后发现的,成交竞标人须依照《中华人民共和国消费者权益保护法》规定赔偿采购人，且民事赔偿并不免除违法竞标人的行政与刑事责任。</w:t>
      </w:r>
    </w:p>
    <w:p w14:paraId="42C54CA0">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24.7在政府采购活动中，采购人员及相关人员与竞标人有下列利害关系之一的，应当回避：</w:t>
      </w:r>
    </w:p>
    <w:p w14:paraId="5F3601E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（1）参加采购活动前3年内与竞标人存在劳动关系；</w:t>
      </w:r>
    </w:p>
    <w:p w14:paraId="64AA8EF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（2）参加采购活动前3年内担任竞标人的董事、监事；</w:t>
      </w:r>
    </w:p>
    <w:p w14:paraId="0702C7A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（3）参加采购活动前3年内是竞标人的控股股东或者实际控制人；</w:t>
      </w:r>
    </w:p>
    <w:p w14:paraId="1D24E0B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（4）与竞标人的法定代表人或者负责人有夫妻、直系血亲、三代以内旁系血亲或者近姻亲关系；</w:t>
      </w:r>
    </w:p>
    <w:p w14:paraId="26998ECD">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（5）与竞标人有其他可能影响政府采购活动公平、公正进行的关系。</w:t>
      </w:r>
    </w:p>
    <w:p w14:paraId="27C0390D">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标人认为采购人员及相关人员与其他竞标人有利害关系的，可以向采购人或者采购代理机构书面提出回避申请，并说明理由。采购人或者采购代理机构应当及时询问被申请回避人员，有利害关系的被申请回避人员应当回避。</w:t>
      </w:r>
    </w:p>
    <w:p w14:paraId="4F59B86D">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竞标人相互串通投标</w:t>
      </w:r>
    </w:p>
    <w:p w14:paraId="462B1047">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有下列情形之一的视为竞标人相互串通投标，响应文件将被视为无效：</w:t>
      </w:r>
    </w:p>
    <w:p w14:paraId="3CE4989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（1）不同竞标人的响应文件由同一单位或者个人编制；或不同竞标人报名的IP地址一致的；</w:t>
      </w:r>
    </w:p>
    <w:p w14:paraId="3F5AFFA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（2）不同竞标人委托同一单位或者个人办理投标事宜；</w:t>
      </w:r>
    </w:p>
    <w:p w14:paraId="1A106F49">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（3）不同的竞标人的响应文件载明的项目管理员为同一个人；</w:t>
      </w:r>
    </w:p>
    <w:p w14:paraId="6DCF1AC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（4）不同竞标人的响应文件异常一致或投标报价呈规律性差异；</w:t>
      </w:r>
    </w:p>
    <w:p w14:paraId="44F8DDF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 竞标人恶意串通投标</w:t>
      </w:r>
    </w:p>
    <w:p w14:paraId="19957502">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竞标人有下列情形之一的，属于恶意串通行为：</w:t>
      </w:r>
    </w:p>
    <w:p w14:paraId="3CC61D9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（1）竞标人直接或者间接从采购人或者采购代理机构处获得其他竞标人的相关信息并修改其响应文件或者响应文件：</w:t>
      </w:r>
    </w:p>
    <w:p w14:paraId="7F939B7E">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（2）竞标人按照采购人或者采购代理机构的授意撤换、修改响应文件或者响应文件；</w:t>
      </w:r>
    </w:p>
    <w:p w14:paraId="37D782C4">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（3）竞标人之间协商报价、技术方案等响应文件或者响应文件的实质性内容；</w:t>
      </w:r>
    </w:p>
    <w:p w14:paraId="32B899FA">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（4）属于同一集团、协会、商会等组织成员的竞标人按照该组织要求协同参加政府采购活动；</w:t>
      </w:r>
    </w:p>
    <w:p w14:paraId="0D9994C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（5）竞标人之间事先约定一致抬高或者压低投标报价,或者在招标项目中事先约定轮流以高价位或者低价位中标,或者事先约定由某一特定竞标人中标,然后再参加投标；</w:t>
      </w:r>
    </w:p>
    <w:p w14:paraId="69D76820">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（6）竞标人之间商定部分竞标人放弃参加政府采购活动或者放弃中标；</w:t>
      </w:r>
    </w:p>
    <w:p w14:paraId="61567D97">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（7）竞标人与采购人或者采购代理机构之间、竞标人相互之间，为谋求特定竞标人中标或者排斥其他竞标人的其他串通行为。</w:t>
      </w:r>
    </w:p>
    <w:p w14:paraId="2E6E2956">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终止采购</w:t>
      </w:r>
    </w:p>
    <w:p w14:paraId="008BD94C">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出现下列情形之一的，采购人或者采购代理机构终止竞争性谈判采购活动，发布项目终止公告并说明原因，重新开展采购活动：</w:t>
      </w:r>
    </w:p>
    <w:p w14:paraId="0227844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（一）因情况变化，不再符合规定的竞争性谈判采购方式适用情形的；</w:t>
      </w:r>
    </w:p>
    <w:p w14:paraId="4D52BF3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（二）出现影响采购公正的违法、违规行为的；</w:t>
      </w:r>
    </w:p>
    <w:p w14:paraId="5E6953F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（三）在采购过程中符合竞争要求的竞标人或者报价未超过采购预算的竞标人不足3家的，但《政府采购非招标采购方式管理办法》第二十七条第二款规定的情形除外。</w:t>
      </w:r>
    </w:p>
    <w:p w14:paraId="5645AB6D">
      <w:pPr>
        <w:pStyle w:val="3"/>
        <w:spacing w:before="120" w:beforeLines="50" w:line="400" w:lineRule="exact"/>
        <w:rPr>
          <w:rFonts w:hint="eastAsia" w:ascii="宋体" w:hAnsi="宋体" w:eastAsia="宋体" w:cs="宋体"/>
          <w:color w:val="auto"/>
          <w:highlight w:val="none"/>
        </w:rPr>
      </w:pPr>
      <w:bookmarkStart w:id="62" w:name="_Toc246094916"/>
      <w:bookmarkStart w:id="63" w:name="_Toc246095460"/>
      <w:bookmarkStart w:id="64" w:name="_Toc246095522"/>
      <w:bookmarkStart w:id="65" w:name="_Toc3773"/>
      <w:r>
        <w:rPr>
          <w:rFonts w:hint="eastAsia" w:ascii="宋体" w:hAnsi="宋体" w:eastAsia="宋体" w:cs="宋体"/>
          <w:color w:val="auto"/>
          <w:highlight w:val="none"/>
        </w:rPr>
        <w:t>五、</w:t>
      </w:r>
      <w:bookmarkEnd w:id="62"/>
      <w:bookmarkEnd w:id="63"/>
      <w:bookmarkEnd w:id="64"/>
      <w:r>
        <w:rPr>
          <w:rFonts w:hint="eastAsia" w:ascii="宋体" w:hAnsi="宋体" w:eastAsia="宋体" w:cs="宋体"/>
          <w:color w:val="auto"/>
          <w:highlight w:val="none"/>
        </w:rPr>
        <w:t>评审结果</w:t>
      </w:r>
      <w:bookmarkEnd w:id="65"/>
    </w:p>
    <w:p w14:paraId="3469703E">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 评审结果确定</w:t>
      </w:r>
    </w:p>
    <w:p w14:paraId="0AE47BF4">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在评审结束后2个工作日内将评审报告送采购人确认。采购人在收到评审报告后5个工作日内，从评审报告提出的成交候选人中，根据质量和服务均能满足采购文件实质性响应要求且最后报价/评标价最低的原则确定成交竞标人（也可以书面授权谈判小组直接确定成交竞标人）。采购人逾期未确定成交竞标人且不提出异议的，视为确定评审报告提出的评标价最低的竞标人为成交竞标人。</w:t>
      </w:r>
    </w:p>
    <w:p w14:paraId="7AFE80B3">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 成交通知</w:t>
      </w:r>
    </w:p>
    <w:p w14:paraId="549038F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采购代理机构在成交竞标人确定后2个工作日内，在省级以上财政部门指定的媒体上公告成交结果，同时向成交竞标人发出成交通知书。</w:t>
      </w:r>
    </w:p>
    <w:p w14:paraId="48665280">
      <w:pPr>
        <w:pStyle w:val="3"/>
        <w:spacing w:before="240" w:beforeLines="100" w:line="400" w:lineRule="exact"/>
        <w:rPr>
          <w:rFonts w:hint="eastAsia" w:ascii="宋体" w:hAnsi="宋体" w:eastAsia="宋体" w:cs="宋体"/>
          <w:color w:val="auto"/>
          <w:highlight w:val="none"/>
        </w:rPr>
      </w:pPr>
      <w:bookmarkStart w:id="66" w:name="_Toc453"/>
      <w:r>
        <w:rPr>
          <w:rFonts w:hint="eastAsia" w:ascii="宋体" w:hAnsi="宋体" w:eastAsia="宋体" w:cs="宋体"/>
          <w:color w:val="auto"/>
          <w:highlight w:val="none"/>
        </w:rPr>
        <w:t>六、合同授予</w:t>
      </w:r>
      <w:bookmarkEnd w:id="66"/>
    </w:p>
    <w:p w14:paraId="21EA2CBF">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 履约保证金：无</w:t>
      </w:r>
    </w:p>
    <w:p w14:paraId="5CB9421F">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 签订合同</w:t>
      </w:r>
    </w:p>
    <w:p w14:paraId="0302B55A">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31.1成交竞标人应在成交通知书发出之日起15天内与采购人签订合同。谈判文件、成交竞标人的响应文件、应答文件等，均为签订政府采购合同的依据。</w:t>
      </w:r>
    </w:p>
    <w:p w14:paraId="5858163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31.2如成交竞标人不按成交通知书的规定签订合同，则按成交竞标人违约处理，采购代理机构将不予退还成交竞标人谈判保证金并上缴财政国库。</w:t>
      </w:r>
    </w:p>
    <w:p w14:paraId="52A9AA48">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成交竞标人拒绝签订政府采购合同的，如政府采购活动或成交竞标人不存在违法违规情形的，采购人可以根据采购项目的实际情况，综合考虑递补竞标人的经济性和效率等因素，自主确定是否重新开展采购活动或确定下一候选人为成交竞标人。</w:t>
      </w:r>
    </w:p>
    <w:p w14:paraId="4F7F1FF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31.4采购人或成交竞标人不得单方面向合同另一方提出任何竞争性谈判文件没有约定的条件或不合理的要求，作为签订合同的条件，也不得协商另行订立背离竞争性谈判文件和合同实质性内容的协议。</w:t>
      </w:r>
    </w:p>
    <w:p w14:paraId="5DE574F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31.5在合同履行中，采购人需追加与合同标的相同的货物、工程或者服务的，在不改变原合同条款的前提下，可以与竞标人协商签订补充合同，但所有补充合同的采购金额不得超过原采购合同金额的10%。</w:t>
      </w:r>
    </w:p>
    <w:p w14:paraId="34A21F1F">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 政府采购合同公告</w:t>
      </w:r>
    </w:p>
    <w:p w14:paraId="05B9C1A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6E7E4BC">
      <w:pPr>
        <w:pStyle w:val="3"/>
        <w:spacing w:before="240" w:beforeLines="100" w:line="400" w:lineRule="exact"/>
        <w:rPr>
          <w:rFonts w:hint="eastAsia" w:ascii="宋体" w:hAnsi="宋体" w:eastAsia="宋体" w:cs="宋体"/>
          <w:color w:val="auto"/>
          <w:highlight w:val="none"/>
        </w:rPr>
      </w:pPr>
      <w:bookmarkStart w:id="67" w:name="_Toc246095461"/>
      <w:bookmarkStart w:id="68" w:name="_Toc246094917"/>
      <w:bookmarkStart w:id="69" w:name="_Toc246095523"/>
      <w:bookmarkStart w:id="70" w:name="_Toc23225"/>
      <w:r>
        <w:rPr>
          <w:rFonts w:hint="eastAsia" w:ascii="宋体" w:hAnsi="宋体" w:eastAsia="宋体" w:cs="宋体"/>
          <w:color w:val="auto"/>
          <w:highlight w:val="none"/>
        </w:rPr>
        <w:t>七、其他</w:t>
      </w:r>
      <w:bookmarkEnd w:id="67"/>
      <w:bookmarkEnd w:id="68"/>
      <w:bookmarkEnd w:id="69"/>
      <w:bookmarkEnd w:id="70"/>
    </w:p>
    <w:p w14:paraId="1FE5226B">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 招标代理服务费</w:t>
      </w:r>
    </w:p>
    <w:p w14:paraId="3500374E">
      <w:pPr>
        <w:spacing w:after="0"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33.1本项目招标代理服务费按本章33款规定的货物类费率标准，按差额定率累进法计算。成交人领取成交通知书前，应向采购代理机构一次付清招标代理服务费，否则，采购代理机构将视之为违约。</w:t>
      </w:r>
    </w:p>
    <w:p w14:paraId="49CBFB55">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 询问、质疑和投诉</w:t>
      </w:r>
    </w:p>
    <w:p w14:paraId="4806908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34.1竞标人对政府采购活动事项有疑问的，可以向采购人、采购代理机构提出询问。</w:t>
      </w:r>
    </w:p>
    <w:p w14:paraId="2F1D9A7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34.2竞标人认为采购文件、采购过程或成交结果使自己的合法权益受到损害的，应当在知道或者应知其权益受到损害之日起七个工作日内，以书面形式向采购人、采购代理机构提出质疑。具体计算起算时间如下：</w:t>
      </w:r>
    </w:p>
    <w:p w14:paraId="6C8C7F1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14:paraId="0F579A19">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14:paraId="3BFEF10D">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（三）对成交结果提出质疑的，为成交结果公告期限届满之日。</w:t>
      </w:r>
    </w:p>
    <w:p w14:paraId="0E394BA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在收到竞标人书面质疑后7个工作日内，对质疑内容作出答复。竞标人对采购人或采购代理机构的质疑答复不满意或者采购人或采购代理机构未在规定时间内作出答复的，可以在答复期满后十五个工作日内向同级采购监管部门投诉。</w:t>
      </w:r>
    </w:p>
    <w:p w14:paraId="5DE2469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34.3竞标人的</w:t>
      </w:r>
      <w:r>
        <w:rPr>
          <w:rFonts w:hint="eastAsia" w:ascii="宋体" w:hAnsi="宋体" w:eastAsia="宋体" w:cs="宋体"/>
          <w:bCs/>
          <w:color w:val="auto"/>
          <w:sz w:val="24"/>
          <w:highlight w:val="none"/>
        </w:rPr>
        <w:t>质疑和投诉行为应当符合《政府采购质疑和投诉办法》（中华人民共和国财政部令第94号）规定。</w:t>
      </w:r>
      <w:r>
        <w:rPr>
          <w:rFonts w:hint="eastAsia" w:ascii="宋体" w:hAnsi="宋体" w:eastAsia="宋体" w:cs="宋体"/>
          <w:color w:val="auto"/>
          <w:sz w:val="24"/>
          <w:highlight w:val="none"/>
        </w:rPr>
        <w:t>质疑、投诉应当采用书面形式，</w:t>
      </w:r>
      <w:r>
        <w:rPr>
          <w:rFonts w:hint="eastAsia" w:ascii="宋体" w:hAnsi="宋体" w:eastAsia="宋体" w:cs="宋体"/>
          <w:bCs/>
          <w:color w:val="auto"/>
          <w:sz w:val="24"/>
          <w:highlight w:val="none"/>
        </w:rPr>
        <w:t>质疑函、投诉书应按财政部发布《政府采购竞标人质疑函范本》、《政府采购竞标人投诉书范本》编制，</w:t>
      </w:r>
      <w:r>
        <w:rPr>
          <w:rFonts w:hint="eastAsia" w:ascii="宋体" w:hAnsi="宋体" w:eastAsia="宋体" w:cs="宋体"/>
          <w:color w:val="auto"/>
          <w:sz w:val="24"/>
          <w:highlight w:val="none"/>
        </w:rPr>
        <w:t>质疑书、投诉书均应明确阐述采购文件、采购过程、成交结果中使自己合法权益受到损害的实质性内容，提供相关事实、明确的请求、必要的证明材料，便于有关单位调查、答复和处理。</w:t>
      </w:r>
    </w:p>
    <w:p w14:paraId="381C38D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竞标人提出质疑应当提交质疑函和必要的证明材料，针对同一采购程序环节的质疑必须在法定质疑期内一次性提出。</w:t>
      </w:r>
    </w:p>
    <w:p w14:paraId="24097DEC">
      <w:pPr>
        <w:spacing w:after="0"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 适用法律</w:t>
      </w:r>
    </w:p>
    <w:p w14:paraId="28851E85">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采购当事人的一切活动均适用于《中华人民共和国政府采购法》、《中华人民共和国政府采购法实施条例》、《政府采购非招标采购方式管理办法》及相关规定。</w:t>
      </w:r>
    </w:p>
    <w:p w14:paraId="07D0779A">
      <w:pPr>
        <w:spacing w:after="0" w:line="400" w:lineRule="exact"/>
        <w:ind w:firstLine="480" w:firstLineChars="200"/>
        <w:rPr>
          <w:rFonts w:hint="eastAsia" w:ascii="宋体" w:hAnsi="宋体" w:eastAsia="宋体" w:cs="宋体"/>
          <w:color w:val="auto"/>
          <w:sz w:val="24"/>
          <w:highlight w:val="none"/>
        </w:rPr>
      </w:pPr>
    </w:p>
    <w:p w14:paraId="6CABD723">
      <w:pPr>
        <w:spacing w:after="0" w:line="400" w:lineRule="exact"/>
        <w:ind w:firstLine="440" w:firstLineChars="200"/>
        <w:rPr>
          <w:rFonts w:hint="eastAsia" w:ascii="宋体" w:hAnsi="宋体" w:eastAsia="宋体" w:cs="宋体"/>
          <w:color w:val="auto"/>
          <w:highlight w:val="none"/>
        </w:rPr>
        <w:sectPr>
          <w:headerReference r:id="rId8" w:type="first"/>
          <w:footerReference r:id="rId9" w:type="default"/>
          <w:footerReference r:id="rId10" w:type="even"/>
          <w:pgSz w:w="11907" w:h="16840"/>
          <w:pgMar w:top="1077" w:right="1275" w:bottom="1418" w:left="1077" w:header="624" w:footer="737" w:gutter="0"/>
          <w:pgNumType w:start="1"/>
          <w:cols w:space="720" w:num="1"/>
          <w:docGrid w:linePitch="312" w:charSpace="0"/>
        </w:sectPr>
      </w:pPr>
    </w:p>
    <w:p w14:paraId="2FA63C73">
      <w:pPr>
        <w:pStyle w:val="2"/>
        <w:spacing w:before="120" w:beforeLines="50" w:after="120" w:afterLines="50"/>
        <w:ind w:firstLine="723" w:firstLineChars="200"/>
        <w:rPr>
          <w:rFonts w:hint="eastAsia" w:ascii="宋体" w:hAnsi="宋体" w:eastAsia="宋体" w:cs="宋体"/>
          <w:b/>
          <w:bCs/>
          <w:color w:val="auto"/>
          <w:highlight w:val="none"/>
        </w:rPr>
      </w:pPr>
      <w:bookmarkStart w:id="71" w:name="_Toc14373"/>
      <w:r>
        <w:rPr>
          <w:rFonts w:hint="eastAsia" w:ascii="宋体" w:hAnsi="宋体" w:eastAsia="宋体" w:cs="宋体"/>
          <w:b/>
          <w:bCs/>
          <w:color w:val="auto"/>
          <w:highlight w:val="none"/>
        </w:rPr>
        <w:t>第三章  项目采购需求和说明</w:t>
      </w:r>
      <w:bookmarkEnd w:id="71"/>
    </w:p>
    <w:p w14:paraId="3D855F64">
      <w:pPr>
        <w:adjustRightInd/>
        <w:snapToGrid/>
        <w:spacing w:line="220" w:lineRule="atLeast"/>
        <w:jc w:val="center"/>
        <w:rPr>
          <w:rFonts w:hint="eastAsia" w:ascii="宋体" w:hAnsi="宋体" w:eastAsia="宋体"/>
          <w:b/>
          <w:bCs/>
          <w:color w:val="auto"/>
          <w:sz w:val="32"/>
          <w:szCs w:val="32"/>
          <w:highlight w:val="none"/>
        </w:rPr>
      </w:pPr>
    </w:p>
    <w:p w14:paraId="677A5B50">
      <w:pPr>
        <w:adjustRightInd/>
        <w:snapToGrid/>
        <w:spacing w:line="220" w:lineRule="atLeast"/>
        <w:jc w:val="center"/>
        <w:rPr>
          <w:rFonts w:hint="eastAsia" w:ascii="宋体" w:hAnsi="宋体" w:eastAsia="宋体" w:cs="宋体"/>
          <w:color w:val="auto"/>
          <w:sz w:val="24"/>
          <w:highlight w:val="none"/>
        </w:rPr>
      </w:pPr>
      <w:r>
        <w:rPr>
          <w:rFonts w:hint="eastAsia" w:ascii="宋体" w:hAnsi="宋体" w:eastAsia="宋体"/>
          <w:b/>
          <w:bCs/>
          <w:color w:val="auto"/>
          <w:sz w:val="32"/>
          <w:szCs w:val="32"/>
          <w:highlight w:val="none"/>
        </w:rPr>
        <w:t>采购项目技术规格、参数及要求</w:t>
      </w:r>
    </w:p>
    <w:p w14:paraId="552B28FD">
      <w:pPr>
        <w:spacing w:after="0" w:line="400" w:lineRule="exact"/>
        <w:ind w:firstLine="480" w:firstLineChars="200"/>
        <w:rPr>
          <w:rFonts w:hint="eastAsia" w:ascii="宋体" w:hAnsi="宋体" w:eastAsia="宋体" w:cs="宋体"/>
          <w:color w:val="auto"/>
          <w:sz w:val="24"/>
          <w:highlight w:val="none"/>
        </w:rPr>
      </w:pPr>
      <w:bookmarkStart w:id="72" w:name="_Toc246094918"/>
      <w:bookmarkStart w:id="73" w:name="_Toc246095462"/>
      <w:bookmarkStart w:id="74" w:name="_Toc246095524"/>
      <w:bookmarkStart w:id="75" w:name="_Toc11191"/>
      <w:r>
        <w:rPr>
          <w:rFonts w:hint="eastAsia" w:ascii="宋体" w:hAnsi="宋体" w:eastAsia="宋体" w:cs="宋体"/>
          <w:color w:val="auto"/>
          <w:sz w:val="24"/>
          <w:highlight w:val="none"/>
        </w:rPr>
        <w:t xml:space="preserve">1、本一览表中设备或货物的技术参数及其性能（配置）是本项目的基本要求，竞标人可选优于本一览表的技术参数性能（配置）要求的设备或货物进行应标。 </w:t>
      </w:r>
    </w:p>
    <w:p w14:paraId="0BADCC43">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2、本项目采购需求中技术参数及需求不明确或有误的，请以详细、正确的技术参数进行响应并承诺，同时填写“技术响应、偏离情况说明表”。</w:t>
      </w:r>
    </w:p>
    <w:p w14:paraId="76A7FBA7">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必须自行为其竞标产品侵犯其他供应商或专利人的专利成果承担相应法律责任；同时，具有产品专利的供应商应在其响应文件中提供与其自有产品专利相关的有效证明材料，否则，不能就其产品的专利在本项目竞标过程中被侵权问题提出异议。</w:t>
      </w:r>
    </w:p>
    <w:p w14:paraId="0005B392">
      <w:pPr>
        <w:spacing w:after="0" w:line="40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w:t>
      </w:r>
      <w:r>
        <w:rPr>
          <w:rFonts w:hint="eastAsia" w:ascii="宋体" w:hAnsi="宋体" w:eastAsia="宋体"/>
          <w:color w:val="auto"/>
          <w:sz w:val="24"/>
          <w:highlight w:val="none"/>
          <w:u w:val="single"/>
        </w:rPr>
        <w:t>本次采购将依据强制采购节能产品品目清单和节能产品认证证书实施政府强制采购。若采购货物含有此类产品时，供应商的竞标货物必须使用政府强制采购的节能产品，供应商在响应文件中必须提供所投产品获得国家确定的认证机构出具的、处于有效期之内的节能产品认证证书复印件（加盖供应商单位公章），否则相应竞标无效</w:t>
      </w:r>
      <w:r>
        <w:rPr>
          <w:rFonts w:hint="eastAsia" w:ascii="宋体" w:hAnsi="宋体" w:eastAsia="宋体"/>
          <w:color w:val="auto"/>
          <w:sz w:val="24"/>
          <w:highlight w:val="none"/>
        </w:rPr>
        <w:t>。</w:t>
      </w:r>
    </w:p>
    <w:p w14:paraId="59D21A86">
      <w:pPr>
        <w:spacing w:after="0" w:line="400" w:lineRule="exact"/>
        <w:ind w:firstLine="480" w:firstLineChars="200"/>
        <w:rPr>
          <w:color w:val="auto"/>
          <w:highlight w:val="none"/>
        </w:rPr>
      </w:pPr>
      <w:r>
        <w:rPr>
          <w:rFonts w:hint="eastAsia" w:ascii="宋体" w:hAnsi="宋体" w:eastAsia="宋体"/>
          <w:bCs/>
          <w:color w:val="auto"/>
          <w:sz w:val="24"/>
          <w:highlight w:val="none"/>
          <w:u w:val="single"/>
        </w:rPr>
        <w:t>台式计算机、便携式计算机、平板式微型计算机、激光打印机、针式打印机、液晶显示器、制冷压缩机、空调机组、专用制冷、空调设备、镇流器、空调机、电热水器、普通照明用双端荧光灯、电视设备、视频设备以及便器、水嘴均为节能产品政府采购目清单内标注“★”的品目，属于政府强制采购节能产品。</w:t>
      </w:r>
    </w:p>
    <w:p w14:paraId="70BFEBB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5、竞争性谈判文件中所要求提供的证明材料，如为英文文本的请同时提供中文译本。</w:t>
      </w:r>
    </w:p>
    <w:p w14:paraId="7B9B1CCB">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color w:val="auto"/>
          <w:sz w:val="24"/>
          <w:highlight w:val="none"/>
          <w:u w:val="single"/>
        </w:rPr>
        <w:t>竞争性谈判文件中标注“</w:t>
      </w:r>
      <w:r>
        <w:rPr>
          <w:rFonts w:hint="eastAsia" w:ascii="宋体" w:hAnsi="宋体" w:eastAsia="宋体" w:cs="宋体"/>
          <w:bCs/>
          <w:color w:val="auto"/>
          <w:sz w:val="24"/>
          <w:highlight w:val="none"/>
          <w:u w:val="single"/>
        </w:rPr>
        <w:t>▲</w:t>
      </w:r>
      <w:r>
        <w:rPr>
          <w:rFonts w:hint="eastAsia" w:ascii="宋体" w:hAnsi="宋体" w:eastAsia="宋体" w:cs="宋体"/>
          <w:b/>
          <w:color w:val="auto"/>
          <w:sz w:val="24"/>
          <w:highlight w:val="none"/>
          <w:u w:val="single"/>
        </w:rPr>
        <w:t>”号的条款为实质性条款，必须满足或优于，否则竞标无效</w:t>
      </w:r>
      <w:r>
        <w:rPr>
          <w:rFonts w:hint="eastAsia" w:ascii="宋体" w:hAnsi="宋体" w:eastAsia="宋体" w:cs="宋体"/>
          <w:b/>
          <w:color w:val="auto"/>
          <w:sz w:val="24"/>
          <w:highlight w:val="none"/>
        </w:rPr>
        <w:t>。</w:t>
      </w:r>
    </w:p>
    <w:p w14:paraId="4E3DB8FE">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7、供应商所投项目货物如国家有强制性要求的应按国家规定执行，并提供相关证明材料。</w:t>
      </w:r>
    </w:p>
    <w:p w14:paraId="17E2E0B8">
      <w:pPr>
        <w:spacing w:after="0" w:line="400" w:lineRule="exact"/>
        <w:ind w:firstLine="482" w:firstLineChars="200"/>
        <w:rPr>
          <w:rFonts w:hint="eastAsia" w:ascii="宋体" w:hAnsi="宋体" w:cs="宋体"/>
          <w:b/>
          <w:color w:val="auto"/>
          <w:sz w:val="24"/>
          <w:highlight w:val="none"/>
        </w:rPr>
      </w:pPr>
      <w:r>
        <w:rPr>
          <w:rFonts w:hint="eastAsia" w:ascii="宋体" w:hAnsi="宋体" w:eastAsia="宋体" w:cs="宋体"/>
          <w:b/>
          <w:color w:val="auto"/>
          <w:sz w:val="24"/>
          <w:highlight w:val="none"/>
        </w:rPr>
        <w:t>8、最终报价有时间限制，请各供应商事前做好准备，以免耽误报价。最终报价时，供应商只需报一个总价，结算时，各分项单价按最终报价与第一次报价的比例进行调整。</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844"/>
        <w:gridCol w:w="4684"/>
        <w:gridCol w:w="457"/>
        <w:gridCol w:w="1176"/>
        <w:gridCol w:w="696"/>
        <w:gridCol w:w="457"/>
      </w:tblGrid>
      <w:tr w14:paraId="59C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3C01C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0" w:type="auto"/>
            <w:vAlign w:val="center"/>
          </w:tcPr>
          <w:p w14:paraId="2ED8B3D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货物名称（</w:t>
            </w:r>
            <w:r>
              <w:rPr>
                <w:rFonts w:hint="eastAsia" w:ascii="宋体" w:hAnsi="宋体" w:eastAsia="宋体" w:cs="宋体"/>
                <w:color w:val="auto"/>
                <w:sz w:val="24"/>
                <w:szCs w:val="24"/>
                <w:highlight w:val="none"/>
                <w:lang w:bidi="ar"/>
              </w:rPr>
              <w:t>标的名称</w:t>
            </w:r>
            <w:r>
              <w:rPr>
                <w:rFonts w:hint="eastAsia" w:ascii="宋体" w:hAnsi="宋体" w:eastAsia="宋体" w:cs="宋体"/>
                <w:color w:val="auto"/>
                <w:sz w:val="24"/>
                <w:szCs w:val="24"/>
                <w:highlight w:val="none"/>
                <w:lang w:eastAsia="zh-CN" w:bidi="ar"/>
              </w:rPr>
              <w:t>）</w:t>
            </w:r>
          </w:p>
        </w:tc>
        <w:tc>
          <w:tcPr>
            <w:tcW w:w="0" w:type="auto"/>
            <w:vAlign w:val="center"/>
          </w:tcPr>
          <w:p w14:paraId="57457E2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参考型号规格或配置技术参数</w:t>
            </w:r>
          </w:p>
        </w:tc>
        <w:tc>
          <w:tcPr>
            <w:tcW w:w="0" w:type="auto"/>
            <w:vAlign w:val="center"/>
          </w:tcPr>
          <w:p w14:paraId="2C9D09D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单位</w:t>
            </w:r>
          </w:p>
        </w:tc>
        <w:tc>
          <w:tcPr>
            <w:tcW w:w="0" w:type="auto"/>
            <w:vAlign w:val="center"/>
          </w:tcPr>
          <w:p w14:paraId="3A9774A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单价</w:t>
            </w:r>
          </w:p>
        </w:tc>
        <w:tc>
          <w:tcPr>
            <w:tcW w:w="0" w:type="auto"/>
            <w:vAlign w:val="center"/>
          </w:tcPr>
          <w:p w14:paraId="6E54C83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数量</w:t>
            </w:r>
          </w:p>
        </w:tc>
        <w:tc>
          <w:tcPr>
            <w:tcW w:w="0" w:type="auto"/>
            <w:vAlign w:val="center"/>
          </w:tcPr>
          <w:p w14:paraId="6FBC719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w:t>
            </w:r>
          </w:p>
        </w:tc>
      </w:tr>
      <w:tr w14:paraId="6E5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0B26253">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vAlign w:val="center"/>
          </w:tcPr>
          <w:p w14:paraId="75AB3B9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电动复合结构监室门</w:t>
            </w:r>
          </w:p>
        </w:tc>
        <w:tc>
          <w:tcPr>
            <w:tcW w:w="0" w:type="auto"/>
            <w:vAlign w:val="center"/>
          </w:tcPr>
          <w:p w14:paraId="5DCA6AD9">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门洞尺寸：1000mm×2100mm(须根据现场门洞实际尺寸制作)；</w:t>
            </w:r>
          </w:p>
          <w:p w14:paraId="5B1DDE17">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类型为复合结构监室门，由门头箱、门框、内层电动平移钢板门扇和外层手动平开栅栏门扇组成。门头箱：门头箱由背板和盖板组成，内部安装承重轨道、悬挂轮。背板盖板采用2mm镀锌钢板冷弯制作；承重轨道采用40mm×4mm镀锌角钢和Ø16光滑圆钢焊接制作，悬挂轮为深度凹槽设计的尼龙轮子，配合弧面的拉光圆型材导轨面，有效防止冲撞脱轨，另配有止脱器，防止门体跳脱，采用优质材质轮体，大承重、高耐磨、低噪音，维修方便。门框作为门体主框架，由立柱、绞边、顶框、封板、门槛和铰链组成，两侧立柱采用2mm镀锌钢板冷弯制作；绞边为中间立柱，顶框为横框，与立柱构成平开门扇门框，采购40×40×2mm镀锌方管制作；封板遮盖开门状态的内层平移门扇，采用1.2mm镀锌钢板制作；门槛采用2mm不锈钢板冷弯制作，带门扇滑动导轨；铰链为铸钢铰链，转轴直径Ø18mm，铰链长度100mm。内平移钢板门扇厚43mm，由双面封板、骨架、下导向槽、观察窗和中间填充物组成。门扇封板为1.5mm镀锌钢板冷弯制作；骨架采用40×40×1.5mm和20×40×1.5mm镀锌方管制作；观察窗为双层结构活动观察窗，尺寸：300mm*120mm,正面层上下滑动实现观察和遮挡，采用2mm镀锌钢板制作，背面层做防护，采用2mm钢板网制作；填充物为铝蜂窝，采用胶水将前后封板紧密粘接。门扇开关通过电机齿条传动。外层手动平开栅栏门扇 ，框架采用40×40×2mm制作，门扇分三部分，上下部分为栅栏和中间腰板，栅栏采用30×20×1.5mm镀锌方管穿焊Ø25*1.5镀锌圆管制作，格栅间距≤120mm×370mm，栅栏背面封5目1.2丝径304不锈钢金刚网，并用2mm扁铁紧密压于栅栏，下部栅栏可设置送饭口，送饭口尺寸为230mm×150mm，中心高度750mm。中间腰板设置驻检信箱和所长信箱，信箱尺寸为150mm×300mm，信箱采用1.5mm镀锌板制作，并配备箱柜锁，正反面印信箱名称。</w:t>
            </w:r>
          </w:p>
          <w:p w14:paraId="0F742A03">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2、传动电机，锁具及门禁控制另行指定。</w:t>
            </w:r>
          </w:p>
          <w:p w14:paraId="0A09B1E7">
            <w:pPr>
              <w:widowControl/>
              <w:jc w:val="left"/>
              <w:textAlignment w:val="center"/>
              <w:rPr>
                <w:rFonts w:hint="eastAsia" w:ascii="宋体" w:hAnsi="宋体" w:eastAsia="宋体" w:cs="宋体"/>
                <w:b w:val="0"/>
                <w:bCs w:val="0"/>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bidi="ar"/>
              </w:rPr>
              <w:t>▲3、门体金属构件钢板板材</w:t>
            </w:r>
            <w:r>
              <w:rPr>
                <w:rFonts w:hint="eastAsia" w:asciiTheme="minorEastAsia" w:hAnsiTheme="minorEastAsia" w:eastAsiaTheme="minorEastAsia" w:cstheme="minorEastAsia"/>
                <w:b w:val="0"/>
                <w:bCs w:val="0"/>
                <w:color w:val="auto"/>
                <w:sz w:val="24"/>
                <w:szCs w:val="24"/>
                <w:highlight w:val="none"/>
                <w:u w:val="none"/>
                <w:lang w:bidi="ar"/>
              </w:rPr>
              <w:t>抗拉强度应大于等于345Mpa，所有金属构件须采用热镀锌+表面喷涂防腐处理，内层为镀锌层厚度≥100g/㎡，外层为聚酯等热固性粉末涂层厚度应&gt;0.08mm，</w:t>
            </w:r>
            <w:r>
              <w:rPr>
                <w:rFonts w:hint="eastAsia" w:asciiTheme="minorEastAsia" w:hAnsiTheme="minorEastAsia" w:eastAsiaTheme="minorEastAsia" w:cstheme="minorEastAsia"/>
                <w:b w:val="0"/>
                <w:bCs w:val="0"/>
                <w:color w:val="auto"/>
                <w:sz w:val="24"/>
                <w:szCs w:val="24"/>
                <w:highlight w:val="none"/>
                <w:lang w:bidi="ar"/>
              </w:rPr>
              <w:t>整体耐腐蚀年限不应低于10年；(▲门体金属构件的以上相关技术</w:t>
            </w:r>
            <w:r>
              <w:rPr>
                <w:rFonts w:hint="eastAsia" w:asciiTheme="minorEastAsia" w:hAnsiTheme="minorEastAsia" w:eastAsiaTheme="minorEastAsia" w:cstheme="minorEastAsia"/>
                <w:b w:val="0"/>
                <w:bCs w:val="0"/>
                <w:color w:val="auto"/>
                <w:sz w:val="24"/>
                <w:szCs w:val="24"/>
                <w:highlight w:val="none"/>
                <w:lang w:eastAsia="zh-CN" w:bidi="ar"/>
              </w:rPr>
              <w:t>要求</w:t>
            </w:r>
            <w:r>
              <w:rPr>
                <w:rFonts w:hint="eastAsia" w:asciiTheme="minorEastAsia" w:hAnsiTheme="minorEastAsia" w:eastAsiaTheme="minorEastAsia" w:cstheme="minorEastAsia"/>
                <w:b w:val="0"/>
                <w:bCs w:val="0"/>
                <w:color w:val="auto"/>
                <w:sz w:val="24"/>
                <w:szCs w:val="24"/>
                <w:highlight w:val="none"/>
                <w:lang w:bidi="ar"/>
              </w:rPr>
              <w:t>须提供CMA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CNAS检测机构出具的检测报告复印件)。所有金属构件应先进行除锈防腐处理后采用静电喷涂，喷塑表面应无气泡和其他杂质;喷涂层表面粉末具有环保、抗菌、耐高温和防老化性能(▲塑粉</w:t>
            </w:r>
            <w:r>
              <w:rPr>
                <w:rFonts w:hint="eastAsia" w:asciiTheme="minorEastAsia" w:hAnsiTheme="minorEastAsia" w:eastAsiaTheme="minorEastAsia" w:cstheme="minorEastAsia"/>
                <w:b w:val="0"/>
                <w:bCs w:val="0"/>
                <w:color w:val="auto"/>
                <w:sz w:val="24"/>
                <w:szCs w:val="24"/>
                <w:highlight w:val="none"/>
                <w:lang w:eastAsia="zh-CN" w:bidi="ar"/>
              </w:rPr>
              <w:t>应</w:t>
            </w:r>
            <w:r>
              <w:rPr>
                <w:rFonts w:hint="eastAsia" w:asciiTheme="minorEastAsia" w:hAnsiTheme="minorEastAsia" w:eastAsiaTheme="minorEastAsia" w:cstheme="minorEastAsia"/>
                <w:b w:val="0"/>
                <w:bCs w:val="0"/>
                <w:color w:val="auto"/>
                <w:sz w:val="24"/>
                <w:szCs w:val="24"/>
                <w:highlight w:val="none"/>
                <w:lang w:bidi="ar"/>
              </w:rPr>
              <w:t>具有抗菌和高温阻燃的相关技术</w:t>
            </w:r>
            <w:r>
              <w:rPr>
                <w:rFonts w:hint="eastAsia" w:asciiTheme="minorEastAsia" w:hAnsiTheme="minorEastAsia" w:eastAsiaTheme="minorEastAsia" w:cstheme="minorEastAsia"/>
                <w:b w:val="0"/>
                <w:bCs w:val="0"/>
                <w:color w:val="auto"/>
                <w:sz w:val="24"/>
                <w:szCs w:val="24"/>
                <w:highlight w:val="none"/>
                <w:lang w:eastAsia="zh-CN" w:bidi="ar"/>
              </w:rPr>
              <w:t>要求，须提供</w:t>
            </w:r>
            <w:r>
              <w:rPr>
                <w:rFonts w:hint="eastAsia" w:asciiTheme="minorEastAsia" w:hAnsiTheme="minorEastAsia" w:eastAsiaTheme="minorEastAsia" w:cstheme="minorEastAsia"/>
                <w:b w:val="0"/>
                <w:bCs w:val="0"/>
                <w:color w:val="auto"/>
                <w:sz w:val="24"/>
                <w:szCs w:val="24"/>
                <w:highlight w:val="none"/>
                <w:lang w:bidi="ar"/>
              </w:rPr>
              <w:t>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CNAS检测机构出具的检测报告复印件)；喷塑表面颜色由采购人另行指定。</w:t>
            </w:r>
          </w:p>
          <w:p w14:paraId="7CCD10D6">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外观：焊接应牢固，焊点分布均匀，不得出现假焊和烧穿等现象。外表面的焊点、焊渣、划痕等杂质应打磨平整；喷涂后图层应均匀、平整、光滑，不得有堆积、麻点、气泡、漏涂等现象；表面应无明显凹凸、擦痕、划伤等缺陷。整体表面美观大方，光洁度好。</w:t>
            </w:r>
          </w:p>
          <w:p w14:paraId="1BD9200E">
            <w:pPr>
              <w:widowControl/>
              <w:jc w:val="lef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5、整体结构及技术符合公安部GA 526-2025《监室门》行业标准</w:t>
            </w:r>
            <w:r>
              <w:rPr>
                <w:rFonts w:hint="eastAsia" w:ascii="宋体" w:hAnsi="宋体" w:eastAsia="宋体" w:cs="宋体"/>
                <w:color w:val="auto"/>
                <w:sz w:val="24"/>
                <w:szCs w:val="24"/>
                <w:highlight w:val="none"/>
                <w:lang w:eastAsia="zh-CN" w:bidi="ar"/>
              </w:rPr>
              <w:t>。</w:t>
            </w:r>
          </w:p>
          <w:p w14:paraId="2F6AEB76">
            <w:pPr>
              <w:widowControl/>
              <w:jc w:val="lef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bCs/>
                <w:color w:val="auto"/>
                <w:sz w:val="24"/>
                <w:highlight w:val="none"/>
                <w:u w:val="none"/>
              </w:rPr>
              <w:t>▲</w:t>
            </w:r>
            <w:r>
              <w:rPr>
                <w:rFonts w:hint="eastAsia" w:ascii="宋体" w:hAnsi="宋体" w:eastAsia="宋体" w:cs="宋体"/>
                <w:color w:val="auto"/>
                <w:sz w:val="24"/>
                <w:szCs w:val="24"/>
                <w:highlight w:val="none"/>
                <w:lang w:bidi="ar"/>
              </w:rPr>
              <w:t>6、</w:t>
            </w:r>
            <w:r>
              <w:rPr>
                <w:rFonts w:hint="eastAsia" w:asciiTheme="minorEastAsia" w:hAnsiTheme="minorEastAsia" w:eastAsiaTheme="minorEastAsia" w:cstheme="minorEastAsia"/>
                <w:color w:val="auto"/>
                <w:sz w:val="24"/>
                <w:szCs w:val="24"/>
                <w:highlight w:val="none"/>
                <w:lang w:bidi="ar"/>
              </w:rPr>
              <w:t>送货安装前</w:t>
            </w:r>
            <w:r>
              <w:rPr>
                <w:rFonts w:hint="eastAsia" w:ascii="宋体" w:hAnsi="宋体" w:eastAsia="宋体" w:cs="宋体"/>
                <w:color w:val="auto"/>
                <w:sz w:val="24"/>
                <w:szCs w:val="24"/>
                <w:highlight w:val="none"/>
                <w:lang w:bidi="ar"/>
              </w:rPr>
              <w:t>必须提供相关投标货物的检测报告原件核实，检测报告中必须包含货物重要技术的检测内容或结果体现，同时也要确保所有技术参数、功能均可满足采购文件要求，如有不符，则取消其成交候选人资格</w:t>
            </w:r>
            <w:r>
              <w:rPr>
                <w:rFonts w:hint="eastAsia" w:ascii="宋体" w:hAnsi="宋体" w:eastAsia="宋体" w:cs="宋体"/>
                <w:color w:val="auto"/>
                <w:sz w:val="24"/>
                <w:szCs w:val="24"/>
                <w:highlight w:val="none"/>
                <w:lang w:eastAsia="zh-CN" w:bidi="ar"/>
              </w:rPr>
              <w:t>，造成的损失由成交人自行承担。</w:t>
            </w:r>
          </w:p>
          <w:p w14:paraId="5120DA8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7、在后续安装使用及上级检查过程中发现实际参数不达标，采购方有权要求终止合同并追究违约责任。</w:t>
            </w:r>
          </w:p>
        </w:tc>
        <w:tc>
          <w:tcPr>
            <w:tcW w:w="0" w:type="auto"/>
            <w:vAlign w:val="center"/>
          </w:tcPr>
          <w:p w14:paraId="50DE60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0FFF7A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6050.00</w:t>
            </w:r>
          </w:p>
        </w:tc>
        <w:tc>
          <w:tcPr>
            <w:tcW w:w="0" w:type="auto"/>
            <w:vAlign w:val="center"/>
          </w:tcPr>
          <w:p w14:paraId="676B126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30 </w:t>
            </w:r>
          </w:p>
        </w:tc>
        <w:tc>
          <w:tcPr>
            <w:tcW w:w="0" w:type="auto"/>
          </w:tcPr>
          <w:p w14:paraId="081CAD76">
            <w:pPr>
              <w:widowControl w:val="0"/>
              <w:jc w:val="both"/>
              <w:rPr>
                <w:rFonts w:hint="eastAsia" w:ascii="宋体" w:hAnsi="宋体" w:eastAsia="宋体" w:cs="宋体"/>
                <w:color w:val="auto"/>
                <w:sz w:val="24"/>
                <w:szCs w:val="24"/>
                <w:highlight w:val="none"/>
              </w:rPr>
            </w:pPr>
          </w:p>
        </w:tc>
      </w:tr>
      <w:tr w14:paraId="0D4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0" w:type="auto"/>
            <w:vAlign w:val="center"/>
          </w:tcPr>
          <w:p w14:paraId="36AD6877">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vAlign w:val="center"/>
          </w:tcPr>
          <w:p w14:paraId="63A97BB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电动平移监室门</w:t>
            </w:r>
          </w:p>
        </w:tc>
        <w:tc>
          <w:tcPr>
            <w:tcW w:w="0" w:type="auto"/>
            <w:vAlign w:val="center"/>
          </w:tcPr>
          <w:p w14:paraId="089308B3">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门洞尺寸：900mm*2000mm(须根据现场门洞实际尺寸制作)；                                                                            1、门体结构：此门为电动平移监室门，由门框、传动箱、门扇和门槛组成。门框采用2mm镀锌钢板冷弯制作。传动箱可安装电机、电源和控制设备，由背板、承重轨道和盖板组成，背板采用2mm镀锌钢板冷弯制作；承重轨道采用40mm*4mm镀锌角钢和Φ16mm光滑圆钢焊接而成；盖板采用2.0mm镀锌钢板冷弯制作。门扇悬挂于传动箱，由门扇和吊挂轮组成，门扇全封闭结构，双面采用1.5mm镀锌板和铝蜂窝填充粘接而成，门扇内部骨架为40mm*40mm*1.5mm镀锌方管。吊挂轮隐藏于传动箱内，吊挂轮为双滚动轮结构，滚动轮采用耐磨抗老化尼龙制作，直径37m，中间内凹4mm，与光滑圆钢紧密配合，吊挂轮基架采用5mm厚钢板制作，配备防脱落结构，需配备专用工具方可拆下门扇。门槛安装于地面，采用2mm不锈钢板制作，采用膨胀螺栓固定。</w:t>
            </w:r>
          </w:p>
          <w:p w14:paraId="5770AEE1">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外观：焊接应牢固，焊点分布均匀，不得出现假焊和烧穿等现象。外表面的焊点、焊渣、划痕等杂质应打磨平整；喷涂后图层应均匀、平整、光滑，不得有堆积、麻点、气泡、漏涂等现象；表面应无明显凹凸、擦痕、划伤等缺陷。</w:t>
            </w:r>
          </w:p>
          <w:p w14:paraId="73F57803">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3、传动电机和门禁控制另行指定。</w:t>
            </w:r>
          </w:p>
          <w:p w14:paraId="0E8849CC">
            <w:pPr>
              <w:widowControl/>
              <w:shd w:val="clear"/>
              <w:jc w:val="left"/>
              <w:textAlignment w:val="center"/>
              <w:rPr>
                <w:rFonts w:hint="eastAsia" w:ascii="宋体" w:hAnsi="宋体" w:eastAsia="宋体" w:cs="宋体"/>
                <w:b w:val="0"/>
                <w:bCs w:val="0"/>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bidi="ar"/>
              </w:rPr>
              <w:t>▲4</w:t>
            </w:r>
            <w:r>
              <w:rPr>
                <w:rFonts w:hint="eastAsia" w:asciiTheme="minorEastAsia" w:hAnsiTheme="minorEastAsia" w:eastAsiaTheme="minorEastAsia" w:cstheme="minorEastAsia"/>
                <w:b w:val="0"/>
                <w:bCs w:val="0"/>
                <w:color w:val="auto"/>
                <w:sz w:val="24"/>
                <w:szCs w:val="24"/>
                <w:highlight w:val="none"/>
                <w:u w:val="none"/>
                <w:lang w:bidi="ar"/>
              </w:rPr>
              <w:t>、门体金属构件钢板板材抗拉强度应大于等于345Mpa，所有金属构件须采用热镀锌+表面喷涂防腐处理，内层为镀锌层厚度≥100g/㎡，外层为聚酯等热固性粉末涂层厚度应&gt;0.08mm，</w:t>
            </w:r>
            <w:r>
              <w:rPr>
                <w:rFonts w:hint="eastAsia" w:asciiTheme="minorEastAsia" w:hAnsiTheme="minorEastAsia" w:eastAsiaTheme="minorEastAsia" w:cstheme="minorEastAsia"/>
                <w:b w:val="0"/>
                <w:bCs w:val="0"/>
                <w:color w:val="auto"/>
                <w:sz w:val="24"/>
                <w:szCs w:val="24"/>
                <w:highlight w:val="none"/>
                <w:lang w:bidi="ar"/>
              </w:rPr>
              <w:t>整体耐腐蚀年限不应低于10年；(▲门体金属构件的以上相关技术</w:t>
            </w:r>
            <w:r>
              <w:rPr>
                <w:rFonts w:hint="eastAsia" w:asciiTheme="minorEastAsia" w:hAnsiTheme="minorEastAsia" w:eastAsiaTheme="minorEastAsia" w:cstheme="minorEastAsia"/>
                <w:b w:val="0"/>
                <w:bCs w:val="0"/>
                <w:color w:val="auto"/>
                <w:sz w:val="24"/>
                <w:szCs w:val="24"/>
                <w:highlight w:val="none"/>
                <w:lang w:eastAsia="zh-CN" w:bidi="ar"/>
              </w:rPr>
              <w:t>要求</w:t>
            </w:r>
            <w:r>
              <w:rPr>
                <w:rFonts w:hint="eastAsia" w:asciiTheme="minorEastAsia" w:hAnsiTheme="minorEastAsia" w:eastAsiaTheme="minorEastAsia" w:cstheme="minorEastAsia"/>
                <w:b w:val="0"/>
                <w:bCs w:val="0"/>
                <w:color w:val="auto"/>
                <w:sz w:val="24"/>
                <w:szCs w:val="24"/>
                <w:highlight w:val="none"/>
                <w:lang w:bidi="ar"/>
              </w:rPr>
              <w:t>需提供CMA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CNAS检测机构出具的检测报告复印件)。所有金属构件应先进行除锈防腐处理后采用静电喷涂，喷塑表面应无气泡和其他杂质;喷涂层表面粉末具有环保、抗菌、耐高温和防老化性能(▲塑粉</w:t>
            </w:r>
            <w:r>
              <w:rPr>
                <w:rFonts w:hint="eastAsia" w:asciiTheme="minorEastAsia" w:hAnsiTheme="minorEastAsia" w:eastAsiaTheme="minorEastAsia" w:cstheme="minorEastAsia"/>
                <w:b w:val="0"/>
                <w:bCs w:val="0"/>
                <w:color w:val="auto"/>
                <w:sz w:val="24"/>
                <w:szCs w:val="24"/>
                <w:highlight w:val="none"/>
                <w:lang w:eastAsia="zh-CN" w:bidi="ar"/>
              </w:rPr>
              <w:t>应</w:t>
            </w:r>
            <w:r>
              <w:rPr>
                <w:rFonts w:hint="eastAsia" w:asciiTheme="minorEastAsia" w:hAnsiTheme="minorEastAsia" w:eastAsiaTheme="minorEastAsia" w:cstheme="minorEastAsia"/>
                <w:b w:val="0"/>
                <w:bCs w:val="0"/>
                <w:color w:val="auto"/>
                <w:sz w:val="24"/>
                <w:szCs w:val="24"/>
                <w:highlight w:val="none"/>
                <w:lang w:bidi="ar"/>
              </w:rPr>
              <w:t>具有抗菌和高温阻燃的相关技术</w:t>
            </w:r>
            <w:r>
              <w:rPr>
                <w:rFonts w:hint="eastAsia" w:asciiTheme="minorEastAsia" w:hAnsiTheme="minorEastAsia" w:eastAsiaTheme="minorEastAsia" w:cstheme="minorEastAsia"/>
                <w:b w:val="0"/>
                <w:bCs w:val="0"/>
                <w:color w:val="auto"/>
                <w:sz w:val="24"/>
                <w:szCs w:val="24"/>
                <w:highlight w:val="none"/>
                <w:lang w:eastAsia="zh-CN" w:bidi="ar"/>
              </w:rPr>
              <w:t>要求，须</w:t>
            </w:r>
            <w:r>
              <w:rPr>
                <w:rFonts w:hint="eastAsia" w:asciiTheme="minorEastAsia" w:hAnsiTheme="minorEastAsia" w:eastAsiaTheme="minorEastAsia" w:cstheme="minorEastAsia"/>
                <w:b w:val="0"/>
                <w:bCs w:val="0"/>
                <w:color w:val="auto"/>
                <w:sz w:val="24"/>
                <w:szCs w:val="24"/>
                <w:highlight w:val="none"/>
                <w:lang w:bidi="ar"/>
              </w:rPr>
              <w:t>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CNAS检测机构出具的检测报告复印件)；喷塑表面颜色由采购人另行指定。</w:t>
            </w:r>
          </w:p>
          <w:p w14:paraId="69659CA5">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外观：焊接应牢固，焊点分布均匀，不得出现假焊和烧穿等现象。外表面的焊点、焊渣、划痕等杂质应打磨平整；喷涂后图层应均匀、平整、光滑，不得有堆积、麻点、气泡、漏涂等现象；表面应无明显凹凸、擦痕、划伤等缺陷。整体表面美观大方，光洁度好。</w:t>
            </w:r>
          </w:p>
          <w:p w14:paraId="1E965359">
            <w:pPr>
              <w:widowControl/>
              <w:jc w:val="lef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 xml:space="preserve">6、整体结构及技术符合公安部GA 526-2025《监室门》行业标准;                                                                        </w:t>
            </w:r>
            <w:r>
              <w:rPr>
                <w:rFonts w:hint="eastAsia" w:ascii="宋体" w:hAnsi="宋体" w:eastAsia="宋体" w:cs="宋体"/>
                <w:bCs/>
                <w:color w:val="auto"/>
                <w:sz w:val="24"/>
                <w:highlight w:val="none"/>
                <w:u w:val="none"/>
              </w:rPr>
              <w:t>▲</w:t>
            </w:r>
            <w:r>
              <w:rPr>
                <w:rFonts w:hint="eastAsia" w:ascii="宋体" w:hAnsi="宋体" w:eastAsia="宋体" w:cs="宋体"/>
                <w:color w:val="auto"/>
                <w:sz w:val="24"/>
                <w:szCs w:val="24"/>
                <w:highlight w:val="none"/>
                <w:lang w:bidi="ar"/>
              </w:rPr>
              <w:t>7、送货安装前必须提供相关投标货物的检测报告原件核实，检测报告中必须包含货物重要技术的检测内容或结果体现，同时也要确保所有技术参数、功能均可满足采购文件要求，如有不符，则取消其成交候选人资格</w:t>
            </w:r>
            <w:r>
              <w:rPr>
                <w:rFonts w:hint="eastAsia" w:ascii="宋体" w:hAnsi="宋体" w:eastAsia="宋体" w:cs="宋体"/>
                <w:color w:val="auto"/>
                <w:sz w:val="24"/>
                <w:szCs w:val="24"/>
                <w:highlight w:val="none"/>
                <w:lang w:eastAsia="zh-CN" w:bidi="ar"/>
              </w:rPr>
              <w:t>，造成的损失由成交人自行承担。</w:t>
            </w:r>
          </w:p>
          <w:p w14:paraId="4CADE4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8、在后续安装使用及上级检查过程中发现实际参数不达标，采购方有权要求终止合同并追究违约责任。</w:t>
            </w:r>
          </w:p>
        </w:tc>
        <w:tc>
          <w:tcPr>
            <w:tcW w:w="0" w:type="auto"/>
            <w:vAlign w:val="center"/>
          </w:tcPr>
          <w:p w14:paraId="7E60C0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24DCA5B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lang w:val="en-US" w:eastAsia="zh-CN" w:bidi="ar"/>
              </w:rPr>
              <w:t>120</w:t>
            </w:r>
            <w:r>
              <w:rPr>
                <w:rFonts w:hint="eastAsia" w:ascii="宋体" w:hAnsi="宋体" w:eastAsia="宋体" w:cs="宋体"/>
                <w:color w:val="auto"/>
                <w:sz w:val="24"/>
                <w:szCs w:val="24"/>
                <w:highlight w:val="none"/>
                <w:lang w:bidi="ar"/>
              </w:rPr>
              <w:t>.00</w:t>
            </w:r>
          </w:p>
        </w:tc>
        <w:tc>
          <w:tcPr>
            <w:tcW w:w="0" w:type="auto"/>
            <w:vAlign w:val="center"/>
          </w:tcPr>
          <w:p w14:paraId="700DF1D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51 </w:t>
            </w:r>
          </w:p>
        </w:tc>
        <w:tc>
          <w:tcPr>
            <w:tcW w:w="0" w:type="auto"/>
          </w:tcPr>
          <w:p w14:paraId="61D0F865">
            <w:pPr>
              <w:widowControl w:val="0"/>
              <w:jc w:val="both"/>
              <w:rPr>
                <w:rFonts w:hint="eastAsia" w:ascii="宋体" w:hAnsi="宋体" w:eastAsia="宋体" w:cs="宋体"/>
                <w:color w:val="auto"/>
                <w:sz w:val="24"/>
                <w:szCs w:val="24"/>
                <w:highlight w:val="none"/>
              </w:rPr>
            </w:pPr>
          </w:p>
        </w:tc>
      </w:tr>
      <w:tr w14:paraId="492C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31F791D3">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0" w:type="auto"/>
            <w:vAlign w:val="center"/>
          </w:tcPr>
          <w:p w14:paraId="2480AF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电动双平移栅栏门</w:t>
            </w:r>
          </w:p>
        </w:tc>
        <w:tc>
          <w:tcPr>
            <w:tcW w:w="0" w:type="auto"/>
            <w:vAlign w:val="center"/>
          </w:tcPr>
          <w:p w14:paraId="6B803A07">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门洞尺寸：2900mm×3000mm(须根据现场门洞实际尺寸制作)；</w:t>
            </w:r>
          </w:p>
          <w:p w14:paraId="1F65CF6A">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1、类型为双扇平移栅栏门，结构为栅栏带平移门扇结构，由栅栏、栅栏门扇组成。</w:t>
            </w:r>
          </w:p>
          <w:p w14:paraId="32F01BDC">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2、栅栏：两侧和顶部为栅栏，栅栏采用50×50×2mm镀锌方管穿焊Ø25×1.5镀锌圆管制作，栅格尺寸≤120mm×370mm。</w:t>
            </w:r>
          </w:p>
          <w:p w14:paraId="15FA0219">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栅栏门扇为双平移门扇，两侧门扇同时开或关，框架采用50×50×2mm制作，门扇分三部分，上下部分为栅栏和中间腰板，栅栏采用50×50×1.5mm镀锌方管穿焊Ø25×1.5镀锌圆管制作，格栅间距≤120mm×370mm。中间腰板采用1.5mm镀锌板制作，并配备嵌入式暗拉手。                           4、传动电机和门禁控制另行指定。</w:t>
            </w:r>
          </w:p>
          <w:p w14:paraId="66E15BB2">
            <w:pPr>
              <w:widowControl/>
              <w:jc w:val="left"/>
              <w:textAlignment w:val="center"/>
              <w:rPr>
                <w:rFonts w:hint="eastAsia" w:ascii="宋体" w:hAnsi="宋体" w:eastAsia="宋体" w:cs="宋体"/>
                <w:b w:val="0"/>
                <w:bCs w:val="0"/>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bidi="ar"/>
              </w:rPr>
              <w:t>▲</w:t>
            </w:r>
            <w:r>
              <w:rPr>
                <w:rFonts w:hint="eastAsia" w:ascii="宋体" w:hAnsi="宋体" w:eastAsia="宋体" w:cs="宋体"/>
                <w:b w:val="0"/>
                <w:bCs w:val="0"/>
                <w:color w:val="auto"/>
                <w:sz w:val="24"/>
                <w:szCs w:val="24"/>
                <w:highlight w:val="none"/>
                <w:lang w:bidi="ar"/>
              </w:rPr>
              <w:t>5</w:t>
            </w:r>
            <w:r>
              <w:rPr>
                <w:rFonts w:hint="eastAsia" w:ascii="宋体" w:hAnsi="宋体" w:eastAsia="宋体" w:cs="宋体"/>
                <w:b w:val="0"/>
                <w:bCs w:val="0"/>
                <w:color w:val="auto"/>
                <w:sz w:val="24"/>
                <w:szCs w:val="24"/>
                <w:highlight w:val="none"/>
                <w:u w:val="none"/>
                <w:lang w:bidi="ar"/>
              </w:rPr>
              <w:t>、</w:t>
            </w:r>
            <w:r>
              <w:rPr>
                <w:rFonts w:hint="eastAsia" w:asciiTheme="minorEastAsia" w:hAnsiTheme="minorEastAsia" w:eastAsiaTheme="minorEastAsia" w:cstheme="minorEastAsia"/>
                <w:b w:val="0"/>
                <w:bCs w:val="0"/>
                <w:color w:val="auto"/>
                <w:sz w:val="24"/>
                <w:szCs w:val="24"/>
                <w:highlight w:val="none"/>
                <w:u w:val="none"/>
                <w:lang w:bidi="ar"/>
              </w:rPr>
              <w:t>门体金属构件钢板板材抗拉强度应大于等于345Mpa，所有金属构件须采用热镀锌+表面喷涂防腐处理，内层为镀锌层厚度≥100g/㎡，外层为聚酯等热固性粉末涂层厚度应&gt;0.08mm，</w:t>
            </w:r>
            <w:r>
              <w:rPr>
                <w:rFonts w:hint="eastAsia" w:asciiTheme="minorEastAsia" w:hAnsiTheme="minorEastAsia" w:eastAsiaTheme="minorEastAsia" w:cstheme="minorEastAsia"/>
                <w:b w:val="0"/>
                <w:bCs w:val="0"/>
                <w:color w:val="auto"/>
                <w:sz w:val="24"/>
                <w:szCs w:val="24"/>
                <w:highlight w:val="none"/>
                <w:lang w:bidi="ar"/>
              </w:rPr>
              <w:t>整体耐腐蚀年限不应低于10年；(▲门体金属构件的以上相关技术须提供CMA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所有金属构件应先进行除锈防腐处理后采用静电喷涂，喷塑表面应无气泡和其他杂质;喷涂层表面粉末具有环保、抗菌、耐高温和防老化性能(▲提供塑粉具有抗菌和高温阻燃的相关技术须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CNAS检测机构出具的检测报告复印件)；喷塑表面颜色由采购人另行指定。</w:t>
            </w:r>
          </w:p>
          <w:p w14:paraId="3E43FBBB">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外观：焊接应牢固，焊点分布均匀，不得出现假焊和烧穿等现象。外表面的焊点、焊渣、划痕等杂质应打磨平整；喷涂后图层应均匀、平整、光滑，不得有堆积、麻点、气泡、漏涂等现象；表面应无明显凹凸、擦痕、划伤等缺陷。整体表面美观大方，光洁度好。</w:t>
            </w:r>
          </w:p>
          <w:p w14:paraId="60F23289">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7、整体结构及技术符合公安部GA 526-2025《监室门》行业标准;</w:t>
            </w:r>
          </w:p>
          <w:p w14:paraId="68C00C6D">
            <w:pPr>
              <w:widowControl/>
              <w:jc w:val="lef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bCs/>
                <w:color w:val="auto"/>
                <w:sz w:val="24"/>
                <w:highlight w:val="none"/>
                <w:u w:val="none"/>
              </w:rPr>
              <w:t>▲</w:t>
            </w:r>
            <w:r>
              <w:rPr>
                <w:rFonts w:hint="eastAsia" w:ascii="宋体" w:hAnsi="宋体" w:eastAsia="宋体" w:cs="宋体"/>
                <w:color w:val="auto"/>
                <w:sz w:val="24"/>
                <w:szCs w:val="24"/>
                <w:highlight w:val="none"/>
                <w:lang w:bidi="ar"/>
              </w:rPr>
              <w:t>8、送货安装前必须提供相关投标货物的检测报告原件核实，检测报告中必须包含货物重要技术的检测内容或结果体现，同时也要确保所有技术参数、功能均可满足采购文件要求，如有不符，则取消其成交候选人资格</w:t>
            </w:r>
            <w:r>
              <w:rPr>
                <w:rFonts w:hint="eastAsia" w:ascii="宋体" w:hAnsi="宋体" w:eastAsia="宋体" w:cs="宋体"/>
                <w:color w:val="auto"/>
                <w:sz w:val="24"/>
                <w:szCs w:val="24"/>
                <w:highlight w:val="none"/>
                <w:lang w:eastAsia="zh-CN" w:bidi="ar"/>
              </w:rPr>
              <w:t>，造成的损失由成交人自行承担。</w:t>
            </w:r>
          </w:p>
          <w:p w14:paraId="318914A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9、在后续安装使用及上级检查过程中发现实际参数不达标，采购方有权要求终止合同并追究违约责任。</w:t>
            </w:r>
          </w:p>
        </w:tc>
        <w:tc>
          <w:tcPr>
            <w:tcW w:w="0" w:type="auto"/>
            <w:vAlign w:val="center"/>
          </w:tcPr>
          <w:p w14:paraId="6CB4B08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3B11C2C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0770</w:t>
            </w:r>
            <w:r>
              <w:rPr>
                <w:rFonts w:hint="eastAsia" w:ascii="宋体" w:hAnsi="宋体" w:eastAsia="宋体" w:cs="宋体"/>
                <w:color w:val="auto"/>
                <w:sz w:val="24"/>
                <w:szCs w:val="24"/>
                <w:highlight w:val="none"/>
                <w:lang w:bidi="ar"/>
              </w:rPr>
              <w:t>.00</w:t>
            </w:r>
          </w:p>
        </w:tc>
        <w:tc>
          <w:tcPr>
            <w:tcW w:w="0" w:type="auto"/>
            <w:vAlign w:val="center"/>
          </w:tcPr>
          <w:p w14:paraId="5DFC92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 </w:t>
            </w:r>
          </w:p>
        </w:tc>
        <w:tc>
          <w:tcPr>
            <w:tcW w:w="0" w:type="auto"/>
          </w:tcPr>
          <w:p w14:paraId="73A7ED7C">
            <w:pPr>
              <w:widowControl w:val="0"/>
              <w:jc w:val="both"/>
              <w:rPr>
                <w:rFonts w:hint="eastAsia" w:ascii="宋体" w:hAnsi="宋体" w:eastAsia="宋体" w:cs="宋体"/>
                <w:color w:val="auto"/>
                <w:sz w:val="24"/>
                <w:szCs w:val="24"/>
                <w:highlight w:val="none"/>
              </w:rPr>
            </w:pPr>
          </w:p>
        </w:tc>
      </w:tr>
      <w:tr w14:paraId="266B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125A91A">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0" w:type="auto"/>
            <w:vAlign w:val="center"/>
          </w:tcPr>
          <w:p w14:paraId="30DA9C0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通道管理栅栏门</w:t>
            </w:r>
          </w:p>
        </w:tc>
        <w:tc>
          <w:tcPr>
            <w:tcW w:w="0" w:type="auto"/>
            <w:vAlign w:val="center"/>
          </w:tcPr>
          <w:p w14:paraId="0FFC77A8">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门洞尺寸：2900mm×3000mm(须根据现场门洞实际尺寸制作)；</w:t>
            </w:r>
          </w:p>
          <w:p w14:paraId="7D8B1404">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1、类型为双扇平开栅栏门，结构为栅栏带平开门扇结构，由栅栏、栅栏门扇和铰链组成。</w:t>
            </w:r>
          </w:p>
          <w:p w14:paraId="0D9D71BB">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2、栅栏：两侧和顶部为栅栏，栅栏采用60×60×2mm镀锌方管穿焊Ø25×1.5镀锌圆管制作，栅格尺寸≤120mm×370mm。</w:t>
            </w:r>
          </w:p>
          <w:p w14:paraId="3CE3544F">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栅栏门扇为双平开门扇，一扇常闭，采用暗插销锁定，一扇常开闭，框架采用40×40×2mm制作，门扇分三部分，上下部分为栅栏和中间腰板，栅栏采用40×40×1.5mm镀锌方管穿焊Ø25×1.5镀锌圆管制作，格栅间距≤120mm×370mm。中间腰板采用1.5mm镀锌板制作，并配备嵌入式暗拉手。</w:t>
            </w:r>
          </w:p>
          <w:p w14:paraId="24B6AEC4">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4、铰链为明铰链，每个门扇配套两个铰链，采用焊接连接，焊接不高于铰链表面，铰链组合长度为100mm。转轴直径应为18mm，铰链叶片宽度为25mm，铰链板厚度为4mm。</w:t>
            </w:r>
          </w:p>
          <w:p w14:paraId="2E25E8B0">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5、门扇选配锁具，闭门器和门禁另行指定。</w:t>
            </w:r>
          </w:p>
          <w:p w14:paraId="2647B809">
            <w:pPr>
              <w:widowControl/>
              <w:jc w:val="left"/>
              <w:textAlignment w:val="center"/>
              <w:rPr>
                <w:rFonts w:hint="eastAsia" w:ascii="宋体" w:hAnsi="宋体" w:eastAsia="宋体" w:cs="宋体"/>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w:t>
            </w:r>
            <w:r>
              <w:rPr>
                <w:rFonts w:hint="eastAsia" w:ascii="宋体" w:hAnsi="宋体" w:eastAsia="宋体" w:cs="宋体"/>
                <w:b w:val="0"/>
                <w:bCs w:val="0"/>
                <w:color w:val="auto"/>
                <w:sz w:val="24"/>
                <w:szCs w:val="24"/>
                <w:highlight w:val="none"/>
                <w:lang w:bidi="ar"/>
              </w:rPr>
              <w:t>6、</w:t>
            </w:r>
            <w:r>
              <w:rPr>
                <w:rFonts w:hint="eastAsia" w:asciiTheme="minorEastAsia" w:hAnsiTheme="minorEastAsia" w:eastAsiaTheme="minorEastAsia" w:cstheme="minorEastAsia"/>
                <w:b w:val="0"/>
                <w:bCs w:val="0"/>
                <w:color w:val="auto"/>
                <w:sz w:val="24"/>
                <w:szCs w:val="24"/>
                <w:highlight w:val="none"/>
                <w:u w:val="none"/>
                <w:lang w:bidi="ar"/>
              </w:rPr>
              <w:t>门体金属构件钢板板材抗拉强度应大于等于345Mpa，所有金属构件须采用热镀锌+表面喷涂防腐处理，内层为镀锌层厚度≥100g/㎡，外层为聚酯等热固性粉末涂层厚度应&gt;0.08mm，</w:t>
            </w:r>
            <w:r>
              <w:rPr>
                <w:rFonts w:hint="eastAsia" w:asciiTheme="minorEastAsia" w:hAnsiTheme="minorEastAsia" w:eastAsiaTheme="minorEastAsia" w:cstheme="minorEastAsia"/>
                <w:b w:val="0"/>
                <w:bCs w:val="0"/>
                <w:color w:val="auto"/>
                <w:sz w:val="24"/>
                <w:szCs w:val="24"/>
                <w:highlight w:val="none"/>
                <w:lang w:bidi="ar"/>
              </w:rPr>
              <w:t>整体耐腐蚀年限不应低于10年；(▲门体金属构件的以上相关技术</w:t>
            </w:r>
            <w:r>
              <w:rPr>
                <w:rFonts w:hint="eastAsia" w:asciiTheme="minorEastAsia" w:hAnsiTheme="minorEastAsia" w:eastAsiaTheme="minorEastAsia" w:cstheme="minorEastAsia"/>
                <w:b w:val="0"/>
                <w:bCs w:val="0"/>
                <w:color w:val="auto"/>
                <w:sz w:val="24"/>
                <w:szCs w:val="24"/>
                <w:highlight w:val="none"/>
                <w:lang w:eastAsia="zh-CN" w:bidi="ar"/>
              </w:rPr>
              <w:t>要求</w:t>
            </w:r>
            <w:r>
              <w:rPr>
                <w:rFonts w:hint="eastAsia" w:asciiTheme="minorEastAsia" w:hAnsiTheme="minorEastAsia" w:eastAsiaTheme="minorEastAsia" w:cstheme="minorEastAsia"/>
                <w:b w:val="0"/>
                <w:bCs w:val="0"/>
                <w:color w:val="auto"/>
                <w:sz w:val="24"/>
                <w:szCs w:val="24"/>
                <w:highlight w:val="none"/>
                <w:lang w:bidi="ar"/>
              </w:rPr>
              <w:t>须提供CMA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CNAS检测机构出具的检测报告复印件)。所有金属构件应先进行除锈防腐处理后采用静电喷涂，喷塑表面应无气泡和其他杂质;喷涂层表面粉末具有环保、抗菌、耐高温和防老化性能(▲塑粉</w:t>
            </w:r>
            <w:r>
              <w:rPr>
                <w:rFonts w:hint="eastAsia" w:asciiTheme="minorEastAsia" w:hAnsiTheme="minorEastAsia" w:eastAsiaTheme="minorEastAsia" w:cstheme="minorEastAsia"/>
                <w:b w:val="0"/>
                <w:bCs w:val="0"/>
                <w:color w:val="auto"/>
                <w:sz w:val="24"/>
                <w:szCs w:val="24"/>
                <w:highlight w:val="none"/>
                <w:lang w:eastAsia="zh-CN" w:bidi="ar"/>
              </w:rPr>
              <w:t>应</w:t>
            </w:r>
            <w:r>
              <w:rPr>
                <w:rFonts w:hint="eastAsia" w:asciiTheme="minorEastAsia" w:hAnsiTheme="minorEastAsia" w:eastAsiaTheme="minorEastAsia" w:cstheme="minorEastAsia"/>
                <w:b w:val="0"/>
                <w:bCs w:val="0"/>
                <w:color w:val="auto"/>
                <w:sz w:val="24"/>
                <w:szCs w:val="24"/>
                <w:highlight w:val="none"/>
                <w:lang w:bidi="ar"/>
              </w:rPr>
              <w:t>具有抗菌和高温阻燃的相关技术</w:t>
            </w:r>
            <w:r>
              <w:rPr>
                <w:rFonts w:hint="eastAsia" w:asciiTheme="minorEastAsia" w:hAnsiTheme="minorEastAsia" w:eastAsiaTheme="minorEastAsia" w:cstheme="minorEastAsia"/>
                <w:b w:val="0"/>
                <w:bCs w:val="0"/>
                <w:color w:val="auto"/>
                <w:sz w:val="24"/>
                <w:szCs w:val="24"/>
                <w:highlight w:val="none"/>
                <w:lang w:eastAsia="zh-CN" w:bidi="ar"/>
              </w:rPr>
              <w:t>要求，</w:t>
            </w:r>
            <w:r>
              <w:rPr>
                <w:rFonts w:hint="eastAsia" w:asciiTheme="minorEastAsia" w:hAnsiTheme="minorEastAsia" w:eastAsiaTheme="minorEastAsia" w:cstheme="minorEastAsia"/>
                <w:b w:val="0"/>
                <w:bCs w:val="0"/>
                <w:color w:val="auto"/>
                <w:sz w:val="24"/>
                <w:szCs w:val="24"/>
                <w:highlight w:val="none"/>
                <w:lang w:bidi="ar"/>
              </w:rPr>
              <w:t>须提供CMA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CNAS检测机构出具的检测报告复印件)；喷塑表面颜色由采购人另行指定。</w:t>
            </w:r>
          </w:p>
          <w:p w14:paraId="5DB26054">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外观：焊接应牢固，焊点分布均匀，不得出现假焊和烧穿等现象。外表面的焊点、焊渣、划痕等杂质应打磨平整；喷涂后图层应均匀、平整、光滑，不得有堆积、麻点、气泡、漏涂等现象；表面应无明显凹凸、擦痕、划伤等缺陷。整体表面美观大方，光洁度好。</w:t>
            </w:r>
          </w:p>
          <w:p w14:paraId="6001B123">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8、整体结构及技术符合公安部GA 526-2025《监室门》行业标准;</w:t>
            </w:r>
          </w:p>
          <w:p w14:paraId="4B6DA8D2">
            <w:pPr>
              <w:widowControl/>
              <w:jc w:val="lef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bCs/>
                <w:color w:val="auto"/>
                <w:sz w:val="24"/>
                <w:highlight w:val="none"/>
                <w:u w:val="none"/>
              </w:rPr>
              <w:t>▲</w:t>
            </w:r>
            <w:r>
              <w:rPr>
                <w:rFonts w:hint="eastAsia" w:ascii="宋体" w:hAnsi="宋体" w:eastAsia="宋体" w:cs="宋体"/>
                <w:color w:val="auto"/>
                <w:sz w:val="24"/>
                <w:szCs w:val="24"/>
                <w:highlight w:val="none"/>
                <w:lang w:bidi="ar"/>
              </w:rPr>
              <w:t>9、送货安装前必须提供相关投标货物的检测报告原件核实，检测报告中必须包含货物重要技术的检测内容或结果体现，同时也要确保所有技术参数、功能均可满足采购文件要求，如有不符，则取消其成交候选人资格</w:t>
            </w:r>
            <w:r>
              <w:rPr>
                <w:rFonts w:hint="eastAsia" w:ascii="宋体" w:hAnsi="宋体" w:eastAsia="宋体" w:cs="宋体"/>
                <w:color w:val="auto"/>
                <w:sz w:val="24"/>
                <w:szCs w:val="24"/>
                <w:highlight w:val="none"/>
                <w:lang w:eastAsia="zh-CN" w:bidi="ar"/>
              </w:rPr>
              <w:t>，</w:t>
            </w:r>
            <w:r>
              <w:rPr>
                <w:rFonts w:hint="eastAsia" w:ascii="宋体" w:hAnsi="宋体" w:eastAsia="宋体"/>
                <w:color w:val="auto"/>
                <w:kern w:val="2"/>
                <w:sz w:val="24"/>
                <w:highlight w:val="none"/>
              </w:rPr>
              <w:t>造成的损失由成交人自行承担。</w:t>
            </w:r>
          </w:p>
          <w:p w14:paraId="7E2570D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10、在后续安装使用及上级检查过程中发现实际参数不达标，采购方有权要求终止合同并追究违约责任。</w:t>
            </w:r>
          </w:p>
        </w:tc>
        <w:tc>
          <w:tcPr>
            <w:tcW w:w="0" w:type="auto"/>
            <w:vAlign w:val="center"/>
          </w:tcPr>
          <w:p w14:paraId="33657AE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13300D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0770</w:t>
            </w:r>
            <w:r>
              <w:rPr>
                <w:rFonts w:hint="eastAsia" w:ascii="宋体" w:hAnsi="宋体" w:eastAsia="宋体" w:cs="宋体"/>
                <w:color w:val="auto"/>
                <w:sz w:val="24"/>
                <w:szCs w:val="24"/>
                <w:highlight w:val="none"/>
                <w:lang w:bidi="ar"/>
              </w:rPr>
              <w:t>.00</w:t>
            </w:r>
          </w:p>
        </w:tc>
        <w:tc>
          <w:tcPr>
            <w:tcW w:w="0" w:type="auto"/>
            <w:vAlign w:val="center"/>
          </w:tcPr>
          <w:p w14:paraId="360643E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 </w:t>
            </w:r>
          </w:p>
        </w:tc>
        <w:tc>
          <w:tcPr>
            <w:tcW w:w="0" w:type="auto"/>
          </w:tcPr>
          <w:p w14:paraId="5641DB1E">
            <w:pPr>
              <w:widowControl w:val="0"/>
              <w:jc w:val="both"/>
              <w:rPr>
                <w:rFonts w:hint="eastAsia" w:ascii="宋体" w:hAnsi="宋体" w:eastAsia="宋体" w:cs="宋体"/>
                <w:color w:val="auto"/>
                <w:sz w:val="24"/>
                <w:szCs w:val="24"/>
                <w:highlight w:val="none"/>
              </w:rPr>
            </w:pPr>
          </w:p>
        </w:tc>
      </w:tr>
      <w:tr w14:paraId="5ED8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3635D309">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0" w:type="auto"/>
            <w:vAlign w:val="center"/>
          </w:tcPr>
          <w:p w14:paraId="3C5FFC8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平开监室门</w:t>
            </w:r>
          </w:p>
        </w:tc>
        <w:tc>
          <w:tcPr>
            <w:tcW w:w="0" w:type="auto"/>
            <w:vAlign w:val="center"/>
          </w:tcPr>
          <w:p w14:paraId="5ECC5D1B">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门洞尺寸：1000mm×2100mm(须根据现场门洞实际尺寸制作)；</w:t>
            </w:r>
          </w:p>
          <w:p w14:paraId="05F47951">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b w:val="0"/>
                <w:bCs w:val="0"/>
                <w:color w:val="auto"/>
                <w:sz w:val="24"/>
                <w:szCs w:val="24"/>
                <w:highlight w:val="none"/>
                <w:lang w:bidi="ar"/>
              </w:rPr>
              <w:t>1、门体结构：此门为平开监室门，由门框、门扇、门槛和铰链组成，整体式结构设计。门框采用2mm镀锌钢板冷弯制作。门扇双面采用1.5mm镀锌板和铝蜂窝填充粘接而成；门扇四周框架采用40mm×40mm×2mm镀锌方管制作，门扇带玻璃观察窗，观察窗尺寸300mm×120mm,观察窗中心高1450mm, 玻璃采用8mm+8mm钢化夹胶玻璃。；门槛采用2mm不锈钢板制作；铰链为明铰链，每个门扇配套两个铰链，采用焊接连接，焊接不高于铰链表面，铰链组合长度为100mm。转轴直径应为18mm，铰链叶片宽度为25mm，铰链板厚度为4mm。</w:t>
            </w:r>
            <w:r>
              <w:rPr>
                <w:rFonts w:hint="eastAsia" w:asciiTheme="minorEastAsia" w:hAnsiTheme="minorEastAsia" w:eastAsiaTheme="minorEastAsia" w:cstheme="minorEastAsia"/>
                <w:b w:val="0"/>
                <w:bCs w:val="0"/>
                <w:color w:val="auto"/>
                <w:sz w:val="24"/>
                <w:szCs w:val="24"/>
                <w:highlight w:val="none"/>
                <w:lang w:bidi="ar"/>
              </w:rPr>
              <w:t>▲门体金属构件钢板板材</w:t>
            </w:r>
            <w:r>
              <w:rPr>
                <w:rFonts w:hint="eastAsia" w:asciiTheme="minorEastAsia" w:hAnsiTheme="minorEastAsia" w:eastAsiaTheme="minorEastAsia" w:cstheme="minorEastAsia"/>
                <w:b w:val="0"/>
                <w:bCs w:val="0"/>
                <w:color w:val="auto"/>
                <w:sz w:val="24"/>
                <w:szCs w:val="24"/>
                <w:highlight w:val="none"/>
                <w:u w:val="none"/>
                <w:lang w:bidi="ar"/>
              </w:rPr>
              <w:t>抗拉强度应大于等于345Mpa</w:t>
            </w:r>
            <w:r>
              <w:rPr>
                <w:rFonts w:hint="eastAsia" w:asciiTheme="minorEastAsia" w:hAnsiTheme="minorEastAsia" w:eastAsiaTheme="minorEastAsia" w:cstheme="minorEastAsia"/>
                <w:b w:val="0"/>
                <w:bCs w:val="0"/>
                <w:color w:val="auto"/>
                <w:sz w:val="24"/>
                <w:szCs w:val="24"/>
                <w:highlight w:val="none"/>
                <w:lang w:bidi="ar"/>
              </w:rPr>
              <w:t>，所有金属构件须采用热镀锌+表面喷涂防腐处理，</w:t>
            </w:r>
            <w:r>
              <w:rPr>
                <w:rFonts w:hint="eastAsia" w:asciiTheme="minorEastAsia" w:hAnsiTheme="minorEastAsia" w:eastAsiaTheme="minorEastAsia" w:cstheme="minorEastAsia"/>
                <w:b w:val="0"/>
                <w:bCs w:val="0"/>
                <w:color w:val="auto"/>
                <w:sz w:val="24"/>
                <w:szCs w:val="24"/>
                <w:highlight w:val="none"/>
                <w:u w:val="none"/>
                <w:lang w:bidi="ar"/>
              </w:rPr>
              <w:t>内层为镀锌层厚度≥100g/㎡，外层为聚酯等热固性粉末涂层厚度应&gt;0.08mm，</w:t>
            </w:r>
            <w:r>
              <w:rPr>
                <w:rFonts w:hint="eastAsia" w:asciiTheme="minorEastAsia" w:hAnsiTheme="minorEastAsia" w:eastAsiaTheme="minorEastAsia" w:cstheme="minorEastAsia"/>
                <w:b w:val="0"/>
                <w:bCs w:val="0"/>
                <w:color w:val="auto"/>
                <w:sz w:val="24"/>
                <w:szCs w:val="24"/>
                <w:highlight w:val="none"/>
                <w:lang w:bidi="ar"/>
              </w:rPr>
              <w:t>整体耐腐蚀年限不应低于10年；(▲门体金属构件的以上相关技术</w:t>
            </w:r>
            <w:r>
              <w:rPr>
                <w:rFonts w:hint="eastAsia" w:asciiTheme="minorEastAsia" w:hAnsiTheme="minorEastAsia" w:eastAsiaTheme="minorEastAsia" w:cstheme="minorEastAsia"/>
                <w:b w:val="0"/>
                <w:bCs w:val="0"/>
                <w:color w:val="auto"/>
                <w:sz w:val="24"/>
                <w:szCs w:val="24"/>
                <w:highlight w:val="none"/>
                <w:lang w:eastAsia="zh-CN" w:bidi="ar"/>
              </w:rPr>
              <w:t>要求</w:t>
            </w:r>
            <w:r>
              <w:rPr>
                <w:rFonts w:hint="eastAsia" w:asciiTheme="minorEastAsia" w:hAnsiTheme="minorEastAsia" w:eastAsiaTheme="minorEastAsia" w:cstheme="minorEastAsia"/>
                <w:b w:val="0"/>
                <w:bCs w:val="0"/>
                <w:color w:val="auto"/>
                <w:sz w:val="24"/>
                <w:szCs w:val="24"/>
                <w:highlight w:val="none"/>
                <w:lang w:bidi="ar"/>
              </w:rPr>
              <w:t>须提供CMA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CNAS检测机构出具的检测报告复印件)。所有金属构件应先进行除锈防腐处理后采用静电喷涂，喷塑表面应无气泡和其他杂质;喷涂层表面粉末具有环保、抗菌、耐高温和防老化性能(▲塑粉</w:t>
            </w:r>
            <w:r>
              <w:rPr>
                <w:rFonts w:hint="eastAsia" w:asciiTheme="minorEastAsia" w:hAnsiTheme="minorEastAsia" w:eastAsiaTheme="minorEastAsia" w:cstheme="minorEastAsia"/>
                <w:b w:val="0"/>
                <w:bCs w:val="0"/>
                <w:color w:val="auto"/>
                <w:sz w:val="24"/>
                <w:szCs w:val="24"/>
                <w:highlight w:val="none"/>
                <w:lang w:eastAsia="zh-CN" w:bidi="ar"/>
              </w:rPr>
              <w:t>应</w:t>
            </w:r>
            <w:r>
              <w:rPr>
                <w:rFonts w:hint="eastAsia" w:asciiTheme="minorEastAsia" w:hAnsiTheme="minorEastAsia" w:eastAsiaTheme="minorEastAsia" w:cstheme="minorEastAsia"/>
                <w:b w:val="0"/>
                <w:bCs w:val="0"/>
                <w:color w:val="auto"/>
                <w:sz w:val="24"/>
                <w:szCs w:val="24"/>
                <w:highlight w:val="none"/>
                <w:lang w:bidi="ar"/>
              </w:rPr>
              <w:t>具有抗菌和高温阻燃的相关技术</w:t>
            </w:r>
            <w:r>
              <w:rPr>
                <w:rFonts w:hint="eastAsia" w:asciiTheme="minorEastAsia" w:hAnsiTheme="minorEastAsia" w:eastAsiaTheme="minorEastAsia" w:cstheme="minorEastAsia"/>
                <w:b w:val="0"/>
                <w:bCs w:val="0"/>
                <w:color w:val="auto"/>
                <w:sz w:val="24"/>
                <w:szCs w:val="24"/>
                <w:highlight w:val="none"/>
                <w:lang w:eastAsia="zh-CN" w:bidi="ar"/>
              </w:rPr>
              <w:t>要求，</w:t>
            </w:r>
            <w:r>
              <w:rPr>
                <w:rFonts w:hint="eastAsia" w:asciiTheme="minorEastAsia" w:hAnsiTheme="minorEastAsia" w:eastAsiaTheme="minorEastAsia" w:cstheme="minorEastAsia"/>
                <w:b w:val="0"/>
                <w:bCs w:val="0"/>
                <w:color w:val="auto"/>
                <w:sz w:val="24"/>
                <w:szCs w:val="24"/>
                <w:highlight w:val="none"/>
                <w:lang w:bidi="ar"/>
              </w:rPr>
              <w:t>须提供CMA</w:t>
            </w:r>
            <w:r>
              <w:rPr>
                <w:rStyle w:val="117"/>
                <w:rFonts w:hint="default" w:asciiTheme="minorEastAsia" w:hAnsiTheme="minorEastAsia" w:eastAsiaTheme="minorEastAsia" w:cstheme="minorEastAsia"/>
                <w:b w:val="0"/>
                <w:bCs w:val="0"/>
                <w:color w:val="auto"/>
                <w:sz w:val="24"/>
                <w:szCs w:val="24"/>
                <w:highlight w:val="none"/>
              </w:rPr>
              <w:t>或</w:t>
            </w:r>
            <w:r>
              <w:rPr>
                <w:rFonts w:hint="eastAsia" w:asciiTheme="minorEastAsia" w:hAnsiTheme="minorEastAsia" w:eastAsiaTheme="minorEastAsia" w:cstheme="minorEastAsia"/>
                <w:b w:val="0"/>
                <w:bCs w:val="0"/>
                <w:color w:val="auto"/>
                <w:sz w:val="24"/>
                <w:szCs w:val="24"/>
                <w:highlight w:val="none"/>
                <w:lang w:bidi="ar"/>
              </w:rPr>
              <w:t>CNAS检测机构出具的检测报告复印件)；喷塑表面颜色由采购人另行指定</w:t>
            </w:r>
            <w:r>
              <w:rPr>
                <w:rFonts w:hint="eastAsia" w:ascii="宋体" w:hAnsi="宋体" w:eastAsia="宋体" w:cs="宋体"/>
                <w:b w:val="0"/>
                <w:bCs w:val="0"/>
                <w:color w:val="auto"/>
                <w:sz w:val="24"/>
                <w:szCs w:val="24"/>
                <w:highlight w:val="none"/>
                <w:lang w:bidi="ar"/>
              </w:rPr>
              <w:t>。</w:t>
            </w:r>
          </w:p>
          <w:p w14:paraId="1210C905">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外观：焊接应牢固，焊点分布均匀，不得出现假焊和烧穿等现象。外表面的焊点、焊渣、划痕等杂质应打磨平整；喷涂后图层应均匀、平整、光滑，不得有堆积、麻点、气泡、漏涂等现象；表面应无明显凹凸、擦痕、划伤等缺陷。整体表面美观大方，光洁度好。</w:t>
            </w:r>
          </w:p>
          <w:p w14:paraId="1A67EDAF">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3、整体结构及技术符合公安部GA 526-2025《监室门》行业标准;</w:t>
            </w:r>
          </w:p>
          <w:p w14:paraId="74522954">
            <w:pPr>
              <w:widowControl/>
              <w:jc w:val="lef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bCs/>
                <w:color w:val="auto"/>
                <w:sz w:val="24"/>
                <w:highlight w:val="none"/>
                <w:u w:val="none"/>
              </w:rPr>
              <w:t>▲</w:t>
            </w:r>
            <w:r>
              <w:rPr>
                <w:rFonts w:hint="eastAsia" w:ascii="宋体" w:hAnsi="宋体" w:eastAsia="宋体" w:cs="宋体"/>
                <w:color w:val="auto"/>
                <w:sz w:val="24"/>
                <w:szCs w:val="24"/>
                <w:highlight w:val="none"/>
                <w:lang w:bidi="ar"/>
              </w:rPr>
              <w:t>4、送货安装前必须提供相关投标货物的检测报告原件核实，检测报告中必须包含货物重要技术的检测内容或结果体现，同时也要确保所有技术参数、功能均可满足采购文件要求，如有不符，则取消其成交候选人资格</w:t>
            </w:r>
            <w:r>
              <w:rPr>
                <w:rFonts w:hint="eastAsia" w:ascii="宋体" w:hAnsi="宋体" w:eastAsia="宋体" w:cs="宋体"/>
                <w:color w:val="auto"/>
                <w:sz w:val="24"/>
                <w:szCs w:val="24"/>
                <w:highlight w:val="none"/>
                <w:lang w:eastAsia="zh-CN" w:bidi="ar"/>
              </w:rPr>
              <w:t>，</w:t>
            </w:r>
            <w:r>
              <w:rPr>
                <w:rFonts w:hint="eastAsia" w:ascii="宋体" w:hAnsi="宋体" w:eastAsia="宋体"/>
                <w:color w:val="auto"/>
                <w:kern w:val="2"/>
                <w:sz w:val="24"/>
                <w:highlight w:val="none"/>
              </w:rPr>
              <w:t>造成的损失由成交人自行承担。</w:t>
            </w:r>
          </w:p>
          <w:p w14:paraId="528EE1B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5、在后续安装使用及上级检查过程中发现实际参数不达标，采购方有权要求终止合同并追究违约责任。</w:t>
            </w:r>
          </w:p>
        </w:tc>
        <w:tc>
          <w:tcPr>
            <w:tcW w:w="0" w:type="auto"/>
            <w:vAlign w:val="center"/>
          </w:tcPr>
          <w:p w14:paraId="28AB9E6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557BAF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2900</w:t>
            </w:r>
            <w:r>
              <w:rPr>
                <w:rFonts w:hint="eastAsia" w:ascii="宋体" w:hAnsi="宋体" w:eastAsia="宋体" w:cs="宋体"/>
                <w:color w:val="auto"/>
                <w:sz w:val="24"/>
                <w:szCs w:val="24"/>
                <w:highlight w:val="none"/>
                <w:lang w:bidi="ar"/>
              </w:rPr>
              <w:t>.00</w:t>
            </w:r>
          </w:p>
        </w:tc>
        <w:tc>
          <w:tcPr>
            <w:tcW w:w="0" w:type="auto"/>
            <w:vAlign w:val="center"/>
          </w:tcPr>
          <w:p w14:paraId="718C5C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13 </w:t>
            </w:r>
          </w:p>
        </w:tc>
        <w:tc>
          <w:tcPr>
            <w:tcW w:w="0" w:type="auto"/>
          </w:tcPr>
          <w:p w14:paraId="05DA1210">
            <w:pPr>
              <w:widowControl w:val="0"/>
              <w:jc w:val="both"/>
              <w:rPr>
                <w:rFonts w:hint="eastAsia" w:ascii="宋体" w:hAnsi="宋体" w:eastAsia="宋体" w:cs="宋体"/>
                <w:color w:val="auto"/>
                <w:sz w:val="24"/>
                <w:szCs w:val="24"/>
                <w:highlight w:val="none"/>
              </w:rPr>
            </w:pPr>
          </w:p>
        </w:tc>
      </w:tr>
      <w:tr w14:paraId="1E9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F61BF0A">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vAlign w:val="center"/>
          </w:tcPr>
          <w:p w14:paraId="6F51B3B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电动双平移不锈钢大门</w:t>
            </w:r>
            <w:r>
              <w:rPr>
                <w:rFonts w:hint="eastAsia" w:ascii="宋体" w:hAnsi="宋体" w:eastAsia="宋体" w:cs="宋体"/>
                <w:color w:val="auto"/>
                <w:sz w:val="24"/>
                <w:szCs w:val="24"/>
                <w:highlight w:val="none"/>
                <w:u w:val="none"/>
                <w:lang w:bidi="ar"/>
              </w:rPr>
              <w:t>（4樘）</w:t>
            </w:r>
          </w:p>
        </w:tc>
        <w:tc>
          <w:tcPr>
            <w:tcW w:w="0" w:type="auto"/>
            <w:vAlign w:val="center"/>
          </w:tcPr>
          <w:p w14:paraId="5A75E0A0">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门洞尺寸：4000×3400，4100×2770，3900*3400，3800*3200(须根据现场门洞实际尺寸制作)；</w:t>
            </w:r>
          </w:p>
          <w:p w14:paraId="2338F87F">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1、类型为电动双平移钢板大门，由门头箱、门扇和导轨组成。</w:t>
            </w:r>
          </w:p>
          <w:p w14:paraId="4460B4B5">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门头箱：门头箱由上导轨、尼龙滚轮、安装支架、滑线装置和罩壳组成，上导轨采用2mm镀锌钢板冷弯制作，呈C型钢，尺寸75mm×80mm；尼龙导轮直径Ø62mm，高度30mm，过盈配合安装6204轴承，轮子轴直径Ø20mm，地板为8mm钢板，安装时焊接于门扇顶部；安装支架采用40mm×4mm镀锌角钢制作；滑线装置提供嵌套小门门禁线随门扇平移导轨；罩壳为装饰罩壳，采用1.5mm镀锌钢板制作。</w:t>
            </w:r>
          </w:p>
          <w:p w14:paraId="4034FEBE">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门扇作为大门主体，由呈格子状，周框采用80×80×2mm不锈钢方管焊接，横、竖档分格采用40×80×2mm镀锌方管焊接，上半部分栅栏结构，采用40×60×2.0制作，下半部分格档双面封1.5mm不锈钢钢板，正反两面封板采用铝蜂窝粘接。下半部分格档门扇底部安装钢制承重滚轮，滚轮材质45#钢，直径Ø108mm，宽度37mm，滚轮内套两个6305轴承，滚轮轴材质45#钢，直径Ø25mm。门扇底部安装挡缝条，采用1.5mm镀锌钢板制作，门扇下部安装传动齿条，齿条厚度10mm，高度30mm。</w:t>
            </w:r>
          </w:p>
          <w:p w14:paraId="36EF33ED">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4、导轨主体材料为8kg/m轨道钢，预埋于地面，导轨高出地面15mm。</w:t>
            </w:r>
          </w:p>
          <w:p w14:paraId="42006BB6">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5、整体结构及技术符合公安部GA 526-2025《监室门》行业标准;</w:t>
            </w:r>
          </w:p>
          <w:p w14:paraId="60D20F2E">
            <w:pPr>
              <w:widowControl/>
              <w:jc w:val="lef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bCs/>
                <w:color w:val="auto"/>
                <w:sz w:val="24"/>
                <w:highlight w:val="none"/>
                <w:u w:val="none"/>
              </w:rPr>
              <w:t>▲</w:t>
            </w:r>
            <w:r>
              <w:rPr>
                <w:rFonts w:hint="eastAsia" w:ascii="宋体" w:hAnsi="宋体" w:eastAsia="宋体" w:cs="宋体"/>
                <w:color w:val="auto"/>
                <w:sz w:val="24"/>
                <w:szCs w:val="24"/>
                <w:highlight w:val="none"/>
                <w:lang w:bidi="ar"/>
              </w:rPr>
              <w:t>6、送货安装前必须提供相关投标货物的检测报告原件核实，检测报告中必须包含货物重要技术的检测内容或结果体现，同时也要确保所有技术参数、功能均可满足采购文件要求，如有不符，则取消其成交候选人资格</w:t>
            </w:r>
            <w:r>
              <w:rPr>
                <w:rFonts w:hint="eastAsia" w:ascii="宋体" w:hAnsi="宋体" w:eastAsia="宋体" w:cs="宋体"/>
                <w:color w:val="auto"/>
                <w:sz w:val="24"/>
                <w:szCs w:val="24"/>
                <w:highlight w:val="none"/>
                <w:lang w:eastAsia="zh-CN" w:bidi="ar"/>
              </w:rPr>
              <w:t>，造成的损失由成交人自行承担。</w:t>
            </w:r>
          </w:p>
          <w:p w14:paraId="62662D2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7、在后续安装使用及上级检查过程中发现实际参数不达标，采购方有权要求终止合同并追究违约责任。</w:t>
            </w:r>
          </w:p>
        </w:tc>
        <w:tc>
          <w:tcPr>
            <w:tcW w:w="0" w:type="auto"/>
            <w:vAlign w:val="center"/>
          </w:tcPr>
          <w:p w14:paraId="78B9712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tc>
        <w:tc>
          <w:tcPr>
            <w:tcW w:w="1176" w:type="dxa"/>
            <w:vAlign w:val="center"/>
          </w:tcPr>
          <w:p w14:paraId="75BA135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2900</w:t>
            </w:r>
            <w:r>
              <w:rPr>
                <w:rFonts w:hint="eastAsia" w:ascii="宋体" w:hAnsi="宋体" w:eastAsia="宋体" w:cs="宋体"/>
                <w:color w:val="auto"/>
                <w:sz w:val="24"/>
                <w:szCs w:val="24"/>
                <w:highlight w:val="none"/>
                <w:lang w:bidi="ar"/>
              </w:rPr>
              <w:t>.00</w:t>
            </w:r>
          </w:p>
        </w:tc>
        <w:tc>
          <w:tcPr>
            <w:tcW w:w="0" w:type="auto"/>
            <w:vAlign w:val="center"/>
          </w:tcPr>
          <w:p w14:paraId="0A736F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50 </w:t>
            </w:r>
          </w:p>
        </w:tc>
        <w:tc>
          <w:tcPr>
            <w:tcW w:w="0" w:type="auto"/>
          </w:tcPr>
          <w:p w14:paraId="2D3F800B">
            <w:pPr>
              <w:widowControl w:val="0"/>
              <w:jc w:val="both"/>
              <w:rPr>
                <w:rFonts w:hint="eastAsia" w:ascii="宋体" w:hAnsi="宋体" w:eastAsia="宋体" w:cs="宋体"/>
                <w:color w:val="auto"/>
                <w:sz w:val="24"/>
                <w:szCs w:val="24"/>
                <w:highlight w:val="none"/>
              </w:rPr>
            </w:pPr>
          </w:p>
        </w:tc>
      </w:tr>
      <w:tr w14:paraId="5FCC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ED62C6">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0" w:type="auto"/>
            <w:vAlign w:val="center"/>
          </w:tcPr>
          <w:p w14:paraId="2F2EFEB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平移大门电机</w:t>
            </w:r>
          </w:p>
        </w:tc>
        <w:tc>
          <w:tcPr>
            <w:tcW w:w="0" w:type="auto"/>
            <w:vAlign w:val="center"/>
          </w:tcPr>
          <w:p w14:paraId="1517C56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电机功率为650W、电压220V，包含齿条和控制开关;</w:t>
            </w:r>
          </w:p>
        </w:tc>
        <w:tc>
          <w:tcPr>
            <w:tcW w:w="0" w:type="auto"/>
            <w:vAlign w:val="center"/>
          </w:tcPr>
          <w:p w14:paraId="27F565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套</w:t>
            </w:r>
          </w:p>
        </w:tc>
        <w:tc>
          <w:tcPr>
            <w:tcW w:w="1176" w:type="dxa"/>
            <w:vAlign w:val="center"/>
          </w:tcPr>
          <w:p w14:paraId="7037B2D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5800</w:t>
            </w:r>
            <w:r>
              <w:rPr>
                <w:rFonts w:hint="eastAsia" w:ascii="宋体" w:hAnsi="宋体" w:eastAsia="宋体" w:cs="宋体"/>
                <w:color w:val="auto"/>
                <w:sz w:val="24"/>
                <w:szCs w:val="24"/>
                <w:highlight w:val="none"/>
                <w:lang w:bidi="ar"/>
              </w:rPr>
              <w:t>.00</w:t>
            </w:r>
          </w:p>
        </w:tc>
        <w:tc>
          <w:tcPr>
            <w:tcW w:w="0" w:type="auto"/>
            <w:vAlign w:val="center"/>
          </w:tcPr>
          <w:p w14:paraId="5FC0127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8 </w:t>
            </w:r>
          </w:p>
        </w:tc>
        <w:tc>
          <w:tcPr>
            <w:tcW w:w="0" w:type="auto"/>
          </w:tcPr>
          <w:p w14:paraId="161463BF">
            <w:pPr>
              <w:widowControl w:val="0"/>
              <w:jc w:val="both"/>
              <w:rPr>
                <w:rFonts w:hint="eastAsia" w:ascii="宋体" w:hAnsi="宋体" w:eastAsia="宋体" w:cs="宋体"/>
                <w:color w:val="auto"/>
                <w:sz w:val="24"/>
                <w:szCs w:val="24"/>
                <w:highlight w:val="none"/>
              </w:rPr>
            </w:pPr>
          </w:p>
        </w:tc>
      </w:tr>
      <w:tr w14:paraId="0596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4186B9">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0" w:type="auto"/>
            <w:vAlign w:val="center"/>
          </w:tcPr>
          <w:p w14:paraId="6AEB9FA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电动平移门驱动机构及管理控制器（断电离合）</w:t>
            </w:r>
          </w:p>
        </w:tc>
        <w:tc>
          <w:tcPr>
            <w:tcW w:w="0" w:type="auto"/>
            <w:vAlign w:val="center"/>
          </w:tcPr>
          <w:p w14:paraId="7EB3C68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1、结构组成：电动门驱动机构、电动门管理系统。</w:t>
            </w:r>
          </w:p>
          <w:p w14:paraId="625717C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2、机械锁定功能：当电动门驱动机构电机得到运转指令时，应先自动分离锁定机构再运转，电机停机后应自动锁定，确保门体停在任何位置都无法推动。</w:t>
            </w:r>
          </w:p>
          <w:p w14:paraId="676D0A6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3、报警功能：监室门具有胁迫开门报警、超时报警、防撬报警功能。电动门管理系统可对门体异常状态、通讯故障、未关门进行状态提示（含语音提示）。</w:t>
            </w:r>
          </w:p>
          <w:p w14:paraId="5C850D7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4、实时检测功能：电动门管理系统可实时动态监测电动门驱动机构电机状态（包括开门中、开门到位、关门中、关门到位、停止状态、戒严状态、异常报警）。</w:t>
            </w:r>
          </w:p>
          <w:p w14:paraId="3A18703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5、一键戒严功能：监室门具有一键戒严功能，戒严后电动门应全部自动关闭，只能通过电动门管理系统管理员权限解除戒严。</w:t>
            </w:r>
          </w:p>
          <w:p w14:paraId="26DD30C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6、缓开缓闭功能：电动门驱动机构具有电动门缓开缓闭功能，且时间可调。</w:t>
            </w:r>
          </w:p>
          <w:p w14:paraId="1E886DF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7、遇阻自停功能：电动门驱动机构具有遇阻自停功能，且力阻应可通过监室电动门管理系统调整。8、日志记录存储及查询功能：电动门管理系统可进行报警记录及操作日志的存储及查询，并进行数据库管理。</w:t>
            </w:r>
          </w:p>
          <w:p w14:paraId="261524D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rPr>
              <w:t>8、平移开门电机须具有断电解锁自动离合功能（须提供平移开门电机的公安部</w:t>
            </w:r>
            <w:r>
              <w:rPr>
                <w:rFonts w:hint="eastAsia" w:ascii="宋体" w:hAnsi="宋体" w:eastAsia="宋体" w:cs="宋体"/>
                <w:color w:val="auto"/>
                <w:sz w:val="24"/>
                <w:szCs w:val="24"/>
                <w:highlight w:val="none"/>
                <w:lang w:eastAsia="zh-CN"/>
              </w:rPr>
              <w:t>认可的</w:t>
            </w:r>
            <w:r>
              <w:rPr>
                <w:rFonts w:hint="eastAsia" w:ascii="宋体" w:hAnsi="宋体" w:eastAsia="宋体" w:cs="宋体"/>
                <w:color w:val="auto"/>
                <w:sz w:val="24"/>
                <w:szCs w:val="24"/>
                <w:highlight w:val="none"/>
              </w:rPr>
              <w:t>权威检测机构</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的检测报告复印件），当停电时离合自动松开，无需人工手动操作离合器，可以轻松手动推拉开关门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送货安装前必须提供</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检测报告原件核实，如有不符，则取消其成交候选人资格</w:t>
            </w:r>
            <w:r>
              <w:rPr>
                <w:rFonts w:hint="eastAsia" w:ascii="宋体" w:hAnsi="宋体" w:eastAsia="宋体" w:cs="宋体"/>
                <w:color w:val="auto"/>
                <w:sz w:val="24"/>
                <w:szCs w:val="24"/>
                <w:highlight w:val="none"/>
                <w:lang w:eastAsia="zh-CN"/>
              </w:rPr>
              <w:t>，造成的损失由成交人自行承担。</w:t>
            </w:r>
          </w:p>
        </w:tc>
        <w:tc>
          <w:tcPr>
            <w:tcW w:w="0" w:type="auto"/>
            <w:vAlign w:val="center"/>
          </w:tcPr>
          <w:p w14:paraId="36CA2D2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套</w:t>
            </w:r>
          </w:p>
        </w:tc>
        <w:tc>
          <w:tcPr>
            <w:tcW w:w="1176" w:type="dxa"/>
            <w:vAlign w:val="center"/>
          </w:tcPr>
          <w:p w14:paraId="7595E5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2200.00</w:t>
            </w:r>
          </w:p>
        </w:tc>
        <w:tc>
          <w:tcPr>
            <w:tcW w:w="0" w:type="auto"/>
            <w:vAlign w:val="center"/>
          </w:tcPr>
          <w:p w14:paraId="58F5D9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51 </w:t>
            </w:r>
          </w:p>
        </w:tc>
        <w:tc>
          <w:tcPr>
            <w:tcW w:w="0" w:type="auto"/>
          </w:tcPr>
          <w:p w14:paraId="1CA93C43">
            <w:pPr>
              <w:widowControl w:val="0"/>
              <w:jc w:val="both"/>
              <w:rPr>
                <w:rFonts w:hint="eastAsia" w:ascii="宋体" w:hAnsi="宋体" w:eastAsia="宋体" w:cs="宋体"/>
                <w:color w:val="auto"/>
                <w:sz w:val="24"/>
                <w:szCs w:val="24"/>
                <w:highlight w:val="none"/>
              </w:rPr>
            </w:pPr>
          </w:p>
        </w:tc>
      </w:tr>
      <w:tr w14:paraId="70C8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68E8A6FB">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0" w:type="auto"/>
            <w:vAlign w:val="center"/>
          </w:tcPr>
          <w:p w14:paraId="6D0DF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电动平移门驱动机构及管理控制器（断电离合）</w:t>
            </w:r>
          </w:p>
        </w:tc>
        <w:tc>
          <w:tcPr>
            <w:tcW w:w="0" w:type="auto"/>
            <w:vAlign w:val="center"/>
          </w:tcPr>
          <w:p w14:paraId="610E201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1、结构组成：电动门驱动机构、电动门管理系统。</w:t>
            </w:r>
          </w:p>
          <w:p w14:paraId="194819D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2、机械锁定功能：当电动门驱动机构电机得到运转指令时，应先自动分离锁定机构再运转，电机停机后应自动锁定，确保门体停在任何位置都无法推动。</w:t>
            </w:r>
          </w:p>
          <w:p w14:paraId="7502658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3、报警功能：监室门具有胁迫开门报警、超时报警、防撬报警功能。电动门管理系统可对门体异常状态、通讯故障、未关门进行状态提示（含语音提示）。</w:t>
            </w:r>
          </w:p>
          <w:p w14:paraId="73715AA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4、实时检测功能：电动门管理系统可实时动态监测电动门驱动机构电机状态（包括开门中、开门到位、关门中、关门到位、停止状态、戒严状态、异常报警）。</w:t>
            </w:r>
          </w:p>
          <w:p w14:paraId="51AC5A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5、一键戒严功能：监室门具有一键戒严功能，戒严后电动门应全部自动关闭，只能通过电动门管理系统管理员权限解除戒严。</w:t>
            </w:r>
          </w:p>
          <w:p w14:paraId="79186D0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6、缓开缓闭功能：电动门驱动机构具有电动门缓开缓闭功能，且时间可调。</w:t>
            </w:r>
          </w:p>
          <w:p w14:paraId="4D349E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7、遇阻自停功能：电动门驱动机构具有遇阻自停功能，且力阻应可通过监室电动门管理系统调整。</w:t>
            </w:r>
          </w:p>
          <w:p w14:paraId="727594E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8、日志记录存储及查询功能：电动门管理系统可进行报警记录及操作日志的存储及查询，并进行数据库管理。</w:t>
            </w:r>
          </w:p>
          <w:p w14:paraId="463DF5C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9、平移开门电机须具有断电解锁自动离合功能，当停电时可将离合自动松开，无需人工手动操作离合器，配合钥匙打开钩舌锁便可以轻松手动推拉开关门。</w:t>
            </w:r>
          </w:p>
        </w:tc>
        <w:tc>
          <w:tcPr>
            <w:tcW w:w="0" w:type="auto"/>
            <w:vAlign w:val="center"/>
          </w:tcPr>
          <w:p w14:paraId="35796DE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套</w:t>
            </w:r>
          </w:p>
        </w:tc>
        <w:tc>
          <w:tcPr>
            <w:tcW w:w="1176" w:type="dxa"/>
            <w:vAlign w:val="center"/>
          </w:tcPr>
          <w:p w14:paraId="22B584A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2100.00</w:t>
            </w:r>
          </w:p>
        </w:tc>
        <w:tc>
          <w:tcPr>
            <w:tcW w:w="0" w:type="auto"/>
            <w:vAlign w:val="center"/>
          </w:tcPr>
          <w:p w14:paraId="2F1CC3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30 </w:t>
            </w:r>
          </w:p>
        </w:tc>
        <w:tc>
          <w:tcPr>
            <w:tcW w:w="0" w:type="auto"/>
          </w:tcPr>
          <w:p w14:paraId="5FF00AD6">
            <w:pPr>
              <w:widowControl w:val="0"/>
              <w:jc w:val="both"/>
              <w:rPr>
                <w:rFonts w:hint="eastAsia" w:ascii="宋体" w:hAnsi="宋体" w:eastAsia="宋体" w:cs="宋体"/>
                <w:color w:val="auto"/>
                <w:sz w:val="24"/>
                <w:szCs w:val="24"/>
                <w:highlight w:val="none"/>
              </w:rPr>
            </w:pPr>
          </w:p>
        </w:tc>
      </w:tr>
      <w:tr w14:paraId="3D64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50EC44">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0" w:type="auto"/>
            <w:vAlign w:val="center"/>
          </w:tcPr>
          <w:p w14:paraId="2B6EB3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电动双平移门驱动机构及管理控制器（皮带电机）</w:t>
            </w:r>
          </w:p>
        </w:tc>
        <w:tc>
          <w:tcPr>
            <w:tcW w:w="0" w:type="auto"/>
            <w:vAlign w:val="center"/>
          </w:tcPr>
          <w:p w14:paraId="5D4A71B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1、结构组成：电动门驱动机构、电动门管理系统。</w:t>
            </w:r>
          </w:p>
          <w:p w14:paraId="02182C4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2、机械锁定功能：当电动门驱动机构电机得到运转指令时，应先自动分离锁定机构再运转，电机停机后应自动锁定，确保门体停在任何位置都无法推动。</w:t>
            </w:r>
          </w:p>
          <w:p w14:paraId="41500D6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3、报警功能：监室门具有胁迫开门报警、超时报警、防撬报警功能。电动门管理系统可对门体异常状态、通讯故障、未关门进行状态提示（含语音提示）。</w:t>
            </w:r>
          </w:p>
          <w:p w14:paraId="0474D06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4、实时检测功能：电动门管理系统可实时动态监测电动门驱动机构电机状态（包括开门中、开门到位、关门中、关门到位、停止状态、戒严状态、异常报警）。</w:t>
            </w:r>
          </w:p>
          <w:p w14:paraId="280A7D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5、一键戒严功能：监室门具有一键戒严功能，戒严后电动门应全部自动关闭，只能通过电动门管理系统管理员权限解除戒严。</w:t>
            </w:r>
          </w:p>
          <w:p w14:paraId="227F8BA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6、缓开缓闭功能：电动门驱动机构具有电动门缓开缓闭功能，且时间可调。</w:t>
            </w:r>
          </w:p>
          <w:p w14:paraId="7B87A15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7、遇阻自停功能：电动门驱动机构具有遇阻自停功能，且力阻应可通过监室电动门管理系统调整。</w:t>
            </w:r>
          </w:p>
          <w:p w14:paraId="5BD1AAF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8、日志记录存储及查询功能：电动门管理系统可进行报警记录及操作日志的存储及查询，并进行数据库管理。</w:t>
            </w:r>
          </w:p>
          <w:p w14:paraId="51FBCD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w:t>
            </w:r>
            <w:r>
              <w:rPr>
                <w:rFonts w:hint="eastAsia" w:ascii="宋体" w:hAnsi="宋体" w:eastAsia="宋体" w:cs="宋体"/>
                <w:color w:val="auto"/>
                <w:sz w:val="24"/>
                <w:szCs w:val="24"/>
                <w:highlight w:val="none"/>
              </w:rPr>
              <w:t>平移开门电机须具有断电解锁自动离合功能，当停电时电机锁住，需人工手动操作离合器，配合钥匙打开钩舌锁便可以轻松手动推拉开关门。</w:t>
            </w:r>
          </w:p>
        </w:tc>
        <w:tc>
          <w:tcPr>
            <w:tcW w:w="0" w:type="auto"/>
            <w:vAlign w:val="center"/>
          </w:tcPr>
          <w:p w14:paraId="498F53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套</w:t>
            </w:r>
          </w:p>
        </w:tc>
        <w:tc>
          <w:tcPr>
            <w:tcW w:w="1176" w:type="dxa"/>
            <w:vAlign w:val="center"/>
          </w:tcPr>
          <w:p w14:paraId="65AC22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2200.00</w:t>
            </w:r>
          </w:p>
        </w:tc>
        <w:tc>
          <w:tcPr>
            <w:tcW w:w="0" w:type="auto"/>
            <w:vAlign w:val="center"/>
          </w:tcPr>
          <w:p w14:paraId="4FA0E9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 </w:t>
            </w:r>
          </w:p>
        </w:tc>
        <w:tc>
          <w:tcPr>
            <w:tcW w:w="0" w:type="auto"/>
          </w:tcPr>
          <w:p w14:paraId="79649EAE">
            <w:pPr>
              <w:widowControl w:val="0"/>
              <w:jc w:val="both"/>
              <w:rPr>
                <w:rFonts w:hint="eastAsia" w:ascii="宋体" w:hAnsi="宋体" w:eastAsia="宋体" w:cs="宋体"/>
                <w:color w:val="auto"/>
                <w:sz w:val="24"/>
                <w:szCs w:val="24"/>
                <w:highlight w:val="none"/>
              </w:rPr>
            </w:pPr>
          </w:p>
        </w:tc>
      </w:tr>
      <w:tr w14:paraId="3687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20B78FE">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0" w:type="auto"/>
            <w:vAlign w:val="center"/>
          </w:tcPr>
          <w:p w14:paraId="32B045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监室门门禁控制管理模块</w:t>
            </w:r>
          </w:p>
        </w:tc>
        <w:tc>
          <w:tcPr>
            <w:tcW w:w="0" w:type="auto"/>
            <w:vAlign w:val="center"/>
          </w:tcPr>
          <w:p w14:paraId="433FBD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规格：TCP\IP通讯型分体式单门控制器，支持一个读卡器，可管理两个单向门，自带TCP\IP网络端口，可直接接入网络交换机中通过以太网通讯；支持即时控制器之间牵引联动控制；支持ID卡、IC卡、CPU 卡等类型读卡器接入；支持纯刷卡、卡加密码、纯密码（8位）、反胁迫报警密码、刷卡+密码输入等多种认证开门方式；存储时间条数不低于15000条，支持持卡人不低于800人，主控制芯片采用国内知名品牌，连续工作时间不小于8万小时；控制器自带箱体。整体模块化设计，采用集成整体式传动装置，将控制电路、电机、减速装置、离合装置、限位装置、门禁集成为一体，出厂时均已调试验证过所有功能，可以减少现场装配调试工作。使用整体式集成传动装置可以使门体内部结构更简单，不易出故障，便于维护检修及更换。</w:t>
            </w:r>
          </w:p>
        </w:tc>
        <w:tc>
          <w:tcPr>
            <w:tcW w:w="0" w:type="auto"/>
            <w:vAlign w:val="center"/>
          </w:tcPr>
          <w:p w14:paraId="3BBCE28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112D517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0.00</w:t>
            </w:r>
          </w:p>
        </w:tc>
        <w:tc>
          <w:tcPr>
            <w:tcW w:w="0" w:type="auto"/>
            <w:vAlign w:val="center"/>
          </w:tcPr>
          <w:p w14:paraId="5AD0A92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48 </w:t>
            </w:r>
          </w:p>
        </w:tc>
        <w:tc>
          <w:tcPr>
            <w:tcW w:w="0" w:type="auto"/>
          </w:tcPr>
          <w:p w14:paraId="658B8918">
            <w:pPr>
              <w:widowControl w:val="0"/>
              <w:jc w:val="both"/>
              <w:rPr>
                <w:rFonts w:hint="eastAsia" w:ascii="宋体" w:hAnsi="宋体" w:eastAsia="宋体" w:cs="宋体"/>
                <w:color w:val="auto"/>
                <w:sz w:val="24"/>
                <w:szCs w:val="24"/>
                <w:highlight w:val="none"/>
              </w:rPr>
            </w:pPr>
          </w:p>
        </w:tc>
      </w:tr>
      <w:tr w14:paraId="52D4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FC38AE">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0" w:type="auto"/>
            <w:vAlign w:val="center"/>
          </w:tcPr>
          <w:p w14:paraId="41BB6D1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监门专用机械电控锁</w:t>
            </w:r>
          </w:p>
        </w:tc>
        <w:tc>
          <w:tcPr>
            <w:tcW w:w="0" w:type="auto"/>
            <w:vAlign w:val="center"/>
          </w:tcPr>
          <w:p w14:paraId="130C9178">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1、电控锁开锁响应时间应小于或等于2 s。</w:t>
            </w:r>
          </w:p>
          <w:p w14:paraId="70486465">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2、电控锁应具有如下功能:</w:t>
            </w:r>
          </w:p>
          <w:p w14:paraId="3739A2DA">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(1)断电闭锁和手动启闭功能:在电源中断或手动开启部分被破坏的情况下，各方位伸出的锁舌a)不应出现松动或被撬开;</w:t>
            </w:r>
          </w:p>
          <w:p w14:paraId="197DAAF9">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2)报警功能:拆除电控锁的防护面板时，应能给出报警提示或发出报警信息。</w:t>
            </w:r>
          </w:p>
          <w:p w14:paraId="4D4FA081">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3)当电源电压在电控锁额定电压值的 85 %~110 %范围内变化时，电控锁应能正常工作。</w:t>
            </w:r>
          </w:p>
          <w:p w14:paraId="125B3C72">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4)锁舌伸出长度应大于或等于 25 mm，锁舌承受侧向 6000 N静压力后，锁具应能正常工作。锁体外壳、锁舌面板和锁扣盒(板)厚度应符合 GA/T 73-2015 表1中C级的规定。</w:t>
            </w:r>
          </w:p>
          <w:p w14:paraId="7F303B07">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 应急机械锁头的防钻与防技术开启性能应符合 GA/T73-2015表6中C级的规定，差异量与密钥量应符合 GA/T 73-2015表7中C级的规定。</w:t>
            </w:r>
          </w:p>
          <w:p w14:paraId="5430FE55">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3、在 50 V/m 的强电场作用下，电控锁不应出现开启现象。</w:t>
            </w:r>
          </w:p>
          <w:p w14:paraId="5305D01F">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4、在0.5T的强磁场的作用下，电控锁不应出现开启现象。</w:t>
            </w:r>
          </w:p>
          <w:p w14:paraId="01C5F9C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r>
              <w:rPr>
                <w:rFonts w:hint="eastAsia" w:ascii="宋体" w:hAnsi="宋体" w:eastAsia="宋体" w:cs="宋体"/>
                <w:color w:val="auto"/>
                <w:sz w:val="24"/>
                <w:szCs w:val="24"/>
                <w:highlight w:val="none"/>
                <w:shd w:val="clear"/>
                <w:lang w:bidi="ar"/>
              </w:rPr>
              <w:t>整体结构及技术符合公安</w:t>
            </w:r>
            <w:r>
              <w:rPr>
                <w:rFonts w:hint="eastAsia" w:ascii="宋体" w:hAnsi="宋体" w:eastAsia="宋体" w:cs="宋体"/>
                <w:color w:val="auto"/>
                <w:sz w:val="24"/>
                <w:szCs w:val="24"/>
                <w:highlight w:val="none"/>
                <w:shd w:val="clear"/>
                <w:lang w:eastAsia="zh-CN" w:bidi="ar"/>
              </w:rPr>
              <w:t>部</w:t>
            </w:r>
            <w:r>
              <w:rPr>
                <w:rFonts w:hint="eastAsia" w:ascii="宋体" w:hAnsi="宋体" w:eastAsia="宋体" w:cs="宋体"/>
                <w:color w:val="auto"/>
                <w:sz w:val="24"/>
                <w:szCs w:val="24"/>
                <w:highlight w:val="none"/>
                <w:shd w:val="clear"/>
                <w:lang w:bidi="ar"/>
              </w:rPr>
              <w:t>GA526-2025《监室门》行业标准。本产品须提供公安部</w:t>
            </w:r>
            <w:r>
              <w:rPr>
                <w:rFonts w:hint="eastAsia" w:ascii="宋体" w:hAnsi="宋体" w:eastAsia="宋体" w:cs="宋体"/>
                <w:color w:val="auto"/>
                <w:sz w:val="24"/>
                <w:szCs w:val="24"/>
                <w:highlight w:val="none"/>
                <w:shd w:val="clear"/>
                <w:lang w:eastAsia="zh-CN" w:bidi="ar"/>
              </w:rPr>
              <w:t>认可的</w:t>
            </w:r>
            <w:r>
              <w:rPr>
                <w:rFonts w:hint="eastAsia" w:ascii="宋体" w:hAnsi="宋体" w:eastAsia="宋体" w:cs="宋体"/>
                <w:color w:val="auto"/>
                <w:sz w:val="24"/>
                <w:szCs w:val="24"/>
                <w:highlight w:val="none"/>
                <w:shd w:val="clear"/>
                <w:lang w:bidi="ar"/>
              </w:rPr>
              <w:t>权威检验机构</w:t>
            </w:r>
            <w:r>
              <w:rPr>
                <w:rFonts w:hint="eastAsia" w:ascii="宋体" w:hAnsi="宋体" w:eastAsia="宋体" w:cs="宋体"/>
                <w:color w:val="auto"/>
                <w:sz w:val="24"/>
                <w:szCs w:val="24"/>
                <w:highlight w:val="none"/>
                <w:shd w:val="clear"/>
                <w:lang w:eastAsia="zh-CN" w:bidi="ar"/>
              </w:rPr>
              <w:t>出具</w:t>
            </w:r>
            <w:r>
              <w:rPr>
                <w:rFonts w:hint="eastAsia" w:ascii="宋体" w:hAnsi="宋体" w:eastAsia="宋体" w:cs="宋体"/>
                <w:color w:val="auto"/>
                <w:sz w:val="24"/>
                <w:szCs w:val="24"/>
                <w:highlight w:val="none"/>
                <w:shd w:val="clear"/>
                <w:lang w:bidi="ar"/>
              </w:rPr>
              <w:t>的检测报告复印件；送货安装前必须提供</w:t>
            </w:r>
            <w:r>
              <w:rPr>
                <w:rFonts w:hint="eastAsia" w:ascii="宋体" w:hAnsi="宋体" w:eastAsia="宋体" w:cs="宋体"/>
                <w:color w:val="auto"/>
                <w:sz w:val="24"/>
                <w:szCs w:val="24"/>
                <w:highlight w:val="none"/>
                <w:shd w:val="clear"/>
                <w:lang w:eastAsia="zh-CN" w:bidi="ar"/>
              </w:rPr>
              <w:t>上述</w:t>
            </w:r>
            <w:r>
              <w:rPr>
                <w:rFonts w:hint="eastAsia" w:ascii="宋体" w:hAnsi="宋体" w:eastAsia="宋体" w:cs="宋体"/>
                <w:color w:val="auto"/>
                <w:sz w:val="24"/>
                <w:szCs w:val="24"/>
                <w:highlight w:val="none"/>
                <w:shd w:val="clear"/>
                <w:lang w:bidi="ar"/>
              </w:rPr>
              <w:t>检测报告原件核实，如有不符，则取消其成交候选人资格</w:t>
            </w:r>
            <w:r>
              <w:rPr>
                <w:rFonts w:hint="eastAsia" w:ascii="宋体" w:hAnsi="宋体" w:eastAsia="宋体" w:cs="宋体"/>
                <w:color w:val="auto"/>
                <w:sz w:val="24"/>
                <w:szCs w:val="24"/>
                <w:highlight w:val="none"/>
                <w:shd w:val="clear"/>
                <w:lang w:eastAsia="zh-CN" w:bidi="ar"/>
              </w:rPr>
              <w:t>，造成的损失由成交人自行承担。</w:t>
            </w:r>
          </w:p>
        </w:tc>
        <w:tc>
          <w:tcPr>
            <w:tcW w:w="0" w:type="auto"/>
            <w:vAlign w:val="center"/>
          </w:tcPr>
          <w:p w14:paraId="68D88C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把</w:t>
            </w:r>
          </w:p>
        </w:tc>
        <w:tc>
          <w:tcPr>
            <w:tcW w:w="1176" w:type="dxa"/>
            <w:vAlign w:val="center"/>
          </w:tcPr>
          <w:p w14:paraId="5391CC6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39</w:t>
            </w:r>
            <w:r>
              <w:rPr>
                <w:rFonts w:hint="eastAsia" w:ascii="宋体" w:hAnsi="宋体" w:eastAsia="宋体" w:cs="宋体"/>
                <w:color w:val="auto"/>
                <w:sz w:val="24"/>
                <w:szCs w:val="24"/>
                <w:highlight w:val="none"/>
                <w:lang w:bidi="ar"/>
              </w:rPr>
              <w:t>0.00</w:t>
            </w:r>
          </w:p>
        </w:tc>
        <w:tc>
          <w:tcPr>
            <w:tcW w:w="0" w:type="auto"/>
            <w:vAlign w:val="center"/>
          </w:tcPr>
          <w:p w14:paraId="2E8958A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48 </w:t>
            </w:r>
          </w:p>
        </w:tc>
        <w:tc>
          <w:tcPr>
            <w:tcW w:w="0" w:type="auto"/>
          </w:tcPr>
          <w:p w14:paraId="47B33CE9">
            <w:pPr>
              <w:widowControl w:val="0"/>
              <w:jc w:val="both"/>
              <w:rPr>
                <w:rFonts w:hint="eastAsia" w:ascii="宋体" w:hAnsi="宋体" w:eastAsia="宋体" w:cs="宋体"/>
                <w:color w:val="auto"/>
                <w:sz w:val="24"/>
                <w:szCs w:val="24"/>
                <w:highlight w:val="none"/>
              </w:rPr>
            </w:pPr>
          </w:p>
        </w:tc>
      </w:tr>
      <w:tr w14:paraId="6041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CC33E3">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0" w:type="auto"/>
            <w:vAlign w:val="center"/>
          </w:tcPr>
          <w:p w14:paraId="7FA1507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闭门器</w:t>
            </w:r>
          </w:p>
        </w:tc>
        <w:tc>
          <w:tcPr>
            <w:tcW w:w="0" w:type="auto"/>
            <w:vAlign w:val="center"/>
          </w:tcPr>
          <w:p w14:paraId="6F8B282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产品为经济实惠高品质之油压式闭门器，本体采有铝金压铸耐成。适合安装中空金属门、木门、铝合金等材质门及各种款式的门框。两段式调速：运转平稳、宁静、经久耐用；两段调速控制：第一段控制（180°15°）；第二段控制（15°0°）；应用广泛有多种安装方式，承重：85公斤,使用寿命50万次。</w:t>
            </w:r>
          </w:p>
        </w:tc>
        <w:tc>
          <w:tcPr>
            <w:tcW w:w="0" w:type="auto"/>
            <w:vAlign w:val="center"/>
          </w:tcPr>
          <w:p w14:paraId="0BEACC1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把</w:t>
            </w:r>
          </w:p>
        </w:tc>
        <w:tc>
          <w:tcPr>
            <w:tcW w:w="1176" w:type="dxa"/>
            <w:vAlign w:val="center"/>
          </w:tcPr>
          <w:p w14:paraId="7272360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170.00</w:t>
            </w:r>
          </w:p>
        </w:tc>
        <w:tc>
          <w:tcPr>
            <w:tcW w:w="0" w:type="auto"/>
            <w:vAlign w:val="center"/>
          </w:tcPr>
          <w:p w14:paraId="1938532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6 </w:t>
            </w:r>
          </w:p>
        </w:tc>
        <w:tc>
          <w:tcPr>
            <w:tcW w:w="0" w:type="auto"/>
          </w:tcPr>
          <w:p w14:paraId="5F643DE8">
            <w:pPr>
              <w:widowControl w:val="0"/>
              <w:jc w:val="both"/>
              <w:rPr>
                <w:rFonts w:hint="eastAsia" w:ascii="宋体" w:hAnsi="宋体" w:eastAsia="宋体" w:cs="宋体"/>
                <w:color w:val="auto"/>
                <w:sz w:val="24"/>
                <w:szCs w:val="24"/>
                <w:highlight w:val="none"/>
              </w:rPr>
            </w:pPr>
          </w:p>
        </w:tc>
      </w:tr>
      <w:tr w14:paraId="7930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1C7FF3">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0" w:type="auto"/>
            <w:vAlign w:val="center"/>
          </w:tcPr>
          <w:p w14:paraId="3421A1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人脸识别仪</w:t>
            </w:r>
          </w:p>
        </w:tc>
        <w:tc>
          <w:tcPr>
            <w:tcW w:w="0" w:type="auto"/>
            <w:vAlign w:val="center"/>
          </w:tcPr>
          <w:p w14:paraId="271820E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读卡器模式：支持通过RS485或韦根（W26/W34）接入门禁控制器，作为读卡器模式使用；</w:t>
            </w:r>
          </w:p>
          <w:p w14:paraId="75F7E12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门禁计划模板：支持255组计划模板管理，128个周计划，1024个假日计划；支持常开、常闭时段管理；</w:t>
            </w:r>
          </w:p>
          <w:p w14:paraId="280694D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组合认证：刷卡+密码、刷卡+人脸、人脸+密码等组合认证方式</w:t>
            </w:r>
          </w:p>
          <w:p w14:paraId="08F5C94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多重认证：支持多个人员认证（人脸、刷卡等）通过后才开门；</w:t>
            </w:r>
          </w:p>
          <w:p w14:paraId="1E3F94F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黑名单核验：支持中心下发黑名单人员信息，实现本地黑名单核验；</w:t>
            </w:r>
          </w:p>
          <w:p w14:paraId="2E31808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报警功能：设备支持防拆报警、门被外力开起报警、胁迫卡和胁迫密码报警、黑名单报警等；</w:t>
            </w:r>
          </w:p>
          <w:p w14:paraId="7A1B27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事件上传：在线状态下将设备认证结果信息及联动抓拍照片实时上传给平台，支持断网续传功能，设备离线状态下产生事件在与平台连接后会重新上传；</w:t>
            </w:r>
          </w:p>
          <w:p w14:paraId="4003B62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单机使用：设备可进行本地管理，支持本地注册人脸、查询、设置、管理设备参数等；</w:t>
            </w:r>
          </w:p>
          <w:p w14:paraId="6493AE4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WEB管理：支持Web端管理，可进行人员管理、参数配置、事件查询、系统维护等操作。</w:t>
            </w:r>
          </w:p>
          <w:p w14:paraId="4DC1D4F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整体结构及技术符合公安部GA 526-2025《监室门》行业标准; </w:t>
            </w:r>
          </w:p>
        </w:tc>
        <w:tc>
          <w:tcPr>
            <w:tcW w:w="0" w:type="auto"/>
            <w:vAlign w:val="center"/>
          </w:tcPr>
          <w:p w14:paraId="674B8FF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2C9AADB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val="en-US" w:eastAsia="zh-CN" w:bidi="ar"/>
              </w:rPr>
              <w:t>040</w:t>
            </w:r>
            <w:r>
              <w:rPr>
                <w:rFonts w:hint="eastAsia" w:ascii="宋体" w:hAnsi="宋体" w:eastAsia="宋体" w:cs="宋体"/>
                <w:color w:val="auto"/>
                <w:sz w:val="24"/>
                <w:szCs w:val="24"/>
                <w:highlight w:val="none"/>
                <w:lang w:bidi="ar"/>
              </w:rPr>
              <w:t>.00</w:t>
            </w:r>
          </w:p>
        </w:tc>
        <w:tc>
          <w:tcPr>
            <w:tcW w:w="0" w:type="auto"/>
            <w:vAlign w:val="center"/>
          </w:tcPr>
          <w:p w14:paraId="48FB2C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9 </w:t>
            </w:r>
          </w:p>
        </w:tc>
        <w:tc>
          <w:tcPr>
            <w:tcW w:w="0" w:type="auto"/>
          </w:tcPr>
          <w:p w14:paraId="795B5DD3">
            <w:pPr>
              <w:widowControl w:val="0"/>
              <w:jc w:val="both"/>
              <w:rPr>
                <w:rFonts w:hint="eastAsia" w:ascii="宋体" w:hAnsi="宋体" w:eastAsia="宋体" w:cs="宋体"/>
                <w:color w:val="auto"/>
                <w:sz w:val="24"/>
                <w:szCs w:val="24"/>
                <w:highlight w:val="none"/>
              </w:rPr>
            </w:pPr>
          </w:p>
        </w:tc>
      </w:tr>
      <w:tr w14:paraId="2740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C8437E">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0" w:type="auto"/>
            <w:vAlign w:val="center"/>
          </w:tcPr>
          <w:p w14:paraId="3336F8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国密CPU读卡器</w:t>
            </w:r>
          </w:p>
        </w:tc>
        <w:tc>
          <w:tcPr>
            <w:tcW w:w="0" w:type="auto"/>
            <w:vAlign w:val="center"/>
          </w:tcPr>
          <w:p w14:paraId="46BBC7A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认证方式：刷卡+密码</w:t>
            </w:r>
          </w:p>
          <w:p w14:paraId="11084A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可识别卡：国密CPU卡(含PSAM加密卡功能)、身份证物理序列号、读取非接触式MF卡信息</w:t>
            </w:r>
          </w:p>
          <w:p w14:paraId="20324E2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设备应具备红绿双色指示灯，认证权限后应能联动蜂鸣器进行声音提示，支持86底盒或明装方式安装</w:t>
            </w:r>
          </w:p>
          <w:p w14:paraId="6B60B4B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通讯方式：支持标准Wiegand或加密通讯方式，通讯加密由用户控制，支持读卡器与门禁控制器韦根采用单向SM1国密加密，韦根格式不能使用明文传输</w:t>
            </w:r>
          </w:p>
          <w:p w14:paraId="4FD7960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工作电压：DC 12V</w:t>
            </w:r>
          </w:p>
          <w:p w14:paraId="13F0A0F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功耗：≤6W</w:t>
            </w:r>
          </w:p>
          <w:p w14:paraId="375308D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安装方式：壁挂、86底盒安装</w:t>
            </w:r>
          </w:p>
          <w:p w14:paraId="34A9096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工作环境：IP65，室内外环境</w:t>
            </w:r>
          </w:p>
          <w:p w14:paraId="5C37C92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整体结构及技术符合公安部GA 526-2025《监室门》行业标准;</w:t>
            </w:r>
          </w:p>
        </w:tc>
        <w:tc>
          <w:tcPr>
            <w:tcW w:w="0" w:type="auto"/>
            <w:vAlign w:val="center"/>
          </w:tcPr>
          <w:p w14:paraId="004BA5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3A65FF1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.00</w:t>
            </w:r>
          </w:p>
        </w:tc>
        <w:tc>
          <w:tcPr>
            <w:tcW w:w="0" w:type="auto"/>
            <w:vAlign w:val="center"/>
          </w:tcPr>
          <w:p w14:paraId="35B54F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42 </w:t>
            </w:r>
          </w:p>
        </w:tc>
        <w:tc>
          <w:tcPr>
            <w:tcW w:w="0" w:type="auto"/>
          </w:tcPr>
          <w:p w14:paraId="14D8F1BD">
            <w:pPr>
              <w:widowControl w:val="0"/>
              <w:jc w:val="both"/>
              <w:rPr>
                <w:rFonts w:hint="eastAsia" w:ascii="宋体" w:hAnsi="宋体" w:eastAsia="宋体" w:cs="宋体"/>
                <w:color w:val="auto"/>
                <w:sz w:val="24"/>
                <w:szCs w:val="24"/>
                <w:highlight w:val="none"/>
              </w:rPr>
            </w:pPr>
          </w:p>
        </w:tc>
      </w:tr>
      <w:tr w14:paraId="07B2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0D029D">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0" w:type="auto"/>
            <w:vAlign w:val="center"/>
          </w:tcPr>
          <w:p w14:paraId="4791F4B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开门按钮</w:t>
            </w:r>
          </w:p>
        </w:tc>
        <w:tc>
          <w:tcPr>
            <w:tcW w:w="0" w:type="auto"/>
            <w:vAlign w:val="center"/>
          </w:tcPr>
          <w:p w14:paraId="768F79D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通道管理门使用，出门按按钮</w:t>
            </w:r>
          </w:p>
        </w:tc>
        <w:tc>
          <w:tcPr>
            <w:tcW w:w="0" w:type="auto"/>
            <w:vAlign w:val="center"/>
          </w:tcPr>
          <w:p w14:paraId="0BDFC3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1C9B62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val="en-US" w:eastAsia="zh-CN" w:bidi="ar"/>
              </w:rPr>
              <w:t>0</w:t>
            </w:r>
            <w:r>
              <w:rPr>
                <w:rFonts w:hint="eastAsia" w:ascii="宋体" w:hAnsi="宋体" w:eastAsia="宋体" w:cs="宋体"/>
                <w:color w:val="auto"/>
                <w:sz w:val="24"/>
                <w:szCs w:val="24"/>
                <w:highlight w:val="none"/>
                <w:lang w:bidi="ar"/>
              </w:rPr>
              <w:t>.00</w:t>
            </w:r>
          </w:p>
        </w:tc>
        <w:tc>
          <w:tcPr>
            <w:tcW w:w="0" w:type="auto"/>
            <w:vAlign w:val="center"/>
          </w:tcPr>
          <w:p w14:paraId="77054E2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 </w:t>
            </w:r>
          </w:p>
        </w:tc>
        <w:tc>
          <w:tcPr>
            <w:tcW w:w="0" w:type="auto"/>
          </w:tcPr>
          <w:p w14:paraId="1C0EA98A">
            <w:pPr>
              <w:widowControl w:val="0"/>
              <w:jc w:val="both"/>
              <w:rPr>
                <w:rFonts w:hint="eastAsia" w:ascii="宋体" w:hAnsi="宋体" w:eastAsia="宋体" w:cs="宋体"/>
                <w:color w:val="auto"/>
                <w:sz w:val="24"/>
                <w:szCs w:val="24"/>
                <w:highlight w:val="none"/>
              </w:rPr>
            </w:pPr>
          </w:p>
        </w:tc>
      </w:tr>
      <w:tr w14:paraId="1FFE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294CD8">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0" w:type="auto"/>
            <w:vAlign w:val="center"/>
          </w:tcPr>
          <w:p w14:paraId="780A15D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门状态信号灯</w:t>
            </w:r>
          </w:p>
        </w:tc>
        <w:tc>
          <w:tcPr>
            <w:tcW w:w="0" w:type="auto"/>
            <w:vAlign w:val="center"/>
          </w:tcPr>
          <w:p w14:paraId="747B39C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双色LED灯，指示方式：单灯四状态，红-常亮、绿-常亮、红-闪烁、绿-闪烁</w:t>
            </w:r>
          </w:p>
        </w:tc>
        <w:tc>
          <w:tcPr>
            <w:tcW w:w="0" w:type="auto"/>
            <w:vAlign w:val="center"/>
          </w:tcPr>
          <w:p w14:paraId="087BD2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77DB825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06</w:t>
            </w:r>
            <w:r>
              <w:rPr>
                <w:rFonts w:hint="eastAsia" w:ascii="宋体" w:hAnsi="宋体" w:eastAsia="宋体" w:cs="宋体"/>
                <w:color w:val="auto"/>
                <w:sz w:val="24"/>
                <w:szCs w:val="24"/>
                <w:highlight w:val="none"/>
                <w:lang w:bidi="ar"/>
              </w:rPr>
              <w:t>.00</w:t>
            </w:r>
          </w:p>
        </w:tc>
        <w:tc>
          <w:tcPr>
            <w:tcW w:w="0" w:type="auto"/>
            <w:vAlign w:val="center"/>
          </w:tcPr>
          <w:p w14:paraId="5190835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81 </w:t>
            </w:r>
          </w:p>
        </w:tc>
        <w:tc>
          <w:tcPr>
            <w:tcW w:w="0" w:type="auto"/>
          </w:tcPr>
          <w:p w14:paraId="72661420">
            <w:pPr>
              <w:widowControl w:val="0"/>
              <w:jc w:val="both"/>
              <w:rPr>
                <w:rFonts w:hint="eastAsia" w:ascii="宋体" w:hAnsi="宋体" w:eastAsia="宋体" w:cs="宋体"/>
                <w:color w:val="auto"/>
                <w:sz w:val="24"/>
                <w:szCs w:val="24"/>
                <w:highlight w:val="none"/>
              </w:rPr>
            </w:pPr>
          </w:p>
        </w:tc>
      </w:tr>
      <w:tr w14:paraId="6B9B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48C56F9">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0" w:type="auto"/>
            <w:vAlign w:val="center"/>
          </w:tcPr>
          <w:p w14:paraId="131364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值班室监室门控制管理触摸总控制台（包含软件）</w:t>
            </w:r>
          </w:p>
        </w:tc>
        <w:tc>
          <w:tcPr>
            <w:tcW w:w="0" w:type="auto"/>
            <w:vAlign w:val="center"/>
          </w:tcPr>
          <w:p w14:paraId="515237D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看守所监控指挥中心或者分控室配置触摸屏操作台，实现对监管区电动门的全面管理。采用PLC工业级可编程开发的控制器，做了看门狗处理，输入输出都采用了光耦隔离，确保长时间稳定使用不死机和抗干扰能力强等特点。触摸屏操作台外壳采用铝合金材质，内嵌15.7寸液晶触摸屏显示器；主界面直观地显示门的状态，可对门群开、群闭或单独开闭，界面友好、可视性强、稳定可靠、操作简便。                                             </w:t>
            </w:r>
          </w:p>
          <w:p w14:paraId="576503D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个系统管理软件采用嵌入式结构设计，安全性高，具有多级权限管理、群开群关、单开单关、分组开关、定时控制、门状态实时显示、异常报警提示、消警、实时数据上传信息平台、人员操作动作记录等功能，具有操作简便、控制功能强大等特点，实现了先进的管理模式。</w:t>
            </w:r>
          </w:p>
          <w:p w14:paraId="3E25750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系统主要功能特点：</w:t>
            </w:r>
          </w:p>
          <w:p w14:paraId="6F67E5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系统专用于看守所的监室电动门和通道门控制及管理；采用光电隔离、宽电压、浪涌保护等电路设计，内置看门狗，抗干扰，防死机，可长期运行、稳定可靠；集成门禁管理功能：控制板内集成门禁功能，无需另外配置门禁控制器，可存储1000枚指纹特征和1800组卡+密码信息，并可脱机独立工作；</w:t>
            </w:r>
          </w:p>
          <w:p w14:paraId="0DB331C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整个系统管理软件采用Linux嵌入式开发系统结构设计，安全性高，具有多级权限管理、群开群关、单开单关、分组开关、定时控制、门状态实时显示、异常报警提示、消警、实时数据上传信息平台、人员操作动作记录等功能，具有操作简便、控制功能强大等特点，实现了先进的管理模式。</w:t>
            </w:r>
          </w:p>
          <w:p w14:paraId="0E078B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系统主要功能特点：</w:t>
            </w:r>
          </w:p>
          <w:p w14:paraId="730F25B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操作台采用光电隔离、宽电压、浪涌保护等电路设计，内置看门狗，抗干扰，防死机，可长期运行、稳定可靠；</w:t>
            </w:r>
          </w:p>
          <w:p w14:paraId="5951458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将开门电机控制和门禁功能集成设计，管理更科学、操作更简便；</w:t>
            </w:r>
          </w:p>
          <w:p w14:paraId="211F220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灵活便捷的组网，可一对多或多对多组网，即多台总控、多台分控、多台监控任意搭配使用，集成平台可访问总控或者分控或者监控台，满足了大、中、小型所有监所的使用需求。</w:t>
            </w:r>
          </w:p>
          <w:p w14:paraId="766A16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▲手动/自动离合功能：可手动打开离合，并可远程设置成断电自动离合/断电锁死；</w:t>
            </w:r>
          </w:p>
          <w:p w14:paraId="1A81893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▲集成门禁管理功能，控制板内集成门禁功能，无需另外配置门禁控制器，可存储1000枚指纹特征和1800组卡+密码信息，并可脱机独立工作；                                             </w:t>
            </w:r>
          </w:p>
          <w:p w14:paraId="59045C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▲手动/自动离合功能，可手动打开离合，也可断电自动离合（符合消防验收）； </w:t>
            </w:r>
          </w:p>
          <w:p w14:paraId="7F05DBB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▲视频联动功能，每个门都可以联动一个监控摄像机，报警后自动弹出监控图像；</w:t>
            </w:r>
          </w:p>
          <w:p w14:paraId="5837AFC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▲语音播报功能，系统产生的各种动作，包括操作人员姓名、监室名称、报警等动作均有实时真人语音播报提醒，可关闭该功能；</w:t>
            </w:r>
          </w:p>
          <w:p w14:paraId="178D1DA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▲系统具有胁迫开门报警、紧急报警、遇阻报警、超时报警、防撬报警； </w:t>
            </w:r>
          </w:p>
          <w:p w14:paraId="3EDBA4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▲全实时动态监测，电机的状态（正在开门、正在关门）、人员操作方式（手动、自动、刷卡、按钮）、类型（开、停、关、三挡）都能实时监控并以图文方式及时提示； </w:t>
            </w:r>
          </w:p>
          <w:p w14:paraId="21AECD8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▲一键戒严功能，戒严后电动门全部自动关闭，任何方式都无法控制开门； </w:t>
            </w:r>
          </w:p>
          <w:p w14:paraId="1F83994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自动关门功能，触摸主机可将任意某个或多个电动门设置成延时自动关门模式，延时关门时间可调； </w:t>
            </w:r>
          </w:p>
          <w:p w14:paraId="645C0F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▲自动锁定功能，分控触摸操作界面可设定成延时自动锁定，以防无关人员误操作，延时时间可调； </w:t>
            </w:r>
          </w:p>
          <w:p w14:paraId="51B7575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▲三挡开门功能，如果在无需将门完全打开的情况下，可自由选择开几档，三挡开门距离可分别自由设定； </w:t>
            </w:r>
          </w:p>
          <w:p w14:paraId="2AF4E0E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▲定时开关门功能，可设定哪些门需要每天几点自动开、关门，无需人工频繁操作； </w:t>
            </w:r>
          </w:p>
          <w:p w14:paraId="48082A2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自带门禁功能，具有门禁刷卡、密码、卡+密码操作权限管理功能； </w:t>
            </w:r>
          </w:p>
          <w:p w14:paraId="1512D9D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▲兼容有键盘和无键盘的门禁设备，如键盘读卡器、人脸、指纹等； </w:t>
            </w:r>
          </w:p>
          <w:p w14:paraId="3383F40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禁开时段开门报警，自由设定禁开时段，在该时段内门被打开即报警，并有文字提醒及日志记录；</w:t>
            </w:r>
          </w:p>
          <w:p w14:paraId="4478F08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▲单键/三键控制功能,可设定单键控制开关（适合外接门禁控制）、三键控制开关（适合按钮控制）</w:t>
            </w:r>
          </w:p>
          <w:p w14:paraId="352AC05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▲开门呼叫功能：系统具有开门呼叫功能，可将按钮或者门禁开门权限设定成请开门呼叫功能；</w:t>
            </w:r>
          </w:p>
          <w:p w14:paraId="6FA488C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▲主机自动锁定功能，分控触摸操作界面可设定成延时自动锁定，以防无关人员误操作，延时时间可调；</w:t>
            </w:r>
          </w:p>
          <w:p w14:paraId="2DC2EA5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▲主机门禁登录功能,主机可采用卡、卡+密码或指纹、指纹+密码登录，可添加100组操作人员信息；</w:t>
            </w:r>
          </w:p>
          <w:p w14:paraId="2ED7490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▲多级管理功能,系统可实现现场控制、楼层控制、大楼控制、总值班室控制多级管理，总控分控均可远程添加/删除指纹特征及门禁人员信息，总控可对分控实现控制权限管理；</w:t>
            </w:r>
          </w:p>
          <w:p w14:paraId="791B87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▲U盘导入导出功能,可U盘导入导出门禁人员数据，可在电脑上编辑好再导入到触摸屏；</w:t>
            </w:r>
          </w:p>
          <w:p w14:paraId="55A25BE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▲扩展模块功能，可通过扩展模块将带有电控锁的门体接入系统。</w:t>
            </w:r>
          </w:p>
          <w:p w14:paraId="26064CF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以上“▲”功能须提供公安部</w:t>
            </w:r>
            <w:r>
              <w:rPr>
                <w:rFonts w:hint="eastAsia" w:ascii="宋体" w:hAnsi="宋体" w:eastAsia="宋体" w:cs="宋体"/>
                <w:color w:val="auto"/>
                <w:sz w:val="24"/>
                <w:szCs w:val="24"/>
                <w:highlight w:val="none"/>
                <w:lang w:eastAsia="zh-CN"/>
              </w:rPr>
              <w:t>认可的</w:t>
            </w:r>
            <w:r>
              <w:rPr>
                <w:rFonts w:hint="eastAsia" w:ascii="宋体" w:hAnsi="宋体" w:eastAsia="宋体" w:cs="宋体"/>
                <w:color w:val="auto"/>
                <w:sz w:val="24"/>
                <w:szCs w:val="24"/>
                <w:highlight w:val="none"/>
              </w:rPr>
              <w:t>权威检测机构</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的检测报告复印件；送货安装前必须提供</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检测报告原件核实，如有不符，则取消其成交候选人资格</w:t>
            </w:r>
            <w:r>
              <w:rPr>
                <w:rFonts w:hint="eastAsia" w:ascii="宋体" w:hAnsi="宋体" w:eastAsia="宋体" w:cs="宋体"/>
                <w:color w:val="auto"/>
                <w:sz w:val="24"/>
                <w:szCs w:val="24"/>
                <w:highlight w:val="none"/>
                <w:lang w:eastAsia="zh-CN"/>
              </w:rPr>
              <w:t>，造成的损失由成交人自行承担。</w:t>
            </w:r>
          </w:p>
          <w:p w14:paraId="379D12A0">
            <w:pPr>
              <w:pStyle w:val="15"/>
              <w:jc w:val="both"/>
              <w:rPr>
                <w:rFonts w:hint="eastAsia" w:ascii="宋体" w:hAnsi="宋体" w:eastAsia="宋体" w:cs="宋体"/>
                <w:color w:val="auto"/>
                <w:sz w:val="24"/>
                <w:szCs w:val="24"/>
                <w:highlight w:val="none"/>
                <w:lang w:eastAsia="zh-CN"/>
              </w:rPr>
            </w:pPr>
            <w:r>
              <w:rPr>
                <w:rFonts w:hint="eastAsia"/>
                <w:color w:val="auto"/>
                <w:sz w:val="24"/>
                <w:szCs w:val="32"/>
                <w:highlight w:val="none"/>
                <w:shd w:val="clear"/>
              </w:rPr>
              <w:t>▲为确保软件的质量和版权合法性</w:t>
            </w:r>
            <w:r>
              <w:rPr>
                <w:rFonts w:hint="eastAsia"/>
                <w:color w:val="auto"/>
                <w:sz w:val="24"/>
                <w:szCs w:val="32"/>
                <w:highlight w:val="none"/>
                <w:shd w:val="clear"/>
                <w:lang w:eastAsia="zh-CN"/>
              </w:rPr>
              <w:t>，供应商需提供软件知识产权承诺书，格式自拟，承诺所用软件产品知识产权清晰、无侵权行为。</w:t>
            </w:r>
          </w:p>
        </w:tc>
        <w:tc>
          <w:tcPr>
            <w:tcW w:w="0" w:type="auto"/>
            <w:vAlign w:val="center"/>
          </w:tcPr>
          <w:p w14:paraId="3CC0CBC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套</w:t>
            </w:r>
          </w:p>
        </w:tc>
        <w:tc>
          <w:tcPr>
            <w:tcW w:w="1176" w:type="dxa"/>
            <w:vAlign w:val="center"/>
          </w:tcPr>
          <w:p w14:paraId="35BDD01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15000.00</w:t>
            </w:r>
          </w:p>
        </w:tc>
        <w:tc>
          <w:tcPr>
            <w:tcW w:w="0" w:type="auto"/>
            <w:vAlign w:val="center"/>
          </w:tcPr>
          <w:p w14:paraId="0CB83D7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 </w:t>
            </w:r>
          </w:p>
        </w:tc>
        <w:tc>
          <w:tcPr>
            <w:tcW w:w="0" w:type="auto"/>
          </w:tcPr>
          <w:p w14:paraId="041BE8A4">
            <w:pPr>
              <w:widowControl w:val="0"/>
              <w:jc w:val="both"/>
              <w:rPr>
                <w:rFonts w:hint="eastAsia" w:ascii="宋体" w:hAnsi="宋体" w:eastAsia="宋体" w:cs="宋体"/>
                <w:color w:val="auto"/>
                <w:sz w:val="24"/>
                <w:szCs w:val="24"/>
                <w:highlight w:val="none"/>
              </w:rPr>
            </w:pPr>
          </w:p>
        </w:tc>
      </w:tr>
      <w:tr w14:paraId="0932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13943A7">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0" w:type="auto"/>
            <w:vAlign w:val="center"/>
          </w:tcPr>
          <w:p w14:paraId="0545168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交换机</w:t>
            </w:r>
          </w:p>
        </w:tc>
        <w:tc>
          <w:tcPr>
            <w:tcW w:w="0" w:type="auto"/>
            <w:vAlign w:val="center"/>
          </w:tcPr>
          <w:p w14:paraId="7B61CB6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配套,24口千兆；</w:t>
            </w:r>
          </w:p>
        </w:tc>
        <w:tc>
          <w:tcPr>
            <w:tcW w:w="0" w:type="auto"/>
            <w:vAlign w:val="center"/>
          </w:tcPr>
          <w:p w14:paraId="459F4B7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495EB1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610.00</w:t>
            </w:r>
          </w:p>
        </w:tc>
        <w:tc>
          <w:tcPr>
            <w:tcW w:w="0" w:type="auto"/>
            <w:vAlign w:val="center"/>
          </w:tcPr>
          <w:p w14:paraId="45C893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5 </w:t>
            </w:r>
          </w:p>
        </w:tc>
        <w:tc>
          <w:tcPr>
            <w:tcW w:w="0" w:type="auto"/>
          </w:tcPr>
          <w:p w14:paraId="0744E4AA">
            <w:pPr>
              <w:widowControl w:val="0"/>
              <w:jc w:val="both"/>
              <w:rPr>
                <w:rFonts w:hint="eastAsia" w:ascii="宋体" w:hAnsi="宋体" w:eastAsia="宋体" w:cs="宋体"/>
                <w:color w:val="auto"/>
                <w:sz w:val="24"/>
                <w:szCs w:val="24"/>
                <w:highlight w:val="none"/>
              </w:rPr>
            </w:pPr>
          </w:p>
        </w:tc>
      </w:tr>
      <w:tr w14:paraId="36AB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63C16D2">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0" w:type="auto"/>
            <w:vAlign w:val="center"/>
          </w:tcPr>
          <w:p w14:paraId="529EDA8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监室门控制电源</w:t>
            </w:r>
          </w:p>
        </w:tc>
        <w:tc>
          <w:tcPr>
            <w:tcW w:w="0" w:type="auto"/>
            <w:vAlign w:val="center"/>
          </w:tcPr>
          <w:p w14:paraId="4ED7A6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24V6A及后备电源；</w:t>
            </w:r>
          </w:p>
        </w:tc>
        <w:tc>
          <w:tcPr>
            <w:tcW w:w="0" w:type="auto"/>
            <w:vAlign w:val="center"/>
          </w:tcPr>
          <w:p w14:paraId="15A6D9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5DD25EF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val="en-US" w:eastAsia="zh-CN" w:bidi="ar"/>
              </w:rPr>
              <w:t>04</w:t>
            </w:r>
            <w:r>
              <w:rPr>
                <w:rFonts w:hint="eastAsia" w:ascii="宋体" w:hAnsi="宋体" w:eastAsia="宋体" w:cs="宋体"/>
                <w:color w:val="auto"/>
                <w:sz w:val="24"/>
                <w:szCs w:val="24"/>
                <w:highlight w:val="none"/>
                <w:lang w:bidi="ar"/>
              </w:rPr>
              <w:t>.00</w:t>
            </w:r>
          </w:p>
        </w:tc>
        <w:tc>
          <w:tcPr>
            <w:tcW w:w="0" w:type="auto"/>
            <w:vAlign w:val="center"/>
          </w:tcPr>
          <w:p w14:paraId="781D969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82 </w:t>
            </w:r>
          </w:p>
        </w:tc>
        <w:tc>
          <w:tcPr>
            <w:tcW w:w="0" w:type="auto"/>
          </w:tcPr>
          <w:p w14:paraId="06896927">
            <w:pPr>
              <w:widowControl w:val="0"/>
              <w:jc w:val="both"/>
              <w:rPr>
                <w:rFonts w:hint="eastAsia" w:ascii="宋体" w:hAnsi="宋体" w:eastAsia="宋体" w:cs="宋体"/>
                <w:color w:val="auto"/>
                <w:sz w:val="24"/>
                <w:szCs w:val="24"/>
                <w:highlight w:val="none"/>
              </w:rPr>
            </w:pPr>
          </w:p>
        </w:tc>
      </w:tr>
      <w:tr w14:paraId="2D14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189D9D">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0" w:type="auto"/>
            <w:vAlign w:val="center"/>
          </w:tcPr>
          <w:p w14:paraId="2F3731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监室门控制电源</w:t>
            </w:r>
          </w:p>
        </w:tc>
        <w:tc>
          <w:tcPr>
            <w:tcW w:w="0" w:type="auto"/>
            <w:vAlign w:val="center"/>
          </w:tcPr>
          <w:p w14:paraId="3559A55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12V3A及后备电源；</w:t>
            </w:r>
          </w:p>
        </w:tc>
        <w:tc>
          <w:tcPr>
            <w:tcW w:w="0" w:type="auto"/>
            <w:vAlign w:val="center"/>
          </w:tcPr>
          <w:p w14:paraId="6F497B1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个</w:t>
            </w:r>
          </w:p>
        </w:tc>
        <w:tc>
          <w:tcPr>
            <w:tcW w:w="1176" w:type="dxa"/>
            <w:vAlign w:val="center"/>
          </w:tcPr>
          <w:p w14:paraId="054DD8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35</w:t>
            </w:r>
            <w:r>
              <w:rPr>
                <w:rFonts w:hint="eastAsia" w:ascii="宋体" w:hAnsi="宋体" w:eastAsia="宋体" w:cs="宋体"/>
                <w:color w:val="auto"/>
                <w:sz w:val="24"/>
                <w:szCs w:val="24"/>
                <w:highlight w:val="none"/>
                <w:lang w:bidi="ar"/>
              </w:rPr>
              <w:t>.00</w:t>
            </w:r>
          </w:p>
        </w:tc>
        <w:tc>
          <w:tcPr>
            <w:tcW w:w="0" w:type="auto"/>
            <w:vAlign w:val="center"/>
          </w:tcPr>
          <w:p w14:paraId="21BB4B4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48 </w:t>
            </w:r>
          </w:p>
        </w:tc>
        <w:tc>
          <w:tcPr>
            <w:tcW w:w="0" w:type="auto"/>
          </w:tcPr>
          <w:p w14:paraId="5141A70B">
            <w:pPr>
              <w:widowControl w:val="0"/>
              <w:jc w:val="both"/>
              <w:rPr>
                <w:rFonts w:hint="eastAsia" w:ascii="宋体" w:hAnsi="宋体" w:eastAsia="宋体" w:cs="宋体"/>
                <w:color w:val="auto"/>
                <w:sz w:val="24"/>
                <w:szCs w:val="24"/>
                <w:highlight w:val="none"/>
              </w:rPr>
            </w:pPr>
          </w:p>
        </w:tc>
      </w:tr>
      <w:tr w14:paraId="6946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7"/>
            <w:vAlign w:val="center"/>
          </w:tcPr>
          <w:p w14:paraId="5707D32F">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辅材、配件</w:t>
            </w:r>
          </w:p>
        </w:tc>
      </w:tr>
      <w:tr w14:paraId="40B6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5D4BA8">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0" w:type="auto"/>
            <w:vAlign w:val="center"/>
          </w:tcPr>
          <w:p w14:paraId="4E28EBB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旧监室门拆除</w:t>
            </w:r>
          </w:p>
        </w:tc>
        <w:tc>
          <w:tcPr>
            <w:tcW w:w="0" w:type="auto"/>
            <w:vAlign w:val="center"/>
          </w:tcPr>
          <w:p w14:paraId="65CAE46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拆除旧监室门，旧监室门搬运至指定地点，垃圾处理，清洁卫生。</w:t>
            </w:r>
          </w:p>
        </w:tc>
        <w:tc>
          <w:tcPr>
            <w:tcW w:w="0" w:type="auto"/>
            <w:vAlign w:val="center"/>
          </w:tcPr>
          <w:p w14:paraId="3A59A24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3BC2009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200.00</w:t>
            </w:r>
          </w:p>
        </w:tc>
        <w:tc>
          <w:tcPr>
            <w:tcW w:w="0" w:type="auto"/>
            <w:vAlign w:val="center"/>
          </w:tcPr>
          <w:p w14:paraId="5A9F49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95 </w:t>
            </w:r>
          </w:p>
        </w:tc>
        <w:tc>
          <w:tcPr>
            <w:tcW w:w="0" w:type="auto"/>
          </w:tcPr>
          <w:p w14:paraId="093BEBC6">
            <w:pPr>
              <w:widowControl w:val="0"/>
              <w:jc w:val="both"/>
              <w:rPr>
                <w:rFonts w:hint="eastAsia" w:ascii="宋体" w:hAnsi="宋体" w:eastAsia="宋体" w:cs="宋体"/>
                <w:color w:val="auto"/>
                <w:sz w:val="24"/>
                <w:szCs w:val="24"/>
                <w:highlight w:val="none"/>
              </w:rPr>
            </w:pPr>
          </w:p>
        </w:tc>
      </w:tr>
      <w:tr w14:paraId="5092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vAlign w:val="center"/>
          </w:tcPr>
          <w:p w14:paraId="0AAFAF1E">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842" w:type="dxa"/>
            <w:vAlign w:val="center"/>
          </w:tcPr>
          <w:p w14:paraId="6557D8D8">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大门拆除</w:t>
            </w:r>
          </w:p>
        </w:tc>
        <w:tc>
          <w:tcPr>
            <w:tcW w:w="4679" w:type="dxa"/>
            <w:vAlign w:val="center"/>
          </w:tcPr>
          <w:p w14:paraId="2721E583">
            <w:pPr>
              <w:widowControl/>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旧门拆除，搬运</w:t>
            </w:r>
          </w:p>
        </w:tc>
        <w:tc>
          <w:tcPr>
            <w:tcW w:w="459" w:type="dxa"/>
            <w:vAlign w:val="center"/>
          </w:tcPr>
          <w:p w14:paraId="0C4F4445">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樘</w:t>
            </w:r>
          </w:p>
        </w:tc>
        <w:tc>
          <w:tcPr>
            <w:tcW w:w="1176" w:type="dxa"/>
            <w:vAlign w:val="center"/>
          </w:tcPr>
          <w:p w14:paraId="25656650">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1780.00</w:t>
            </w:r>
          </w:p>
        </w:tc>
        <w:tc>
          <w:tcPr>
            <w:tcW w:w="696" w:type="dxa"/>
            <w:vAlign w:val="center"/>
          </w:tcPr>
          <w:p w14:paraId="105DDCEA">
            <w:pPr>
              <w:widowControl/>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4 </w:t>
            </w:r>
          </w:p>
        </w:tc>
        <w:tc>
          <w:tcPr>
            <w:tcW w:w="460" w:type="dxa"/>
          </w:tcPr>
          <w:p w14:paraId="44E8D2CD">
            <w:pPr>
              <w:widowControl w:val="0"/>
              <w:jc w:val="both"/>
              <w:rPr>
                <w:rFonts w:hint="eastAsia" w:ascii="宋体" w:hAnsi="宋体" w:eastAsia="宋体" w:cs="宋体"/>
                <w:color w:val="auto"/>
                <w:sz w:val="24"/>
                <w:szCs w:val="24"/>
                <w:highlight w:val="none"/>
              </w:rPr>
            </w:pPr>
          </w:p>
        </w:tc>
      </w:tr>
      <w:tr w14:paraId="7ACF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7FC7C9CB">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0" w:type="auto"/>
            <w:vAlign w:val="center"/>
          </w:tcPr>
          <w:p w14:paraId="06D4769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监室门洞恢复</w:t>
            </w:r>
          </w:p>
        </w:tc>
        <w:tc>
          <w:tcPr>
            <w:tcW w:w="0" w:type="auto"/>
            <w:vAlign w:val="center"/>
          </w:tcPr>
          <w:p w14:paraId="6730F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墙体开槽、管线预埋、修补门洞、恢复墙体，含水泥、河沙、墙砖、瓷砖等材料。</w:t>
            </w:r>
          </w:p>
        </w:tc>
        <w:tc>
          <w:tcPr>
            <w:tcW w:w="0" w:type="auto"/>
            <w:vAlign w:val="center"/>
          </w:tcPr>
          <w:p w14:paraId="425DFE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3F54E8C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290.00</w:t>
            </w:r>
          </w:p>
        </w:tc>
        <w:tc>
          <w:tcPr>
            <w:tcW w:w="0" w:type="auto"/>
            <w:vAlign w:val="center"/>
          </w:tcPr>
          <w:p w14:paraId="37AB381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95 </w:t>
            </w:r>
          </w:p>
        </w:tc>
        <w:tc>
          <w:tcPr>
            <w:tcW w:w="0" w:type="auto"/>
          </w:tcPr>
          <w:p w14:paraId="3DA38F2D">
            <w:pPr>
              <w:widowControl w:val="0"/>
              <w:jc w:val="both"/>
              <w:rPr>
                <w:rFonts w:hint="eastAsia" w:ascii="宋体" w:hAnsi="宋体" w:eastAsia="宋体" w:cs="宋体"/>
                <w:color w:val="auto"/>
                <w:sz w:val="24"/>
                <w:szCs w:val="24"/>
                <w:highlight w:val="none"/>
              </w:rPr>
            </w:pPr>
          </w:p>
        </w:tc>
      </w:tr>
      <w:tr w14:paraId="2DC1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E022C2">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0" w:type="auto"/>
            <w:vAlign w:val="center"/>
          </w:tcPr>
          <w:p w14:paraId="594495F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监室电动门及门禁电源线、信号线</w:t>
            </w:r>
          </w:p>
        </w:tc>
        <w:tc>
          <w:tcPr>
            <w:tcW w:w="0" w:type="auto"/>
            <w:vAlign w:val="center"/>
          </w:tcPr>
          <w:p w14:paraId="3CB0E22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2×1.5㎡RVV电源线、2*1.0mmRVVP信号线、6*0.5mm门禁读卡器线</w:t>
            </w:r>
          </w:p>
        </w:tc>
        <w:tc>
          <w:tcPr>
            <w:tcW w:w="0" w:type="auto"/>
            <w:vAlign w:val="center"/>
          </w:tcPr>
          <w:p w14:paraId="25C46C7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米</w:t>
            </w:r>
          </w:p>
        </w:tc>
        <w:tc>
          <w:tcPr>
            <w:tcW w:w="1176" w:type="dxa"/>
            <w:vAlign w:val="center"/>
          </w:tcPr>
          <w:p w14:paraId="5732917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.00</w:t>
            </w:r>
          </w:p>
        </w:tc>
        <w:tc>
          <w:tcPr>
            <w:tcW w:w="0" w:type="auto"/>
            <w:vAlign w:val="center"/>
          </w:tcPr>
          <w:p w14:paraId="40FD9C8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2200 </w:t>
            </w:r>
          </w:p>
        </w:tc>
        <w:tc>
          <w:tcPr>
            <w:tcW w:w="0" w:type="auto"/>
          </w:tcPr>
          <w:p w14:paraId="62BA4959">
            <w:pPr>
              <w:widowControl w:val="0"/>
              <w:jc w:val="both"/>
              <w:rPr>
                <w:rFonts w:hint="eastAsia" w:ascii="宋体" w:hAnsi="宋体" w:eastAsia="宋体" w:cs="宋体"/>
                <w:color w:val="auto"/>
                <w:sz w:val="24"/>
                <w:szCs w:val="24"/>
                <w:highlight w:val="none"/>
              </w:rPr>
            </w:pPr>
          </w:p>
        </w:tc>
      </w:tr>
      <w:tr w14:paraId="43EB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632E1C">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0" w:type="auto"/>
            <w:vAlign w:val="center"/>
          </w:tcPr>
          <w:p w14:paraId="001E89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网线</w:t>
            </w:r>
          </w:p>
        </w:tc>
        <w:tc>
          <w:tcPr>
            <w:tcW w:w="0" w:type="auto"/>
            <w:vAlign w:val="center"/>
          </w:tcPr>
          <w:p w14:paraId="211AC6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超五类</w:t>
            </w:r>
          </w:p>
        </w:tc>
        <w:tc>
          <w:tcPr>
            <w:tcW w:w="0" w:type="auto"/>
            <w:vAlign w:val="center"/>
          </w:tcPr>
          <w:p w14:paraId="4BD35F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米</w:t>
            </w:r>
          </w:p>
        </w:tc>
        <w:tc>
          <w:tcPr>
            <w:tcW w:w="1176" w:type="dxa"/>
            <w:vAlign w:val="center"/>
          </w:tcPr>
          <w:p w14:paraId="7522135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1.8</w:t>
            </w:r>
            <w:r>
              <w:rPr>
                <w:rFonts w:hint="eastAsia" w:ascii="宋体" w:hAnsi="宋体" w:eastAsia="宋体" w:cs="宋体"/>
                <w:color w:val="auto"/>
                <w:sz w:val="24"/>
                <w:szCs w:val="24"/>
                <w:highlight w:val="none"/>
                <w:lang w:bidi="ar"/>
              </w:rPr>
              <w:t>0</w:t>
            </w:r>
          </w:p>
        </w:tc>
        <w:tc>
          <w:tcPr>
            <w:tcW w:w="0" w:type="auto"/>
            <w:vAlign w:val="center"/>
          </w:tcPr>
          <w:p w14:paraId="22DF6C1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2200 </w:t>
            </w:r>
          </w:p>
        </w:tc>
        <w:tc>
          <w:tcPr>
            <w:tcW w:w="0" w:type="auto"/>
          </w:tcPr>
          <w:p w14:paraId="35A8E337">
            <w:pPr>
              <w:widowControl w:val="0"/>
              <w:jc w:val="both"/>
              <w:rPr>
                <w:rFonts w:hint="eastAsia" w:ascii="宋体" w:hAnsi="宋体" w:eastAsia="宋体" w:cs="宋体"/>
                <w:color w:val="auto"/>
                <w:sz w:val="24"/>
                <w:szCs w:val="24"/>
                <w:highlight w:val="none"/>
              </w:rPr>
            </w:pPr>
          </w:p>
        </w:tc>
      </w:tr>
      <w:tr w14:paraId="3E76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49081C">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0" w:type="auto"/>
            <w:vAlign w:val="center"/>
          </w:tcPr>
          <w:p w14:paraId="332CDE9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监室门门控辅助材料</w:t>
            </w:r>
          </w:p>
        </w:tc>
        <w:tc>
          <w:tcPr>
            <w:tcW w:w="0" w:type="auto"/>
            <w:vAlign w:val="center"/>
          </w:tcPr>
          <w:p w14:paraId="7BFF68E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PVC管及配件</w:t>
            </w:r>
          </w:p>
        </w:tc>
        <w:tc>
          <w:tcPr>
            <w:tcW w:w="0" w:type="auto"/>
            <w:vAlign w:val="center"/>
          </w:tcPr>
          <w:p w14:paraId="270FD9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米</w:t>
            </w:r>
          </w:p>
        </w:tc>
        <w:tc>
          <w:tcPr>
            <w:tcW w:w="1176" w:type="dxa"/>
            <w:vAlign w:val="center"/>
          </w:tcPr>
          <w:p w14:paraId="030BF30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4.0</w:t>
            </w:r>
            <w:r>
              <w:rPr>
                <w:rFonts w:hint="eastAsia" w:ascii="宋体" w:hAnsi="宋体" w:eastAsia="宋体" w:cs="宋体"/>
                <w:color w:val="auto"/>
                <w:sz w:val="24"/>
                <w:szCs w:val="24"/>
                <w:highlight w:val="none"/>
                <w:lang w:val="en-US" w:eastAsia="zh-CN" w:bidi="ar"/>
              </w:rPr>
              <w:t>0</w:t>
            </w:r>
          </w:p>
        </w:tc>
        <w:tc>
          <w:tcPr>
            <w:tcW w:w="0" w:type="auto"/>
            <w:vAlign w:val="center"/>
          </w:tcPr>
          <w:p w14:paraId="79AFDE1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1450 </w:t>
            </w:r>
          </w:p>
        </w:tc>
        <w:tc>
          <w:tcPr>
            <w:tcW w:w="0" w:type="auto"/>
          </w:tcPr>
          <w:p w14:paraId="4C25B4D1">
            <w:pPr>
              <w:widowControl w:val="0"/>
              <w:jc w:val="both"/>
              <w:rPr>
                <w:rFonts w:hint="eastAsia" w:ascii="宋体" w:hAnsi="宋体" w:eastAsia="宋体" w:cs="宋体"/>
                <w:color w:val="auto"/>
                <w:sz w:val="24"/>
                <w:szCs w:val="24"/>
                <w:highlight w:val="none"/>
              </w:rPr>
            </w:pPr>
          </w:p>
        </w:tc>
      </w:tr>
      <w:tr w14:paraId="1CCF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EE2507">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0" w:type="auto"/>
            <w:vAlign w:val="center"/>
          </w:tcPr>
          <w:p w14:paraId="587BF7B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门禁设备安装调试费用</w:t>
            </w:r>
          </w:p>
        </w:tc>
        <w:tc>
          <w:tcPr>
            <w:tcW w:w="0" w:type="auto"/>
            <w:vAlign w:val="center"/>
          </w:tcPr>
          <w:p w14:paraId="54554F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门体及系统的安装与调试，含连接件等相关辅材。</w:t>
            </w:r>
          </w:p>
        </w:tc>
        <w:tc>
          <w:tcPr>
            <w:tcW w:w="0" w:type="auto"/>
            <w:vAlign w:val="center"/>
          </w:tcPr>
          <w:p w14:paraId="4A96E50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樘</w:t>
            </w:r>
          </w:p>
        </w:tc>
        <w:tc>
          <w:tcPr>
            <w:tcW w:w="1176" w:type="dxa"/>
            <w:vAlign w:val="center"/>
          </w:tcPr>
          <w:p w14:paraId="1D2A242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350.00</w:t>
            </w:r>
          </w:p>
        </w:tc>
        <w:tc>
          <w:tcPr>
            <w:tcW w:w="0" w:type="auto"/>
            <w:vAlign w:val="center"/>
          </w:tcPr>
          <w:p w14:paraId="5859EDD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96 </w:t>
            </w:r>
          </w:p>
        </w:tc>
        <w:tc>
          <w:tcPr>
            <w:tcW w:w="0" w:type="auto"/>
          </w:tcPr>
          <w:p w14:paraId="061827B8">
            <w:pPr>
              <w:widowControl w:val="0"/>
              <w:jc w:val="both"/>
              <w:rPr>
                <w:rFonts w:hint="eastAsia" w:ascii="宋体" w:hAnsi="宋体" w:eastAsia="宋体" w:cs="宋体"/>
                <w:color w:val="auto"/>
                <w:sz w:val="24"/>
                <w:szCs w:val="24"/>
                <w:highlight w:val="none"/>
              </w:rPr>
            </w:pPr>
          </w:p>
        </w:tc>
      </w:tr>
      <w:tr w14:paraId="5EF9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7"/>
            <w:vAlign w:val="center"/>
          </w:tcPr>
          <w:p w14:paraId="59C0AE1C">
            <w:pPr>
              <w:widowControl w:val="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备注：本次采购的货物中1-21项为主要标的物，22-28项为辅材、配件。</w:t>
            </w:r>
          </w:p>
        </w:tc>
      </w:tr>
    </w:tbl>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8143"/>
      </w:tblGrid>
      <w:tr w14:paraId="1A4D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0" w:type="pct"/>
            <w:gridSpan w:val="2"/>
            <w:vAlign w:val="center"/>
          </w:tcPr>
          <w:p w14:paraId="731C2893">
            <w:pPr>
              <w:textAlignment w:val="center"/>
              <w:rPr>
                <w:rFonts w:hint="eastAsia" w:ascii="宋体" w:hAnsi="宋体" w:eastAsia="宋体" w:cs="宋体"/>
                <w:b/>
                <w:bCs/>
                <w:color w:val="auto"/>
                <w:sz w:val="21"/>
                <w:szCs w:val="21"/>
                <w:highlight w:val="none"/>
              </w:rPr>
            </w:pPr>
            <w:r>
              <w:rPr>
                <w:rFonts w:hint="eastAsia" w:ascii="宋体" w:hAnsi="宋体" w:eastAsia="宋体"/>
                <w:b/>
                <w:color w:val="auto"/>
                <w:sz w:val="24"/>
                <w:highlight w:val="none"/>
              </w:rPr>
              <w:t>一、</w:t>
            </w:r>
            <w:r>
              <w:rPr>
                <w:rFonts w:ascii="宋体" w:hAnsi="宋体" w:eastAsia="宋体"/>
                <w:b/>
                <w:color w:val="auto"/>
                <w:sz w:val="24"/>
                <w:highlight w:val="none"/>
              </w:rPr>
              <w:t>涉及项目的其他要求</w:t>
            </w:r>
          </w:p>
        </w:tc>
      </w:tr>
      <w:tr w14:paraId="611C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8DC297A">
            <w:pPr>
              <w:autoSpaceDN w:val="0"/>
              <w:jc w:val="center"/>
              <w:rPr>
                <w:rFonts w:hint="eastAsia" w:ascii="宋体" w:hAnsi="宋体" w:eastAsia="宋体" w:cs="宋体"/>
                <w:b/>
                <w:bCs/>
                <w:color w:val="auto"/>
                <w:sz w:val="21"/>
                <w:szCs w:val="21"/>
                <w:highlight w:val="none"/>
              </w:rPr>
            </w:pPr>
            <w:r>
              <w:rPr>
                <w:rFonts w:ascii="宋体" w:hAnsi="宋体" w:eastAsia="宋体"/>
                <w:color w:val="auto"/>
                <w:sz w:val="24"/>
                <w:highlight w:val="none"/>
              </w:rPr>
              <w:t>为落实政府采购政策需满足的要求</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776B0EA0">
            <w:pPr>
              <w:adjustRightInd/>
              <w:snapToGrid/>
              <w:spacing w:after="0"/>
              <w:jc w:val="center"/>
              <w:rPr>
                <w:rFonts w:hint="eastAsia" w:ascii="宋体" w:hAnsi="宋体" w:eastAsia="宋体" w:cs="宋体"/>
                <w:b/>
                <w:bCs/>
                <w:color w:val="auto"/>
                <w:sz w:val="21"/>
                <w:szCs w:val="21"/>
                <w:highlight w:val="none"/>
              </w:rPr>
            </w:pPr>
            <w:r>
              <w:rPr>
                <w:rFonts w:ascii="宋体" w:hAnsi="宋体" w:eastAsia="宋体"/>
                <w:color w:val="auto"/>
                <w:sz w:val="24"/>
                <w:highlight w:val="none"/>
              </w:rPr>
              <w:t>具体见第一章“招标公告”的规定以及第四章“评标方法及评标标准</w:t>
            </w:r>
          </w:p>
        </w:tc>
      </w:tr>
      <w:tr w14:paraId="31CD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FE91C37">
            <w:pPr>
              <w:autoSpaceDN w:val="0"/>
              <w:jc w:val="center"/>
              <w:rPr>
                <w:rFonts w:hint="eastAsia" w:ascii="宋体" w:hAnsi="宋体" w:eastAsia="宋体" w:cs="宋体"/>
                <w:b/>
                <w:bCs/>
                <w:color w:val="auto"/>
                <w:sz w:val="21"/>
                <w:szCs w:val="21"/>
                <w:highlight w:val="none"/>
              </w:rPr>
            </w:pPr>
            <w:r>
              <w:rPr>
                <w:rFonts w:ascii="宋体" w:hAnsi="宋体" w:eastAsia="宋体"/>
                <w:color w:val="auto"/>
                <w:sz w:val="24"/>
                <w:highlight w:val="none"/>
              </w:rPr>
              <w:t>规范标准</w:t>
            </w:r>
          </w:p>
        </w:tc>
        <w:tc>
          <w:tcPr>
            <w:tcW w:w="4166"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F3CB12F">
            <w:pPr>
              <w:autoSpaceDN w:val="0"/>
              <w:jc w:val="center"/>
              <w:rPr>
                <w:rFonts w:hint="eastAsia" w:ascii="宋体" w:hAnsi="宋体" w:eastAsia="宋体"/>
                <w:color w:val="auto"/>
                <w:sz w:val="24"/>
                <w:highlight w:val="none"/>
              </w:rPr>
            </w:pPr>
            <w:r>
              <w:rPr>
                <w:rFonts w:ascii="宋体" w:hAnsi="宋体" w:eastAsia="宋体"/>
                <w:color w:val="auto"/>
                <w:sz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724C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F237EC4">
            <w:pPr>
              <w:autoSpaceDN w:val="0"/>
              <w:rPr>
                <w:rFonts w:hint="eastAsia" w:ascii="宋体" w:hAnsi="宋体" w:eastAsia="宋体" w:cs="宋体"/>
                <w:b/>
                <w:bCs/>
                <w:color w:val="auto"/>
                <w:sz w:val="21"/>
                <w:szCs w:val="21"/>
                <w:highlight w:val="none"/>
              </w:rPr>
            </w:pPr>
            <w:r>
              <w:rPr>
                <w:rFonts w:ascii="宋体" w:hAnsi="宋体" w:eastAsia="宋体"/>
                <w:color w:val="auto"/>
                <w:sz w:val="24"/>
                <w:highlight w:val="none"/>
              </w:rPr>
              <w:t>采购标的需满足的质量、安全、技术规格、物理特性等</w:t>
            </w:r>
          </w:p>
        </w:tc>
        <w:tc>
          <w:tcPr>
            <w:tcW w:w="4166"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1195F4">
            <w:pPr>
              <w:autoSpaceDN w:val="0"/>
              <w:jc w:val="center"/>
              <w:rPr>
                <w:rFonts w:hint="eastAsia" w:ascii="宋体" w:hAnsi="宋体" w:eastAsia="宋体"/>
                <w:color w:val="auto"/>
                <w:sz w:val="24"/>
                <w:highlight w:val="none"/>
              </w:rPr>
            </w:pPr>
            <w:r>
              <w:rPr>
                <w:rFonts w:ascii="宋体" w:hAnsi="宋体" w:eastAsia="宋体"/>
                <w:color w:val="auto"/>
                <w:sz w:val="24"/>
                <w:highlight w:val="none"/>
              </w:rPr>
              <w:t>见本表“功能目标及技术指标”。</w:t>
            </w:r>
          </w:p>
        </w:tc>
      </w:tr>
      <w:tr w14:paraId="4FE5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EDF225">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采购标的验收标准</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391D2240">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1、货物到达现场后，</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人应在采购人单位人员在场情况下当面开箱，共同清点、检查外观，作出开箱记录，双方签字确认。</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人应保证货物到达采购人所在地完好无损，如有缺漏、损坏，由</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人负责调换、补齐或赔偿。验收过程中所产生的一切费用均由</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人承担，报价时应考虑相关费用。</w:t>
            </w:r>
          </w:p>
          <w:p w14:paraId="381BA860">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2、</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人提供的货物需全新、完好、无破损，应提供完备的技术或服务资料、装箱单和合格证等，并派遣专业人员进行现场安装调试。验收合格条件如下：</w:t>
            </w:r>
          </w:p>
          <w:p w14:paraId="2AB5478F">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（1）货物或服务技术参数与采购合同一致，性能或指标达到规定的标准。</w:t>
            </w:r>
          </w:p>
          <w:p w14:paraId="28BA7A2E">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（2）技术或资料、装箱单、合格证等资料齐全。</w:t>
            </w:r>
          </w:p>
          <w:p w14:paraId="0EE0BC78">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（3）在测试或试运行期间所出现的问题得到解决，并运行或工作正常。</w:t>
            </w:r>
          </w:p>
          <w:p w14:paraId="31B5A681">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（4）在规定时间内完成交货及验收，并经采购人确认。</w:t>
            </w:r>
          </w:p>
          <w:p w14:paraId="0D91F1A0">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3、项目验收应遵循国家及行业相关验收标准：</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人在安装调试完成后需提交全部图纸、配置资料、交验收报告、测试报告（如有）等。</w:t>
            </w:r>
          </w:p>
          <w:p w14:paraId="560DF891">
            <w:pPr>
              <w:autoSpaceDN w:val="0"/>
              <w:jc w:val="both"/>
              <w:rPr>
                <w:rFonts w:hint="eastAsia" w:ascii="Times New Roman" w:hAnsi="宋体"/>
                <w:color w:val="auto"/>
                <w:kern w:val="2"/>
                <w:sz w:val="21"/>
                <w:highlight w:val="none"/>
              </w:rPr>
            </w:pPr>
            <w:r>
              <w:rPr>
                <w:rFonts w:ascii="宋体" w:hAnsi="宋体" w:eastAsia="宋体"/>
                <w:color w:val="auto"/>
                <w:kern w:val="2"/>
                <w:sz w:val="24"/>
                <w:highlight w:val="none"/>
              </w:rPr>
              <w:t>4、在安装调试并试运行符合要求后，才作最终验收。</w:t>
            </w:r>
          </w:p>
          <w:p w14:paraId="1190966F">
            <w:pPr>
              <w:autoSpaceDN w:val="0"/>
              <w:jc w:val="both"/>
              <w:rPr>
                <w:rFonts w:hint="eastAsia" w:ascii="宋体" w:hAnsi="宋体" w:eastAsia="宋体"/>
                <w:color w:val="auto"/>
                <w:kern w:val="2"/>
                <w:sz w:val="24"/>
                <w:highlight w:val="none"/>
              </w:rPr>
            </w:pPr>
            <w:r>
              <w:rPr>
                <w:rFonts w:ascii="宋体" w:hAnsi="宋体" w:eastAsia="宋体"/>
                <w:color w:val="auto"/>
                <w:kern w:val="2"/>
                <w:sz w:val="24"/>
                <w:highlight w:val="none"/>
              </w:rPr>
              <w:t>5、为保证《项目采购需求》中的技术指标和性能达到采购文件要求及与合同、投标文件相符，如采购人对</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人所投标货物的技术指标有质疑，供货时须进行现场演示，以确认是否达到合同、采购文件、投标文件中所规定的技术功能要求；</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人未提供的或演示效果达不到合同、采购文件、投标文件中所规定的技术功能要求，则视为合同违约，所有损失由</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人承担</w:t>
            </w:r>
            <w:r>
              <w:rPr>
                <w:rFonts w:hint="eastAsia" w:ascii="宋体" w:hAnsi="宋体" w:eastAsia="宋体"/>
                <w:color w:val="auto"/>
                <w:kern w:val="2"/>
                <w:sz w:val="24"/>
                <w:highlight w:val="none"/>
              </w:rPr>
              <w:t>.</w:t>
            </w:r>
          </w:p>
          <w:p w14:paraId="68B76E34">
            <w:pPr>
              <w:autoSpaceDN w:val="0"/>
              <w:jc w:val="both"/>
              <w:rPr>
                <w:color w:val="auto"/>
                <w:highlight w:val="none"/>
              </w:rPr>
            </w:pPr>
            <w:r>
              <w:rPr>
                <w:rFonts w:hint="eastAsia" w:ascii="宋体" w:hAnsi="宋体" w:eastAsia="宋体"/>
                <w:color w:val="auto"/>
                <w:kern w:val="2"/>
                <w:sz w:val="24"/>
                <w:highlight w:val="none"/>
                <w:lang w:val="en-US" w:eastAsia="zh-CN"/>
              </w:rPr>
              <w:t>6</w:t>
            </w:r>
            <w:r>
              <w:rPr>
                <w:rFonts w:ascii="宋体" w:hAnsi="宋体" w:eastAsia="宋体"/>
                <w:color w:val="auto"/>
                <w:kern w:val="2"/>
                <w:sz w:val="24"/>
                <w:highlight w:val="none"/>
              </w:rPr>
              <w:t>、项目实施完毕，由业主组织专家对整个实施项目进行验收，费用由</w:t>
            </w:r>
            <w:r>
              <w:rPr>
                <w:rFonts w:hint="eastAsia" w:ascii="宋体" w:hAnsi="宋体" w:eastAsia="宋体"/>
                <w:color w:val="auto"/>
                <w:kern w:val="2"/>
                <w:sz w:val="24"/>
                <w:highlight w:val="none"/>
              </w:rPr>
              <w:t>成交</w:t>
            </w:r>
            <w:r>
              <w:rPr>
                <w:rFonts w:ascii="宋体" w:hAnsi="宋体" w:eastAsia="宋体"/>
                <w:color w:val="auto"/>
                <w:kern w:val="2"/>
                <w:sz w:val="24"/>
                <w:highlight w:val="none"/>
              </w:rPr>
              <w:t>人负责。</w:t>
            </w:r>
          </w:p>
        </w:tc>
      </w:tr>
      <w:tr w14:paraId="75D2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E7F5E23">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其他技术及服务要求</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68C8AE42">
            <w:pPr>
              <w:adjustRightInd/>
              <w:snapToGrid/>
              <w:spacing w:after="0"/>
              <w:rPr>
                <w:rFonts w:hint="eastAsia" w:ascii="宋体" w:hAnsi="宋体" w:eastAsia="宋体" w:cs="宋体"/>
                <w:color w:val="auto"/>
                <w:sz w:val="21"/>
                <w:szCs w:val="21"/>
                <w:highlight w:val="none"/>
                <w:lang w:eastAsia="zh-CN"/>
              </w:rPr>
            </w:pPr>
            <w:r>
              <w:rPr>
                <w:rFonts w:hint="eastAsia" w:ascii="宋体" w:hAnsi="宋体" w:eastAsia="宋体"/>
                <w:color w:val="auto"/>
                <w:kern w:val="2"/>
                <w:sz w:val="24"/>
                <w:highlight w:val="none"/>
                <w:lang w:eastAsia="zh-CN"/>
              </w:rPr>
              <w:t>项目实施中，在整体框架和重要参数不变的情况下，部分门的样式会根据需求方的工作实际需求做出微调。</w:t>
            </w:r>
          </w:p>
        </w:tc>
      </w:tr>
      <w:tr w14:paraId="6C43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2"/>
            <w:tcBorders>
              <w:top w:val="single" w:color="000000" w:sz="8" w:space="0"/>
              <w:left w:val="single" w:color="000000" w:sz="8" w:space="0"/>
              <w:bottom w:val="single" w:color="000000" w:sz="8" w:space="0"/>
            </w:tcBorders>
            <w:tcMar>
              <w:top w:w="0" w:type="dxa"/>
              <w:left w:w="108" w:type="dxa"/>
              <w:bottom w:w="0" w:type="dxa"/>
              <w:right w:w="108" w:type="dxa"/>
            </w:tcMar>
            <w:vAlign w:val="center"/>
          </w:tcPr>
          <w:p w14:paraId="4D08F8F2">
            <w:pPr>
              <w:adjustRightInd/>
              <w:snapToGrid/>
              <w:spacing w:after="0"/>
              <w:rPr>
                <w:rFonts w:hint="eastAsia" w:ascii="宋体" w:hAnsi="宋体" w:eastAsia="宋体" w:cs="宋体"/>
                <w:color w:val="auto"/>
                <w:sz w:val="21"/>
                <w:szCs w:val="21"/>
                <w:highlight w:val="none"/>
              </w:rPr>
            </w:pPr>
            <w:r>
              <w:rPr>
                <w:rFonts w:ascii="宋体" w:hAnsi="宋体" w:eastAsia="宋体"/>
                <w:b/>
                <w:color w:val="auto"/>
                <w:sz w:val="24"/>
                <w:highlight w:val="none"/>
              </w:rPr>
              <w:t>▲</w:t>
            </w:r>
            <w:r>
              <w:rPr>
                <w:rFonts w:hint="eastAsia" w:ascii="宋体" w:hAnsi="宋体" w:eastAsia="宋体"/>
                <w:b/>
                <w:color w:val="auto"/>
                <w:sz w:val="24"/>
                <w:highlight w:val="none"/>
              </w:rPr>
              <w:t>二</w:t>
            </w:r>
            <w:r>
              <w:rPr>
                <w:rFonts w:ascii="宋体" w:hAnsi="宋体" w:eastAsia="宋体"/>
                <w:b/>
                <w:color w:val="auto"/>
                <w:sz w:val="24"/>
                <w:highlight w:val="none"/>
              </w:rPr>
              <w:t>、商务条款（不满足商务要求的投标无效）</w:t>
            </w:r>
          </w:p>
        </w:tc>
      </w:tr>
      <w:tr w14:paraId="5DA6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AA2B113">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质保期</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66797C65">
            <w:pPr>
              <w:adjustRightInd/>
              <w:snapToGrid/>
              <w:spacing w:after="0"/>
              <w:rPr>
                <w:rFonts w:hint="eastAsia" w:ascii="宋体" w:hAnsi="宋体" w:eastAsia="宋体" w:cs="宋体"/>
                <w:color w:val="auto"/>
                <w:sz w:val="21"/>
                <w:szCs w:val="21"/>
                <w:highlight w:val="none"/>
              </w:rPr>
            </w:pPr>
            <w:r>
              <w:rPr>
                <w:rFonts w:ascii="宋体" w:hAnsi="宋体" w:eastAsia="宋体"/>
                <w:color w:val="auto"/>
                <w:sz w:val="24"/>
                <w:highlight w:val="none"/>
              </w:rPr>
              <w:t>按国家有关产品“三包”规定执行“三包”，自货物验收合格之日起计算，产品质保期最短不少于</w:t>
            </w:r>
            <w:r>
              <w:rPr>
                <w:rFonts w:hint="eastAsia" w:ascii="宋体" w:hAnsi="宋体" w:eastAsia="宋体"/>
                <w:color w:val="auto"/>
                <w:sz w:val="24"/>
                <w:highlight w:val="none"/>
              </w:rPr>
              <w:t>1</w:t>
            </w:r>
            <w:r>
              <w:rPr>
                <w:rFonts w:ascii="宋体" w:hAnsi="宋体" w:eastAsia="宋体"/>
                <w:color w:val="auto"/>
                <w:sz w:val="24"/>
                <w:highlight w:val="none"/>
              </w:rPr>
              <w:t>年。若厂家免费质保期超过此年限的，合同履行过程中按厂家规定执行。</w:t>
            </w:r>
          </w:p>
        </w:tc>
      </w:tr>
      <w:tr w14:paraId="73CE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90BF3C3">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交货时间及地点</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4DD9A21E">
            <w:pPr>
              <w:autoSpaceDN w:val="0"/>
              <w:jc w:val="both"/>
              <w:rPr>
                <w:rFonts w:hint="eastAsia" w:ascii="Times New Roman" w:hAnsi="宋体"/>
                <w:color w:val="auto"/>
                <w:kern w:val="2"/>
                <w:sz w:val="21"/>
                <w:highlight w:val="none"/>
              </w:rPr>
            </w:pPr>
            <w:r>
              <w:rPr>
                <w:rFonts w:ascii="宋体" w:hAnsi="宋体" w:eastAsia="宋体"/>
                <w:color w:val="auto"/>
                <w:sz w:val="24"/>
                <w:highlight w:val="none"/>
              </w:rPr>
              <w:t>1.合同履行期限：</w:t>
            </w:r>
            <w:r>
              <w:rPr>
                <w:rFonts w:hint="eastAsia" w:ascii="宋体" w:hAnsi="宋体" w:eastAsia="宋体"/>
                <w:color w:val="auto"/>
                <w:sz w:val="24"/>
                <w:highlight w:val="none"/>
              </w:rPr>
              <w:t>自签订合同之日起60天内交货并安装调试完毕</w:t>
            </w:r>
            <w:r>
              <w:rPr>
                <w:rFonts w:ascii="宋体" w:hAnsi="宋体" w:eastAsia="宋体"/>
                <w:color w:val="auto"/>
                <w:sz w:val="24"/>
                <w:highlight w:val="none"/>
              </w:rPr>
              <w:t>。</w:t>
            </w:r>
          </w:p>
          <w:p w14:paraId="2F448C7C">
            <w:pPr>
              <w:adjustRightInd/>
              <w:snapToGrid/>
              <w:spacing w:after="0"/>
              <w:rPr>
                <w:rFonts w:hint="eastAsia" w:ascii="宋体" w:hAnsi="宋体" w:eastAsia="宋体" w:cs="宋体"/>
                <w:color w:val="auto"/>
                <w:sz w:val="21"/>
                <w:szCs w:val="21"/>
                <w:highlight w:val="none"/>
              </w:rPr>
            </w:pPr>
            <w:r>
              <w:rPr>
                <w:rFonts w:ascii="宋体" w:hAnsi="宋体" w:eastAsia="宋体"/>
                <w:color w:val="auto"/>
                <w:sz w:val="24"/>
                <w:highlight w:val="none"/>
              </w:rPr>
              <w:t>2.交货地点：采购人指定地点。</w:t>
            </w:r>
          </w:p>
        </w:tc>
      </w:tr>
      <w:tr w14:paraId="25D7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841C47F">
            <w:pPr>
              <w:autoSpaceDN w:val="0"/>
              <w:jc w:val="center"/>
              <w:rPr>
                <w:rFonts w:hint="eastAsia" w:ascii="宋体" w:hAnsi="宋体" w:eastAsia="宋体" w:cs="宋体"/>
                <w:b/>
                <w:bCs/>
                <w:color w:val="auto"/>
                <w:sz w:val="21"/>
                <w:szCs w:val="21"/>
                <w:highlight w:val="none"/>
              </w:rPr>
            </w:pPr>
            <w:r>
              <w:rPr>
                <w:rFonts w:ascii="宋体" w:hAnsi="宋体" w:eastAsia="宋体"/>
                <w:color w:val="auto"/>
                <w:sz w:val="24"/>
                <w:highlight w:val="none"/>
              </w:rPr>
              <w:t>售后服务要求</w:t>
            </w:r>
          </w:p>
        </w:tc>
        <w:tc>
          <w:tcPr>
            <w:tcW w:w="4166"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22C5726">
            <w:pPr>
              <w:autoSpaceDN w:val="0"/>
              <w:rPr>
                <w:rFonts w:hint="eastAsia" w:ascii="宋体" w:hAnsi="宋体" w:eastAsia="宋体"/>
                <w:color w:val="auto"/>
                <w:sz w:val="24"/>
                <w:highlight w:val="none"/>
              </w:rPr>
            </w:pPr>
            <w:r>
              <w:rPr>
                <w:rFonts w:ascii="宋体" w:hAnsi="宋体" w:eastAsia="宋体"/>
                <w:color w:val="auto"/>
                <w:sz w:val="24"/>
                <w:highlight w:val="none"/>
              </w:rPr>
              <w:t>（1）按国家有关规定实行产品“三包”；</w:t>
            </w:r>
          </w:p>
          <w:p w14:paraId="2AFA0A8C">
            <w:pPr>
              <w:autoSpaceDN w:val="0"/>
              <w:rPr>
                <w:rFonts w:hint="eastAsia" w:ascii="宋体" w:hAnsi="宋体" w:eastAsia="宋体"/>
                <w:color w:val="auto"/>
                <w:sz w:val="24"/>
                <w:highlight w:val="none"/>
              </w:rPr>
            </w:pPr>
            <w:r>
              <w:rPr>
                <w:rFonts w:ascii="宋体" w:hAnsi="宋体" w:eastAsia="宋体"/>
                <w:color w:val="auto"/>
                <w:sz w:val="24"/>
                <w:highlight w:val="none"/>
              </w:rPr>
              <w:t>（2）负责免费送货上门，负责免费安装、调试合格。</w:t>
            </w:r>
          </w:p>
          <w:p w14:paraId="0AE0D752">
            <w:pPr>
              <w:autoSpaceDN w:val="0"/>
              <w:rPr>
                <w:rFonts w:hint="eastAsia" w:ascii="宋体" w:hAnsi="宋体" w:eastAsia="宋体"/>
                <w:color w:val="auto"/>
                <w:sz w:val="24"/>
                <w:highlight w:val="none"/>
              </w:rPr>
            </w:pPr>
            <w:r>
              <w:rPr>
                <w:rFonts w:ascii="宋体" w:hAnsi="宋体" w:eastAsia="宋体"/>
                <w:color w:val="auto"/>
                <w:sz w:val="24"/>
                <w:highlight w:val="none"/>
              </w:rPr>
              <w:t>（3）免费提供现场技术培训，保证使用人员正常操作设备的各种功能，终身提供免费技术支持。</w:t>
            </w:r>
          </w:p>
          <w:p w14:paraId="74391AD7">
            <w:pPr>
              <w:autoSpaceDN w:val="0"/>
              <w:rPr>
                <w:rFonts w:hint="eastAsia" w:ascii="宋体" w:hAnsi="宋体" w:eastAsia="宋体"/>
                <w:color w:val="auto"/>
                <w:sz w:val="24"/>
                <w:highlight w:val="none"/>
              </w:rPr>
            </w:pPr>
            <w:r>
              <w:rPr>
                <w:rFonts w:ascii="宋体" w:hAnsi="宋体" w:eastAsia="宋体"/>
                <w:color w:val="auto"/>
                <w:sz w:val="24"/>
                <w:highlight w:val="none"/>
              </w:rPr>
              <w:t>（4）质保期内免费上门维护，保修期内上门维修免收维修费和元器件费，并提供终身维修服务。</w:t>
            </w:r>
          </w:p>
          <w:p w14:paraId="0833E8CF">
            <w:pPr>
              <w:autoSpaceDN w:val="0"/>
              <w:rPr>
                <w:rFonts w:hint="eastAsia" w:ascii="宋体" w:hAnsi="宋体" w:eastAsia="宋体"/>
                <w:color w:val="auto"/>
                <w:sz w:val="24"/>
                <w:highlight w:val="none"/>
              </w:rPr>
            </w:pPr>
            <w:r>
              <w:rPr>
                <w:rFonts w:ascii="宋体" w:hAnsi="宋体" w:eastAsia="宋体"/>
                <w:color w:val="auto"/>
                <w:sz w:val="24"/>
                <w:highlight w:val="none"/>
              </w:rPr>
              <w:t>（5）出现故障30分钟内做出响应，</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小时内到场维修。一般问题应在24小时内解决，重大问题或其它无法迅速解决的问题应在4天内解决。</w:t>
            </w:r>
          </w:p>
          <w:p w14:paraId="3002768F">
            <w:pPr>
              <w:autoSpaceDN w:val="0"/>
              <w:rPr>
                <w:rFonts w:hint="eastAsia" w:ascii="宋体" w:hAnsi="宋体" w:eastAsia="宋体"/>
                <w:color w:val="auto"/>
                <w:sz w:val="24"/>
                <w:highlight w:val="none"/>
              </w:rPr>
            </w:pPr>
            <w:r>
              <w:rPr>
                <w:rFonts w:ascii="宋体" w:hAnsi="宋体" w:eastAsia="宋体"/>
                <w:color w:val="auto"/>
                <w:sz w:val="24"/>
                <w:highlight w:val="none"/>
              </w:rPr>
              <w:t>（6）定期回访。</w:t>
            </w:r>
          </w:p>
          <w:p w14:paraId="6634A373">
            <w:pPr>
              <w:autoSpaceDN w:val="0"/>
              <w:rPr>
                <w:rFonts w:hint="eastAsia" w:ascii="宋体" w:hAnsi="宋体" w:eastAsia="宋体"/>
                <w:color w:val="auto"/>
                <w:sz w:val="24"/>
                <w:highlight w:val="none"/>
              </w:rPr>
            </w:pPr>
            <w:r>
              <w:rPr>
                <w:rFonts w:ascii="宋体" w:hAnsi="宋体" w:eastAsia="宋体"/>
                <w:color w:val="auto"/>
                <w:sz w:val="24"/>
                <w:highlight w:val="none"/>
              </w:rPr>
              <w:t>（7）设备自带软件的在免费保修期内免费升级</w:t>
            </w:r>
            <w:r>
              <w:rPr>
                <w:rFonts w:hint="eastAsia" w:ascii="宋体" w:hAnsi="宋体" w:eastAsia="宋体"/>
                <w:color w:val="auto"/>
                <w:sz w:val="24"/>
                <w:highlight w:val="none"/>
              </w:rPr>
              <w:t>。</w:t>
            </w:r>
          </w:p>
          <w:p w14:paraId="4C905537">
            <w:pPr>
              <w:autoSpaceDN w:val="0"/>
              <w:rPr>
                <w:rFonts w:hint="eastAsia" w:ascii="宋体" w:hAnsi="宋体" w:eastAsia="宋体"/>
                <w:color w:val="auto"/>
                <w:sz w:val="24"/>
                <w:highlight w:val="none"/>
              </w:rPr>
            </w:pPr>
            <w:r>
              <w:rPr>
                <w:rFonts w:ascii="宋体" w:hAnsi="宋体" w:eastAsia="宋体"/>
                <w:color w:val="auto"/>
                <w:sz w:val="24"/>
                <w:highlight w:val="none"/>
              </w:rPr>
              <w:t>（8）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795341D2">
            <w:pPr>
              <w:autoSpaceDN w:val="0"/>
              <w:rPr>
                <w:rFonts w:hint="eastAsia" w:ascii="宋体" w:hAnsi="宋体" w:eastAsia="宋体"/>
                <w:color w:val="auto"/>
                <w:sz w:val="24"/>
                <w:highlight w:val="none"/>
              </w:rPr>
            </w:pPr>
            <w:r>
              <w:rPr>
                <w:rFonts w:ascii="宋体" w:hAnsi="宋体" w:eastAsia="宋体"/>
                <w:color w:val="auto"/>
                <w:sz w:val="24"/>
                <w:highlight w:val="none"/>
              </w:rPr>
              <w:t>（9）提供保修期外零配件优惠供应方案。</w:t>
            </w:r>
          </w:p>
          <w:p w14:paraId="060069AE">
            <w:pPr>
              <w:autoSpaceDN w:val="0"/>
              <w:rPr>
                <w:rFonts w:hint="eastAsia" w:ascii="宋体" w:hAnsi="宋体" w:eastAsia="宋体"/>
                <w:color w:val="auto"/>
                <w:sz w:val="24"/>
                <w:highlight w:val="none"/>
              </w:rPr>
            </w:pPr>
            <w:r>
              <w:rPr>
                <w:rFonts w:ascii="宋体" w:hAnsi="宋体" w:eastAsia="宋体"/>
                <w:color w:val="auto"/>
                <w:sz w:val="24"/>
                <w:highlight w:val="none"/>
              </w:rPr>
              <w:t>（10）其余按投标人承诺进行。</w:t>
            </w:r>
          </w:p>
        </w:tc>
      </w:tr>
      <w:tr w14:paraId="62E1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592745B">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付款条件</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2E7F40B0">
            <w:pPr>
              <w:adjustRightInd/>
              <w:snapToGrid/>
              <w:spacing w:after="0"/>
              <w:rPr>
                <w:rFonts w:hint="eastAsia" w:ascii="宋体" w:hAnsi="宋体" w:eastAsia="宋体" w:cs="宋体"/>
                <w:color w:val="auto"/>
                <w:sz w:val="21"/>
                <w:szCs w:val="21"/>
                <w:highlight w:val="none"/>
              </w:rPr>
            </w:pPr>
            <w:r>
              <w:rPr>
                <w:rFonts w:ascii="宋体" w:hAnsi="宋体" w:eastAsia="宋体"/>
                <w:color w:val="auto"/>
                <w:sz w:val="24"/>
                <w:highlight w:val="none"/>
              </w:rPr>
              <w:t>合同签订后，货物送至采购人指定地点并安装调试完毕并验收合格后，</w:t>
            </w:r>
            <w:r>
              <w:rPr>
                <w:rFonts w:hint="eastAsia" w:ascii="宋体" w:hAnsi="宋体" w:eastAsia="宋体"/>
                <w:color w:val="auto"/>
                <w:sz w:val="24"/>
                <w:highlight w:val="none"/>
              </w:rPr>
              <w:t>支</w:t>
            </w:r>
            <w:r>
              <w:rPr>
                <w:rFonts w:ascii="宋体" w:hAnsi="宋体" w:eastAsia="宋体"/>
                <w:color w:val="auto"/>
                <w:sz w:val="24"/>
                <w:highlight w:val="none"/>
              </w:rPr>
              <w:t>付合同总额</w:t>
            </w:r>
            <w:r>
              <w:rPr>
                <w:rFonts w:hint="eastAsia" w:ascii="宋体" w:hAnsi="宋体" w:eastAsia="宋体"/>
                <w:color w:val="auto"/>
                <w:sz w:val="24"/>
                <w:highlight w:val="none"/>
              </w:rPr>
              <w:t>的100</w:t>
            </w:r>
            <w:r>
              <w:rPr>
                <w:rFonts w:ascii="宋体" w:hAnsi="宋体" w:eastAsia="宋体"/>
                <w:color w:val="auto"/>
                <w:sz w:val="24"/>
                <w:highlight w:val="none"/>
              </w:rPr>
              <w:t>%</w:t>
            </w:r>
            <w:r>
              <w:rPr>
                <w:rFonts w:hint="eastAsia" w:ascii="宋体" w:hAnsi="宋体" w:eastAsia="宋体"/>
                <w:color w:val="auto"/>
                <w:sz w:val="24"/>
                <w:highlight w:val="none"/>
              </w:rPr>
              <w:t>，每次付款前成交人应开具待付款金额发票给采购人。</w:t>
            </w:r>
          </w:p>
        </w:tc>
      </w:tr>
      <w:tr w14:paraId="6889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D672DC6">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投标报价</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2574BD2D">
            <w:pPr>
              <w:autoSpaceDN w:val="0"/>
              <w:jc w:val="both"/>
              <w:rPr>
                <w:rFonts w:hint="eastAsia" w:ascii="Times New Roman" w:hAnsi="宋体"/>
                <w:color w:val="auto"/>
                <w:kern w:val="2"/>
                <w:sz w:val="21"/>
                <w:highlight w:val="none"/>
              </w:rPr>
            </w:pPr>
            <w:r>
              <w:rPr>
                <w:rFonts w:ascii="宋体" w:hAnsi="宋体" w:eastAsia="宋体"/>
                <w:color w:val="auto"/>
                <w:sz w:val="24"/>
                <w:highlight w:val="none"/>
              </w:rPr>
              <w:t>1、投标报价中应包含货物、货物标准附件、备品备件、专用工具、设备安装辅材、施工辅材、包装、运输、装卸、保险、货到就位的各种费用以及安装、调试、本</w:t>
            </w:r>
            <w:r>
              <w:rPr>
                <w:rFonts w:hint="eastAsia" w:ascii="宋体" w:hAnsi="宋体" w:eastAsia="宋体"/>
                <w:color w:val="auto"/>
                <w:sz w:val="24"/>
                <w:highlight w:val="none"/>
              </w:rPr>
              <w:t>谈判</w:t>
            </w:r>
            <w:r>
              <w:rPr>
                <w:rFonts w:ascii="宋体" w:hAnsi="宋体" w:eastAsia="宋体"/>
                <w:color w:val="auto"/>
                <w:sz w:val="24"/>
                <w:highlight w:val="none"/>
              </w:rPr>
              <w:t>文件所列设备材料需进行补充完善才能完成本项目的或实际采购中产品材料有任何遗漏的费用（含本项目需要但本文件中未列出的设备材料）、税金、售后服务、技术培训及其他所有成本费用；采购人不再支付任何费用。</w:t>
            </w:r>
          </w:p>
          <w:p w14:paraId="3DCC7AA3">
            <w:pPr>
              <w:adjustRightInd/>
              <w:snapToGrid/>
              <w:spacing w:after="0"/>
              <w:rPr>
                <w:rFonts w:hint="eastAsia" w:ascii="宋体" w:hAnsi="宋体" w:eastAsia="宋体" w:cs="宋体"/>
                <w:color w:val="auto"/>
                <w:sz w:val="21"/>
                <w:szCs w:val="21"/>
                <w:highlight w:val="none"/>
              </w:rPr>
            </w:pPr>
            <w:r>
              <w:rPr>
                <w:rFonts w:ascii="宋体" w:hAnsi="宋体" w:eastAsia="宋体"/>
                <w:color w:val="auto"/>
                <w:sz w:val="24"/>
                <w:highlight w:val="none"/>
              </w:rPr>
              <w:t>2、投标人负责施工人员人身、设备安全责任，验收前，设备丢失由投标人负责。</w:t>
            </w:r>
          </w:p>
        </w:tc>
      </w:tr>
      <w:tr w14:paraId="46EE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2"/>
            <w:tcBorders>
              <w:top w:val="single" w:color="000000" w:sz="8" w:space="0"/>
              <w:left w:val="single" w:color="000000" w:sz="8" w:space="0"/>
              <w:bottom w:val="single" w:color="000000" w:sz="8" w:space="0"/>
            </w:tcBorders>
            <w:tcMar>
              <w:top w:w="0" w:type="dxa"/>
              <w:left w:w="108" w:type="dxa"/>
              <w:bottom w:w="0" w:type="dxa"/>
              <w:right w:w="108" w:type="dxa"/>
            </w:tcMar>
            <w:vAlign w:val="center"/>
          </w:tcPr>
          <w:p w14:paraId="6FCA821C">
            <w:pPr>
              <w:adjustRightInd/>
              <w:snapToGrid/>
              <w:spacing w:after="0"/>
              <w:rPr>
                <w:rFonts w:hint="eastAsia" w:ascii="宋体" w:hAnsi="宋体" w:eastAsia="宋体" w:cs="宋体"/>
                <w:color w:val="auto"/>
                <w:sz w:val="21"/>
                <w:szCs w:val="21"/>
                <w:highlight w:val="none"/>
              </w:rPr>
            </w:pPr>
            <w:r>
              <w:rPr>
                <w:rFonts w:hint="eastAsia" w:ascii="宋体" w:hAnsi="宋体" w:eastAsia="宋体"/>
                <w:b/>
                <w:color w:val="auto"/>
                <w:sz w:val="24"/>
                <w:highlight w:val="none"/>
              </w:rPr>
              <w:t>三</w:t>
            </w:r>
            <w:r>
              <w:rPr>
                <w:rFonts w:ascii="宋体" w:hAnsi="宋体" w:eastAsia="宋体"/>
                <w:b/>
                <w:color w:val="auto"/>
                <w:sz w:val="24"/>
                <w:highlight w:val="none"/>
              </w:rPr>
              <w:t>、采购人对项目的特殊要求及说明</w:t>
            </w:r>
          </w:p>
        </w:tc>
      </w:tr>
      <w:tr w14:paraId="2F88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475888D">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进口产品</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16CE853D">
            <w:pPr>
              <w:autoSpaceDN w:val="0"/>
              <w:jc w:val="both"/>
              <w:rPr>
                <w:rFonts w:hint="eastAsia" w:ascii="Times New Roman" w:hAnsi="宋体"/>
                <w:color w:val="auto"/>
                <w:kern w:val="2"/>
                <w:sz w:val="21"/>
                <w:highlight w:val="none"/>
              </w:rPr>
            </w:pPr>
            <w:r>
              <w:rPr>
                <w:rFonts w:ascii="宋体" w:hAnsi="宋体" w:eastAsia="宋体"/>
                <w:color w:val="auto"/>
                <w:sz w:val="24"/>
                <w:highlight w:val="none"/>
              </w:rPr>
              <w:t>是否接受进口产品：</w:t>
            </w:r>
          </w:p>
          <w:p w14:paraId="683AB6EC">
            <w:pPr>
              <w:autoSpaceDN w:val="0"/>
              <w:jc w:val="both"/>
              <w:rPr>
                <w:rFonts w:hint="eastAsia" w:ascii="宋体" w:hAnsi="宋体" w:eastAsia="宋体" w:cs="宋体"/>
                <w:color w:val="auto"/>
                <w:sz w:val="21"/>
                <w:szCs w:val="21"/>
                <w:highlight w:val="none"/>
              </w:rPr>
            </w:pPr>
            <w:r>
              <w:rPr>
                <w:rFonts w:ascii="Wingdings" w:hAnsi="Wingdings"/>
                <w:color w:val="auto"/>
                <w:kern w:val="2"/>
                <w:sz w:val="24"/>
                <w:highlight w:val="none"/>
              </w:rPr>
              <w:t>þ</w:t>
            </w:r>
            <w:r>
              <w:rPr>
                <w:rFonts w:ascii="宋体" w:hAnsi="宋体" w:eastAsia="宋体"/>
                <w:color w:val="auto"/>
                <w:sz w:val="24"/>
                <w:highlight w:val="none"/>
              </w:rPr>
              <w:t>否，本项目所有采购货物均不接受进口产品。</w:t>
            </w:r>
          </w:p>
        </w:tc>
      </w:tr>
      <w:tr w14:paraId="7EF0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1B6FB7C">
            <w:pPr>
              <w:autoSpaceDN w:val="0"/>
              <w:jc w:val="center"/>
              <w:rPr>
                <w:rFonts w:hint="eastAsia" w:ascii="宋体" w:hAnsi="宋体" w:eastAsia="宋体" w:cs="宋体"/>
                <w:color w:val="auto"/>
                <w:sz w:val="21"/>
                <w:szCs w:val="21"/>
                <w:highlight w:val="none"/>
              </w:rPr>
            </w:pPr>
            <w:r>
              <w:rPr>
                <w:rFonts w:ascii="宋体" w:hAnsi="宋体" w:eastAsia="宋体"/>
                <w:color w:val="auto"/>
                <w:sz w:val="24"/>
                <w:highlight w:val="none"/>
              </w:rPr>
              <w:t>样品要求</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6247FE3A">
            <w:pPr>
              <w:adjustRightInd/>
              <w:snapToGrid/>
              <w:spacing w:after="0"/>
              <w:rPr>
                <w:rFonts w:hint="eastAsia" w:ascii="宋体" w:hAnsi="宋体" w:eastAsia="宋体" w:cs="宋体"/>
                <w:color w:val="auto"/>
                <w:sz w:val="21"/>
                <w:szCs w:val="21"/>
                <w:highlight w:val="none"/>
              </w:rPr>
            </w:pPr>
            <w:r>
              <w:rPr>
                <w:rFonts w:ascii="宋体" w:hAnsi="宋体" w:eastAsia="宋体"/>
                <w:color w:val="auto"/>
                <w:sz w:val="24"/>
                <w:highlight w:val="none"/>
              </w:rPr>
              <w:t>是否要求递交样品：</w:t>
            </w:r>
            <w:r>
              <w:rPr>
                <w:rFonts w:ascii="Wingdings" w:hAnsi="Wingdings"/>
                <w:color w:val="auto"/>
                <w:kern w:val="2"/>
                <w:sz w:val="24"/>
                <w:highlight w:val="none"/>
              </w:rPr>
              <w:t>þ</w:t>
            </w:r>
            <w:r>
              <w:rPr>
                <w:rFonts w:ascii="宋体" w:hAnsi="宋体" w:eastAsia="宋体"/>
                <w:color w:val="auto"/>
                <w:sz w:val="24"/>
                <w:highlight w:val="none"/>
              </w:rPr>
              <w:t>否</w:t>
            </w:r>
          </w:p>
        </w:tc>
      </w:tr>
      <w:tr w14:paraId="4545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B066439">
            <w:pPr>
              <w:autoSpaceDN w:val="0"/>
              <w:spacing w:line="440" w:lineRule="exact"/>
              <w:jc w:val="center"/>
              <w:rPr>
                <w:rFonts w:hint="eastAsia" w:ascii="宋体" w:hAnsi="宋体" w:eastAsia="宋体" w:cs="宋体"/>
                <w:color w:val="auto"/>
                <w:sz w:val="21"/>
                <w:szCs w:val="21"/>
                <w:highlight w:val="none"/>
              </w:rPr>
            </w:pPr>
            <w:r>
              <w:rPr>
                <w:rFonts w:ascii="宋体" w:hAnsi="宋体" w:eastAsia="宋体"/>
                <w:color w:val="auto"/>
                <w:sz w:val="24"/>
                <w:highlight w:val="none"/>
              </w:rPr>
              <w:t>产品演示要求</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7E8EBF15">
            <w:pPr>
              <w:adjustRightInd/>
              <w:snapToGrid/>
              <w:spacing w:after="0"/>
              <w:rPr>
                <w:rFonts w:hint="eastAsia" w:ascii="宋体" w:hAnsi="宋体" w:eastAsia="宋体" w:cs="宋体"/>
                <w:color w:val="auto"/>
                <w:sz w:val="21"/>
                <w:szCs w:val="21"/>
                <w:highlight w:val="none"/>
              </w:rPr>
            </w:pPr>
            <w:r>
              <w:rPr>
                <w:rFonts w:ascii="宋体" w:hAnsi="宋体" w:eastAsia="宋体"/>
                <w:color w:val="auto"/>
                <w:kern w:val="2"/>
                <w:sz w:val="24"/>
                <w:highlight w:val="none"/>
              </w:rPr>
              <w:t>是否进行产品演示：</w:t>
            </w:r>
            <w:r>
              <w:rPr>
                <w:rFonts w:ascii="Wingdings" w:hAnsi="Wingdings"/>
                <w:color w:val="auto"/>
                <w:kern w:val="2"/>
                <w:sz w:val="24"/>
                <w:highlight w:val="none"/>
              </w:rPr>
              <w:t>þ</w:t>
            </w:r>
            <w:r>
              <w:rPr>
                <w:rFonts w:ascii="宋体" w:hAnsi="宋体" w:eastAsia="宋体"/>
                <w:color w:val="auto"/>
                <w:kern w:val="2"/>
                <w:sz w:val="24"/>
                <w:highlight w:val="none"/>
              </w:rPr>
              <w:t>否</w:t>
            </w:r>
          </w:p>
        </w:tc>
      </w:tr>
      <w:tr w14:paraId="1848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4A84745">
            <w:pPr>
              <w:autoSpaceDN w:val="0"/>
              <w:spacing w:line="440" w:lineRule="exact"/>
              <w:jc w:val="center"/>
              <w:rPr>
                <w:rFonts w:hint="eastAsia" w:ascii="宋体" w:hAnsi="宋体" w:eastAsia="宋体" w:cs="宋体"/>
                <w:color w:val="auto"/>
                <w:sz w:val="21"/>
                <w:szCs w:val="21"/>
                <w:highlight w:val="none"/>
              </w:rPr>
            </w:pPr>
            <w:r>
              <w:rPr>
                <w:rFonts w:ascii="宋体" w:hAnsi="宋体" w:eastAsia="宋体"/>
                <w:b/>
                <w:color w:val="auto"/>
                <w:sz w:val="24"/>
                <w:highlight w:val="none"/>
              </w:rPr>
              <w:t>核心产品</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55319C68">
            <w:pPr>
              <w:autoSpaceDN w:val="0"/>
              <w:spacing w:line="440" w:lineRule="exact"/>
              <w:jc w:val="both"/>
              <w:rPr>
                <w:rFonts w:hint="eastAsia" w:ascii="Times New Roman" w:hAnsi="宋体"/>
                <w:color w:val="auto"/>
                <w:kern w:val="2"/>
                <w:sz w:val="21"/>
                <w:highlight w:val="none"/>
              </w:rPr>
            </w:pPr>
            <w:r>
              <w:rPr>
                <w:rFonts w:ascii="宋体" w:hAnsi="宋体" w:eastAsia="宋体"/>
                <w:b/>
                <w:color w:val="auto"/>
                <w:sz w:val="24"/>
                <w:highlight w:val="none"/>
              </w:rPr>
              <w:t>本项目</w:t>
            </w:r>
            <w:r>
              <w:rPr>
                <w:rFonts w:hint="eastAsia" w:ascii="宋体" w:hAnsi="宋体" w:eastAsia="宋体"/>
                <w:b/>
                <w:color w:val="auto"/>
                <w:sz w:val="24"/>
                <w:highlight w:val="none"/>
                <w:u w:val="single"/>
              </w:rPr>
              <w:t>电动平移监室门</w:t>
            </w:r>
            <w:r>
              <w:rPr>
                <w:rFonts w:ascii="宋体" w:hAnsi="宋体" w:eastAsia="宋体"/>
                <w:b/>
                <w:color w:val="auto"/>
                <w:sz w:val="24"/>
                <w:highlight w:val="none"/>
              </w:rPr>
              <w:t>为核心产品。</w:t>
            </w:r>
          </w:p>
          <w:p w14:paraId="1C738F2E">
            <w:pPr>
              <w:adjustRightInd/>
              <w:snapToGrid/>
              <w:spacing w:after="0"/>
              <w:rPr>
                <w:rFonts w:hint="eastAsia" w:ascii="宋体" w:hAnsi="宋体" w:eastAsia="宋体" w:cs="宋体"/>
                <w:color w:val="auto"/>
                <w:sz w:val="21"/>
                <w:szCs w:val="21"/>
                <w:highlight w:val="none"/>
              </w:rPr>
            </w:pPr>
            <w:r>
              <w:rPr>
                <w:rFonts w:ascii="宋体" w:hAnsi="宋体" w:eastAsia="宋体"/>
                <w:color w:val="auto"/>
                <w:sz w:val="24"/>
                <w:highlight w:val="none"/>
              </w:rPr>
              <w:t>提供相同品牌产品且通过资格审查、符合性审查的不同投标人参加同一合同项下投标的，按一家投标人计算，评审后得分最高的同品牌投标人获得</w:t>
            </w:r>
            <w:r>
              <w:rPr>
                <w:rFonts w:hint="eastAsia" w:ascii="宋体" w:hAnsi="宋体" w:eastAsia="宋体"/>
                <w:color w:val="auto"/>
                <w:sz w:val="24"/>
                <w:highlight w:val="none"/>
              </w:rPr>
              <w:t>成交</w:t>
            </w:r>
            <w:r>
              <w:rPr>
                <w:rFonts w:ascii="宋体" w:hAnsi="宋体" w:eastAsia="宋体"/>
                <w:color w:val="auto"/>
                <w:sz w:val="24"/>
                <w:highlight w:val="none"/>
              </w:rPr>
              <w:t>人推荐资格；评审得分相同的，由采购人或者采购人委托评标委员会按照</w:t>
            </w:r>
            <w:r>
              <w:rPr>
                <w:rFonts w:hint="eastAsia" w:ascii="宋体" w:hAnsi="宋体" w:eastAsia="宋体"/>
                <w:color w:val="auto"/>
                <w:sz w:val="24"/>
                <w:highlight w:val="none"/>
              </w:rPr>
              <w:t>谈判文件</w:t>
            </w:r>
            <w:r>
              <w:rPr>
                <w:rFonts w:ascii="宋体" w:hAnsi="宋体" w:eastAsia="宋体"/>
                <w:color w:val="auto"/>
                <w:sz w:val="24"/>
                <w:highlight w:val="none"/>
              </w:rPr>
              <w:t>规定的方式确定一个投标人获得</w:t>
            </w:r>
            <w:r>
              <w:rPr>
                <w:rFonts w:hint="eastAsia" w:ascii="宋体" w:hAnsi="宋体" w:eastAsia="宋体"/>
                <w:color w:val="auto"/>
                <w:sz w:val="24"/>
                <w:highlight w:val="none"/>
              </w:rPr>
              <w:t>成交</w:t>
            </w:r>
            <w:r>
              <w:rPr>
                <w:rFonts w:ascii="宋体" w:hAnsi="宋体" w:eastAsia="宋体"/>
                <w:color w:val="auto"/>
                <w:sz w:val="24"/>
                <w:highlight w:val="none"/>
              </w:rPr>
              <w:t>人推荐资格，</w:t>
            </w:r>
            <w:r>
              <w:rPr>
                <w:rFonts w:hint="eastAsia" w:ascii="宋体" w:hAnsi="宋体" w:eastAsia="宋体"/>
                <w:color w:val="auto"/>
                <w:sz w:val="24"/>
                <w:highlight w:val="none"/>
              </w:rPr>
              <w:t>谈判文件</w:t>
            </w:r>
            <w:r>
              <w:rPr>
                <w:rFonts w:ascii="宋体" w:hAnsi="宋体" w:eastAsia="宋体"/>
                <w:color w:val="auto"/>
                <w:sz w:val="24"/>
                <w:highlight w:val="none"/>
              </w:rPr>
              <w:t>未规定的采取随机抽取方式确定，其他同品牌投标人不作为</w:t>
            </w:r>
            <w:r>
              <w:rPr>
                <w:rFonts w:hint="eastAsia" w:ascii="宋体" w:hAnsi="宋体" w:eastAsia="宋体"/>
                <w:color w:val="auto"/>
                <w:sz w:val="24"/>
                <w:highlight w:val="none"/>
              </w:rPr>
              <w:t>成交</w:t>
            </w:r>
            <w:r>
              <w:rPr>
                <w:rFonts w:ascii="宋体" w:hAnsi="宋体" w:eastAsia="宋体"/>
                <w:color w:val="auto"/>
                <w:sz w:val="24"/>
                <w:highlight w:val="none"/>
              </w:rPr>
              <w:t>候选人。</w:t>
            </w:r>
          </w:p>
        </w:tc>
      </w:tr>
      <w:tr w14:paraId="6D4C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33"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28953AF">
            <w:pPr>
              <w:autoSpaceDN w:val="0"/>
              <w:spacing w:line="440" w:lineRule="exact"/>
              <w:jc w:val="center"/>
              <w:rPr>
                <w:rFonts w:hint="eastAsia" w:ascii="宋体" w:hAnsi="宋体" w:eastAsia="宋体" w:cs="宋体"/>
                <w:color w:val="auto"/>
                <w:sz w:val="21"/>
                <w:szCs w:val="21"/>
                <w:highlight w:val="none"/>
              </w:rPr>
            </w:pPr>
            <w:r>
              <w:rPr>
                <w:rFonts w:ascii="宋体" w:hAnsi="宋体" w:eastAsia="宋体"/>
                <w:color w:val="auto"/>
                <w:sz w:val="24"/>
                <w:highlight w:val="none"/>
              </w:rPr>
              <w:t>备品备件及易损件</w:t>
            </w:r>
          </w:p>
        </w:tc>
        <w:tc>
          <w:tcPr>
            <w:tcW w:w="4166" w:type="pct"/>
            <w:tcBorders>
              <w:top w:val="single" w:color="000000" w:sz="8" w:space="0"/>
              <w:left w:val="nil"/>
              <w:bottom w:val="single" w:color="000000" w:sz="8" w:space="0"/>
            </w:tcBorders>
            <w:tcMar>
              <w:top w:w="0" w:type="dxa"/>
              <w:left w:w="108" w:type="dxa"/>
              <w:bottom w:w="0" w:type="dxa"/>
              <w:right w:w="108" w:type="dxa"/>
            </w:tcMar>
            <w:vAlign w:val="center"/>
          </w:tcPr>
          <w:p w14:paraId="0FF962B3">
            <w:pPr>
              <w:adjustRightInd/>
              <w:snapToGrid/>
              <w:spacing w:after="0"/>
              <w:rPr>
                <w:rFonts w:hint="eastAsia" w:ascii="宋体" w:hAnsi="宋体" w:eastAsia="宋体" w:cs="宋体"/>
                <w:color w:val="auto"/>
                <w:sz w:val="21"/>
                <w:szCs w:val="21"/>
                <w:highlight w:val="none"/>
              </w:rPr>
            </w:pPr>
            <w:r>
              <w:rPr>
                <w:rFonts w:hint="eastAsia" w:ascii="宋体" w:hAnsi="宋体" w:eastAsia="宋体"/>
                <w:color w:val="auto"/>
                <w:sz w:val="24"/>
                <w:highlight w:val="none"/>
              </w:rPr>
              <w:t>成交</w:t>
            </w:r>
            <w:r>
              <w:rPr>
                <w:rFonts w:ascii="宋体" w:hAnsi="宋体" w:eastAsia="宋体"/>
                <w:color w:val="auto"/>
                <w:sz w:val="24"/>
                <w:highlight w:val="none"/>
              </w:rPr>
              <w:t>人售后服务中，维修使用的备品备件及易损件应为原厂配件，未经采购人同意不得使用非原厂配件，质保期内维修使用的备品备件及易损件的费用，由</w:t>
            </w:r>
            <w:r>
              <w:rPr>
                <w:rFonts w:hint="eastAsia" w:ascii="宋体" w:hAnsi="宋体" w:eastAsia="宋体"/>
                <w:color w:val="auto"/>
                <w:sz w:val="24"/>
                <w:highlight w:val="none"/>
              </w:rPr>
              <w:t>成交</w:t>
            </w:r>
            <w:r>
              <w:rPr>
                <w:rFonts w:ascii="宋体" w:hAnsi="宋体" w:eastAsia="宋体"/>
                <w:color w:val="auto"/>
                <w:sz w:val="24"/>
                <w:highlight w:val="none"/>
              </w:rPr>
              <w:t>人承担。质量保证期过后，采购人需要继续由原</w:t>
            </w:r>
            <w:r>
              <w:rPr>
                <w:rFonts w:hint="eastAsia" w:ascii="宋体" w:hAnsi="宋体" w:eastAsia="宋体"/>
                <w:color w:val="auto"/>
                <w:sz w:val="24"/>
                <w:highlight w:val="none"/>
              </w:rPr>
              <w:t>成交</w:t>
            </w:r>
            <w:r>
              <w:rPr>
                <w:rFonts w:ascii="宋体" w:hAnsi="宋体" w:eastAsia="宋体"/>
                <w:color w:val="auto"/>
                <w:sz w:val="24"/>
                <w:highlight w:val="none"/>
              </w:rPr>
              <w:t>人提供售后服务的，该</w:t>
            </w:r>
            <w:r>
              <w:rPr>
                <w:rFonts w:hint="eastAsia" w:ascii="宋体" w:hAnsi="宋体" w:eastAsia="宋体"/>
                <w:color w:val="auto"/>
                <w:sz w:val="24"/>
                <w:highlight w:val="none"/>
              </w:rPr>
              <w:t>成交</w:t>
            </w:r>
            <w:r>
              <w:rPr>
                <w:rFonts w:ascii="宋体" w:hAnsi="宋体" w:eastAsia="宋体"/>
                <w:color w:val="auto"/>
                <w:sz w:val="24"/>
                <w:highlight w:val="none"/>
              </w:rPr>
              <w:t>人应以优惠价格提供售后服务。</w:t>
            </w:r>
          </w:p>
        </w:tc>
      </w:tr>
    </w:tbl>
    <w:p w14:paraId="1A0F2EA9">
      <w:pPr>
        <w:pStyle w:val="16"/>
        <w:jc w:val="both"/>
        <w:rPr>
          <w:color w:val="auto"/>
          <w:highlight w:val="none"/>
        </w:rPr>
      </w:pPr>
    </w:p>
    <w:p w14:paraId="19008046">
      <w:pPr>
        <w:pStyle w:val="2"/>
        <w:spacing w:line="380" w:lineRule="exact"/>
        <w:jc w:val="both"/>
        <w:rPr>
          <w:rFonts w:hint="eastAsia" w:ascii="宋体" w:hAnsi="宋体" w:eastAsia="宋体" w:cs="宋体"/>
          <w:color w:val="auto"/>
          <w:highlight w:val="none"/>
        </w:rPr>
      </w:pPr>
    </w:p>
    <w:p w14:paraId="6309A22B">
      <w:pPr>
        <w:pStyle w:val="2"/>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第四章  </w:t>
      </w:r>
      <w:bookmarkEnd w:id="72"/>
      <w:bookmarkEnd w:id="73"/>
      <w:bookmarkEnd w:id="74"/>
      <w:r>
        <w:rPr>
          <w:rFonts w:hint="eastAsia" w:ascii="宋体" w:hAnsi="宋体" w:eastAsia="宋体" w:cs="宋体"/>
          <w:color w:val="auto"/>
          <w:highlight w:val="none"/>
        </w:rPr>
        <w:t>评审方法及评审标准</w:t>
      </w:r>
      <w:bookmarkEnd w:id="75"/>
    </w:p>
    <w:p w14:paraId="6C8C87B2">
      <w:pPr>
        <w:spacing w:after="0" w:line="380" w:lineRule="exact"/>
        <w:ind w:firstLine="482" w:firstLineChars="200"/>
        <w:outlineLvl w:val="1"/>
        <w:rPr>
          <w:rFonts w:hint="eastAsia" w:ascii="宋体" w:hAnsi="宋体" w:eastAsia="宋体" w:cs="宋体"/>
          <w:b/>
          <w:bCs/>
          <w:color w:val="auto"/>
          <w:sz w:val="24"/>
          <w:highlight w:val="none"/>
        </w:rPr>
      </w:pPr>
      <w:bookmarkStart w:id="76" w:name="_Toc8052"/>
      <w:r>
        <w:rPr>
          <w:rFonts w:hint="eastAsia" w:ascii="宋体" w:hAnsi="宋体" w:eastAsia="宋体" w:cs="宋体"/>
          <w:b/>
          <w:bCs/>
          <w:color w:val="auto"/>
          <w:sz w:val="24"/>
          <w:highlight w:val="none"/>
        </w:rPr>
        <w:t>一、评审原则</w:t>
      </w:r>
      <w:bookmarkEnd w:id="76"/>
    </w:p>
    <w:p w14:paraId="5D6D35C9">
      <w:pPr>
        <w:spacing w:after="0"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谈判小组成员构成：本采购项目的谈判小组成员分别由依法抽取的政府采购评审专家、采购人代表共三人及以上单数构成，其中政府采购评审专家人数不少于谈判小组成员总数的三分之二。</w:t>
      </w:r>
    </w:p>
    <w:p w14:paraId="6898C014">
      <w:pPr>
        <w:spacing w:after="0"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评审依据：谈判小组将以竞争性谈判文件为评标依据，对竞标人的响应文件进行资格性及符合性审查，以确定其是否符合资格条件及满足采购文件的实质性要求。</w:t>
      </w:r>
    </w:p>
    <w:p w14:paraId="1DA6C475">
      <w:pPr>
        <w:spacing w:after="0"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bCs/>
          <w:color w:val="auto"/>
          <w:sz w:val="24"/>
          <w:highlight w:val="none"/>
        </w:rPr>
        <w:t>评审方法：最低评标价法。</w:t>
      </w:r>
    </w:p>
    <w:p w14:paraId="69B433F0">
      <w:pPr>
        <w:spacing w:after="0" w:line="38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4．评审程序</w:t>
      </w:r>
    </w:p>
    <w:p w14:paraId="3BEBE6BE">
      <w:pPr>
        <w:widowControl w:val="0"/>
        <w:numPr>
          <w:ilvl w:val="0"/>
          <w:numId w:val="2"/>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资格性检查；</w:t>
      </w:r>
    </w:p>
    <w:p w14:paraId="1D3EB1E9">
      <w:pPr>
        <w:widowControl w:val="0"/>
        <w:numPr>
          <w:ilvl w:val="0"/>
          <w:numId w:val="2"/>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符合性检查；</w:t>
      </w:r>
    </w:p>
    <w:p w14:paraId="7C9D4699">
      <w:pPr>
        <w:widowControl w:val="0"/>
        <w:numPr>
          <w:ilvl w:val="0"/>
          <w:numId w:val="2"/>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谈判；</w:t>
      </w:r>
    </w:p>
    <w:p w14:paraId="6FB838F5">
      <w:pPr>
        <w:widowControl w:val="0"/>
        <w:numPr>
          <w:ilvl w:val="0"/>
          <w:numId w:val="2"/>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重新提交响应文件（如谈判文件有实质性变动或谈判后确定最终设计解决方案）；</w:t>
      </w:r>
    </w:p>
    <w:p w14:paraId="4E465C5E">
      <w:pPr>
        <w:widowControl w:val="0"/>
        <w:numPr>
          <w:ilvl w:val="0"/>
          <w:numId w:val="2"/>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最后报价；</w:t>
      </w:r>
    </w:p>
    <w:p w14:paraId="700F1CD8">
      <w:pPr>
        <w:widowControl w:val="0"/>
        <w:numPr>
          <w:ilvl w:val="0"/>
          <w:numId w:val="2"/>
        </w:numPr>
        <w:adjustRightInd/>
        <w:snapToGrid/>
        <w:spacing w:after="0" w:line="38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推荐成交候选竞标人名单。</w:t>
      </w:r>
    </w:p>
    <w:p w14:paraId="17D254B5">
      <w:pPr>
        <w:spacing w:after="0" w:line="380" w:lineRule="exact"/>
        <w:ind w:firstLine="482" w:firstLineChars="200"/>
        <w:outlineLvl w:val="1"/>
        <w:rPr>
          <w:rFonts w:hint="eastAsia" w:ascii="宋体" w:hAnsi="宋体" w:eastAsia="宋体" w:cs="宋体"/>
          <w:b/>
          <w:bCs/>
          <w:color w:val="auto"/>
          <w:sz w:val="24"/>
          <w:highlight w:val="none"/>
        </w:rPr>
      </w:pPr>
      <w:bookmarkStart w:id="77" w:name="_Toc17167"/>
      <w:r>
        <w:rPr>
          <w:rFonts w:hint="eastAsia" w:ascii="宋体" w:hAnsi="宋体" w:eastAsia="宋体" w:cs="宋体"/>
          <w:b/>
          <w:bCs/>
          <w:color w:val="auto"/>
          <w:sz w:val="24"/>
          <w:highlight w:val="none"/>
        </w:rPr>
        <w:t>二、评审标准</w:t>
      </w:r>
      <w:bookmarkEnd w:id="77"/>
    </w:p>
    <w:p w14:paraId="4A9BD7CD">
      <w:pPr>
        <w:spacing w:after="0" w:line="38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1、资格性检查</w:t>
      </w:r>
    </w:p>
    <w:p w14:paraId="00B423E9">
      <w:pPr>
        <w:spacing w:after="0"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由谈判小组对所有竞标人的响应文件进行资格审查。以确定竞标人是否具备竞标资格。资格性检查表如下，缺少任何一项或有任何一项不合格者，其资格性审查视为不合格。</w:t>
      </w:r>
    </w:p>
    <w:tbl>
      <w:tblPr>
        <w:tblStyle w:val="41"/>
        <w:tblW w:w="9721" w:type="dxa"/>
        <w:jc w:val="center"/>
        <w:tblLayout w:type="fixed"/>
        <w:tblCellMar>
          <w:top w:w="0" w:type="dxa"/>
          <w:left w:w="108" w:type="dxa"/>
          <w:bottom w:w="0" w:type="dxa"/>
          <w:right w:w="108" w:type="dxa"/>
        </w:tblCellMar>
      </w:tblPr>
      <w:tblGrid>
        <w:gridCol w:w="742"/>
        <w:gridCol w:w="1101"/>
        <w:gridCol w:w="1956"/>
        <w:gridCol w:w="5922"/>
      </w:tblGrid>
      <w:tr w14:paraId="7B98226E">
        <w:tblPrEx>
          <w:tblCellMar>
            <w:top w:w="0" w:type="dxa"/>
            <w:left w:w="108" w:type="dxa"/>
            <w:bottom w:w="0" w:type="dxa"/>
            <w:right w:w="108" w:type="dxa"/>
          </w:tblCellMar>
        </w:tblPrEx>
        <w:trPr>
          <w:trHeight w:val="510" w:hRule="atLeast"/>
          <w:tblHeader/>
          <w:jc w:val="center"/>
        </w:trPr>
        <w:tc>
          <w:tcPr>
            <w:tcW w:w="742" w:type="dxa"/>
            <w:tcBorders>
              <w:top w:val="single" w:color="auto" w:sz="4" w:space="0"/>
              <w:left w:val="single" w:color="auto" w:sz="4" w:space="0"/>
              <w:bottom w:val="single" w:color="auto" w:sz="4" w:space="0"/>
              <w:right w:val="single" w:color="auto" w:sz="4" w:space="0"/>
            </w:tcBorders>
            <w:vAlign w:val="center"/>
          </w:tcPr>
          <w:p w14:paraId="5712DF3C">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57" w:type="dxa"/>
            <w:gridSpan w:val="2"/>
            <w:tcBorders>
              <w:top w:val="single" w:color="auto" w:sz="4" w:space="0"/>
              <w:left w:val="nil"/>
              <w:bottom w:val="single" w:color="auto" w:sz="4" w:space="0"/>
              <w:right w:val="single" w:color="auto" w:sz="4" w:space="0"/>
            </w:tcBorders>
            <w:vAlign w:val="center"/>
          </w:tcPr>
          <w:p w14:paraId="1C07DEA3">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5922" w:type="dxa"/>
            <w:tcBorders>
              <w:top w:val="single" w:color="auto" w:sz="4" w:space="0"/>
              <w:left w:val="nil"/>
              <w:bottom w:val="single" w:color="auto" w:sz="4" w:space="0"/>
              <w:right w:val="single" w:color="auto" w:sz="4" w:space="0"/>
            </w:tcBorders>
            <w:vAlign w:val="center"/>
          </w:tcPr>
          <w:p w14:paraId="48AD45D3">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评审内容及评审标准</w:t>
            </w:r>
          </w:p>
        </w:tc>
      </w:tr>
      <w:tr w14:paraId="54B4E4C5">
        <w:tblPrEx>
          <w:tblCellMar>
            <w:top w:w="0" w:type="dxa"/>
            <w:left w:w="108" w:type="dxa"/>
            <w:bottom w:w="0" w:type="dxa"/>
            <w:right w:w="108" w:type="dxa"/>
          </w:tblCellMar>
        </w:tblPrEx>
        <w:trPr>
          <w:trHeight w:val="1233" w:hRule="atLeast"/>
          <w:jc w:val="center"/>
        </w:trPr>
        <w:tc>
          <w:tcPr>
            <w:tcW w:w="742" w:type="dxa"/>
            <w:vMerge w:val="restart"/>
            <w:tcBorders>
              <w:top w:val="nil"/>
              <w:left w:val="single" w:color="auto" w:sz="4" w:space="0"/>
              <w:bottom w:val="single" w:color="auto" w:sz="4" w:space="0"/>
              <w:right w:val="single" w:color="auto" w:sz="4" w:space="0"/>
            </w:tcBorders>
            <w:vAlign w:val="center"/>
          </w:tcPr>
          <w:p w14:paraId="6778A0D6">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1" w:type="dxa"/>
            <w:vMerge w:val="restart"/>
            <w:tcBorders>
              <w:top w:val="nil"/>
              <w:left w:val="single" w:color="auto" w:sz="4" w:space="0"/>
              <w:bottom w:val="single" w:color="auto" w:sz="4" w:space="0"/>
              <w:right w:val="single" w:color="auto" w:sz="4" w:space="0"/>
            </w:tcBorders>
            <w:vAlign w:val="center"/>
          </w:tcPr>
          <w:p w14:paraId="4FF6035D">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竞标人应符合的基本资格条件</w:t>
            </w:r>
          </w:p>
        </w:tc>
        <w:tc>
          <w:tcPr>
            <w:tcW w:w="1956" w:type="dxa"/>
            <w:tcBorders>
              <w:top w:val="nil"/>
              <w:left w:val="nil"/>
              <w:bottom w:val="single" w:color="auto" w:sz="4" w:space="0"/>
              <w:right w:val="single" w:color="auto" w:sz="4" w:space="0"/>
            </w:tcBorders>
            <w:vAlign w:val="center"/>
          </w:tcPr>
          <w:p w14:paraId="5A7F56F5">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922" w:type="dxa"/>
            <w:tcBorders>
              <w:top w:val="nil"/>
              <w:left w:val="nil"/>
              <w:bottom w:val="single" w:color="auto" w:sz="4" w:space="0"/>
              <w:right w:val="single" w:color="auto" w:sz="4" w:space="0"/>
            </w:tcBorders>
            <w:vAlign w:val="center"/>
          </w:tcPr>
          <w:p w14:paraId="660FC70A">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审查法人或者其他组织的营业执照等证明文件、自然人的身份证明。须按以下要求提供，材料须有效。</w:t>
            </w:r>
          </w:p>
          <w:p w14:paraId="4E590D7C">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竞标人是企业则审查营业执照 （副本） 复印件；竞标人是事业单位，则审查事业单位法人证书（副本）复印件；竞标人是非企业专业服务机构的，则审查执业许可证等证明文件复印件；竞标人是个体工商户，则审查个体工商户营业执照复印件；竞标人是自然人，则审查自然人身份证明复印件；如竞标人不是以上所列的法人、组织、自然人的，则提供国家规定的相关证明材料。</w:t>
            </w:r>
          </w:p>
        </w:tc>
      </w:tr>
      <w:tr w14:paraId="676AB297">
        <w:tblPrEx>
          <w:tblCellMar>
            <w:top w:w="0" w:type="dxa"/>
            <w:left w:w="108" w:type="dxa"/>
            <w:bottom w:w="0" w:type="dxa"/>
            <w:right w:w="108" w:type="dxa"/>
          </w:tblCellMar>
        </w:tblPrEx>
        <w:trPr>
          <w:jc w:val="center"/>
        </w:trPr>
        <w:tc>
          <w:tcPr>
            <w:tcW w:w="742" w:type="dxa"/>
            <w:vMerge w:val="continue"/>
            <w:tcBorders>
              <w:top w:val="nil"/>
              <w:left w:val="single" w:color="auto" w:sz="4" w:space="0"/>
              <w:bottom w:val="single" w:color="auto" w:sz="4" w:space="0"/>
              <w:right w:val="single" w:color="auto" w:sz="4" w:space="0"/>
            </w:tcBorders>
            <w:vAlign w:val="center"/>
          </w:tcPr>
          <w:p w14:paraId="79DD255D">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4895BCA4">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6B1C9EB6">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5922" w:type="dxa"/>
            <w:tcBorders>
              <w:top w:val="nil"/>
              <w:left w:val="nil"/>
              <w:bottom w:val="single" w:color="auto" w:sz="4" w:space="0"/>
              <w:right w:val="single" w:color="auto" w:sz="4" w:space="0"/>
            </w:tcBorders>
            <w:vAlign w:val="center"/>
          </w:tcPr>
          <w:p w14:paraId="654A87C3">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2024年度经第三方审计的财务报表（账务报表至少包含资产负债表、利润表、现金流量表及其附注、审计报告）复印件或竞标人提交响应文件截止之日前三个月内其基本开户银行出具的银行资信证明（仅提供银行出具的存款证明不能作为其银行资信证明）复印件；</w:t>
            </w:r>
          </w:p>
        </w:tc>
      </w:tr>
      <w:tr w14:paraId="1F768E21">
        <w:tblPrEx>
          <w:tblCellMar>
            <w:top w:w="0" w:type="dxa"/>
            <w:left w:w="108" w:type="dxa"/>
            <w:bottom w:w="0" w:type="dxa"/>
            <w:right w:w="108" w:type="dxa"/>
          </w:tblCellMar>
        </w:tblPrEx>
        <w:trPr>
          <w:trHeight w:val="81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4261439A">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4FF74F03">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5F63B6CF">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5922" w:type="dxa"/>
            <w:tcBorders>
              <w:top w:val="nil"/>
              <w:left w:val="nil"/>
              <w:bottom w:val="single" w:color="auto" w:sz="4" w:space="0"/>
              <w:right w:val="single" w:color="auto" w:sz="4" w:space="0"/>
            </w:tcBorders>
            <w:vAlign w:val="center"/>
          </w:tcPr>
          <w:p w14:paraId="59BF7050">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审查“具备履行合同所必需的设备和专业技术服务能力的承诺书”。</w:t>
            </w:r>
          </w:p>
        </w:tc>
      </w:tr>
      <w:tr w14:paraId="18984488">
        <w:tblPrEx>
          <w:tblCellMar>
            <w:top w:w="0" w:type="dxa"/>
            <w:left w:w="108" w:type="dxa"/>
            <w:bottom w:w="0" w:type="dxa"/>
            <w:right w:w="108" w:type="dxa"/>
          </w:tblCellMar>
        </w:tblPrEx>
        <w:trPr>
          <w:trHeight w:val="220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713A1ED4">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02528948">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1C9BF644">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tc>
        <w:tc>
          <w:tcPr>
            <w:tcW w:w="5922" w:type="dxa"/>
            <w:tcBorders>
              <w:top w:val="nil"/>
              <w:left w:val="nil"/>
              <w:bottom w:val="single" w:color="auto" w:sz="4" w:space="0"/>
              <w:right w:val="single" w:color="auto" w:sz="4" w:space="0"/>
            </w:tcBorders>
            <w:vAlign w:val="center"/>
          </w:tcPr>
          <w:p w14:paraId="5D97B993">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①审查提交响应文件截止之日</w:t>
            </w:r>
            <w:r>
              <w:rPr>
                <w:rFonts w:hint="eastAsia" w:ascii="宋体" w:hAnsi="宋体" w:eastAsia="宋体" w:cs="宋体"/>
                <w:color w:val="auto"/>
                <w:sz w:val="24"/>
                <w:highlight w:val="none"/>
              </w:rPr>
              <w:t>前近半年以来连续三个月</w:t>
            </w:r>
            <w:r>
              <w:rPr>
                <w:rFonts w:hint="eastAsia" w:ascii="宋体" w:hAnsi="宋体" w:eastAsia="宋体" w:cs="宋体"/>
                <w:color w:val="auto"/>
                <w:sz w:val="24"/>
                <w:szCs w:val="24"/>
                <w:highlight w:val="none"/>
              </w:rPr>
              <w:t>依法缴纳税费证明复印件。</w:t>
            </w:r>
          </w:p>
          <w:p w14:paraId="74083BB4">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②审查提交响应文件截止之日前近半年以来连续三个月依法缴纳社会保险费证明记录复印件。</w:t>
            </w:r>
          </w:p>
          <w:p w14:paraId="50C692CC">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竞标人成立不足3个月的，无须提供缴纳税费证明及社保缴费证明。依法免税的竞标人，须提供相应文件证明其依法免税</w:t>
            </w:r>
          </w:p>
        </w:tc>
      </w:tr>
      <w:tr w14:paraId="7C712C09">
        <w:tblPrEx>
          <w:tblCellMar>
            <w:top w:w="0" w:type="dxa"/>
            <w:left w:w="108" w:type="dxa"/>
            <w:bottom w:w="0" w:type="dxa"/>
            <w:right w:w="108" w:type="dxa"/>
          </w:tblCellMar>
        </w:tblPrEx>
        <w:trPr>
          <w:trHeight w:val="81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1717DEB3">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6EC98330">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2720C8FB">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tc>
        <w:tc>
          <w:tcPr>
            <w:tcW w:w="5922" w:type="dxa"/>
            <w:tcBorders>
              <w:top w:val="nil"/>
              <w:left w:val="nil"/>
              <w:bottom w:val="single" w:color="auto" w:sz="4" w:space="0"/>
              <w:right w:val="single" w:color="auto" w:sz="4" w:space="0"/>
            </w:tcBorders>
            <w:vAlign w:val="center"/>
          </w:tcPr>
          <w:p w14:paraId="60AEF2F8">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审查无重大违法记录声明，格式见第六章响应文件格式“参加政府采购活动前三年内在经营活动中没有重大违法记录的书面声明”。</w:t>
            </w:r>
          </w:p>
        </w:tc>
      </w:tr>
      <w:tr w14:paraId="127D923F">
        <w:tblPrEx>
          <w:tblCellMar>
            <w:top w:w="0" w:type="dxa"/>
            <w:left w:w="108" w:type="dxa"/>
            <w:bottom w:w="0" w:type="dxa"/>
            <w:right w:w="108" w:type="dxa"/>
          </w:tblCellMar>
        </w:tblPrEx>
        <w:trPr>
          <w:jc w:val="center"/>
        </w:trPr>
        <w:tc>
          <w:tcPr>
            <w:tcW w:w="742" w:type="dxa"/>
            <w:vMerge w:val="continue"/>
            <w:tcBorders>
              <w:top w:val="nil"/>
              <w:left w:val="single" w:color="auto" w:sz="4" w:space="0"/>
              <w:bottom w:val="single" w:color="auto" w:sz="4" w:space="0"/>
              <w:right w:val="single" w:color="auto" w:sz="4" w:space="0"/>
            </w:tcBorders>
            <w:vAlign w:val="center"/>
          </w:tcPr>
          <w:p w14:paraId="175A2753">
            <w:pPr>
              <w:adjustRightInd/>
              <w:snapToGrid/>
              <w:spacing w:after="0" w:line="360" w:lineRule="exact"/>
              <w:rPr>
                <w:rFonts w:hint="eastAsia" w:ascii="宋体" w:hAnsi="宋体" w:eastAsia="宋体" w:cs="宋体"/>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4280ABE9">
            <w:pPr>
              <w:adjustRightInd/>
              <w:snapToGrid/>
              <w:spacing w:after="0" w:line="360" w:lineRule="exact"/>
              <w:rPr>
                <w:rFonts w:hint="eastAsia" w:ascii="宋体" w:hAnsi="宋体" w:eastAsia="宋体" w:cs="宋体"/>
                <w:color w:val="auto"/>
                <w:sz w:val="24"/>
                <w:szCs w:val="24"/>
                <w:highlight w:val="none"/>
              </w:rPr>
            </w:pPr>
          </w:p>
        </w:tc>
        <w:tc>
          <w:tcPr>
            <w:tcW w:w="1956" w:type="dxa"/>
            <w:tcBorders>
              <w:top w:val="nil"/>
              <w:left w:val="nil"/>
              <w:bottom w:val="single" w:color="auto" w:sz="4" w:space="0"/>
              <w:right w:val="single" w:color="auto" w:sz="4" w:space="0"/>
            </w:tcBorders>
            <w:vAlign w:val="center"/>
          </w:tcPr>
          <w:p w14:paraId="54E19CE5">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（6）诚信要求</w:t>
            </w:r>
          </w:p>
        </w:tc>
        <w:tc>
          <w:tcPr>
            <w:tcW w:w="5922" w:type="dxa"/>
            <w:tcBorders>
              <w:top w:val="nil"/>
              <w:left w:val="nil"/>
              <w:bottom w:val="single" w:color="auto" w:sz="4" w:space="0"/>
              <w:right w:val="single" w:color="auto" w:sz="4" w:space="0"/>
            </w:tcBorders>
            <w:vAlign w:val="center"/>
          </w:tcPr>
          <w:p w14:paraId="435E86B0">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A、审核要求：竞标人未被列入失信被执行人、重大税收违法失信主体、政府采购严重违法失信行为记录名单。</w:t>
            </w:r>
          </w:p>
          <w:p w14:paraId="6A39975D">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B、审核内容：竞标人在“信用中国”网站（www.creditchina.gov.cn）、中国政府采购网（www.ccgp.gov.cn）的主体信用记录查询结果或界面截图（</w:t>
            </w:r>
            <w:r>
              <w:rPr>
                <w:rFonts w:hint="eastAsia" w:ascii="宋体" w:hAnsi="宋体" w:eastAsia="宋体" w:cs="宋体"/>
                <w:color w:val="auto"/>
                <w:sz w:val="24"/>
                <w:highlight w:val="none"/>
              </w:rPr>
              <w:t>由采购人或采购代理机构对竞标人进行信用信息查询，并将查询结果提供给谈判小组</w:t>
            </w:r>
            <w:r>
              <w:rPr>
                <w:rFonts w:hint="eastAsia" w:ascii="宋体" w:hAnsi="宋体" w:eastAsia="宋体" w:cs="宋体"/>
                <w:color w:val="auto"/>
                <w:sz w:val="24"/>
                <w:szCs w:val="24"/>
                <w:highlight w:val="none"/>
              </w:rPr>
              <w:t>）。</w:t>
            </w:r>
          </w:p>
          <w:p w14:paraId="280898D4">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①“信用中国”查询内容：失信被执行人、重大税收违法失信主体、政府采购严重违法失信行为记录名单查询结果或界面截图；查询或打印截止时点：</w:t>
            </w:r>
            <w:r>
              <w:rPr>
                <w:rFonts w:hint="eastAsia" w:ascii="宋体" w:hAnsi="宋体" w:eastAsia="宋体" w:cs="宋体"/>
                <w:color w:val="auto"/>
                <w:sz w:val="24"/>
                <w:highlight w:val="none"/>
              </w:rPr>
              <w:t>递交响应文件截止时间</w:t>
            </w:r>
            <w:r>
              <w:rPr>
                <w:rFonts w:hint="eastAsia" w:ascii="宋体" w:hAnsi="宋体" w:eastAsia="宋体" w:cs="宋体"/>
                <w:color w:val="auto"/>
                <w:sz w:val="24"/>
                <w:szCs w:val="24"/>
                <w:highlight w:val="none"/>
              </w:rPr>
              <w:t>。</w:t>
            </w:r>
          </w:p>
          <w:p w14:paraId="3EC8C6D0">
            <w:pPr>
              <w:adjustRightInd/>
              <w:snapToGrid/>
              <w:spacing w:after="0" w:line="360" w:lineRule="exact"/>
              <w:ind w:firstLine="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②“中国政府采购网”的查询内容：政府采购严重违法失信行为信息记录（查询界面截图须显示竞标人名称以及查询结果）；查询时间：</w:t>
            </w:r>
            <w:r>
              <w:rPr>
                <w:rFonts w:hint="eastAsia" w:ascii="宋体" w:hAnsi="宋体" w:eastAsia="宋体" w:cs="宋体"/>
                <w:color w:val="auto"/>
                <w:sz w:val="24"/>
                <w:highlight w:val="none"/>
              </w:rPr>
              <w:t>递交响应文件截止时间前三年内</w:t>
            </w:r>
            <w:r>
              <w:rPr>
                <w:rFonts w:hint="eastAsia" w:ascii="宋体" w:hAnsi="宋体" w:eastAsia="宋体" w:cs="宋体"/>
                <w:color w:val="auto"/>
                <w:sz w:val="24"/>
                <w:szCs w:val="24"/>
                <w:highlight w:val="none"/>
              </w:rPr>
              <w:t>。</w:t>
            </w:r>
          </w:p>
        </w:tc>
      </w:tr>
      <w:tr w14:paraId="5B5D8075">
        <w:tblPrEx>
          <w:tblCellMar>
            <w:top w:w="0" w:type="dxa"/>
            <w:left w:w="108" w:type="dxa"/>
            <w:bottom w:w="0" w:type="dxa"/>
            <w:right w:w="108" w:type="dxa"/>
          </w:tblCellMar>
        </w:tblPrEx>
        <w:trPr>
          <w:trHeight w:val="2468" w:hRule="atLeast"/>
          <w:jc w:val="center"/>
        </w:trPr>
        <w:tc>
          <w:tcPr>
            <w:tcW w:w="742" w:type="dxa"/>
            <w:tcBorders>
              <w:top w:val="nil"/>
              <w:left w:val="single" w:color="auto" w:sz="4" w:space="0"/>
              <w:bottom w:val="single" w:color="auto" w:sz="4" w:space="0"/>
              <w:right w:val="single" w:color="auto" w:sz="4" w:space="0"/>
            </w:tcBorders>
            <w:vAlign w:val="center"/>
          </w:tcPr>
          <w:p w14:paraId="37249875">
            <w:pPr>
              <w:adjustRightInd/>
              <w:snapToGrid/>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57" w:type="dxa"/>
            <w:gridSpan w:val="2"/>
            <w:tcBorders>
              <w:top w:val="single" w:color="auto" w:sz="4" w:space="0"/>
              <w:left w:val="single" w:color="auto" w:sz="4" w:space="0"/>
              <w:bottom w:val="single" w:color="auto" w:sz="4" w:space="0"/>
              <w:right w:val="single" w:color="auto" w:sz="4" w:space="0"/>
            </w:tcBorders>
            <w:vAlign w:val="center"/>
          </w:tcPr>
          <w:p w14:paraId="35B0F39B">
            <w:pPr>
              <w:adjustRightInd/>
              <w:snapToGrid/>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竞标人不得参加资格性审查的情形</w:t>
            </w:r>
          </w:p>
        </w:tc>
        <w:tc>
          <w:tcPr>
            <w:tcW w:w="5922" w:type="dxa"/>
            <w:tcBorders>
              <w:top w:val="nil"/>
              <w:left w:val="nil"/>
              <w:bottom w:val="single" w:color="auto" w:sz="4" w:space="0"/>
              <w:right w:val="single" w:color="auto" w:sz="4" w:space="0"/>
            </w:tcBorders>
            <w:vAlign w:val="center"/>
          </w:tcPr>
          <w:p w14:paraId="70500364">
            <w:pPr>
              <w:adjustRightInd/>
              <w:snapToGrid/>
              <w:spacing w:after="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竞标人，不得参加本项目同一合同项下的政府采购活动。为本项目提供整体设计、规范编制或者项目管理、监理、检测等服务的竞标人，不得再参加本项目的采购活动。见第六章响应文件格式“竞标人控股及管理关系情况申报表”</w:t>
            </w:r>
          </w:p>
        </w:tc>
      </w:tr>
    </w:tbl>
    <w:p w14:paraId="5CCD14B9">
      <w:pPr>
        <w:spacing w:after="0" w:line="380" w:lineRule="exact"/>
        <w:ind w:firstLine="480" w:firstLineChars="200"/>
        <w:rPr>
          <w:rFonts w:hint="eastAsia" w:ascii="宋体" w:hAnsi="宋体" w:eastAsia="宋体" w:cs="宋体"/>
          <w:color w:val="auto"/>
          <w:sz w:val="24"/>
          <w:highlight w:val="none"/>
        </w:rPr>
      </w:pPr>
    </w:p>
    <w:p w14:paraId="296EE764">
      <w:pPr>
        <w:spacing w:after="0" w:line="38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2、符合性检查 </w:t>
      </w:r>
    </w:p>
    <w:p w14:paraId="2AF42B33">
      <w:pPr>
        <w:spacing w:after="0"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资格性审查结束后，由谈判小组对通过资格性审查的竞标人的响应文件进行符合性审查，以确定竞标人是否满足采购文件的实质性要求。</w:t>
      </w:r>
    </w:p>
    <w:p w14:paraId="4886583D">
      <w:pPr>
        <w:pStyle w:val="6"/>
        <w:keepNext w:val="0"/>
        <w:keepLines w:val="0"/>
        <w:spacing w:before="0" w:after="0" w:line="460" w:lineRule="exact"/>
        <w:ind w:left="44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2.1在报价评审时，如发现下列情形之一的，将被视为投标无效：</w:t>
      </w:r>
    </w:p>
    <w:p w14:paraId="64E25DA9">
      <w:pPr>
        <w:pStyle w:val="7"/>
        <w:numPr>
          <w:ilvl w:val="0"/>
          <w:numId w:val="3"/>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未采用人民币报价或者未按照竞争性谈判文件标明的币种报价的；</w:t>
      </w:r>
    </w:p>
    <w:p w14:paraId="14563375">
      <w:pPr>
        <w:pStyle w:val="7"/>
        <w:numPr>
          <w:ilvl w:val="0"/>
          <w:numId w:val="3"/>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竞标报价超出竞争性谈判文件规定最高限价或者超出采购预算金额的；</w:t>
      </w:r>
    </w:p>
    <w:p w14:paraId="1729A105">
      <w:pPr>
        <w:pStyle w:val="7"/>
        <w:numPr>
          <w:ilvl w:val="0"/>
          <w:numId w:val="3"/>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竞标人未就所投标的进行报价或者存在漏项报价；竞标人未就单项内容作唯一报价；竞标人未就所投项目的全部内容作完整唯一总价报价；</w:t>
      </w:r>
    </w:p>
    <w:p w14:paraId="71DD92EA">
      <w:pPr>
        <w:pStyle w:val="7"/>
        <w:numPr>
          <w:ilvl w:val="0"/>
          <w:numId w:val="3"/>
        </w:numPr>
        <w:spacing w:line="460" w:lineRule="exact"/>
        <w:ind w:firstLine="422"/>
        <w:rPr>
          <w:rFonts w:hint="eastAsia" w:ascii="宋体" w:hAnsi="宋体" w:cs="宋体"/>
          <w:bCs/>
          <w:color w:val="auto"/>
          <w:sz w:val="24"/>
          <w:szCs w:val="24"/>
          <w:highlight w:val="none"/>
        </w:rPr>
      </w:pPr>
      <w:r>
        <w:rPr>
          <w:rFonts w:hint="eastAsia" w:ascii="宋体" w:hAnsi="宋体" w:cs="宋体"/>
          <w:bCs/>
          <w:color w:val="auto"/>
          <w:sz w:val="24"/>
          <w:szCs w:val="24"/>
          <w:highlight w:val="none"/>
        </w:rPr>
        <w:t>修正后的报价，竞标人不确认的；</w:t>
      </w:r>
    </w:p>
    <w:p w14:paraId="2AA3D5B1">
      <w:pPr>
        <w:pStyle w:val="7"/>
        <w:numPr>
          <w:ilvl w:val="0"/>
          <w:numId w:val="3"/>
        </w:numPr>
        <w:spacing w:line="460" w:lineRule="exact"/>
        <w:ind w:firstLine="422"/>
        <w:rPr>
          <w:rFonts w:hint="eastAsia" w:ascii="宋体" w:hAnsi="宋体" w:cs="宋体"/>
          <w:color w:val="auto"/>
          <w:sz w:val="24"/>
          <w:szCs w:val="24"/>
          <w:highlight w:val="none"/>
        </w:rPr>
      </w:pPr>
      <w:r>
        <w:rPr>
          <w:rFonts w:hint="eastAsia" w:ascii="宋体" w:hAnsi="宋体" w:cs="宋体"/>
          <w:bCs/>
          <w:color w:val="auto"/>
          <w:spacing w:val="-6"/>
          <w:sz w:val="24"/>
          <w:szCs w:val="24"/>
          <w:highlight w:val="none"/>
        </w:rPr>
        <w:t>报价文件</w:t>
      </w:r>
      <w:r>
        <w:rPr>
          <w:rFonts w:hint="eastAsia" w:ascii="宋体" w:hAnsi="宋体" w:cs="宋体"/>
          <w:bCs/>
          <w:color w:val="auto"/>
          <w:sz w:val="24"/>
          <w:szCs w:val="24"/>
          <w:highlight w:val="none"/>
        </w:rPr>
        <w:t>响应的标的数量及单位与竞争性谈判文件要求实质性不一致的。</w:t>
      </w:r>
    </w:p>
    <w:p w14:paraId="3DC02532">
      <w:pPr>
        <w:pStyle w:val="6"/>
        <w:keepNext w:val="0"/>
        <w:keepLines w:val="0"/>
        <w:spacing w:before="0" w:after="0" w:line="460" w:lineRule="exact"/>
        <w:ind w:left="44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2.2在商务评审时，如发现下列情形之一的，将被视为投标无效：</w:t>
      </w:r>
    </w:p>
    <w:p w14:paraId="61C56266">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投标文件未按竞争性谈判文件要求签署、盖章的；</w:t>
      </w:r>
    </w:p>
    <w:p w14:paraId="578B5075">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委托代理人未能出具有效身份证或者出具的身份证与授权委托书中的信息不符的；</w:t>
      </w:r>
    </w:p>
    <w:p w14:paraId="6BD38A78">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商务条款评审出现实质性内容要求不满足竞争性谈判文件要求的；</w:t>
      </w:r>
    </w:p>
    <w:p w14:paraId="68E8A1D7">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投标文件的实质性内容未使用中文表述、使用计量单位不符合竞争性谈判文件要求的；</w:t>
      </w:r>
    </w:p>
    <w:p w14:paraId="0D6287D2">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投标文件中的文件资料因填写不齐全或者内容虚假或者出现其他情形而导致被评标委员会认定无效的；</w:t>
      </w:r>
    </w:p>
    <w:p w14:paraId="432DB757">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投标文件含有采购人不能接受的附加条件的；</w:t>
      </w:r>
    </w:p>
    <w:p w14:paraId="3EBE0D8E">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投标文件标注的项目名称或者项目编号与竞争性谈判文件标注的项目名称或者项目编号不一致的；</w:t>
      </w:r>
    </w:p>
    <w:p w14:paraId="51AB9575">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竞争性谈判文件明确不允许分包，投标文件拟分包的；</w:t>
      </w:r>
    </w:p>
    <w:p w14:paraId="4629DD43">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未响应竞争性谈判文件实质性要求的；</w:t>
      </w:r>
    </w:p>
    <w:p w14:paraId="03C288A2">
      <w:pPr>
        <w:numPr>
          <w:ilvl w:val="0"/>
          <w:numId w:val="4"/>
        </w:numPr>
        <w:spacing w:after="0"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法律、法规和竞争性谈判文件规定的其他无效情形。</w:t>
      </w:r>
    </w:p>
    <w:p w14:paraId="4FD69DBF">
      <w:pPr>
        <w:pStyle w:val="6"/>
        <w:keepNext w:val="0"/>
        <w:keepLines w:val="0"/>
        <w:spacing w:before="0" w:after="0" w:line="460" w:lineRule="exact"/>
        <w:ind w:left="440" w:leftChars="200"/>
        <w:rPr>
          <w:rFonts w:hint="eastAsia" w:ascii="宋体" w:hAnsi="宋体" w:cs="宋体"/>
          <w:color w:val="auto"/>
          <w:sz w:val="24"/>
          <w:szCs w:val="24"/>
          <w:highlight w:val="none"/>
        </w:rPr>
      </w:pPr>
      <w:r>
        <w:rPr>
          <w:rFonts w:hint="eastAsia" w:ascii="宋体" w:hAnsi="宋体" w:cs="宋体"/>
          <w:color w:val="auto"/>
          <w:sz w:val="24"/>
          <w:szCs w:val="24"/>
          <w:highlight w:val="none"/>
        </w:rPr>
        <w:t>2.3在技术评审时，如发现下列情形之一的，将被视为投标无效：</w:t>
      </w:r>
    </w:p>
    <w:p w14:paraId="71810222">
      <w:pPr>
        <w:spacing w:after="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（1）技术要求评审</w:t>
      </w:r>
      <w:r>
        <w:rPr>
          <w:rFonts w:hint="eastAsia" w:ascii="宋体" w:hAnsi="宋体" w:eastAsia="宋体" w:cs="宋体"/>
          <w:bCs/>
          <w:color w:val="auto"/>
          <w:sz w:val="24"/>
          <w:szCs w:val="24"/>
          <w:highlight w:val="none"/>
        </w:rPr>
        <w:t>出现实质性内容要求不满足竞争性谈判文件要求的；</w:t>
      </w:r>
    </w:p>
    <w:p w14:paraId="24AE1F65">
      <w:pPr>
        <w:spacing w:after="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（2）虚假投标或投标人的响应与事实不符，或者出现其他情形而导致被评标委员会认定无效的；</w:t>
      </w:r>
    </w:p>
    <w:p w14:paraId="459141C8">
      <w:pPr>
        <w:spacing w:after="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8" w:name="_Hlk71706244"/>
      <w:r>
        <w:rPr>
          <w:rFonts w:hint="eastAsia" w:ascii="宋体" w:hAnsi="宋体" w:eastAsia="宋体" w:cs="宋体"/>
          <w:color w:val="auto"/>
          <w:sz w:val="24"/>
          <w:szCs w:val="24"/>
          <w:highlight w:val="none"/>
        </w:rPr>
        <w:t>竞争性谈判文件未载明允许提供备选（替代）投标方案或明确不允许提供备选（替代）投标方案时，投标人提供了备选（替代）投标方案的；</w:t>
      </w:r>
      <w:bookmarkEnd w:id="78"/>
    </w:p>
    <w:p w14:paraId="278B8860">
      <w:pPr>
        <w:spacing w:after="0" w:line="4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（4）未响应竞争性谈判文件实质性要求的。</w:t>
      </w:r>
    </w:p>
    <w:p w14:paraId="5FC7307E">
      <w:pPr>
        <w:spacing w:after="0" w:line="4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3、详细评审</w:t>
      </w:r>
    </w:p>
    <w:p w14:paraId="7CAFD7DB">
      <w:pPr>
        <w:spacing w:after="0"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（1）谈判小组按谈判文件规定的程序与竞标人进行谈判。对实质性响应谈判文件的竞标人最后报价进行评审。</w:t>
      </w:r>
    </w:p>
    <w:p w14:paraId="09656645">
      <w:pPr>
        <w:spacing w:after="0"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从质量和服务均能满足谈判文件实质性响应要求的供应商中，按照最后报价由低到高的顺序提出3名以上成交候选人（最后报价相同时，依次按节能环保产品优先、技术指标高优先、质量保证期长优先、交货期短优先的顺序排列；报价相同且前述指标均相同时，由谈判小组各成员对相关供应商当场投票表决，得票多者优先；按前述程序仍无法确定供应商排名顺序的，由谈判小组抽签决定），并编写评审报告。</w:t>
      </w:r>
    </w:p>
    <w:p w14:paraId="3F5970EB">
      <w:pPr>
        <w:spacing w:after="0"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（2）成交价格=成交竞标人的最后报价。</w:t>
      </w:r>
    </w:p>
    <w:p w14:paraId="2FB90E54">
      <w:pPr>
        <w:spacing w:after="0"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（3）谈判小组完成评标后，向采购人提交书面评审报告。</w:t>
      </w:r>
    </w:p>
    <w:p w14:paraId="184F11B2">
      <w:pPr>
        <w:spacing w:after="0" w:line="380" w:lineRule="exact"/>
        <w:ind w:firstLine="482" w:firstLineChars="200"/>
        <w:outlineLvl w:val="1"/>
        <w:rPr>
          <w:rFonts w:hint="eastAsia" w:ascii="宋体" w:hAnsi="宋体" w:eastAsia="宋体" w:cs="宋体"/>
          <w:b/>
          <w:bCs/>
          <w:color w:val="auto"/>
          <w:sz w:val="24"/>
          <w:highlight w:val="none"/>
        </w:rPr>
      </w:pPr>
      <w:bookmarkStart w:id="79" w:name="_Toc23866"/>
      <w:r>
        <w:rPr>
          <w:rFonts w:hint="eastAsia" w:ascii="宋体" w:hAnsi="宋体" w:eastAsia="宋体" w:cs="宋体"/>
          <w:b/>
          <w:bCs/>
          <w:color w:val="auto"/>
          <w:sz w:val="24"/>
          <w:highlight w:val="none"/>
        </w:rPr>
        <w:t>三、确定成交</w:t>
      </w:r>
      <w:bookmarkEnd w:id="79"/>
      <w:r>
        <w:rPr>
          <w:rFonts w:hint="eastAsia" w:ascii="宋体" w:hAnsi="宋体" w:eastAsia="宋体" w:cs="宋体"/>
          <w:b/>
          <w:bCs/>
          <w:color w:val="auto"/>
          <w:sz w:val="24"/>
          <w:highlight w:val="none"/>
        </w:rPr>
        <w:t>竞标人</w:t>
      </w:r>
    </w:p>
    <w:p w14:paraId="065AFEBA">
      <w:pPr>
        <w:pStyle w:val="20"/>
        <w:tabs>
          <w:tab w:val="left" w:pos="4214"/>
        </w:tabs>
        <w:spacing w:line="3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1、采购人应当确定谈判小组推荐排名第一的竞标人为成交竞标人。</w:t>
      </w:r>
    </w:p>
    <w:p w14:paraId="332799CE">
      <w:pPr>
        <w:pStyle w:val="20"/>
        <w:spacing w:line="3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w:t>
      </w:r>
      <w:bookmarkStart w:id="80" w:name="_Toc430011367"/>
      <w:r>
        <w:rPr>
          <w:rFonts w:hint="eastAsia" w:hAnsi="宋体" w:cs="宋体"/>
          <w:color w:val="auto"/>
          <w:sz w:val="24"/>
          <w:szCs w:val="24"/>
          <w:highlight w:val="none"/>
        </w:rPr>
        <w:t>如排名第一的成交候选人拒绝与采购人签订合同的，采购人按采购文件有关规定款处理。</w:t>
      </w:r>
    </w:p>
    <w:bookmarkEnd w:id="80"/>
    <w:p w14:paraId="043FC150">
      <w:pPr>
        <w:rPr>
          <w:rFonts w:hint="eastAsia" w:ascii="宋体" w:hAnsi="宋体" w:eastAsia="宋体" w:cs="宋体"/>
          <w:color w:val="auto"/>
          <w:highlight w:val="none"/>
        </w:rPr>
        <w:sectPr>
          <w:pgSz w:w="11907" w:h="16840"/>
          <w:pgMar w:top="1077" w:right="1275" w:bottom="1418" w:left="1077" w:header="624" w:footer="737" w:gutter="0"/>
          <w:cols w:space="720" w:num="1"/>
          <w:docGrid w:linePitch="312" w:charSpace="0"/>
        </w:sectPr>
      </w:pPr>
      <w:bookmarkStart w:id="81" w:name="_Toc246094919"/>
      <w:bookmarkStart w:id="82" w:name="_Toc246095463"/>
      <w:bookmarkStart w:id="83" w:name="_Toc246095525"/>
    </w:p>
    <w:p w14:paraId="0D158EE1">
      <w:pPr>
        <w:pStyle w:val="2"/>
        <w:spacing w:before="240" w:beforeLines="100" w:after="240" w:afterLines="100" w:line="580" w:lineRule="exact"/>
        <w:rPr>
          <w:rFonts w:hint="eastAsia" w:ascii="宋体" w:hAnsi="宋体" w:eastAsia="宋体" w:cs="宋体"/>
          <w:b/>
          <w:bCs/>
          <w:color w:val="auto"/>
          <w:highlight w:val="none"/>
        </w:rPr>
      </w:pPr>
      <w:bookmarkStart w:id="84" w:name="_Toc15224"/>
      <w:r>
        <w:rPr>
          <w:rFonts w:hint="eastAsia" w:ascii="宋体" w:hAnsi="宋体" w:eastAsia="宋体" w:cs="宋体"/>
          <w:b/>
          <w:bCs/>
          <w:color w:val="auto"/>
          <w:highlight w:val="none"/>
        </w:rPr>
        <w:t>第五章  合同条款</w:t>
      </w:r>
      <w:bookmarkEnd w:id="81"/>
      <w:bookmarkEnd w:id="82"/>
      <w:bookmarkEnd w:id="83"/>
      <w:bookmarkEnd w:id="84"/>
    </w:p>
    <w:p w14:paraId="2D44C91E">
      <w:pPr>
        <w:spacing w:line="400" w:lineRule="exact"/>
        <w:jc w:val="center"/>
        <w:rPr>
          <w:rFonts w:hint="eastAsia" w:ascii="宋体" w:hAnsi="宋体" w:cs="宋体"/>
          <w:b/>
          <w:bCs/>
          <w:color w:val="auto"/>
          <w:sz w:val="32"/>
          <w:szCs w:val="32"/>
          <w:highlight w:val="none"/>
        </w:rPr>
      </w:pPr>
      <w:bookmarkStart w:id="85" w:name="_Toc246095537"/>
      <w:bookmarkStart w:id="86" w:name="_Toc246094931"/>
      <w:bookmarkStart w:id="87" w:name="_Toc246095475"/>
      <w:r>
        <w:rPr>
          <w:rFonts w:hint="eastAsia" w:ascii="宋体" w:hAnsi="宋体" w:cs="宋体"/>
          <w:b/>
          <w:bCs/>
          <w:color w:val="auto"/>
          <w:sz w:val="32"/>
          <w:szCs w:val="32"/>
          <w:highlight w:val="none"/>
        </w:rPr>
        <w:t>《广西壮族自治区政府采购合同》</w:t>
      </w:r>
    </w:p>
    <w:p w14:paraId="13A7A223">
      <w:pPr>
        <w:spacing w:line="400" w:lineRule="exact"/>
        <w:ind w:right="480" w:firstLine="5500" w:firstLineChars="250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7C4F3FB1">
      <w:pPr>
        <w:spacing w:line="360" w:lineRule="exact"/>
        <w:rPr>
          <w:rFonts w:hint="eastAsia" w:ascii="宋体" w:hAnsi="宋体" w:cs="宋体"/>
          <w:color w:val="auto"/>
          <w:szCs w:val="21"/>
          <w:highlight w:val="none"/>
        </w:rPr>
      </w:pPr>
    </w:p>
    <w:p w14:paraId="2FF31785">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采 购 计 划 号</w:t>
      </w:r>
      <w:r>
        <w:rPr>
          <w:rFonts w:hint="eastAsia" w:ascii="宋体" w:hAnsi="宋体" w:eastAsia="宋体" w:cs="宋体"/>
          <w:color w:val="auto"/>
          <w:sz w:val="24"/>
          <w:szCs w:val="24"/>
          <w:highlight w:val="none"/>
          <w:u w:val="single"/>
        </w:rPr>
        <w:t xml:space="preserve">             </w:t>
      </w:r>
    </w:p>
    <w:p w14:paraId="3EE86D3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C3628A">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00CBAADC">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AD2DA4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3BC36B7C">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7411F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1B98F6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根据《中华人民共和国政府采购法》、《中华人民共和国民法典》等法律、法规规定，按照招标文件（采购文件）规定条款和乙方投标文件及其承诺，甲乙双方签订本合同。</w:t>
      </w:r>
    </w:p>
    <w:p w14:paraId="2C22966F">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231E4B5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1、供货一览表</w:t>
      </w:r>
    </w:p>
    <w:tbl>
      <w:tblPr>
        <w:tblStyle w:val="4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48"/>
        <w:gridCol w:w="1059"/>
        <w:gridCol w:w="1233"/>
        <w:gridCol w:w="1210"/>
        <w:gridCol w:w="908"/>
        <w:gridCol w:w="668"/>
        <w:gridCol w:w="1240"/>
        <w:gridCol w:w="1276"/>
      </w:tblGrid>
      <w:tr w14:paraId="2E60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14" w:type="dxa"/>
            <w:vAlign w:val="center"/>
          </w:tcPr>
          <w:p w14:paraId="524DA75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8" w:type="dxa"/>
            <w:vAlign w:val="center"/>
          </w:tcPr>
          <w:p w14:paraId="4CECBED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059" w:type="dxa"/>
            <w:vAlign w:val="center"/>
          </w:tcPr>
          <w:p w14:paraId="4747935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商标品牌</w:t>
            </w:r>
          </w:p>
        </w:tc>
        <w:tc>
          <w:tcPr>
            <w:tcW w:w="1233" w:type="dxa"/>
            <w:vAlign w:val="center"/>
          </w:tcPr>
          <w:p w14:paraId="1F42A3E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规格型号、参数</w:t>
            </w:r>
          </w:p>
        </w:tc>
        <w:tc>
          <w:tcPr>
            <w:tcW w:w="1210" w:type="dxa"/>
            <w:vAlign w:val="center"/>
          </w:tcPr>
          <w:p w14:paraId="698AD9C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908" w:type="dxa"/>
            <w:vAlign w:val="center"/>
          </w:tcPr>
          <w:p w14:paraId="119656F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668" w:type="dxa"/>
            <w:vAlign w:val="center"/>
          </w:tcPr>
          <w:p w14:paraId="1A3452F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40" w:type="dxa"/>
            <w:vAlign w:val="center"/>
          </w:tcPr>
          <w:p w14:paraId="257E881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3DC16F8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276" w:type="dxa"/>
            <w:vAlign w:val="center"/>
          </w:tcPr>
          <w:p w14:paraId="0064CCD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p w14:paraId="638BD39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75E4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4" w:type="dxa"/>
            <w:vAlign w:val="center"/>
          </w:tcPr>
          <w:p w14:paraId="605747BD">
            <w:pPr>
              <w:spacing w:line="400" w:lineRule="exact"/>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8" w:type="dxa"/>
            <w:vAlign w:val="center"/>
          </w:tcPr>
          <w:p w14:paraId="5E22A1F8">
            <w:pPr>
              <w:spacing w:line="400" w:lineRule="exact"/>
              <w:ind w:firstLine="200"/>
              <w:jc w:val="center"/>
              <w:rPr>
                <w:rFonts w:hint="eastAsia" w:ascii="宋体" w:hAnsi="宋体" w:eastAsia="宋体" w:cs="宋体"/>
                <w:color w:val="auto"/>
                <w:sz w:val="24"/>
                <w:szCs w:val="24"/>
                <w:highlight w:val="none"/>
              </w:rPr>
            </w:pPr>
          </w:p>
        </w:tc>
        <w:tc>
          <w:tcPr>
            <w:tcW w:w="1059" w:type="dxa"/>
            <w:vAlign w:val="center"/>
          </w:tcPr>
          <w:p w14:paraId="44ED8E95">
            <w:pPr>
              <w:spacing w:line="400" w:lineRule="exact"/>
              <w:ind w:firstLine="200"/>
              <w:jc w:val="center"/>
              <w:rPr>
                <w:rFonts w:hint="eastAsia" w:ascii="宋体" w:hAnsi="宋体" w:eastAsia="宋体" w:cs="宋体"/>
                <w:color w:val="auto"/>
                <w:sz w:val="24"/>
                <w:szCs w:val="24"/>
                <w:highlight w:val="none"/>
              </w:rPr>
            </w:pPr>
          </w:p>
        </w:tc>
        <w:tc>
          <w:tcPr>
            <w:tcW w:w="1233" w:type="dxa"/>
            <w:vAlign w:val="center"/>
          </w:tcPr>
          <w:p w14:paraId="30F3602D">
            <w:pPr>
              <w:spacing w:line="400" w:lineRule="exact"/>
              <w:ind w:firstLine="200"/>
              <w:jc w:val="center"/>
              <w:rPr>
                <w:rFonts w:hint="eastAsia" w:ascii="宋体" w:hAnsi="宋体" w:eastAsia="宋体" w:cs="宋体"/>
                <w:color w:val="auto"/>
                <w:sz w:val="24"/>
                <w:szCs w:val="24"/>
                <w:highlight w:val="none"/>
              </w:rPr>
            </w:pPr>
          </w:p>
        </w:tc>
        <w:tc>
          <w:tcPr>
            <w:tcW w:w="1210" w:type="dxa"/>
          </w:tcPr>
          <w:p w14:paraId="3168FF25">
            <w:pPr>
              <w:spacing w:line="400" w:lineRule="exact"/>
              <w:ind w:firstLine="200"/>
              <w:jc w:val="center"/>
              <w:rPr>
                <w:rFonts w:hint="eastAsia" w:ascii="宋体" w:hAnsi="宋体" w:eastAsia="宋体" w:cs="宋体"/>
                <w:color w:val="auto"/>
                <w:sz w:val="24"/>
                <w:szCs w:val="24"/>
                <w:highlight w:val="none"/>
              </w:rPr>
            </w:pPr>
          </w:p>
        </w:tc>
        <w:tc>
          <w:tcPr>
            <w:tcW w:w="908" w:type="dxa"/>
          </w:tcPr>
          <w:p w14:paraId="21DD8A24">
            <w:pPr>
              <w:spacing w:line="400" w:lineRule="exact"/>
              <w:ind w:firstLine="200"/>
              <w:jc w:val="center"/>
              <w:rPr>
                <w:rFonts w:hint="eastAsia" w:ascii="宋体" w:hAnsi="宋体" w:eastAsia="宋体" w:cs="宋体"/>
                <w:color w:val="auto"/>
                <w:sz w:val="24"/>
                <w:szCs w:val="24"/>
                <w:highlight w:val="none"/>
              </w:rPr>
            </w:pPr>
          </w:p>
        </w:tc>
        <w:tc>
          <w:tcPr>
            <w:tcW w:w="668" w:type="dxa"/>
          </w:tcPr>
          <w:p w14:paraId="4C93B38E">
            <w:pPr>
              <w:spacing w:line="400" w:lineRule="exact"/>
              <w:ind w:firstLine="200"/>
              <w:jc w:val="center"/>
              <w:rPr>
                <w:rFonts w:hint="eastAsia" w:ascii="宋体" w:hAnsi="宋体" w:eastAsia="宋体" w:cs="宋体"/>
                <w:color w:val="auto"/>
                <w:sz w:val="24"/>
                <w:szCs w:val="24"/>
                <w:highlight w:val="none"/>
              </w:rPr>
            </w:pPr>
          </w:p>
        </w:tc>
        <w:tc>
          <w:tcPr>
            <w:tcW w:w="1240" w:type="dxa"/>
            <w:vAlign w:val="center"/>
          </w:tcPr>
          <w:p w14:paraId="615E0438">
            <w:pPr>
              <w:spacing w:line="400" w:lineRule="exact"/>
              <w:ind w:firstLine="200"/>
              <w:jc w:val="center"/>
              <w:rPr>
                <w:rFonts w:hint="eastAsia" w:ascii="宋体" w:hAnsi="宋体" w:eastAsia="宋体" w:cs="宋体"/>
                <w:color w:val="auto"/>
                <w:sz w:val="24"/>
                <w:szCs w:val="24"/>
                <w:highlight w:val="none"/>
              </w:rPr>
            </w:pPr>
          </w:p>
        </w:tc>
        <w:tc>
          <w:tcPr>
            <w:tcW w:w="1276" w:type="dxa"/>
            <w:vAlign w:val="center"/>
          </w:tcPr>
          <w:p w14:paraId="00B1D271">
            <w:pPr>
              <w:spacing w:line="400" w:lineRule="exact"/>
              <w:ind w:firstLine="200"/>
              <w:jc w:val="center"/>
              <w:rPr>
                <w:rFonts w:hint="eastAsia" w:ascii="宋体" w:hAnsi="宋体" w:eastAsia="宋体" w:cs="宋体"/>
                <w:color w:val="auto"/>
                <w:sz w:val="24"/>
                <w:szCs w:val="24"/>
                <w:highlight w:val="none"/>
              </w:rPr>
            </w:pPr>
          </w:p>
        </w:tc>
      </w:tr>
      <w:tr w14:paraId="621A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4" w:type="dxa"/>
            <w:vAlign w:val="center"/>
          </w:tcPr>
          <w:p w14:paraId="2F91DB12">
            <w:pPr>
              <w:spacing w:line="400" w:lineRule="exact"/>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8" w:type="dxa"/>
            <w:vAlign w:val="center"/>
          </w:tcPr>
          <w:p w14:paraId="7528E816">
            <w:pPr>
              <w:spacing w:line="400" w:lineRule="exact"/>
              <w:ind w:firstLine="200"/>
              <w:jc w:val="center"/>
              <w:rPr>
                <w:rFonts w:hint="eastAsia" w:ascii="宋体" w:hAnsi="宋体" w:eastAsia="宋体" w:cs="宋体"/>
                <w:color w:val="auto"/>
                <w:sz w:val="24"/>
                <w:szCs w:val="24"/>
                <w:highlight w:val="none"/>
              </w:rPr>
            </w:pPr>
          </w:p>
        </w:tc>
        <w:tc>
          <w:tcPr>
            <w:tcW w:w="1059" w:type="dxa"/>
            <w:vAlign w:val="center"/>
          </w:tcPr>
          <w:p w14:paraId="53BFC96D">
            <w:pPr>
              <w:spacing w:line="400" w:lineRule="exact"/>
              <w:ind w:firstLine="200"/>
              <w:jc w:val="center"/>
              <w:rPr>
                <w:rFonts w:hint="eastAsia" w:ascii="宋体" w:hAnsi="宋体" w:eastAsia="宋体" w:cs="宋体"/>
                <w:color w:val="auto"/>
                <w:sz w:val="24"/>
                <w:szCs w:val="24"/>
                <w:highlight w:val="none"/>
              </w:rPr>
            </w:pPr>
          </w:p>
        </w:tc>
        <w:tc>
          <w:tcPr>
            <w:tcW w:w="1233" w:type="dxa"/>
            <w:vAlign w:val="center"/>
          </w:tcPr>
          <w:p w14:paraId="1BFC75C3">
            <w:pPr>
              <w:spacing w:line="400" w:lineRule="exact"/>
              <w:ind w:firstLine="200"/>
              <w:jc w:val="center"/>
              <w:rPr>
                <w:rFonts w:hint="eastAsia" w:ascii="宋体" w:hAnsi="宋体" w:eastAsia="宋体" w:cs="宋体"/>
                <w:color w:val="auto"/>
                <w:sz w:val="24"/>
                <w:szCs w:val="24"/>
                <w:highlight w:val="none"/>
              </w:rPr>
            </w:pPr>
          </w:p>
        </w:tc>
        <w:tc>
          <w:tcPr>
            <w:tcW w:w="1210" w:type="dxa"/>
          </w:tcPr>
          <w:p w14:paraId="066861DF">
            <w:pPr>
              <w:spacing w:line="400" w:lineRule="exact"/>
              <w:ind w:firstLine="200"/>
              <w:jc w:val="center"/>
              <w:rPr>
                <w:rFonts w:hint="eastAsia" w:ascii="宋体" w:hAnsi="宋体" w:eastAsia="宋体" w:cs="宋体"/>
                <w:color w:val="auto"/>
                <w:sz w:val="24"/>
                <w:szCs w:val="24"/>
                <w:highlight w:val="none"/>
              </w:rPr>
            </w:pPr>
          </w:p>
        </w:tc>
        <w:tc>
          <w:tcPr>
            <w:tcW w:w="908" w:type="dxa"/>
          </w:tcPr>
          <w:p w14:paraId="07D6E946">
            <w:pPr>
              <w:spacing w:line="400" w:lineRule="exact"/>
              <w:ind w:firstLine="200"/>
              <w:jc w:val="center"/>
              <w:rPr>
                <w:rFonts w:hint="eastAsia" w:ascii="宋体" w:hAnsi="宋体" w:eastAsia="宋体" w:cs="宋体"/>
                <w:color w:val="auto"/>
                <w:sz w:val="24"/>
                <w:szCs w:val="24"/>
                <w:highlight w:val="none"/>
              </w:rPr>
            </w:pPr>
          </w:p>
        </w:tc>
        <w:tc>
          <w:tcPr>
            <w:tcW w:w="668" w:type="dxa"/>
          </w:tcPr>
          <w:p w14:paraId="3D5C1E2B">
            <w:pPr>
              <w:spacing w:line="400" w:lineRule="exact"/>
              <w:ind w:firstLine="200"/>
              <w:jc w:val="center"/>
              <w:rPr>
                <w:rFonts w:hint="eastAsia" w:ascii="宋体" w:hAnsi="宋体" w:eastAsia="宋体" w:cs="宋体"/>
                <w:color w:val="auto"/>
                <w:sz w:val="24"/>
                <w:szCs w:val="24"/>
                <w:highlight w:val="none"/>
              </w:rPr>
            </w:pPr>
          </w:p>
        </w:tc>
        <w:tc>
          <w:tcPr>
            <w:tcW w:w="1240" w:type="dxa"/>
            <w:vAlign w:val="center"/>
          </w:tcPr>
          <w:p w14:paraId="5D52E19C">
            <w:pPr>
              <w:spacing w:line="400" w:lineRule="exact"/>
              <w:ind w:firstLine="200"/>
              <w:jc w:val="center"/>
              <w:rPr>
                <w:rFonts w:hint="eastAsia" w:ascii="宋体" w:hAnsi="宋体" w:eastAsia="宋体" w:cs="宋体"/>
                <w:color w:val="auto"/>
                <w:sz w:val="24"/>
                <w:szCs w:val="24"/>
                <w:highlight w:val="none"/>
              </w:rPr>
            </w:pPr>
          </w:p>
        </w:tc>
        <w:tc>
          <w:tcPr>
            <w:tcW w:w="1276" w:type="dxa"/>
            <w:vAlign w:val="center"/>
          </w:tcPr>
          <w:p w14:paraId="24B8FDCC">
            <w:pPr>
              <w:spacing w:line="400" w:lineRule="exact"/>
              <w:ind w:firstLine="200"/>
              <w:jc w:val="center"/>
              <w:rPr>
                <w:rFonts w:hint="eastAsia" w:ascii="宋体" w:hAnsi="宋体" w:eastAsia="宋体" w:cs="宋体"/>
                <w:color w:val="auto"/>
                <w:sz w:val="24"/>
                <w:szCs w:val="24"/>
                <w:highlight w:val="none"/>
              </w:rPr>
            </w:pPr>
          </w:p>
        </w:tc>
      </w:tr>
      <w:tr w14:paraId="6E23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4" w:type="dxa"/>
            <w:vAlign w:val="center"/>
          </w:tcPr>
          <w:p w14:paraId="322913A6">
            <w:pPr>
              <w:spacing w:line="400" w:lineRule="exact"/>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48" w:type="dxa"/>
            <w:vAlign w:val="center"/>
          </w:tcPr>
          <w:p w14:paraId="4ABF5DC3">
            <w:pPr>
              <w:spacing w:line="400" w:lineRule="exact"/>
              <w:ind w:firstLine="200"/>
              <w:jc w:val="center"/>
              <w:rPr>
                <w:rFonts w:hint="eastAsia" w:ascii="宋体" w:hAnsi="宋体" w:eastAsia="宋体" w:cs="宋体"/>
                <w:color w:val="auto"/>
                <w:sz w:val="24"/>
                <w:szCs w:val="24"/>
                <w:highlight w:val="none"/>
              </w:rPr>
            </w:pPr>
          </w:p>
        </w:tc>
        <w:tc>
          <w:tcPr>
            <w:tcW w:w="1059" w:type="dxa"/>
            <w:vAlign w:val="center"/>
          </w:tcPr>
          <w:p w14:paraId="0A828DEE">
            <w:pPr>
              <w:spacing w:line="400" w:lineRule="exact"/>
              <w:ind w:firstLine="200"/>
              <w:jc w:val="center"/>
              <w:rPr>
                <w:rFonts w:hint="eastAsia" w:ascii="宋体" w:hAnsi="宋体" w:eastAsia="宋体" w:cs="宋体"/>
                <w:color w:val="auto"/>
                <w:sz w:val="24"/>
                <w:szCs w:val="24"/>
                <w:highlight w:val="none"/>
              </w:rPr>
            </w:pPr>
          </w:p>
        </w:tc>
        <w:tc>
          <w:tcPr>
            <w:tcW w:w="1233" w:type="dxa"/>
            <w:vAlign w:val="center"/>
          </w:tcPr>
          <w:p w14:paraId="78788373">
            <w:pPr>
              <w:spacing w:line="400" w:lineRule="exact"/>
              <w:ind w:firstLine="200"/>
              <w:jc w:val="center"/>
              <w:rPr>
                <w:rFonts w:hint="eastAsia" w:ascii="宋体" w:hAnsi="宋体" w:eastAsia="宋体" w:cs="宋体"/>
                <w:color w:val="auto"/>
                <w:sz w:val="24"/>
                <w:szCs w:val="24"/>
                <w:highlight w:val="none"/>
              </w:rPr>
            </w:pPr>
          </w:p>
        </w:tc>
        <w:tc>
          <w:tcPr>
            <w:tcW w:w="1210" w:type="dxa"/>
          </w:tcPr>
          <w:p w14:paraId="45141C26">
            <w:pPr>
              <w:spacing w:line="400" w:lineRule="exact"/>
              <w:ind w:firstLine="200"/>
              <w:jc w:val="center"/>
              <w:rPr>
                <w:rFonts w:hint="eastAsia" w:ascii="宋体" w:hAnsi="宋体" w:eastAsia="宋体" w:cs="宋体"/>
                <w:color w:val="auto"/>
                <w:sz w:val="24"/>
                <w:szCs w:val="24"/>
                <w:highlight w:val="none"/>
              </w:rPr>
            </w:pPr>
          </w:p>
        </w:tc>
        <w:tc>
          <w:tcPr>
            <w:tcW w:w="908" w:type="dxa"/>
          </w:tcPr>
          <w:p w14:paraId="3A791D4A">
            <w:pPr>
              <w:spacing w:line="400" w:lineRule="exact"/>
              <w:ind w:firstLine="200"/>
              <w:jc w:val="center"/>
              <w:rPr>
                <w:rFonts w:hint="eastAsia" w:ascii="宋体" w:hAnsi="宋体" w:eastAsia="宋体" w:cs="宋体"/>
                <w:color w:val="auto"/>
                <w:sz w:val="24"/>
                <w:szCs w:val="24"/>
                <w:highlight w:val="none"/>
              </w:rPr>
            </w:pPr>
          </w:p>
        </w:tc>
        <w:tc>
          <w:tcPr>
            <w:tcW w:w="668" w:type="dxa"/>
          </w:tcPr>
          <w:p w14:paraId="70CA58BA">
            <w:pPr>
              <w:spacing w:line="400" w:lineRule="exact"/>
              <w:ind w:firstLine="200"/>
              <w:jc w:val="center"/>
              <w:rPr>
                <w:rFonts w:hint="eastAsia" w:ascii="宋体" w:hAnsi="宋体" w:eastAsia="宋体" w:cs="宋体"/>
                <w:color w:val="auto"/>
                <w:sz w:val="24"/>
                <w:szCs w:val="24"/>
                <w:highlight w:val="none"/>
              </w:rPr>
            </w:pPr>
          </w:p>
        </w:tc>
        <w:tc>
          <w:tcPr>
            <w:tcW w:w="1240" w:type="dxa"/>
            <w:vAlign w:val="center"/>
          </w:tcPr>
          <w:p w14:paraId="6F785832">
            <w:pPr>
              <w:spacing w:line="400" w:lineRule="exact"/>
              <w:ind w:firstLine="200"/>
              <w:jc w:val="center"/>
              <w:rPr>
                <w:rFonts w:hint="eastAsia" w:ascii="宋体" w:hAnsi="宋体" w:eastAsia="宋体" w:cs="宋体"/>
                <w:color w:val="auto"/>
                <w:sz w:val="24"/>
                <w:szCs w:val="24"/>
                <w:highlight w:val="none"/>
              </w:rPr>
            </w:pPr>
          </w:p>
        </w:tc>
        <w:tc>
          <w:tcPr>
            <w:tcW w:w="1276" w:type="dxa"/>
            <w:vAlign w:val="center"/>
          </w:tcPr>
          <w:p w14:paraId="41474FF7">
            <w:pPr>
              <w:spacing w:line="400" w:lineRule="exact"/>
              <w:ind w:firstLine="200"/>
              <w:jc w:val="center"/>
              <w:rPr>
                <w:rFonts w:hint="eastAsia" w:ascii="宋体" w:hAnsi="宋体" w:eastAsia="宋体" w:cs="宋体"/>
                <w:color w:val="auto"/>
                <w:sz w:val="24"/>
                <w:szCs w:val="24"/>
                <w:highlight w:val="none"/>
              </w:rPr>
            </w:pPr>
          </w:p>
        </w:tc>
      </w:tr>
      <w:tr w14:paraId="23EE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56" w:type="dxa"/>
            <w:gridSpan w:val="9"/>
            <w:vAlign w:val="center"/>
          </w:tcPr>
          <w:p w14:paraId="1C2D1F79">
            <w:pPr>
              <w:spacing w:line="400" w:lineRule="exact"/>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人民币合计金额（大写）                          （小写）                 </w:t>
            </w:r>
          </w:p>
        </w:tc>
      </w:tr>
    </w:tbl>
    <w:p w14:paraId="310DCF3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合计金额包括货物、货物标准附件、备品备件、专用工具、设备安装辅材、施工辅材、包装、运输、装卸、保险、货到就位的各种费用以及安装、调试、本招标文件所列设备材料需进行补充完善才能完成本项目的或实际采购中产品材料有任何遗漏的费用（含本项目需要但本文件中未列出的设备材料）、税金、售后服务、技术培训及其他所有成本费用。如招投标文件对其另有规定的，从其规定。</w:t>
      </w:r>
    </w:p>
    <w:p w14:paraId="571B5FC6">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权利保证</w:t>
      </w:r>
    </w:p>
    <w:p w14:paraId="6A08CB5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1、乙方应保证所提供货物在使用时不会侵犯任何第三方的专利权、商标权、工业设计权或其他权利。</w:t>
      </w:r>
    </w:p>
    <w:p w14:paraId="4DE25B7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2、乙方应按招标文件规定的时间向甲方提供使用货物的有关技术资料。</w:t>
      </w:r>
    </w:p>
    <w:p w14:paraId="7E79114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9782BF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4、乙方保证所交付的货物的所有权完全属于乙方且无任何抵押、质押、查封等产权瑕疵。</w:t>
      </w:r>
    </w:p>
    <w:p w14:paraId="494576A7">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包装和运输</w:t>
      </w:r>
    </w:p>
    <w:p w14:paraId="1CBE977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1.乙方提供的货物均应按招标文件要求及投标文件承诺的包装材料、包装标准、包装方式进行包装，每一包装单元内应附详细的装箱单和质量合格证。</w:t>
      </w:r>
    </w:p>
    <w:p w14:paraId="5282ED6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2.乙方应在货物发运前对其进行满足运输距离、防潮、防震、防锈和防破损装卸等要求包装，以保证货物安全运达甲方指定地点。</w:t>
      </w:r>
    </w:p>
    <w:p w14:paraId="69F5B24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3.使用说明书、质量检验证明书、随配附件和工具以及清单一并附于货物内。</w:t>
      </w:r>
    </w:p>
    <w:p w14:paraId="5DB16F8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4.乙方在货物发运手续办理完毕后二十四小时内或货到甲方四十八小时前通知甲方，以准备接货。</w:t>
      </w:r>
    </w:p>
    <w:p w14:paraId="7824E68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5.货物的运输方式：</w:t>
      </w:r>
      <w:r>
        <w:rPr>
          <w:rFonts w:hint="eastAsia" w:ascii="宋体" w:hAnsi="宋体" w:eastAsia="宋体" w:cs="宋体"/>
          <w:color w:val="auto"/>
          <w:sz w:val="24"/>
          <w:szCs w:val="24"/>
          <w:highlight w:val="none"/>
          <w:u w:val="single"/>
        </w:rPr>
        <w:t xml:space="preserve"> 不限 。</w:t>
      </w:r>
    </w:p>
    <w:p w14:paraId="79FB16E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6.货物在规</w:t>
      </w:r>
      <w:r>
        <w:rPr>
          <w:rFonts w:hint="eastAsia" w:ascii="宋体" w:hAnsi="宋体" w:eastAsia="宋体" w:cs="宋体"/>
          <w:color w:val="auto"/>
          <w:spacing w:val="-8"/>
          <w:sz w:val="24"/>
          <w:szCs w:val="24"/>
          <w:highlight w:val="none"/>
        </w:rPr>
        <w:t>定的交付期限内由乙方送达甲方指定的地点视为交付，乙方同时需通知甲方货物已送达。</w:t>
      </w:r>
    </w:p>
    <w:p w14:paraId="7ABEB01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7.乙方负责货物运输，货物运输合理损耗及计算方法：</w:t>
      </w:r>
      <w:r>
        <w:rPr>
          <w:rFonts w:hint="eastAsia" w:ascii="宋体" w:hAnsi="宋体" w:eastAsia="宋体" w:cs="宋体"/>
          <w:color w:val="auto"/>
          <w:sz w:val="24"/>
          <w:szCs w:val="24"/>
          <w:highlight w:val="none"/>
          <w:u w:val="single"/>
        </w:rPr>
        <w:t xml:space="preserve"> 本合同交付货物不接受损耗，由乙方自行为其货物运输办理相关保险 。</w:t>
      </w:r>
    </w:p>
    <w:p w14:paraId="2289D44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8.货物在交付甲方前发生的风险均由乙方负责。</w:t>
      </w:r>
    </w:p>
    <w:p w14:paraId="6B571E96">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第四条　交付和交付验收</w:t>
      </w:r>
    </w:p>
    <w:p w14:paraId="168324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u w:val="single"/>
        </w:rPr>
        <w:t>按乙方投标文件中承诺的不超过招标要求的时间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采购人指定地点 </w:t>
      </w:r>
      <w:r>
        <w:rPr>
          <w:rFonts w:hint="eastAsia" w:ascii="宋体" w:hAnsi="宋体" w:eastAsia="宋体" w:cs="宋体"/>
          <w:color w:val="auto"/>
          <w:sz w:val="24"/>
          <w:szCs w:val="24"/>
          <w:highlight w:val="none"/>
        </w:rPr>
        <w:t>。</w:t>
      </w:r>
    </w:p>
    <w:p w14:paraId="24AB8A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2、甲方对乙方提交的货物依据招标文件和乙方投标文件中承诺的技术规格要求和国家有关质量标准进行现场初步验收，外观、说明书符合招标文件技术要求的，给予签收，初步验收不合格的不予签收。</w:t>
      </w:r>
    </w:p>
    <w:p w14:paraId="057C9AC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交货前应对产品作出全面检查和对验收文件进行整理，并列出清单（如装箱清单、用户手册、原厂保修卡、随机资料、工具和备品、备件等），作为甲方收货验收和使用的技术条件依据，检验的结果应随货物交甲方。货物属于进口产品的，供货时应同时附上中文使用说明书，如有缺失应及时补齐，否则视为逾期交货。</w:t>
      </w:r>
    </w:p>
    <w:p w14:paraId="264528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4、甲方应当在到货后七个工作日内进行验收，逾期不验收的，乙方可视同验收合格。验收合格后由甲乙双方签署货物验收单并加盖采购人公章，甲乙双方各执一份。</w:t>
      </w:r>
    </w:p>
    <w:p w14:paraId="25B8037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76D1FF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6、因产品或施工质量问题发生争议的，应邀请国家认可的质量检测机构对进行鉴定。符合标准的，鉴定费由甲方承担；不符合标准的，鉴定费由乙方承担。</w:t>
      </w:r>
    </w:p>
    <w:p w14:paraId="4928DD4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7、甲方对验收有异议的，在验收后五个工作日内以书面形式向乙方提出，乙方应自收到甲方书面异议后</w:t>
      </w:r>
      <w:r>
        <w:rPr>
          <w:rFonts w:hint="eastAsia" w:ascii="宋体" w:hAnsi="宋体" w:eastAsia="宋体" w:cs="宋体"/>
          <w:color w:val="auto"/>
          <w:sz w:val="24"/>
          <w:szCs w:val="24"/>
          <w:highlight w:val="none"/>
          <w:u w:val="single"/>
        </w:rPr>
        <w:t xml:space="preserve"> 五 </w:t>
      </w:r>
      <w:r>
        <w:rPr>
          <w:rFonts w:hint="eastAsia" w:ascii="宋体" w:hAnsi="宋体" w:eastAsia="宋体" w:cs="宋体"/>
          <w:color w:val="auto"/>
          <w:sz w:val="24"/>
          <w:szCs w:val="24"/>
          <w:highlight w:val="none"/>
        </w:rPr>
        <w:t>日内及时予以解决。</w:t>
      </w:r>
    </w:p>
    <w:p w14:paraId="40C3FBA4">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安装和培训</w:t>
      </w:r>
    </w:p>
    <w:p w14:paraId="1725482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甲方应提供必要安装条件（如场地、电源、水源等）。</w:t>
      </w:r>
    </w:p>
    <w:p w14:paraId="1EA9836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乙方负责甲方有关人员的培训。培训时间、地点：</w:t>
      </w:r>
      <w:r>
        <w:rPr>
          <w:rFonts w:hint="eastAsia" w:ascii="宋体" w:hAnsi="宋体" w:eastAsia="宋体" w:cs="宋体"/>
          <w:color w:val="auto"/>
          <w:sz w:val="24"/>
          <w:szCs w:val="24"/>
          <w:highlight w:val="none"/>
          <w:u w:val="single"/>
        </w:rPr>
        <w:t xml:space="preserve">  按乙方投标文件承诺  。</w:t>
      </w:r>
    </w:p>
    <w:p w14:paraId="62154CD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其他按乙方投标文件承诺执行。</w:t>
      </w:r>
    </w:p>
    <w:p w14:paraId="439E8B14">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第六条　付款方式、保证金</w:t>
      </w:r>
    </w:p>
    <w:p w14:paraId="48D3EF3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color w:val="auto"/>
          <w:sz w:val="24"/>
          <w:szCs w:val="24"/>
          <w:highlight w:val="none"/>
        </w:rPr>
        <w:t>当采购数量与实际使用数量不一致时，乙方应根据实际使用量供货，合同的最终结算金额按实际使用量乘以成交单价进行计算。</w:t>
      </w:r>
    </w:p>
    <w:p w14:paraId="744419C4">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 资金性质：</w:t>
      </w:r>
      <w:r>
        <w:rPr>
          <w:rFonts w:hint="eastAsia" w:ascii="宋体" w:hAnsi="宋体" w:eastAsia="宋体" w:cs="宋体"/>
          <w:color w:val="auto"/>
          <w:sz w:val="24"/>
          <w:szCs w:val="24"/>
          <w:highlight w:val="none"/>
          <w:u w:val="single"/>
        </w:rPr>
        <w:t xml:space="preserve"> 财政性资金  。</w:t>
      </w:r>
    </w:p>
    <w:p w14:paraId="1C1780D1">
      <w:pPr>
        <w:spacing w:line="400" w:lineRule="exact"/>
        <w:ind w:left="-64" w:leftChars="-29" w:firstLine="554" w:firstLineChars="23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 付款方式：</w:t>
      </w:r>
      <w:r>
        <w:rPr>
          <w:rFonts w:ascii="宋体" w:hAnsi="宋体" w:eastAsia="宋体"/>
          <w:color w:val="auto"/>
          <w:sz w:val="24"/>
          <w:highlight w:val="none"/>
        </w:rPr>
        <w:t>合同签订后，货物送至采购人指定地点并安装调试完毕并验收合格后，</w:t>
      </w:r>
      <w:r>
        <w:rPr>
          <w:rFonts w:hint="eastAsia" w:ascii="宋体" w:hAnsi="宋体" w:eastAsia="宋体"/>
          <w:color w:val="auto"/>
          <w:sz w:val="24"/>
          <w:highlight w:val="none"/>
        </w:rPr>
        <w:t>支</w:t>
      </w:r>
      <w:r>
        <w:rPr>
          <w:rFonts w:ascii="宋体" w:hAnsi="宋体" w:eastAsia="宋体"/>
          <w:color w:val="auto"/>
          <w:sz w:val="24"/>
          <w:highlight w:val="none"/>
        </w:rPr>
        <w:t>付合同总额</w:t>
      </w:r>
      <w:r>
        <w:rPr>
          <w:rFonts w:hint="eastAsia" w:ascii="宋体" w:hAnsi="宋体" w:eastAsia="宋体"/>
          <w:color w:val="auto"/>
          <w:sz w:val="24"/>
          <w:highlight w:val="none"/>
        </w:rPr>
        <w:t>的100</w:t>
      </w:r>
      <w:r>
        <w:rPr>
          <w:rFonts w:ascii="宋体" w:hAnsi="宋体" w:eastAsia="宋体"/>
          <w:color w:val="auto"/>
          <w:sz w:val="24"/>
          <w:highlight w:val="none"/>
        </w:rPr>
        <w:t>%</w:t>
      </w:r>
      <w:r>
        <w:rPr>
          <w:rFonts w:hint="eastAsia" w:ascii="宋体" w:hAnsi="宋体" w:eastAsia="宋体"/>
          <w:color w:val="auto"/>
          <w:sz w:val="24"/>
          <w:highlight w:val="none"/>
        </w:rPr>
        <w:t>，每次付款前成交人应开具待付款金额发票给采购人。</w:t>
      </w:r>
    </w:p>
    <w:p w14:paraId="00A4D392">
      <w:pPr>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4.履约保证金：无</w:t>
      </w:r>
    </w:p>
    <w:p w14:paraId="35BA650B">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税费</w:t>
      </w:r>
    </w:p>
    <w:p w14:paraId="3528241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0D79D113">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质量保证及售后服务</w:t>
      </w:r>
    </w:p>
    <w:p w14:paraId="50798B1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乙方应按招标文件规定的货物性能、技术要求、质量标准向甲方提供未经使用的全新产品。不符合要求的，根据实际情况，经双方协商，可按以下办法处理：</w:t>
      </w:r>
    </w:p>
    <w:p w14:paraId="07C069C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（1）更换：由乙方承担所发生的全部费用。</w:t>
      </w:r>
    </w:p>
    <w:p w14:paraId="27172AD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（2）贬值处理：由甲乙双方合议定价。</w:t>
      </w:r>
    </w:p>
    <w:p w14:paraId="454B989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（3）退货处理：乙方应退还甲方支付的合同款，同时应承担该货物的直接费用（运输、保险、检验、货款利息及银行手续费等）。</w:t>
      </w:r>
    </w:p>
    <w:p w14:paraId="2BA89DD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2.如在使用过程中发生质量问题，乙方在接到甲方通知后在按乙方投标文件中承诺的不超过招标要求的响应时间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小时内到达甲方现场处理。</w:t>
      </w:r>
    </w:p>
    <w:p w14:paraId="1FA4493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3.乙方应按照国家有关法律法规和“三包”规定以及招投标文件和本合同所附的《售后服务方案》，为甲方提供售后服务。</w:t>
      </w:r>
    </w:p>
    <w:p w14:paraId="372023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4.在质保期内，乙方应对货物出现的质量及安全问题负责处理解决并承担一切费用。</w:t>
      </w:r>
    </w:p>
    <w:p w14:paraId="7434D5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5.上述的货物免费保修期</w:t>
      </w:r>
      <w:r>
        <w:rPr>
          <w:rFonts w:hint="eastAsia" w:ascii="宋体" w:hAnsi="宋体" w:eastAsia="宋体" w:cs="宋体"/>
          <w:color w:val="auto"/>
          <w:sz w:val="24"/>
          <w:szCs w:val="24"/>
          <w:highlight w:val="none"/>
          <w:u w:val="single"/>
        </w:rPr>
        <w:t>按乙方投标文件承诺</w:t>
      </w:r>
      <w:r>
        <w:rPr>
          <w:rFonts w:hint="eastAsia" w:ascii="宋体" w:hAnsi="宋体" w:eastAsia="宋体" w:cs="宋体"/>
          <w:color w:val="auto"/>
          <w:sz w:val="24"/>
          <w:szCs w:val="24"/>
          <w:highlight w:val="none"/>
        </w:rPr>
        <w:t>，因人为因素出现的故障不在免费保修范围内。超过保修期的机器设备，终生维修，维修时只收部件成本费。</w:t>
      </w:r>
    </w:p>
    <w:p w14:paraId="0D3D97D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6.乙方提供的服务承诺和售后服务及保修期责任等其它具体约定事项：</w:t>
      </w:r>
      <w:r>
        <w:rPr>
          <w:rFonts w:hint="eastAsia" w:ascii="宋体" w:hAnsi="宋体" w:eastAsia="宋体" w:cs="宋体"/>
          <w:color w:val="auto"/>
          <w:sz w:val="24"/>
          <w:szCs w:val="24"/>
          <w:highlight w:val="none"/>
          <w:u w:val="single"/>
        </w:rPr>
        <w:t>（见合同附件）。</w:t>
      </w:r>
    </w:p>
    <w:p w14:paraId="774270D9">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第九条  调试和验收</w:t>
      </w:r>
    </w:p>
    <w:p w14:paraId="413A220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1.甲方对乙方提供的货物在使用前进行调试时，乙方需负责安装并培训甲方的使用操作人员，并协助甲方一起调试，直到符合技术要求，甲方才做最终验收。</w:t>
      </w:r>
    </w:p>
    <w:p w14:paraId="37A1C27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验收由甲方组织，乙方配合进行。对技术复杂的货物，甲方应请国家认可的专业检测机构参与最终验收，并由其出具质量检测报告。</w:t>
      </w:r>
    </w:p>
    <w:p w14:paraId="5563247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（1）货物在乙方通知安装调试完毕后七个工作日内验收。</w:t>
      </w:r>
    </w:p>
    <w:p w14:paraId="1DE6619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7FAD509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E0112C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（4）如货物经乙方1次维修仍不能达到合同约定的质量标准，甲方有权退货，并视作乙方不能交付货物而须支付违约赔偿金给甲方，甲方还可依法追究乙方的违约责任，并按虚假应标上报处理。</w:t>
      </w:r>
    </w:p>
    <w:p w14:paraId="0340480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（5）验收结束后，应当出具验收书，列明各项标准的验收情况及项目总体评价，由验收双方共同签署。</w:t>
      </w:r>
    </w:p>
    <w:p w14:paraId="4B1708C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3.货物安装完成后七个工作日内，甲方无故不进行验收工作并已使用货物的，视同已安装调试完成并验收合格。验收合格的项目，甲方在验收书签署之日后日内向乙方支付采购资金，在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日内退还履约保证金（如有）。验收不合格的项目，将按本合同第十条违约责任处理，未作约定的，按照《民法典》规定处理。</w:t>
      </w:r>
    </w:p>
    <w:p w14:paraId="0CBE4A3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验收时乙方必须在现场，验收完毕后作出验收结果报告；验收费用由乙方负责。</w:t>
      </w:r>
    </w:p>
    <w:p w14:paraId="4DFD625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其他未尽事宜应严格按照《关于印发广西壮族自治区政府采购项目履约验收管理办法的通知》[桂财采〔2015〕22号]以及《财政部关于进一步加强政府采购需求和履约验收管理的指导意见》[财库〔2016〕205号]规定执行。</w:t>
      </w:r>
    </w:p>
    <w:p w14:paraId="00AEBDC6">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违约责任</w:t>
      </w:r>
    </w:p>
    <w:p w14:paraId="07015D9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乙方所提供的货物规格、技术标准、材料等质量不合格的，应及时更换，更换不及时的按逾期交货处罚；因质量问题甲方不同意接收的或特殊情况甲方不同意接收的，乙方应向甲方支付违约货款额 5%违约金并赔偿甲方经济损失。</w:t>
      </w:r>
    </w:p>
    <w:p w14:paraId="2CD96C2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乙方提供的货物如侵犯了第三方合法权益而引发的任何纠纷或诉讼，均由乙方负责交涉并承担全部责任。</w:t>
      </w:r>
    </w:p>
    <w:p w14:paraId="7B9618E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因包装、运输引起的货物损坏，按质量不合格处罚。</w:t>
      </w:r>
    </w:p>
    <w:p w14:paraId="27D5914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甲方无故延期接收货物、乙方逾期交货的，每天向对方偿付违约货款额3‰违约金，但违约金累计不得超过违约货款额5%，超过7天对方有权解除合同，违约方承担因此给对方造成经济损失；甲方延期付货款的，每天向乙方偿付延期货款额3‰滞纳金，但滞纳金累计不得超过延期货款额5%。</w:t>
      </w:r>
    </w:p>
    <w:p w14:paraId="5031D8F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乙方未按本合同和投标文件中规定的服务承诺提供售后服务的，乙方应按本合同合计金额 5%向甲方支付违约金。</w:t>
      </w:r>
    </w:p>
    <w:p w14:paraId="060F7C9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乙方提供的货物在质量保证期内，因设计、工艺或材料的缺陷和其它质量原因造成的问题，由乙方负责，费用从质量保证金中扣除，不足另补。</w:t>
      </w:r>
    </w:p>
    <w:p w14:paraId="1A2603F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其它违约行为按违约货款额5%收取违约金并赔偿经济损失。</w:t>
      </w:r>
    </w:p>
    <w:p w14:paraId="20C0A902">
      <w:pPr>
        <w:spacing w:line="40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不可抗力事件处理</w:t>
      </w:r>
    </w:p>
    <w:p w14:paraId="0D57CBF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在合同有效期内，任何一方因不可抗力事件导致不能履行合同，则合同履行期可延长，其延长期与不可抗力影响期相同。</w:t>
      </w:r>
    </w:p>
    <w:p w14:paraId="54166C5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不可抗力事件发生后，应立即通知对方，并寄送有关权威机构出具的证明。</w:t>
      </w:r>
    </w:p>
    <w:p w14:paraId="08ED87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不可抗力事件延续一百二十天以上，双方应通过友好协商，确定是否继续履行合同。</w:t>
      </w:r>
    </w:p>
    <w:p w14:paraId="68CE6E67">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第十二条  合同争议解决</w:t>
      </w:r>
    </w:p>
    <w:p w14:paraId="03C353D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因货物质量问题发生争议的，应邀请国家认可的质量检测机构对货物质量进行鉴定。货物符合标准的，鉴定费由甲方承担；货物不符合标准的，鉴定费由乙方承担。</w:t>
      </w:r>
    </w:p>
    <w:p w14:paraId="68A80E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因履行本合同引起的或与本合同有关的争议，甲乙双方应首先通过友好协商解决，如果协商不能解决，可向仲裁委员会申请仲裁或向人民法院提起诉讼。</w:t>
      </w:r>
    </w:p>
    <w:p w14:paraId="2CBFE4B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诉讼期间，本合同继续履行。</w:t>
      </w:r>
    </w:p>
    <w:p w14:paraId="07C94851">
      <w:pPr>
        <w:spacing w:line="40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合同生效及其它</w:t>
      </w:r>
    </w:p>
    <w:p w14:paraId="575AAA1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合同经双方法定代表人或被授权代表签字并加盖单位公章后生效。</w:t>
      </w:r>
    </w:p>
    <w:p w14:paraId="13FFAF9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2.合同执行中涉及采购资金和采购内容修改或补充的，须经财政部门审批，并签书面补充协议报财政部门备案，方可作为主合同不可分割的一部分。</w:t>
      </w:r>
    </w:p>
    <w:p w14:paraId="3F21041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3.本合同未尽事宜，遵照《民法典》有关条文执行。</w:t>
      </w:r>
    </w:p>
    <w:p w14:paraId="1BEE2787">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合同的变更、终止与转让</w:t>
      </w:r>
    </w:p>
    <w:p w14:paraId="1A0F203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除《中华人民共和国政府采购法》第五十条规定的情形外，本合同一经签订，甲乙双方不得擅自变更、中止或终止。</w:t>
      </w:r>
    </w:p>
    <w:p w14:paraId="6BD5116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未经甲方书面同意，乙方不得擅自转让（无进口资格的供应商委托进口货物除外）其应履行的合同义务。</w:t>
      </w:r>
    </w:p>
    <w:p w14:paraId="54B2A610">
      <w:pPr>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签订本合同依据</w:t>
      </w:r>
    </w:p>
    <w:p w14:paraId="15FBDDA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招标文件；</w:t>
      </w:r>
    </w:p>
    <w:p w14:paraId="7EC9F48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乙方提供的投标文件；</w:t>
      </w:r>
    </w:p>
    <w:p w14:paraId="5FBFE99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投标承诺书；</w:t>
      </w:r>
    </w:p>
    <w:p w14:paraId="6C907B6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成交通知书。</w:t>
      </w:r>
    </w:p>
    <w:p w14:paraId="06C0ACE6">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第十六条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份，具有同等法律效力，采购代理机构、政府采购监督管理处各一份，甲方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份（可根据需要另增加）。</w:t>
      </w:r>
    </w:p>
    <w:p w14:paraId="6BA8E24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w:t>
      </w:r>
    </w:p>
    <w:p w14:paraId="0ADC8DE1">
      <w:pPr>
        <w:spacing w:line="400" w:lineRule="exact"/>
        <w:rPr>
          <w:rFonts w:hint="eastAsia" w:ascii="宋体" w:hAnsi="宋体" w:eastAsia="宋体" w:cs="宋体"/>
          <w:color w:val="auto"/>
          <w:sz w:val="24"/>
          <w:szCs w:val="24"/>
          <w:highlight w:val="none"/>
        </w:rPr>
      </w:pPr>
    </w:p>
    <w:tbl>
      <w:tblPr>
        <w:tblStyle w:val="41"/>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225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3694781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p>
          <w:p w14:paraId="1207ED0E">
            <w:pPr>
              <w:spacing w:line="400" w:lineRule="exact"/>
              <w:rPr>
                <w:rFonts w:hint="eastAsia" w:ascii="宋体" w:hAnsi="宋体" w:eastAsia="宋体" w:cs="宋体"/>
                <w:color w:val="auto"/>
                <w:sz w:val="24"/>
                <w:szCs w:val="24"/>
                <w:highlight w:val="none"/>
              </w:rPr>
            </w:pPr>
          </w:p>
          <w:p w14:paraId="3A5D1B00">
            <w:pPr>
              <w:spacing w:line="400" w:lineRule="exact"/>
              <w:ind w:firstLine="1080" w:firstLineChars="4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517" w:type="dxa"/>
            <w:vAlign w:val="center"/>
          </w:tcPr>
          <w:p w14:paraId="034CBF0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732C8D54">
            <w:pPr>
              <w:spacing w:line="400" w:lineRule="exact"/>
              <w:rPr>
                <w:rFonts w:hint="eastAsia" w:ascii="宋体" w:hAnsi="宋体" w:eastAsia="宋体" w:cs="宋体"/>
                <w:color w:val="auto"/>
                <w:sz w:val="24"/>
                <w:szCs w:val="24"/>
                <w:highlight w:val="none"/>
              </w:rPr>
            </w:pPr>
          </w:p>
          <w:p w14:paraId="459BE69C">
            <w:pPr>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2B58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215D1BB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4517" w:type="dxa"/>
            <w:vAlign w:val="center"/>
          </w:tcPr>
          <w:p w14:paraId="520D31C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4992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vAlign w:val="center"/>
          </w:tcPr>
          <w:p w14:paraId="6C7857C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517" w:type="dxa"/>
            <w:vAlign w:val="center"/>
          </w:tcPr>
          <w:p w14:paraId="6D4B3D8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1F84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6B8E4EC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517" w:type="dxa"/>
            <w:vAlign w:val="center"/>
          </w:tcPr>
          <w:p w14:paraId="28C3078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56C8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625519F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17" w:type="dxa"/>
            <w:vAlign w:val="center"/>
          </w:tcPr>
          <w:p w14:paraId="6EBCFE1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7A5A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36A9428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517" w:type="dxa"/>
            <w:vAlign w:val="center"/>
          </w:tcPr>
          <w:p w14:paraId="4515A92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1B6F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5718DF5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517" w:type="dxa"/>
            <w:vAlign w:val="center"/>
          </w:tcPr>
          <w:p w14:paraId="1777123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3471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7EBFA6D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17" w:type="dxa"/>
            <w:vAlign w:val="center"/>
          </w:tcPr>
          <w:p w14:paraId="0A702C1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5E6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1F69A98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17" w:type="dxa"/>
            <w:vAlign w:val="center"/>
          </w:tcPr>
          <w:p w14:paraId="545E2A4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34D09D05">
      <w:pPr>
        <w:ind w:left="480" w:hanging="480" w:hangingChars="200"/>
        <w:rPr>
          <w:rFonts w:hint="eastAsia" w:ascii="宋体" w:hAnsi="宋体" w:eastAsia="宋体" w:cs="宋体"/>
          <w:color w:val="auto"/>
          <w:sz w:val="24"/>
          <w:szCs w:val="24"/>
          <w:highlight w:val="none"/>
        </w:rPr>
      </w:pPr>
    </w:p>
    <w:p w14:paraId="6EDC1A92">
      <w:pPr>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A1D7841">
      <w:pPr>
        <w:pStyle w:val="50"/>
        <w:rPr>
          <w:rFonts w:hint="eastAsia" w:hAnsi="宋体"/>
          <w:color w:val="auto"/>
          <w:kern w:val="2"/>
          <w:highlight w:val="none"/>
        </w:rPr>
      </w:pPr>
      <w:r>
        <w:rPr>
          <w:rFonts w:hint="eastAsia" w:hAnsi="宋体"/>
          <w:color w:val="auto"/>
          <w:kern w:val="2"/>
          <w:highlight w:val="none"/>
        </w:rPr>
        <w:t xml:space="preserve">合同附件1 </w:t>
      </w:r>
    </w:p>
    <w:p w14:paraId="08A96A43">
      <w:pPr>
        <w:pStyle w:val="50"/>
        <w:jc w:val="center"/>
        <w:rPr>
          <w:rFonts w:hint="eastAsia" w:hAnsi="宋体"/>
          <w:b/>
          <w:color w:val="auto"/>
          <w:kern w:val="2"/>
          <w:highlight w:val="none"/>
        </w:rPr>
      </w:pPr>
      <w:r>
        <w:rPr>
          <w:rFonts w:hint="eastAsia" w:hAnsi="宋体"/>
          <w:b/>
          <w:color w:val="auto"/>
          <w:kern w:val="2"/>
          <w:highlight w:val="none"/>
        </w:rPr>
        <w:t>投标承诺书</w:t>
      </w:r>
    </w:p>
    <w:p w14:paraId="6A7FA921">
      <w:pPr>
        <w:pStyle w:val="50"/>
        <w:rPr>
          <w:rFonts w:hint="eastAsia" w:hAnsi="宋体"/>
          <w:b/>
          <w:color w:val="auto"/>
          <w:kern w:val="2"/>
          <w:highlight w:val="none"/>
        </w:rPr>
      </w:pPr>
      <w:r>
        <w:rPr>
          <w:rFonts w:hint="eastAsia" w:hAnsi="宋体"/>
          <w:color w:val="auto"/>
          <w:kern w:val="2"/>
          <w:highlight w:val="none"/>
        </w:rPr>
        <w:t>一般货物类</w:t>
      </w:r>
    </w:p>
    <w:tbl>
      <w:tblPr>
        <w:tblStyle w:val="4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536"/>
      </w:tblGrid>
      <w:tr w14:paraId="449C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897" w:type="dxa"/>
            <w:gridSpan w:val="2"/>
          </w:tcPr>
          <w:p w14:paraId="00688640">
            <w:pPr>
              <w:pStyle w:val="50"/>
              <w:rPr>
                <w:rFonts w:hint="eastAsia" w:hAnsi="宋体"/>
                <w:color w:val="auto"/>
                <w:kern w:val="2"/>
                <w:highlight w:val="none"/>
              </w:rPr>
            </w:pPr>
            <w:r>
              <w:rPr>
                <w:rFonts w:hint="eastAsia" w:hAnsi="宋体"/>
                <w:color w:val="auto"/>
                <w:kern w:val="2"/>
                <w:highlight w:val="none"/>
              </w:rPr>
              <w:t>1．乙方承诺具体事项：</w:t>
            </w:r>
          </w:p>
        </w:tc>
      </w:tr>
      <w:tr w14:paraId="7EA9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897" w:type="dxa"/>
            <w:gridSpan w:val="2"/>
          </w:tcPr>
          <w:p w14:paraId="74B7A171">
            <w:pPr>
              <w:pStyle w:val="50"/>
              <w:rPr>
                <w:rFonts w:hint="eastAsia" w:hAnsi="宋体"/>
                <w:color w:val="auto"/>
                <w:kern w:val="2"/>
                <w:highlight w:val="none"/>
              </w:rPr>
            </w:pPr>
            <w:r>
              <w:rPr>
                <w:rFonts w:hint="eastAsia" w:hAnsi="宋体"/>
                <w:color w:val="auto"/>
                <w:kern w:val="2"/>
                <w:highlight w:val="none"/>
              </w:rPr>
              <w:t>2．售后服务具体事项：</w:t>
            </w:r>
          </w:p>
        </w:tc>
      </w:tr>
      <w:tr w14:paraId="7FF5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897" w:type="dxa"/>
            <w:gridSpan w:val="2"/>
          </w:tcPr>
          <w:p w14:paraId="7F5C9B7E">
            <w:pPr>
              <w:pStyle w:val="50"/>
              <w:rPr>
                <w:rFonts w:hint="eastAsia" w:hAnsi="宋体"/>
                <w:color w:val="auto"/>
                <w:kern w:val="2"/>
                <w:highlight w:val="none"/>
              </w:rPr>
            </w:pPr>
            <w:r>
              <w:rPr>
                <w:rFonts w:hint="eastAsia" w:hAnsi="宋体"/>
                <w:color w:val="auto"/>
                <w:kern w:val="2"/>
                <w:highlight w:val="none"/>
              </w:rPr>
              <w:t>3．质保期责任：</w:t>
            </w:r>
          </w:p>
        </w:tc>
      </w:tr>
      <w:tr w14:paraId="22DC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897" w:type="dxa"/>
            <w:gridSpan w:val="2"/>
          </w:tcPr>
          <w:p w14:paraId="44724B48">
            <w:pPr>
              <w:pStyle w:val="50"/>
              <w:rPr>
                <w:rFonts w:hint="eastAsia" w:hAnsi="宋体"/>
                <w:color w:val="auto"/>
                <w:kern w:val="2"/>
                <w:highlight w:val="none"/>
              </w:rPr>
            </w:pPr>
            <w:r>
              <w:rPr>
                <w:rFonts w:hint="eastAsia" w:hAnsi="宋体"/>
                <w:color w:val="auto"/>
                <w:kern w:val="2"/>
                <w:highlight w:val="none"/>
              </w:rPr>
              <w:t>4．其他具体事项：</w:t>
            </w:r>
          </w:p>
        </w:tc>
      </w:tr>
      <w:tr w14:paraId="0B84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361" w:type="dxa"/>
          </w:tcPr>
          <w:p w14:paraId="37A1F9B4">
            <w:pPr>
              <w:pStyle w:val="50"/>
              <w:rPr>
                <w:rFonts w:hint="eastAsia" w:hAnsi="宋体"/>
                <w:color w:val="auto"/>
                <w:kern w:val="2"/>
                <w:highlight w:val="none"/>
              </w:rPr>
            </w:pPr>
            <w:r>
              <w:rPr>
                <w:rFonts w:hint="eastAsia" w:hAnsi="宋体"/>
                <w:color w:val="auto"/>
                <w:kern w:val="2"/>
                <w:highlight w:val="none"/>
              </w:rPr>
              <w:t>甲方(章)</w:t>
            </w:r>
          </w:p>
          <w:p w14:paraId="56F05588">
            <w:pPr>
              <w:pStyle w:val="50"/>
              <w:rPr>
                <w:rFonts w:hint="eastAsia" w:hAnsi="宋体"/>
                <w:color w:val="auto"/>
                <w:kern w:val="2"/>
                <w:highlight w:val="none"/>
              </w:rPr>
            </w:pPr>
          </w:p>
          <w:p w14:paraId="3821646B">
            <w:pPr>
              <w:pStyle w:val="50"/>
              <w:rPr>
                <w:rFonts w:hint="eastAsia" w:hAnsi="宋体"/>
                <w:color w:val="auto"/>
                <w:kern w:val="2"/>
                <w:highlight w:val="none"/>
              </w:rPr>
            </w:pPr>
          </w:p>
          <w:p w14:paraId="6D505E8A">
            <w:pPr>
              <w:pStyle w:val="50"/>
              <w:ind w:firstLine="2640" w:firstLineChars="1100"/>
              <w:rPr>
                <w:rFonts w:hint="eastAsia" w:hAnsi="宋体"/>
                <w:color w:val="auto"/>
                <w:kern w:val="2"/>
                <w:highlight w:val="none"/>
              </w:rPr>
            </w:pPr>
            <w:r>
              <w:rPr>
                <w:rFonts w:hint="eastAsia" w:hAnsi="宋体"/>
                <w:color w:val="auto"/>
                <w:kern w:val="2"/>
                <w:highlight w:val="none"/>
              </w:rPr>
              <w:t>年 月 日</w:t>
            </w:r>
          </w:p>
        </w:tc>
        <w:tc>
          <w:tcPr>
            <w:tcW w:w="4536" w:type="dxa"/>
          </w:tcPr>
          <w:p w14:paraId="04AD5C3E">
            <w:pPr>
              <w:pStyle w:val="50"/>
              <w:rPr>
                <w:rFonts w:hint="eastAsia" w:hAnsi="宋体"/>
                <w:color w:val="auto"/>
                <w:kern w:val="2"/>
                <w:highlight w:val="none"/>
              </w:rPr>
            </w:pPr>
            <w:r>
              <w:rPr>
                <w:rFonts w:hint="eastAsia" w:hAnsi="宋体"/>
                <w:color w:val="auto"/>
                <w:kern w:val="2"/>
                <w:highlight w:val="none"/>
              </w:rPr>
              <w:t>乙方(章)</w:t>
            </w:r>
          </w:p>
          <w:p w14:paraId="7F091DDF">
            <w:pPr>
              <w:pStyle w:val="50"/>
              <w:rPr>
                <w:rFonts w:hint="eastAsia" w:hAnsi="宋体"/>
                <w:color w:val="auto"/>
                <w:kern w:val="2"/>
                <w:highlight w:val="none"/>
              </w:rPr>
            </w:pPr>
          </w:p>
          <w:p w14:paraId="7C3227B9">
            <w:pPr>
              <w:pStyle w:val="50"/>
              <w:rPr>
                <w:rFonts w:hint="eastAsia" w:hAnsi="宋体"/>
                <w:color w:val="auto"/>
                <w:kern w:val="2"/>
                <w:highlight w:val="none"/>
              </w:rPr>
            </w:pPr>
          </w:p>
          <w:p w14:paraId="6128F332">
            <w:pPr>
              <w:pStyle w:val="50"/>
              <w:ind w:firstLine="2880" w:firstLineChars="1200"/>
              <w:rPr>
                <w:rFonts w:hint="eastAsia" w:hAnsi="宋体"/>
                <w:color w:val="auto"/>
                <w:kern w:val="2"/>
                <w:highlight w:val="none"/>
              </w:rPr>
            </w:pPr>
            <w:r>
              <w:rPr>
                <w:rFonts w:hint="eastAsia" w:hAnsi="宋体"/>
                <w:color w:val="auto"/>
                <w:kern w:val="2"/>
                <w:highlight w:val="none"/>
              </w:rPr>
              <w:t>年 月 日</w:t>
            </w:r>
          </w:p>
        </w:tc>
      </w:tr>
    </w:tbl>
    <w:p w14:paraId="3246EE34">
      <w:pPr>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注：售后服务事项填不下时可另加附页</w:t>
      </w:r>
    </w:p>
    <w:p w14:paraId="3904A3F4">
      <w:pPr>
        <w:ind w:left="480" w:hanging="480" w:hangingChars="200"/>
        <w:rPr>
          <w:rFonts w:hint="eastAsia" w:ascii="宋体" w:hAnsi="宋体" w:eastAsia="宋体" w:cs="宋体"/>
          <w:color w:val="auto"/>
          <w:sz w:val="24"/>
          <w:szCs w:val="24"/>
          <w:highlight w:val="none"/>
        </w:rPr>
      </w:pPr>
    </w:p>
    <w:p w14:paraId="5611589F">
      <w:pPr>
        <w:jc w:val="center"/>
        <w:rPr>
          <w:rFonts w:hint="eastAsia" w:ascii="宋体" w:hAnsi="宋体" w:eastAsia="宋体" w:cs="宋体"/>
          <w:bCs/>
          <w:color w:val="auto"/>
          <w:sz w:val="24"/>
          <w:szCs w:val="24"/>
          <w:highlight w:val="none"/>
        </w:rPr>
      </w:pPr>
    </w:p>
    <w:p w14:paraId="18779C47">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color w:val="auto"/>
          <w:sz w:val="24"/>
          <w:szCs w:val="24"/>
          <w:highlight w:val="none"/>
        </w:rPr>
        <w:t>附件2：</w:t>
      </w:r>
    </w:p>
    <w:p w14:paraId="3CEB3EEB">
      <w:pPr>
        <w:shd w:val="clear" w:color="auto" w:fill="FFFFFF"/>
        <w:spacing w:line="4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广西壮族自治区政府采购项目合同验收书（格式）</w:t>
      </w:r>
    </w:p>
    <w:p w14:paraId="7F4D493E">
      <w:pPr>
        <w:shd w:val="clear" w:color="auto" w:fill="FFFFFF"/>
        <w:spacing w:line="320" w:lineRule="atLeas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根据政府采购项目（</w:t>
      </w:r>
      <w:r>
        <w:rPr>
          <w:rFonts w:hint="eastAsia" w:ascii="宋体" w:hAnsi="宋体" w:eastAsia="宋体" w:cs="宋体"/>
          <w:color w:val="auto"/>
          <w:sz w:val="24"/>
          <w:szCs w:val="24"/>
          <w:highlight w:val="none"/>
          <w:u w:val="single"/>
        </w:rPr>
        <w:t xml:space="preserve">采购合同编号： </w:t>
      </w:r>
      <w:r>
        <w:rPr>
          <w:rFonts w:hint="eastAsia" w:ascii="宋体" w:hAnsi="宋体" w:eastAsia="宋体" w:cs="宋体"/>
          <w:color w:val="auto"/>
          <w:sz w:val="24"/>
          <w:szCs w:val="24"/>
          <w:highlight w:val="none"/>
        </w:rPr>
        <w:t>）的约定，我单位对（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 政府采购项目成交供应商（</w:t>
      </w:r>
      <w:r>
        <w:rPr>
          <w:rFonts w:hint="eastAsia" w:ascii="宋体" w:hAnsi="宋体" w:eastAsia="宋体" w:cs="宋体"/>
          <w:color w:val="auto"/>
          <w:sz w:val="24"/>
          <w:szCs w:val="24"/>
          <w:highlight w:val="none"/>
          <w:u w:val="single"/>
        </w:rPr>
        <w:t xml:space="preserve"> 公司名称 </w:t>
      </w:r>
      <w:r>
        <w:rPr>
          <w:rFonts w:hint="eastAsia" w:ascii="宋体" w:hAnsi="宋体" w:eastAsia="宋体" w:cs="宋体"/>
          <w:color w:val="auto"/>
          <w:sz w:val="24"/>
          <w:szCs w:val="24"/>
          <w:highlight w:val="none"/>
        </w:rPr>
        <w:t>） 提供的货物（或工程、服务）进行了验收，验收情况如下：</w:t>
      </w:r>
    </w:p>
    <w:tbl>
      <w:tblPr>
        <w:tblStyle w:val="41"/>
        <w:tblW w:w="8445"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1AFE6E06">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468C0A30">
            <w:pPr>
              <w:spacing w:before="100" w:beforeAutospacing="1" w:after="100" w:afterAutospacing="1" w:line="320" w:lineRule="atLeast"/>
              <w:ind w:firstLine="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4A079EA2">
            <w:pPr>
              <w:spacing w:before="100" w:beforeAutospacing="1" w:after="100" w:afterAutospacing="1" w:line="320" w:lineRule="atLeast"/>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□自行验收 □委托验收</w:t>
            </w:r>
          </w:p>
        </w:tc>
      </w:tr>
      <w:tr w14:paraId="4CF981A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5A84674F">
            <w:pPr>
              <w:spacing w:before="100" w:beforeAutospacing="1" w:after="100" w:afterAutospacing="1" w:line="320" w:lineRule="atLeast"/>
              <w:ind w:firstLine="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21" w:type="dxa"/>
            <w:tcBorders>
              <w:top w:val="nil"/>
              <w:left w:val="nil"/>
              <w:bottom w:val="single" w:color="auto" w:sz="8" w:space="0"/>
              <w:right w:val="single" w:color="auto" w:sz="8" w:space="0"/>
            </w:tcBorders>
            <w:vAlign w:val="center"/>
          </w:tcPr>
          <w:p w14:paraId="330FA918">
            <w:pPr>
              <w:spacing w:before="100" w:beforeAutospacing="1" w:after="100" w:afterAutospacing="1" w:line="320" w:lineRule="atLeast"/>
              <w:ind w:firstLine="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2902" w:type="dxa"/>
            <w:gridSpan w:val="3"/>
            <w:tcBorders>
              <w:top w:val="nil"/>
              <w:left w:val="nil"/>
              <w:bottom w:val="single" w:color="auto" w:sz="8" w:space="0"/>
              <w:right w:val="single" w:color="auto" w:sz="8" w:space="0"/>
            </w:tcBorders>
            <w:vAlign w:val="center"/>
          </w:tcPr>
          <w:p w14:paraId="39723969">
            <w:pPr>
              <w:spacing w:before="100" w:beforeAutospacing="1" w:after="100" w:afterAutospacing="1" w:line="320" w:lineRule="atLeast"/>
              <w:ind w:firstLine="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329DCD5F">
            <w:pPr>
              <w:spacing w:before="100" w:beforeAutospacing="1" w:after="100" w:afterAutospacing="1" w:line="3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8" w:type="dxa"/>
            <w:tcBorders>
              <w:top w:val="nil"/>
              <w:left w:val="nil"/>
              <w:bottom w:val="single" w:color="auto" w:sz="8" w:space="0"/>
              <w:right w:val="single" w:color="auto" w:sz="8" w:space="0"/>
            </w:tcBorders>
            <w:vAlign w:val="center"/>
          </w:tcPr>
          <w:p w14:paraId="3212E843">
            <w:pPr>
              <w:spacing w:before="100" w:beforeAutospacing="1" w:after="100" w:afterAutospacing="1" w:line="320" w:lineRule="atLeast"/>
              <w:ind w:firstLine="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tc>
      </w:tr>
      <w:tr w14:paraId="7D2D0139">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80532A1">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1921" w:type="dxa"/>
            <w:tcBorders>
              <w:top w:val="nil"/>
              <w:left w:val="nil"/>
              <w:bottom w:val="single" w:color="auto" w:sz="8" w:space="0"/>
              <w:right w:val="single" w:color="auto" w:sz="8" w:space="0"/>
            </w:tcBorders>
            <w:vAlign w:val="center"/>
          </w:tcPr>
          <w:p w14:paraId="3A8CEEBD">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3CB17759">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863" w:type="dxa"/>
            <w:gridSpan w:val="2"/>
            <w:tcBorders>
              <w:top w:val="nil"/>
              <w:left w:val="nil"/>
              <w:bottom w:val="single" w:color="auto" w:sz="8" w:space="0"/>
              <w:right w:val="single" w:color="auto" w:sz="8" w:space="0"/>
            </w:tcBorders>
            <w:vAlign w:val="center"/>
          </w:tcPr>
          <w:p w14:paraId="0CA7D0C2">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1428" w:type="dxa"/>
            <w:tcBorders>
              <w:top w:val="nil"/>
              <w:left w:val="nil"/>
              <w:bottom w:val="single" w:color="auto" w:sz="8" w:space="0"/>
              <w:right w:val="single" w:color="auto" w:sz="8" w:space="0"/>
            </w:tcBorders>
            <w:vAlign w:val="center"/>
          </w:tcPr>
          <w:p w14:paraId="5C23983F">
            <w:pPr>
              <w:spacing w:before="100" w:beforeAutospacing="1" w:after="100" w:afterAutospacing="1" w:line="240" w:lineRule="atLeast"/>
              <w:jc w:val="center"/>
              <w:rPr>
                <w:rFonts w:hint="eastAsia" w:ascii="宋体" w:hAnsi="宋体" w:eastAsia="宋体" w:cs="宋体"/>
                <w:color w:val="auto"/>
                <w:sz w:val="24"/>
                <w:szCs w:val="24"/>
                <w:highlight w:val="none"/>
              </w:rPr>
            </w:pPr>
          </w:p>
        </w:tc>
      </w:tr>
      <w:tr w14:paraId="41180E7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66EF659">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1921" w:type="dxa"/>
            <w:tcBorders>
              <w:top w:val="nil"/>
              <w:left w:val="nil"/>
              <w:bottom w:val="single" w:color="auto" w:sz="8" w:space="0"/>
              <w:right w:val="single" w:color="auto" w:sz="8" w:space="0"/>
            </w:tcBorders>
            <w:vAlign w:val="center"/>
          </w:tcPr>
          <w:p w14:paraId="575C6480">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39884142">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863" w:type="dxa"/>
            <w:gridSpan w:val="2"/>
            <w:tcBorders>
              <w:top w:val="nil"/>
              <w:left w:val="nil"/>
              <w:bottom w:val="single" w:color="auto" w:sz="8" w:space="0"/>
              <w:right w:val="single" w:color="auto" w:sz="8" w:space="0"/>
            </w:tcBorders>
            <w:vAlign w:val="center"/>
          </w:tcPr>
          <w:p w14:paraId="6FD9AB6C">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1428" w:type="dxa"/>
            <w:tcBorders>
              <w:top w:val="nil"/>
              <w:left w:val="nil"/>
              <w:bottom w:val="single" w:color="auto" w:sz="8" w:space="0"/>
              <w:right w:val="single" w:color="auto" w:sz="8" w:space="0"/>
            </w:tcBorders>
            <w:vAlign w:val="center"/>
          </w:tcPr>
          <w:p w14:paraId="104F4F40">
            <w:pPr>
              <w:spacing w:before="100" w:beforeAutospacing="1" w:after="100" w:afterAutospacing="1" w:line="240" w:lineRule="atLeast"/>
              <w:jc w:val="center"/>
              <w:rPr>
                <w:rFonts w:hint="eastAsia" w:ascii="宋体" w:hAnsi="宋体" w:eastAsia="宋体" w:cs="宋体"/>
                <w:color w:val="auto"/>
                <w:sz w:val="24"/>
                <w:szCs w:val="24"/>
                <w:highlight w:val="none"/>
              </w:rPr>
            </w:pPr>
          </w:p>
        </w:tc>
      </w:tr>
      <w:tr w14:paraId="310EAC3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56756C3">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1921" w:type="dxa"/>
            <w:tcBorders>
              <w:top w:val="nil"/>
              <w:left w:val="nil"/>
              <w:bottom w:val="single" w:color="auto" w:sz="8" w:space="0"/>
              <w:right w:val="single" w:color="auto" w:sz="8" w:space="0"/>
            </w:tcBorders>
            <w:vAlign w:val="center"/>
          </w:tcPr>
          <w:p w14:paraId="7DC37315">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21BE14EB">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863" w:type="dxa"/>
            <w:gridSpan w:val="2"/>
            <w:tcBorders>
              <w:top w:val="nil"/>
              <w:left w:val="nil"/>
              <w:bottom w:val="single" w:color="auto" w:sz="8" w:space="0"/>
              <w:right w:val="single" w:color="auto" w:sz="8" w:space="0"/>
            </w:tcBorders>
            <w:vAlign w:val="center"/>
          </w:tcPr>
          <w:p w14:paraId="535A9D1E">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1428" w:type="dxa"/>
            <w:tcBorders>
              <w:top w:val="nil"/>
              <w:left w:val="nil"/>
              <w:bottom w:val="single" w:color="auto" w:sz="8" w:space="0"/>
              <w:right w:val="single" w:color="auto" w:sz="8" w:space="0"/>
            </w:tcBorders>
            <w:vAlign w:val="center"/>
          </w:tcPr>
          <w:p w14:paraId="7B37041A">
            <w:pPr>
              <w:spacing w:before="100" w:beforeAutospacing="1" w:after="100" w:afterAutospacing="1" w:line="240" w:lineRule="atLeast"/>
              <w:jc w:val="center"/>
              <w:rPr>
                <w:rFonts w:hint="eastAsia" w:ascii="宋体" w:hAnsi="宋体" w:eastAsia="宋体" w:cs="宋体"/>
                <w:color w:val="auto"/>
                <w:sz w:val="24"/>
                <w:szCs w:val="24"/>
                <w:highlight w:val="none"/>
              </w:rPr>
            </w:pPr>
          </w:p>
        </w:tc>
      </w:tr>
      <w:tr w14:paraId="24FFDD1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6A62B7B2">
            <w:pPr>
              <w:spacing w:before="100" w:beforeAutospacing="1" w:after="100" w:afterAutospacing="1" w:line="320" w:lineRule="atLeast"/>
              <w:ind w:firstLine="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863" w:type="dxa"/>
            <w:gridSpan w:val="2"/>
            <w:tcBorders>
              <w:top w:val="nil"/>
              <w:left w:val="nil"/>
              <w:bottom w:val="single" w:color="auto" w:sz="8" w:space="0"/>
              <w:right w:val="single" w:color="auto" w:sz="8" w:space="0"/>
            </w:tcBorders>
            <w:vAlign w:val="center"/>
          </w:tcPr>
          <w:p w14:paraId="11509473">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1428" w:type="dxa"/>
            <w:tcBorders>
              <w:top w:val="nil"/>
              <w:left w:val="nil"/>
              <w:bottom w:val="single" w:color="auto" w:sz="8" w:space="0"/>
              <w:right w:val="single" w:color="auto" w:sz="8" w:space="0"/>
            </w:tcBorders>
            <w:vAlign w:val="center"/>
          </w:tcPr>
          <w:p w14:paraId="1DA1F0B4">
            <w:pPr>
              <w:spacing w:before="100" w:beforeAutospacing="1" w:after="100" w:afterAutospacing="1" w:line="240" w:lineRule="atLeast"/>
              <w:jc w:val="center"/>
              <w:rPr>
                <w:rFonts w:hint="eastAsia" w:ascii="宋体" w:hAnsi="宋体" w:eastAsia="宋体" w:cs="宋体"/>
                <w:color w:val="auto"/>
                <w:sz w:val="24"/>
                <w:szCs w:val="24"/>
                <w:highlight w:val="none"/>
              </w:rPr>
            </w:pPr>
          </w:p>
        </w:tc>
      </w:tr>
      <w:tr w14:paraId="0464A194">
        <w:tblPrEx>
          <w:tblCellMar>
            <w:top w:w="0" w:type="dxa"/>
            <w:left w:w="0" w:type="dxa"/>
            <w:bottom w:w="0" w:type="dxa"/>
            <w:right w:w="0" w:type="dxa"/>
          </w:tblCellMar>
        </w:tblPrEx>
        <w:trPr>
          <w:trHeight w:val="641" w:hRule="atLeast"/>
          <w:jc w:val="center"/>
        </w:trPr>
        <w:tc>
          <w:tcPr>
            <w:tcW w:w="8445" w:type="dxa"/>
            <w:gridSpan w:val="8"/>
            <w:tcBorders>
              <w:top w:val="nil"/>
              <w:left w:val="single" w:color="auto" w:sz="8" w:space="0"/>
              <w:bottom w:val="single" w:color="auto" w:sz="8" w:space="0"/>
              <w:right w:val="single" w:color="auto" w:sz="8" w:space="0"/>
            </w:tcBorders>
            <w:vAlign w:val="center"/>
          </w:tcPr>
          <w:p w14:paraId="22FD020D">
            <w:pPr>
              <w:spacing w:before="100" w:beforeAutospacing="1" w:after="100" w:afterAutospacing="1" w:line="320" w:lineRule="atLeast"/>
              <w:ind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合计大写金额： 仟 佰 拾 万 仟 佰 拾 元</w:t>
            </w:r>
          </w:p>
        </w:tc>
      </w:tr>
      <w:tr w14:paraId="39A9E2CD">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4F85089">
            <w:pPr>
              <w:spacing w:before="100" w:beforeAutospacing="1" w:after="100" w:afterAutospacing="1" w:line="320" w:lineRule="atLeast"/>
              <w:ind w:firstLine="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实际供货日期</w:t>
            </w:r>
          </w:p>
        </w:tc>
        <w:tc>
          <w:tcPr>
            <w:tcW w:w="2719" w:type="dxa"/>
            <w:gridSpan w:val="2"/>
            <w:tcBorders>
              <w:top w:val="nil"/>
              <w:left w:val="nil"/>
              <w:bottom w:val="single" w:color="auto" w:sz="8" w:space="0"/>
              <w:right w:val="single" w:color="auto" w:sz="8" w:space="0"/>
            </w:tcBorders>
            <w:vAlign w:val="center"/>
          </w:tcPr>
          <w:p w14:paraId="6AB58C7F">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2282" w:type="dxa"/>
            <w:gridSpan w:val="3"/>
            <w:tcBorders>
              <w:top w:val="nil"/>
              <w:left w:val="nil"/>
              <w:bottom w:val="single" w:color="auto" w:sz="8" w:space="0"/>
              <w:right w:val="single" w:color="auto" w:sz="8" w:space="0"/>
            </w:tcBorders>
            <w:vAlign w:val="center"/>
          </w:tcPr>
          <w:p w14:paraId="21FB2E68">
            <w:pPr>
              <w:spacing w:before="100" w:beforeAutospacing="1" w:after="100" w:afterAutospacing="1" w:line="320" w:lineRule="atLeast"/>
              <w:ind w:firstLine="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215AF3C9">
            <w:pPr>
              <w:spacing w:before="100" w:beforeAutospacing="1" w:after="100" w:afterAutospacing="1" w:line="240" w:lineRule="atLeast"/>
              <w:jc w:val="center"/>
              <w:rPr>
                <w:rFonts w:hint="eastAsia" w:ascii="宋体" w:hAnsi="宋体" w:eastAsia="宋体" w:cs="宋体"/>
                <w:color w:val="auto"/>
                <w:sz w:val="24"/>
                <w:szCs w:val="24"/>
                <w:highlight w:val="none"/>
              </w:rPr>
            </w:pPr>
          </w:p>
        </w:tc>
      </w:tr>
      <w:tr w14:paraId="7D6F512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19F11F6A">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2719" w:type="dxa"/>
            <w:gridSpan w:val="2"/>
            <w:tcBorders>
              <w:top w:val="nil"/>
              <w:left w:val="nil"/>
              <w:bottom w:val="single" w:color="auto" w:sz="8" w:space="0"/>
              <w:right w:val="single" w:color="auto" w:sz="8" w:space="0"/>
            </w:tcBorders>
            <w:vAlign w:val="center"/>
          </w:tcPr>
          <w:p w14:paraId="7BEDDC0A">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2282" w:type="dxa"/>
            <w:gridSpan w:val="3"/>
            <w:tcBorders>
              <w:top w:val="nil"/>
              <w:left w:val="nil"/>
              <w:bottom w:val="single" w:color="auto" w:sz="8" w:space="0"/>
              <w:right w:val="single" w:color="auto" w:sz="8" w:space="0"/>
            </w:tcBorders>
            <w:vAlign w:val="center"/>
          </w:tcPr>
          <w:p w14:paraId="068CD0FD">
            <w:pPr>
              <w:spacing w:before="100" w:beforeAutospacing="1" w:after="100" w:afterAutospacing="1" w:line="240" w:lineRule="atLeast"/>
              <w:jc w:val="center"/>
              <w:rPr>
                <w:rFonts w:hint="eastAsia" w:ascii="宋体" w:hAnsi="宋体" w:eastAsia="宋体" w:cs="宋体"/>
                <w:color w:val="auto"/>
                <w:sz w:val="24"/>
                <w:szCs w:val="24"/>
                <w:highlight w:val="none"/>
              </w:rPr>
            </w:pPr>
          </w:p>
        </w:tc>
        <w:tc>
          <w:tcPr>
            <w:tcW w:w="2113" w:type="dxa"/>
            <w:gridSpan w:val="2"/>
            <w:tcBorders>
              <w:top w:val="nil"/>
              <w:left w:val="nil"/>
              <w:bottom w:val="single" w:color="auto" w:sz="8" w:space="0"/>
              <w:right w:val="single" w:color="auto" w:sz="8" w:space="0"/>
            </w:tcBorders>
            <w:vAlign w:val="center"/>
          </w:tcPr>
          <w:p w14:paraId="50592A0B">
            <w:pPr>
              <w:spacing w:before="100" w:beforeAutospacing="1" w:after="100" w:afterAutospacing="1" w:line="240" w:lineRule="atLeast"/>
              <w:jc w:val="center"/>
              <w:rPr>
                <w:rFonts w:hint="eastAsia" w:ascii="宋体" w:hAnsi="宋体" w:eastAsia="宋体" w:cs="宋体"/>
                <w:color w:val="auto"/>
                <w:sz w:val="24"/>
                <w:szCs w:val="24"/>
                <w:highlight w:val="none"/>
              </w:rPr>
            </w:pPr>
          </w:p>
        </w:tc>
      </w:tr>
      <w:tr w14:paraId="04483F29">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DF0FFE">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验收具体内容</w:t>
            </w:r>
          </w:p>
        </w:tc>
        <w:tc>
          <w:tcPr>
            <w:tcW w:w="7114"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BCC7745">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按采购合同、采购文件、投标文件及验收方案等进行验收；并核对成交供应商在安装调试等方面是否违反合同约定或服务规范要求、提供的质量保证证明材料是否齐全、应有的配件及附件是否达到合同约定等。可附件)</w:t>
            </w:r>
          </w:p>
        </w:tc>
      </w:tr>
      <w:tr w14:paraId="4DC6618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839609">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验收小组意见</w:t>
            </w:r>
          </w:p>
        </w:tc>
        <w:tc>
          <w:tcPr>
            <w:tcW w:w="7114" w:type="dxa"/>
            <w:gridSpan w:val="7"/>
            <w:tcBorders>
              <w:top w:val="nil"/>
              <w:left w:val="nil"/>
              <w:bottom w:val="single" w:color="auto" w:sz="8" w:space="0"/>
              <w:right w:val="single" w:color="auto" w:sz="8" w:space="0"/>
            </w:tcBorders>
            <w:vAlign w:val="center"/>
          </w:tcPr>
          <w:p w14:paraId="1D44742C">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验收结论性意见：</w:t>
            </w:r>
          </w:p>
        </w:tc>
      </w:tr>
      <w:tr w14:paraId="1F2EEE2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24B3D9BB">
            <w:pPr>
              <w:rPr>
                <w:rFonts w:hint="eastAsia" w:ascii="宋体" w:hAnsi="宋体" w:eastAsia="宋体" w:cs="宋体"/>
                <w:color w:val="auto"/>
                <w:sz w:val="24"/>
                <w:szCs w:val="24"/>
                <w:highlight w:val="none"/>
              </w:rPr>
            </w:pPr>
          </w:p>
        </w:tc>
        <w:tc>
          <w:tcPr>
            <w:tcW w:w="7114" w:type="dxa"/>
            <w:gridSpan w:val="7"/>
            <w:tcBorders>
              <w:top w:val="nil"/>
              <w:left w:val="nil"/>
              <w:bottom w:val="single" w:color="auto" w:sz="8" w:space="0"/>
              <w:right w:val="single" w:color="auto" w:sz="8" w:space="0"/>
            </w:tcBorders>
            <w:vAlign w:val="center"/>
          </w:tcPr>
          <w:p w14:paraId="5A03AAA2">
            <w:pPr>
              <w:spacing w:before="100" w:beforeAutospacing="1" w:after="100" w:afterAutospacing="1" w:line="320" w:lineRule="atLeast"/>
              <w:ind w:firstLine="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有异议的意见和说明理由：</w:t>
            </w:r>
          </w:p>
          <w:p w14:paraId="1928DC61">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p>
        </w:tc>
      </w:tr>
      <w:tr w14:paraId="1F260B9A">
        <w:tblPrEx>
          <w:tblCellMar>
            <w:top w:w="0" w:type="dxa"/>
            <w:left w:w="0" w:type="dxa"/>
            <w:bottom w:w="0" w:type="dxa"/>
            <w:right w:w="0" w:type="dxa"/>
          </w:tblCellMar>
        </w:tblPrEx>
        <w:trPr>
          <w:trHeight w:val="507"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F8F741">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验收小组成员签字：</w:t>
            </w:r>
          </w:p>
        </w:tc>
      </w:tr>
      <w:tr w14:paraId="5F15A13B">
        <w:tblPrEx>
          <w:tblCellMar>
            <w:top w:w="0" w:type="dxa"/>
            <w:left w:w="0" w:type="dxa"/>
            <w:bottom w:w="0" w:type="dxa"/>
            <w:right w:w="0" w:type="dxa"/>
          </w:tblCellMar>
        </w:tblPrEx>
        <w:trPr>
          <w:trHeight w:val="736" w:hRule="atLeast"/>
          <w:jc w:val="center"/>
        </w:trPr>
        <w:tc>
          <w:tcPr>
            <w:tcW w:w="8445"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5B4631">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监督人员或其他相关人员签字：</w:t>
            </w:r>
          </w:p>
          <w:p w14:paraId="2AE17B71">
            <w:pPr>
              <w:spacing w:before="100" w:beforeAutospacing="1" w:after="100" w:afterAutospacing="1" w:line="320" w:lineRule="atLeast"/>
              <w:ind w:firstLine="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或受邀机构的意见（盖章）：</w:t>
            </w:r>
          </w:p>
        </w:tc>
      </w:tr>
      <w:tr w14:paraId="69EDA927">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5E6E6098">
            <w:pPr>
              <w:spacing w:before="100" w:beforeAutospacing="1" w:after="100" w:afterAutospacing="1" w:line="320" w:lineRule="atLeast"/>
              <w:ind w:firstLine="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中标或者成交供应商负责人</w:t>
            </w:r>
          </w:p>
          <w:p w14:paraId="20E8EC93">
            <w:pPr>
              <w:spacing w:before="100" w:beforeAutospacing="1" w:after="100" w:afterAutospacing="1" w:line="320" w:lineRule="atLeast"/>
              <w:ind w:firstLine="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w:t>
            </w:r>
          </w:p>
          <w:p w14:paraId="554E4F85">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4DBFF86C">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采购人或受托机构的意见（盖章）：</w:t>
            </w:r>
          </w:p>
          <w:p w14:paraId="144CAA95">
            <w:pPr>
              <w:spacing w:before="100" w:beforeAutospacing="1" w:after="100" w:afterAutospacing="1" w:line="3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年 月 日</w:t>
            </w:r>
          </w:p>
        </w:tc>
      </w:tr>
    </w:tbl>
    <w:p w14:paraId="52A322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99D0CD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p>
    <w:p w14:paraId="48E26F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政府采购项目履约保证金退付意见书</w:t>
      </w:r>
    </w:p>
    <w:tbl>
      <w:tblPr>
        <w:tblStyle w:val="4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889"/>
      </w:tblGrid>
      <w:tr w14:paraId="19D6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770A1E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p>
          <w:p w14:paraId="765F46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w:t>
            </w:r>
          </w:p>
          <w:p w14:paraId="295B976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w:t>
            </w:r>
          </w:p>
          <w:p w14:paraId="473ED9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w:t>
            </w:r>
          </w:p>
          <w:p w14:paraId="33FA0D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w:t>
            </w:r>
          </w:p>
        </w:tc>
        <w:tc>
          <w:tcPr>
            <w:tcW w:w="7889" w:type="dxa"/>
            <w:tcBorders>
              <w:top w:val="single" w:color="auto" w:sz="4" w:space="0"/>
              <w:left w:val="single" w:color="auto" w:sz="4" w:space="0"/>
              <w:bottom w:val="single" w:color="auto" w:sz="4" w:space="0"/>
              <w:right w:val="single" w:color="auto" w:sz="4" w:space="0"/>
            </w:tcBorders>
            <w:vAlign w:val="center"/>
          </w:tcPr>
          <w:p w14:paraId="025BBE9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r>
      <w:tr w14:paraId="30C5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59600FC">
            <w:pPr>
              <w:rPr>
                <w:rFonts w:hint="eastAsia" w:ascii="宋体" w:hAnsi="宋体" w:eastAsia="宋体" w:cs="宋体"/>
                <w:color w:val="auto"/>
                <w:sz w:val="24"/>
                <w:szCs w:val="24"/>
                <w:highlight w:val="none"/>
              </w:rPr>
            </w:pPr>
          </w:p>
        </w:tc>
        <w:tc>
          <w:tcPr>
            <w:tcW w:w="7889" w:type="dxa"/>
            <w:tcBorders>
              <w:top w:val="single" w:color="auto" w:sz="4" w:space="0"/>
              <w:left w:val="single" w:color="auto" w:sz="4" w:space="0"/>
              <w:bottom w:val="single" w:color="auto" w:sz="4" w:space="0"/>
              <w:right w:val="single" w:color="auto" w:sz="4" w:space="0"/>
            </w:tcBorders>
            <w:vAlign w:val="center"/>
          </w:tcPr>
          <w:p w14:paraId="0C18E9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r>
      <w:tr w14:paraId="58F2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C654E27">
            <w:pPr>
              <w:rPr>
                <w:rFonts w:hint="eastAsia" w:ascii="宋体" w:hAnsi="宋体" w:eastAsia="宋体" w:cs="宋体"/>
                <w:color w:val="auto"/>
                <w:sz w:val="24"/>
                <w:szCs w:val="24"/>
                <w:highlight w:val="none"/>
              </w:rPr>
            </w:pPr>
          </w:p>
        </w:tc>
        <w:tc>
          <w:tcPr>
            <w:tcW w:w="7889" w:type="dxa"/>
            <w:tcBorders>
              <w:top w:val="single" w:color="auto" w:sz="4" w:space="0"/>
              <w:left w:val="single" w:color="auto" w:sz="4" w:space="0"/>
              <w:bottom w:val="single" w:color="auto" w:sz="4" w:space="0"/>
              <w:right w:val="single" w:color="auto" w:sz="4" w:space="0"/>
            </w:tcBorders>
          </w:tcPr>
          <w:p w14:paraId="32BA4C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该项目已于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日验收并交付使用。根据合同规定，该项目的履约保证金期限于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日已满，请将履约保证金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（小写）退付到达以下帐户。</w:t>
            </w:r>
          </w:p>
          <w:p w14:paraId="3EA93CF9">
            <w:pPr>
              <w:spacing w:line="400" w:lineRule="exact"/>
              <w:ind w:firstLine="7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7129A3AC">
            <w:pPr>
              <w:spacing w:line="400" w:lineRule="exact"/>
              <w:ind w:firstLine="7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12D5A959">
            <w:pPr>
              <w:spacing w:line="400" w:lineRule="exact"/>
              <w:ind w:firstLine="7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263B6308">
            <w:pPr>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p w14:paraId="7E40234B">
            <w:pPr>
              <w:spacing w:line="400" w:lineRule="exact"/>
              <w:rPr>
                <w:rFonts w:hint="eastAsia" w:ascii="宋体" w:hAnsi="宋体" w:eastAsia="宋体" w:cs="宋体"/>
                <w:color w:val="auto"/>
                <w:sz w:val="24"/>
                <w:szCs w:val="24"/>
                <w:highlight w:val="none"/>
              </w:rPr>
            </w:pPr>
          </w:p>
          <w:p w14:paraId="0AD25C29">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供应商签章：</w:t>
            </w:r>
          </w:p>
          <w:p w14:paraId="6777108E">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7AF5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1008" w:type="dxa"/>
            <w:tcBorders>
              <w:top w:val="single" w:color="auto" w:sz="4" w:space="0"/>
              <w:left w:val="single" w:color="auto" w:sz="4" w:space="0"/>
              <w:bottom w:val="single" w:color="auto" w:sz="4" w:space="0"/>
              <w:right w:val="single" w:color="auto" w:sz="4" w:space="0"/>
            </w:tcBorders>
            <w:vAlign w:val="center"/>
          </w:tcPr>
          <w:p w14:paraId="14AFB8D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w:t>
            </w:r>
          </w:p>
          <w:p w14:paraId="1E9B01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w:t>
            </w:r>
          </w:p>
          <w:p w14:paraId="20614B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14:paraId="5A3E67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意</w:t>
            </w:r>
          </w:p>
          <w:p w14:paraId="15D378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p>
        </w:tc>
        <w:tc>
          <w:tcPr>
            <w:tcW w:w="7889" w:type="dxa"/>
            <w:tcBorders>
              <w:top w:val="single" w:color="auto" w:sz="4" w:space="0"/>
              <w:left w:val="single" w:color="auto" w:sz="4" w:space="0"/>
              <w:bottom w:val="single" w:color="auto" w:sz="4" w:space="0"/>
              <w:right w:val="single" w:color="auto" w:sz="4" w:space="0"/>
            </w:tcBorders>
          </w:tcPr>
          <w:p w14:paraId="05A432B0">
            <w:pPr>
              <w:rPr>
                <w:rFonts w:hint="eastAsia" w:ascii="宋体" w:hAnsi="宋体" w:eastAsia="宋体" w:cs="宋体"/>
                <w:color w:val="auto"/>
                <w:sz w:val="24"/>
                <w:szCs w:val="24"/>
                <w:highlight w:val="none"/>
              </w:rPr>
            </w:pPr>
          </w:p>
          <w:p w14:paraId="07F6E39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退付意见：是否同意退付履约保证金及退付金额：</w:t>
            </w:r>
          </w:p>
          <w:p w14:paraId="740FB18C">
            <w:pPr>
              <w:rPr>
                <w:rFonts w:hint="eastAsia" w:ascii="宋体" w:hAnsi="宋体" w:eastAsia="宋体" w:cs="宋体"/>
                <w:color w:val="auto"/>
                <w:sz w:val="24"/>
                <w:szCs w:val="24"/>
                <w:highlight w:val="none"/>
              </w:rPr>
            </w:pPr>
          </w:p>
          <w:p w14:paraId="1AC21C8F">
            <w:pPr>
              <w:rPr>
                <w:rFonts w:hint="eastAsia" w:ascii="宋体" w:hAnsi="宋体" w:eastAsia="宋体" w:cs="宋体"/>
                <w:color w:val="auto"/>
                <w:sz w:val="24"/>
                <w:szCs w:val="24"/>
                <w:highlight w:val="none"/>
              </w:rPr>
            </w:pPr>
          </w:p>
          <w:p w14:paraId="77DE1B1D">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                                 采购人签章</w:t>
            </w:r>
          </w:p>
          <w:p w14:paraId="793A086A">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bl>
    <w:p w14:paraId="47A747F7">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注：供应商凭经采购人审批的退付意见书到保证金收取单位办理履约保证金退付事宜</w:t>
      </w:r>
      <w:r>
        <w:rPr>
          <w:rFonts w:hint="eastAsia" w:ascii="宋体" w:hAnsi="宋体" w:eastAsia="宋体" w:cs="宋体"/>
          <w:b/>
          <w:bCs/>
          <w:color w:val="auto"/>
          <w:sz w:val="24"/>
          <w:szCs w:val="24"/>
          <w:highlight w:val="none"/>
        </w:rPr>
        <w:t>。</w:t>
      </w:r>
    </w:p>
    <w:p w14:paraId="660D94C8">
      <w:pPr>
        <w:ind w:left="480" w:hanging="480" w:hangingChars="200"/>
        <w:rPr>
          <w:rFonts w:hint="eastAsia" w:ascii="宋体" w:hAnsi="宋体" w:eastAsia="宋体" w:cs="宋体"/>
          <w:color w:val="auto"/>
          <w:sz w:val="24"/>
          <w:szCs w:val="24"/>
          <w:highlight w:val="none"/>
        </w:rPr>
      </w:pPr>
    </w:p>
    <w:p w14:paraId="71C7B769">
      <w:pPr>
        <w:spacing w:line="300" w:lineRule="exact"/>
        <w:rPr>
          <w:rFonts w:hint="eastAsia" w:ascii="宋体" w:hAnsi="宋体" w:eastAsia="宋体" w:cs="宋体"/>
          <w:color w:val="auto"/>
          <w:sz w:val="24"/>
          <w:szCs w:val="24"/>
          <w:highlight w:val="none"/>
        </w:rPr>
      </w:pPr>
    </w:p>
    <w:p w14:paraId="42254C9D">
      <w:pPr>
        <w:spacing w:line="300" w:lineRule="exact"/>
        <w:rPr>
          <w:rFonts w:hint="eastAsia" w:ascii="宋体" w:hAnsi="宋体" w:eastAsia="宋体" w:cs="宋体"/>
          <w:color w:val="auto"/>
          <w:sz w:val="24"/>
          <w:szCs w:val="24"/>
          <w:highlight w:val="none"/>
        </w:rPr>
      </w:pPr>
    </w:p>
    <w:p w14:paraId="473D9597">
      <w:pPr>
        <w:adjustRightInd/>
        <w:snapToGrid/>
        <w:spacing w:line="2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82FA218">
      <w:pPr>
        <w:pStyle w:val="2"/>
        <w:rPr>
          <w:rFonts w:hint="eastAsia" w:ascii="宋体" w:hAnsi="宋体" w:eastAsia="宋体" w:cs="宋体"/>
          <w:color w:val="auto"/>
          <w:highlight w:val="none"/>
        </w:rPr>
      </w:pPr>
    </w:p>
    <w:p w14:paraId="113C4431">
      <w:pPr>
        <w:pStyle w:val="2"/>
        <w:rPr>
          <w:rFonts w:hint="eastAsia" w:ascii="宋体" w:hAnsi="宋体" w:eastAsia="宋体" w:cs="宋体"/>
          <w:color w:val="auto"/>
          <w:highlight w:val="none"/>
        </w:rPr>
      </w:pPr>
      <w:bookmarkStart w:id="88" w:name="_Toc10098"/>
      <w:r>
        <w:rPr>
          <w:rFonts w:hint="eastAsia" w:ascii="宋体" w:hAnsi="宋体" w:eastAsia="宋体" w:cs="宋体"/>
          <w:color w:val="auto"/>
          <w:highlight w:val="none"/>
        </w:rPr>
        <w:t>第六章  响应文件格式</w:t>
      </w:r>
      <w:bookmarkEnd w:id="85"/>
      <w:bookmarkEnd w:id="86"/>
      <w:bookmarkEnd w:id="87"/>
      <w:bookmarkEnd w:id="88"/>
    </w:p>
    <w:p w14:paraId="06E12B81">
      <w:pPr>
        <w:rPr>
          <w:rFonts w:hint="eastAsia" w:ascii="宋体" w:hAnsi="宋体" w:eastAsia="宋体" w:cs="宋体"/>
          <w:color w:val="auto"/>
          <w:highlight w:val="none"/>
        </w:rPr>
      </w:pPr>
    </w:p>
    <w:p w14:paraId="482CA879">
      <w:pPr>
        <w:rPr>
          <w:rFonts w:hint="eastAsia" w:ascii="宋体" w:hAnsi="宋体" w:eastAsia="宋体" w:cs="宋体"/>
          <w:color w:val="auto"/>
          <w:highlight w:val="none"/>
        </w:rPr>
      </w:pPr>
    </w:p>
    <w:p w14:paraId="2DA2F086">
      <w:pPr>
        <w:jc w:val="center"/>
        <w:rPr>
          <w:rFonts w:hint="eastAsia" w:ascii="宋体" w:hAnsi="宋体" w:eastAsia="宋体" w:cs="宋体"/>
          <w:color w:val="auto"/>
          <w:highlight w:val="none"/>
        </w:rPr>
      </w:pPr>
      <w:r>
        <w:rPr>
          <w:rFonts w:hint="eastAsia" w:ascii="宋体" w:hAnsi="宋体" w:eastAsia="宋体" w:cs="宋体"/>
          <w:color w:val="auto"/>
          <w:highlight w:val="none"/>
        </w:rPr>
        <w:t>（用于响应文件封面）</w:t>
      </w:r>
    </w:p>
    <w:p w14:paraId="098AD69A">
      <w:pPr>
        <w:rPr>
          <w:rFonts w:hint="eastAsia" w:ascii="宋体" w:hAnsi="宋体" w:eastAsia="宋体" w:cs="宋体"/>
          <w:color w:val="auto"/>
          <w:highlight w:val="none"/>
        </w:rPr>
      </w:pPr>
    </w:p>
    <w:p w14:paraId="528717C1">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响应文件</w:t>
      </w:r>
    </w:p>
    <w:p w14:paraId="2FECEFB3">
      <w:pPr>
        <w:rPr>
          <w:rFonts w:hint="eastAsia" w:ascii="宋体" w:hAnsi="宋体" w:eastAsia="宋体" w:cs="宋体"/>
          <w:color w:val="auto"/>
          <w:highlight w:val="none"/>
        </w:rPr>
      </w:pPr>
    </w:p>
    <w:p w14:paraId="434A4462">
      <w:pPr>
        <w:rPr>
          <w:rFonts w:hint="eastAsia" w:ascii="宋体" w:hAnsi="宋体" w:eastAsia="宋体" w:cs="宋体"/>
          <w:color w:val="auto"/>
          <w:highlight w:val="none"/>
        </w:rPr>
      </w:pPr>
    </w:p>
    <w:p w14:paraId="178CF071">
      <w:pPr>
        <w:rPr>
          <w:rFonts w:hint="eastAsia" w:ascii="宋体" w:hAnsi="宋体" w:eastAsia="宋体" w:cs="宋体"/>
          <w:color w:val="auto"/>
          <w:sz w:val="28"/>
          <w:szCs w:val="28"/>
          <w:highlight w:val="none"/>
        </w:rPr>
      </w:pPr>
    </w:p>
    <w:p w14:paraId="2AB899AB">
      <w:pPr>
        <w:spacing w:line="600" w:lineRule="exact"/>
        <w:ind w:firstLine="1400" w:firstLineChars="5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（项目名称）   </w:t>
      </w:r>
    </w:p>
    <w:p w14:paraId="10FD51F7">
      <w:pPr>
        <w:spacing w:line="600" w:lineRule="exact"/>
        <w:ind w:firstLine="1400" w:firstLineChars="5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采购编号：</w:t>
      </w:r>
    </w:p>
    <w:p w14:paraId="5BDFB026">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响应文件内容：</w:t>
      </w:r>
      <w:r>
        <w:rPr>
          <w:rFonts w:hint="eastAsia" w:ascii="宋体" w:hAnsi="宋体" w:eastAsia="宋体" w:cs="宋体"/>
          <w:color w:val="auto"/>
          <w:sz w:val="28"/>
          <w:szCs w:val="28"/>
          <w:highlight w:val="none"/>
          <w:u w:val="single"/>
        </w:rPr>
        <w:t xml:space="preserve">        价格文件/商务技术文件    </w:t>
      </w:r>
    </w:p>
    <w:p w14:paraId="18FDA124">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竞标人名称：</w:t>
      </w:r>
      <w:r>
        <w:rPr>
          <w:rFonts w:hint="eastAsia" w:ascii="宋体" w:hAnsi="宋体" w:eastAsia="宋体" w:cs="宋体"/>
          <w:color w:val="auto"/>
          <w:sz w:val="28"/>
          <w:szCs w:val="28"/>
          <w:highlight w:val="none"/>
          <w:u w:val="single"/>
        </w:rPr>
        <w:t xml:space="preserve">        （盖单位公章）           </w:t>
      </w:r>
    </w:p>
    <w:p w14:paraId="36E2BC87">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（签字）     </w:t>
      </w:r>
    </w:p>
    <w:p w14:paraId="48F9C0A5">
      <w:pPr>
        <w:spacing w:line="600" w:lineRule="exact"/>
        <w:ind w:firstLine="1400" w:firstLineChars="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14:paraId="1BE387D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BAB4ED">
      <w:pPr>
        <w:spacing w:line="30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附件一：</w:t>
      </w:r>
    </w:p>
    <w:p w14:paraId="5C055D29">
      <w:pPr>
        <w:spacing w:line="3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谈判报价表</w:t>
      </w:r>
    </w:p>
    <w:p w14:paraId="71C94319">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采购编号:</w:t>
      </w:r>
    </w:p>
    <w:p w14:paraId="50063BE9">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372"/>
        <w:gridCol w:w="456"/>
        <w:gridCol w:w="1442"/>
        <w:gridCol w:w="1442"/>
        <w:gridCol w:w="1442"/>
        <w:gridCol w:w="1205"/>
        <w:gridCol w:w="158"/>
        <w:gridCol w:w="1438"/>
      </w:tblGrid>
      <w:tr w14:paraId="72D6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15" w:type="pct"/>
            <w:vAlign w:val="center"/>
          </w:tcPr>
          <w:p w14:paraId="5168F5E9">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03" w:type="pct"/>
            <w:vAlign w:val="center"/>
          </w:tcPr>
          <w:p w14:paraId="0BCDDC59">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33" w:type="pct"/>
            <w:vAlign w:val="center"/>
          </w:tcPr>
          <w:p w14:paraId="2F6AE593">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数量①</w:t>
            </w:r>
          </w:p>
        </w:tc>
        <w:tc>
          <w:tcPr>
            <w:tcW w:w="738" w:type="pct"/>
            <w:vAlign w:val="center"/>
          </w:tcPr>
          <w:p w14:paraId="191B37BA">
            <w:pPr>
              <w:spacing w:after="0"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w:t>
            </w:r>
          </w:p>
        </w:tc>
        <w:tc>
          <w:tcPr>
            <w:tcW w:w="738" w:type="pct"/>
            <w:vAlign w:val="center"/>
          </w:tcPr>
          <w:p w14:paraId="49092DAD">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品牌及规格型号、生产厂家及国别</w:t>
            </w:r>
          </w:p>
        </w:tc>
        <w:tc>
          <w:tcPr>
            <w:tcW w:w="738" w:type="pct"/>
            <w:vAlign w:val="center"/>
          </w:tcPr>
          <w:p w14:paraId="38E060DD">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技术参数及性能配置</w:t>
            </w:r>
          </w:p>
        </w:tc>
        <w:tc>
          <w:tcPr>
            <w:tcW w:w="617" w:type="pct"/>
            <w:vAlign w:val="center"/>
          </w:tcPr>
          <w:p w14:paraId="0FC8CFA9">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p w14:paraId="52EDF840">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②</w:t>
            </w:r>
          </w:p>
        </w:tc>
        <w:tc>
          <w:tcPr>
            <w:tcW w:w="814" w:type="pct"/>
            <w:gridSpan w:val="2"/>
            <w:vAlign w:val="center"/>
          </w:tcPr>
          <w:p w14:paraId="57E99AE9">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单项合价（元）</w:t>
            </w:r>
          </w:p>
          <w:p w14:paraId="55C8F162">
            <w:pPr>
              <w:spacing w:after="0"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③=①×②</w:t>
            </w:r>
          </w:p>
        </w:tc>
      </w:tr>
      <w:tr w14:paraId="7482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5" w:type="pct"/>
            <w:vAlign w:val="center"/>
          </w:tcPr>
          <w:p w14:paraId="6C4DE7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703" w:type="pct"/>
            <w:vAlign w:val="center"/>
          </w:tcPr>
          <w:p w14:paraId="2CC93A67">
            <w:pPr>
              <w:rPr>
                <w:rFonts w:hint="eastAsia" w:ascii="宋体" w:hAnsi="宋体" w:eastAsia="宋体" w:cs="宋体"/>
                <w:color w:val="auto"/>
                <w:sz w:val="24"/>
                <w:highlight w:val="none"/>
              </w:rPr>
            </w:pPr>
          </w:p>
        </w:tc>
        <w:tc>
          <w:tcPr>
            <w:tcW w:w="233" w:type="pct"/>
            <w:vAlign w:val="center"/>
          </w:tcPr>
          <w:p w14:paraId="379A793B">
            <w:pPr>
              <w:rPr>
                <w:rFonts w:hint="eastAsia" w:ascii="宋体" w:hAnsi="宋体" w:eastAsia="宋体" w:cs="宋体"/>
                <w:color w:val="auto"/>
                <w:sz w:val="24"/>
                <w:highlight w:val="none"/>
              </w:rPr>
            </w:pPr>
          </w:p>
        </w:tc>
        <w:tc>
          <w:tcPr>
            <w:tcW w:w="738" w:type="pct"/>
            <w:vAlign w:val="center"/>
          </w:tcPr>
          <w:p w14:paraId="6E7C60AA">
            <w:pPr>
              <w:rPr>
                <w:rFonts w:hint="eastAsia" w:ascii="宋体" w:hAnsi="宋体" w:eastAsia="宋体" w:cs="宋体"/>
                <w:color w:val="auto"/>
                <w:sz w:val="24"/>
                <w:highlight w:val="none"/>
              </w:rPr>
            </w:pPr>
          </w:p>
        </w:tc>
        <w:tc>
          <w:tcPr>
            <w:tcW w:w="738" w:type="pct"/>
            <w:vAlign w:val="center"/>
          </w:tcPr>
          <w:p w14:paraId="6433C907">
            <w:pPr>
              <w:rPr>
                <w:rFonts w:hint="eastAsia" w:ascii="宋体" w:hAnsi="宋体" w:eastAsia="宋体" w:cs="宋体"/>
                <w:color w:val="auto"/>
                <w:sz w:val="24"/>
                <w:highlight w:val="none"/>
              </w:rPr>
            </w:pPr>
          </w:p>
        </w:tc>
        <w:tc>
          <w:tcPr>
            <w:tcW w:w="738" w:type="pct"/>
            <w:vAlign w:val="center"/>
          </w:tcPr>
          <w:p w14:paraId="0AFC0930">
            <w:pPr>
              <w:rPr>
                <w:rFonts w:hint="eastAsia" w:ascii="宋体" w:hAnsi="宋体" w:eastAsia="宋体" w:cs="宋体"/>
                <w:color w:val="auto"/>
                <w:sz w:val="24"/>
                <w:highlight w:val="none"/>
              </w:rPr>
            </w:pPr>
          </w:p>
        </w:tc>
        <w:tc>
          <w:tcPr>
            <w:tcW w:w="617" w:type="pct"/>
            <w:vAlign w:val="center"/>
          </w:tcPr>
          <w:p w14:paraId="5A71068B">
            <w:pPr>
              <w:rPr>
                <w:rFonts w:hint="eastAsia" w:ascii="宋体" w:hAnsi="宋体" w:eastAsia="宋体" w:cs="宋体"/>
                <w:color w:val="auto"/>
                <w:sz w:val="24"/>
                <w:highlight w:val="none"/>
              </w:rPr>
            </w:pPr>
          </w:p>
        </w:tc>
        <w:tc>
          <w:tcPr>
            <w:tcW w:w="814" w:type="pct"/>
            <w:gridSpan w:val="2"/>
            <w:vAlign w:val="center"/>
          </w:tcPr>
          <w:p w14:paraId="40CEB756">
            <w:pPr>
              <w:rPr>
                <w:rFonts w:hint="eastAsia" w:ascii="宋体" w:hAnsi="宋体" w:eastAsia="宋体" w:cs="宋体"/>
                <w:color w:val="auto"/>
                <w:sz w:val="24"/>
                <w:highlight w:val="none"/>
              </w:rPr>
            </w:pPr>
          </w:p>
        </w:tc>
      </w:tr>
      <w:tr w14:paraId="6B20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15" w:type="pct"/>
            <w:vAlign w:val="center"/>
          </w:tcPr>
          <w:p w14:paraId="2572EF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703" w:type="pct"/>
            <w:vAlign w:val="center"/>
          </w:tcPr>
          <w:p w14:paraId="6656EE7C">
            <w:pPr>
              <w:rPr>
                <w:rFonts w:hint="eastAsia" w:ascii="宋体" w:hAnsi="宋体" w:eastAsia="宋体" w:cs="宋体"/>
                <w:color w:val="auto"/>
                <w:sz w:val="24"/>
                <w:highlight w:val="none"/>
              </w:rPr>
            </w:pPr>
          </w:p>
        </w:tc>
        <w:tc>
          <w:tcPr>
            <w:tcW w:w="233" w:type="pct"/>
            <w:vAlign w:val="center"/>
          </w:tcPr>
          <w:p w14:paraId="33352D9E">
            <w:pPr>
              <w:rPr>
                <w:rFonts w:hint="eastAsia" w:ascii="宋体" w:hAnsi="宋体" w:eastAsia="宋体" w:cs="宋体"/>
                <w:color w:val="auto"/>
                <w:sz w:val="24"/>
                <w:highlight w:val="none"/>
              </w:rPr>
            </w:pPr>
          </w:p>
        </w:tc>
        <w:tc>
          <w:tcPr>
            <w:tcW w:w="738" w:type="pct"/>
            <w:vAlign w:val="center"/>
          </w:tcPr>
          <w:p w14:paraId="0A676E55">
            <w:pPr>
              <w:rPr>
                <w:rFonts w:hint="eastAsia" w:ascii="宋体" w:hAnsi="宋体" w:eastAsia="宋体" w:cs="宋体"/>
                <w:color w:val="auto"/>
                <w:sz w:val="24"/>
                <w:highlight w:val="none"/>
              </w:rPr>
            </w:pPr>
          </w:p>
        </w:tc>
        <w:tc>
          <w:tcPr>
            <w:tcW w:w="738" w:type="pct"/>
            <w:vAlign w:val="center"/>
          </w:tcPr>
          <w:p w14:paraId="53CCB9DB">
            <w:pPr>
              <w:rPr>
                <w:rFonts w:hint="eastAsia" w:ascii="宋体" w:hAnsi="宋体" w:eastAsia="宋体" w:cs="宋体"/>
                <w:color w:val="auto"/>
                <w:sz w:val="24"/>
                <w:highlight w:val="none"/>
              </w:rPr>
            </w:pPr>
          </w:p>
        </w:tc>
        <w:tc>
          <w:tcPr>
            <w:tcW w:w="738" w:type="pct"/>
            <w:vAlign w:val="center"/>
          </w:tcPr>
          <w:p w14:paraId="74AD576C">
            <w:pPr>
              <w:rPr>
                <w:rFonts w:hint="eastAsia" w:ascii="宋体" w:hAnsi="宋体" w:eastAsia="宋体" w:cs="宋体"/>
                <w:color w:val="auto"/>
                <w:sz w:val="24"/>
                <w:highlight w:val="none"/>
              </w:rPr>
            </w:pPr>
          </w:p>
        </w:tc>
        <w:tc>
          <w:tcPr>
            <w:tcW w:w="617" w:type="pct"/>
            <w:vAlign w:val="center"/>
          </w:tcPr>
          <w:p w14:paraId="76EF5883">
            <w:pPr>
              <w:rPr>
                <w:rFonts w:hint="eastAsia" w:ascii="宋体" w:hAnsi="宋体" w:eastAsia="宋体" w:cs="宋体"/>
                <w:color w:val="auto"/>
                <w:sz w:val="24"/>
                <w:highlight w:val="none"/>
              </w:rPr>
            </w:pPr>
          </w:p>
        </w:tc>
        <w:tc>
          <w:tcPr>
            <w:tcW w:w="814" w:type="pct"/>
            <w:gridSpan w:val="2"/>
            <w:vAlign w:val="center"/>
          </w:tcPr>
          <w:p w14:paraId="0F1277EB">
            <w:pPr>
              <w:rPr>
                <w:rFonts w:hint="eastAsia" w:ascii="宋体" w:hAnsi="宋体" w:eastAsia="宋体" w:cs="宋体"/>
                <w:color w:val="auto"/>
                <w:sz w:val="24"/>
                <w:highlight w:val="none"/>
              </w:rPr>
            </w:pPr>
          </w:p>
        </w:tc>
      </w:tr>
      <w:tr w14:paraId="2D0A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15" w:type="pct"/>
            <w:vAlign w:val="center"/>
          </w:tcPr>
          <w:p w14:paraId="34553BD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703" w:type="pct"/>
            <w:vAlign w:val="center"/>
          </w:tcPr>
          <w:p w14:paraId="2A810901">
            <w:pPr>
              <w:rPr>
                <w:rFonts w:hint="eastAsia" w:ascii="宋体" w:hAnsi="宋体" w:eastAsia="宋体" w:cs="宋体"/>
                <w:color w:val="auto"/>
                <w:sz w:val="24"/>
                <w:highlight w:val="none"/>
              </w:rPr>
            </w:pPr>
          </w:p>
        </w:tc>
        <w:tc>
          <w:tcPr>
            <w:tcW w:w="233" w:type="pct"/>
            <w:vAlign w:val="center"/>
          </w:tcPr>
          <w:p w14:paraId="5E7D4065">
            <w:pPr>
              <w:rPr>
                <w:rFonts w:hint="eastAsia" w:ascii="宋体" w:hAnsi="宋体" w:eastAsia="宋体" w:cs="宋体"/>
                <w:color w:val="auto"/>
                <w:sz w:val="24"/>
                <w:highlight w:val="none"/>
              </w:rPr>
            </w:pPr>
          </w:p>
        </w:tc>
        <w:tc>
          <w:tcPr>
            <w:tcW w:w="738" w:type="pct"/>
            <w:vAlign w:val="center"/>
          </w:tcPr>
          <w:p w14:paraId="55765260">
            <w:pPr>
              <w:rPr>
                <w:rFonts w:hint="eastAsia" w:ascii="宋体" w:hAnsi="宋体" w:eastAsia="宋体" w:cs="宋体"/>
                <w:color w:val="auto"/>
                <w:sz w:val="24"/>
                <w:highlight w:val="none"/>
              </w:rPr>
            </w:pPr>
          </w:p>
        </w:tc>
        <w:tc>
          <w:tcPr>
            <w:tcW w:w="738" w:type="pct"/>
            <w:vAlign w:val="center"/>
          </w:tcPr>
          <w:p w14:paraId="649A0039">
            <w:pPr>
              <w:rPr>
                <w:rFonts w:hint="eastAsia" w:ascii="宋体" w:hAnsi="宋体" w:eastAsia="宋体" w:cs="宋体"/>
                <w:color w:val="auto"/>
                <w:sz w:val="24"/>
                <w:highlight w:val="none"/>
              </w:rPr>
            </w:pPr>
          </w:p>
        </w:tc>
        <w:tc>
          <w:tcPr>
            <w:tcW w:w="738" w:type="pct"/>
            <w:vAlign w:val="center"/>
          </w:tcPr>
          <w:p w14:paraId="06691B4B">
            <w:pPr>
              <w:rPr>
                <w:rFonts w:hint="eastAsia" w:ascii="宋体" w:hAnsi="宋体" w:eastAsia="宋体" w:cs="宋体"/>
                <w:color w:val="auto"/>
                <w:sz w:val="24"/>
                <w:highlight w:val="none"/>
              </w:rPr>
            </w:pPr>
          </w:p>
        </w:tc>
        <w:tc>
          <w:tcPr>
            <w:tcW w:w="617" w:type="pct"/>
            <w:vAlign w:val="center"/>
          </w:tcPr>
          <w:p w14:paraId="021D3723">
            <w:pPr>
              <w:rPr>
                <w:rFonts w:hint="eastAsia" w:ascii="宋体" w:hAnsi="宋体" w:eastAsia="宋体" w:cs="宋体"/>
                <w:color w:val="auto"/>
                <w:sz w:val="24"/>
                <w:highlight w:val="none"/>
              </w:rPr>
            </w:pPr>
          </w:p>
        </w:tc>
        <w:tc>
          <w:tcPr>
            <w:tcW w:w="814" w:type="pct"/>
            <w:gridSpan w:val="2"/>
            <w:vAlign w:val="center"/>
          </w:tcPr>
          <w:p w14:paraId="479AD45D">
            <w:pPr>
              <w:rPr>
                <w:rFonts w:hint="eastAsia" w:ascii="宋体" w:hAnsi="宋体" w:eastAsia="宋体" w:cs="宋体"/>
                <w:color w:val="auto"/>
                <w:sz w:val="24"/>
                <w:highlight w:val="none"/>
              </w:rPr>
            </w:pPr>
          </w:p>
        </w:tc>
      </w:tr>
      <w:tr w14:paraId="087E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15" w:type="pct"/>
            <w:vAlign w:val="center"/>
          </w:tcPr>
          <w:p w14:paraId="530444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N</w:t>
            </w:r>
          </w:p>
        </w:tc>
        <w:tc>
          <w:tcPr>
            <w:tcW w:w="703" w:type="pct"/>
            <w:vAlign w:val="center"/>
          </w:tcPr>
          <w:p w14:paraId="41219238">
            <w:pPr>
              <w:rPr>
                <w:rFonts w:hint="eastAsia" w:ascii="宋体" w:hAnsi="宋体" w:eastAsia="宋体" w:cs="宋体"/>
                <w:color w:val="auto"/>
                <w:sz w:val="24"/>
                <w:highlight w:val="none"/>
              </w:rPr>
            </w:pPr>
          </w:p>
        </w:tc>
        <w:tc>
          <w:tcPr>
            <w:tcW w:w="233" w:type="pct"/>
            <w:vAlign w:val="center"/>
          </w:tcPr>
          <w:p w14:paraId="0E7BC3DA">
            <w:pPr>
              <w:rPr>
                <w:rFonts w:hint="eastAsia" w:ascii="宋体" w:hAnsi="宋体" w:eastAsia="宋体" w:cs="宋体"/>
                <w:color w:val="auto"/>
                <w:sz w:val="24"/>
                <w:highlight w:val="none"/>
              </w:rPr>
            </w:pPr>
          </w:p>
        </w:tc>
        <w:tc>
          <w:tcPr>
            <w:tcW w:w="738" w:type="pct"/>
            <w:vAlign w:val="center"/>
          </w:tcPr>
          <w:p w14:paraId="38476CA1">
            <w:pPr>
              <w:rPr>
                <w:rFonts w:hint="eastAsia" w:ascii="宋体" w:hAnsi="宋体" w:eastAsia="宋体" w:cs="宋体"/>
                <w:color w:val="auto"/>
                <w:sz w:val="24"/>
                <w:highlight w:val="none"/>
              </w:rPr>
            </w:pPr>
          </w:p>
        </w:tc>
        <w:tc>
          <w:tcPr>
            <w:tcW w:w="738" w:type="pct"/>
            <w:vAlign w:val="center"/>
          </w:tcPr>
          <w:p w14:paraId="09F9657C">
            <w:pPr>
              <w:rPr>
                <w:rFonts w:hint="eastAsia" w:ascii="宋体" w:hAnsi="宋体" w:eastAsia="宋体" w:cs="宋体"/>
                <w:color w:val="auto"/>
                <w:sz w:val="24"/>
                <w:highlight w:val="none"/>
              </w:rPr>
            </w:pPr>
          </w:p>
        </w:tc>
        <w:tc>
          <w:tcPr>
            <w:tcW w:w="738" w:type="pct"/>
            <w:vAlign w:val="center"/>
          </w:tcPr>
          <w:p w14:paraId="42B676BE">
            <w:pPr>
              <w:rPr>
                <w:rFonts w:hint="eastAsia" w:ascii="宋体" w:hAnsi="宋体" w:eastAsia="宋体" w:cs="宋体"/>
                <w:color w:val="auto"/>
                <w:sz w:val="24"/>
                <w:highlight w:val="none"/>
              </w:rPr>
            </w:pPr>
          </w:p>
        </w:tc>
        <w:tc>
          <w:tcPr>
            <w:tcW w:w="617" w:type="pct"/>
            <w:vAlign w:val="center"/>
          </w:tcPr>
          <w:p w14:paraId="04D549DF">
            <w:pPr>
              <w:rPr>
                <w:rFonts w:hint="eastAsia" w:ascii="宋体" w:hAnsi="宋体" w:eastAsia="宋体" w:cs="宋体"/>
                <w:color w:val="auto"/>
                <w:sz w:val="24"/>
                <w:highlight w:val="none"/>
              </w:rPr>
            </w:pPr>
          </w:p>
        </w:tc>
        <w:tc>
          <w:tcPr>
            <w:tcW w:w="814" w:type="pct"/>
            <w:gridSpan w:val="2"/>
            <w:vAlign w:val="center"/>
          </w:tcPr>
          <w:p w14:paraId="7E43320A">
            <w:pPr>
              <w:rPr>
                <w:rFonts w:hint="eastAsia" w:ascii="宋体" w:hAnsi="宋体" w:eastAsia="宋体" w:cs="宋体"/>
                <w:color w:val="auto"/>
                <w:sz w:val="24"/>
                <w:highlight w:val="none"/>
              </w:rPr>
            </w:pPr>
          </w:p>
        </w:tc>
      </w:tr>
      <w:tr w14:paraId="6020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263" w:type="pct"/>
            <w:gridSpan w:val="8"/>
            <w:vAlign w:val="center"/>
          </w:tcPr>
          <w:p w14:paraId="7F196A79">
            <w:pPr>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c>
          <w:tcPr>
            <w:tcW w:w="736" w:type="pct"/>
            <w:vAlign w:val="center"/>
          </w:tcPr>
          <w:p w14:paraId="664CA751">
            <w:pPr>
              <w:rPr>
                <w:rFonts w:hint="eastAsia" w:ascii="宋体" w:hAnsi="宋体" w:eastAsia="宋体" w:cs="宋体"/>
                <w:color w:val="auto"/>
                <w:sz w:val="24"/>
                <w:highlight w:val="none"/>
              </w:rPr>
            </w:pPr>
          </w:p>
        </w:tc>
      </w:tr>
      <w:tr w14:paraId="3469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263" w:type="pct"/>
            <w:gridSpan w:val="8"/>
            <w:vAlign w:val="center"/>
          </w:tcPr>
          <w:p w14:paraId="35499E6A">
            <w:pPr>
              <w:autoSpaceDN w:val="0"/>
              <w:jc w:val="both"/>
              <w:rPr>
                <w:rFonts w:hint="eastAsia" w:ascii="宋体" w:hAnsi="宋体" w:eastAsia="宋体" w:cs="宋体"/>
                <w:color w:val="auto"/>
                <w:sz w:val="24"/>
                <w:highlight w:val="none"/>
              </w:rPr>
            </w:pPr>
            <w:r>
              <w:rPr>
                <w:rFonts w:ascii="宋体" w:hAnsi="宋体" w:eastAsia="宋体"/>
                <w:color w:val="auto"/>
                <w:sz w:val="24"/>
                <w:highlight w:val="none"/>
              </w:rPr>
              <w:t>合同履行期限：</w:t>
            </w:r>
          </w:p>
        </w:tc>
        <w:tc>
          <w:tcPr>
            <w:tcW w:w="736" w:type="pct"/>
            <w:vAlign w:val="center"/>
          </w:tcPr>
          <w:p w14:paraId="0FE17AB8">
            <w:pPr>
              <w:autoSpaceDN w:val="0"/>
              <w:jc w:val="both"/>
              <w:rPr>
                <w:rFonts w:ascii="宋体" w:hAnsi="宋体" w:eastAsia="宋体"/>
                <w:color w:val="auto"/>
                <w:sz w:val="24"/>
                <w:highlight w:val="none"/>
              </w:rPr>
            </w:pPr>
          </w:p>
        </w:tc>
      </w:tr>
      <w:tr w14:paraId="6438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263" w:type="pct"/>
            <w:gridSpan w:val="8"/>
            <w:vAlign w:val="center"/>
          </w:tcPr>
          <w:p w14:paraId="45581E16">
            <w:pP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c>
          <w:tcPr>
            <w:tcW w:w="736" w:type="pct"/>
            <w:vAlign w:val="center"/>
          </w:tcPr>
          <w:p w14:paraId="730851E9">
            <w:pPr>
              <w:rPr>
                <w:rFonts w:hint="eastAsia" w:ascii="宋体" w:hAnsi="宋体" w:eastAsia="宋体" w:cs="宋体"/>
                <w:color w:val="auto"/>
                <w:sz w:val="24"/>
                <w:highlight w:val="none"/>
              </w:rPr>
            </w:pPr>
          </w:p>
        </w:tc>
      </w:tr>
    </w:tbl>
    <w:p w14:paraId="3F87A7B6">
      <w:pPr>
        <w:spacing w:after="0" w:line="36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注：1.所有价格均用人民币表示，单位为元，精确到小数点后两位数。</w:t>
      </w:r>
    </w:p>
    <w:p w14:paraId="18111025">
      <w:pPr>
        <w:spacing w:after="0" w:line="360" w:lineRule="exact"/>
        <w:ind w:firstLine="440" w:firstLineChars="200"/>
        <w:jc w:val="both"/>
        <w:rPr>
          <w:rFonts w:hint="eastAsia" w:ascii="宋体" w:hAnsi="宋体" w:eastAsia="宋体" w:cs="宋体"/>
          <w:color w:val="auto"/>
          <w:highlight w:val="none"/>
        </w:rPr>
      </w:pPr>
      <w:r>
        <w:rPr>
          <w:rFonts w:hint="eastAsia" w:ascii="宋体" w:hAnsi="宋体" w:eastAsia="宋体" w:cs="宋体"/>
          <w:bCs/>
          <w:color w:val="auto"/>
          <w:highlight w:val="none"/>
        </w:rPr>
        <w:t>2.各竞标人</w:t>
      </w:r>
      <w:r>
        <w:rPr>
          <w:rFonts w:hint="eastAsia" w:ascii="宋体" w:hAnsi="宋体" w:eastAsia="宋体" w:cs="宋体"/>
          <w:color w:val="auto"/>
          <w:highlight w:val="none"/>
        </w:rPr>
        <w:t>必须就“项目采购需求和说明”中所有内容作完整唯一报价，否则，其响应文件无效。</w:t>
      </w:r>
    </w:p>
    <w:p w14:paraId="460D09BB">
      <w:pPr>
        <w:spacing w:after="0" w:line="360" w:lineRule="exact"/>
        <w:ind w:firstLine="44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3.此表的总报价是所有需采购方支付的本次采购标的金额总数，即竞标总价。竞标总价须包含完成用户需求要求所有内容的全部费用。</w:t>
      </w:r>
      <w:r>
        <w:rPr>
          <w:rFonts w:hint="eastAsia" w:ascii="宋体" w:hAnsi="宋体" w:eastAsia="宋体" w:cs="宋体"/>
          <w:color w:val="auto"/>
          <w:highlight w:val="none"/>
        </w:rPr>
        <w:tab/>
      </w:r>
    </w:p>
    <w:p w14:paraId="36F2391A">
      <w:pPr>
        <w:spacing w:after="0" w:line="360" w:lineRule="exact"/>
        <w:ind w:firstLine="44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4.若此表由多页构成的，需逐页加盖竞标人公章。</w:t>
      </w:r>
    </w:p>
    <w:p w14:paraId="4645FEB3">
      <w:pPr>
        <w:spacing w:after="120"/>
        <w:rPr>
          <w:rFonts w:hint="eastAsia" w:ascii="宋体" w:hAnsi="宋体" w:eastAsia="宋体" w:cs="宋体"/>
          <w:color w:val="auto"/>
          <w:highlight w:val="none"/>
        </w:rPr>
      </w:pPr>
    </w:p>
    <w:p w14:paraId="4D6C6986">
      <w:pPr>
        <w:spacing w:after="120"/>
        <w:rPr>
          <w:rFonts w:hint="eastAsia" w:ascii="宋体" w:hAnsi="宋体" w:eastAsia="宋体" w:cs="宋体"/>
          <w:color w:val="auto"/>
          <w:highlight w:val="none"/>
        </w:rPr>
      </w:pPr>
    </w:p>
    <w:p w14:paraId="232A17C9">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3134AD1B">
      <w:pPr>
        <w:spacing w:after="120" w:line="360" w:lineRule="auto"/>
        <w:ind w:left="1320" w:leftChars="60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      邮编：</w:t>
      </w:r>
    </w:p>
    <w:p w14:paraId="549D165C">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14:paraId="60A29FE7">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1AAC21C6">
      <w:pPr>
        <w:spacing w:after="120" w:line="360" w:lineRule="auto"/>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B778A50">
      <w:pPr>
        <w:spacing w:line="300" w:lineRule="auto"/>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附件二：</w:t>
      </w:r>
    </w:p>
    <w:p w14:paraId="4FCE37C6">
      <w:pPr>
        <w:spacing w:before="120" w:beforeLines="50" w:after="120" w:afterLines="50" w:line="600" w:lineRule="exact"/>
        <w:jc w:val="center"/>
        <w:rPr>
          <w:rFonts w:hint="eastAsia" w:ascii="宋体" w:hAnsi="宋体" w:eastAsia="宋体" w:cs="宋体"/>
          <w:b/>
          <w:bCs/>
          <w:color w:val="auto"/>
          <w:sz w:val="32"/>
          <w:szCs w:val="32"/>
          <w:highlight w:val="none"/>
        </w:rPr>
      </w:pPr>
      <w:bookmarkStart w:id="89" w:name="_Toc246095538"/>
      <w:bookmarkStart w:id="90" w:name="_Toc246094932"/>
      <w:bookmarkStart w:id="91" w:name="_Toc246095476"/>
      <w:r>
        <w:rPr>
          <w:rFonts w:hint="eastAsia" w:ascii="宋体" w:hAnsi="宋体" w:eastAsia="宋体" w:cs="宋体"/>
          <w:b/>
          <w:bCs/>
          <w:color w:val="auto"/>
          <w:sz w:val="32"/>
          <w:szCs w:val="32"/>
          <w:highlight w:val="none"/>
        </w:rPr>
        <w:t>谈判书</w:t>
      </w:r>
      <w:bookmarkEnd w:id="89"/>
      <w:bookmarkEnd w:id="90"/>
      <w:bookmarkEnd w:id="91"/>
    </w:p>
    <w:p w14:paraId="7F3CA68D">
      <w:pPr>
        <w:spacing w:after="0" w:line="4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致：(采购代理机构)</w:t>
      </w:r>
    </w:p>
    <w:p w14:paraId="58950E0D">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w:t>
      </w:r>
      <w:r>
        <w:rPr>
          <w:rFonts w:hint="eastAsia" w:ascii="宋体" w:hAnsi="宋体" w:eastAsia="宋体" w:cs="宋体"/>
          <w:color w:val="auto"/>
          <w:sz w:val="24"/>
          <w:highlight w:val="none"/>
          <w:u w:val="single"/>
        </w:rPr>
        <w:t xml:space="preserve">   （项目名称） （采购编号：     ）  </w:t>
      </w:r>
      <w:r>
        <w:rPr>
          <w:rFonts w:hint="eastAsia" w:ascii="宋体" w:hAnsi="宋体" w:eastAsia="宋体" w:cs="宋体"/>
          <w:color w:val="auto"/>
          <w:sz w:val="24"/>
          <w:highlight w:val="none"/>
        </w:rPr>
        <w:t>项目政府采购的谈判邀请，我方授权代表</w:t>
      </w:r>
      <w:r>
        <w:rPr>
          <w:rFonts w:hint="eastAsia" w:ascii="宋体" w:hAnsi="宋体" w:eastAsia="宋体" w:cs="宋体"/>
          <w:color w:val="auto"/>
          <w:sz w:val="24"/>
          <w:highlight w:val="none"/>
          <w:u w:val="single"/>
        </w:rPr>
        <w:t xml:space="preserve">         （姓名和职务）</w:t>
      </w:r>
      <w:r>
        <w:rPr>
          <w:rFonts w:hint="eastAsia" w:ascii="宋体" w:hAnsi="宋体" w:eastAsia="宋体" w:cs="宋体"/>
          <w:color w:val="auto"/>
          <w:sz w:val="24"/>
          <w:highlight w:val="none"/>
        </w:rPr>
        <w:t>经正式授权并代表竞标人</w:t>
      </w:r>
      <w:r>
        <w:rPr>
          <w:rFonts w:hint="eastAsia" w:ascii="宋体" w:hAnsi="宋体" w:eastAsia="宋体" w:cs="宋体"/>
          <w:color w:val="auto"/>
          <w:sz w:val="24"/>
          <w:highlight w:val="none"/>
          <w:u w:val="single"/>
        </w:rPr>
        <w:t xml:space="preserve">    （竞标人名称）   </w:t>
      </w:r>
      <w:r>
        <w:rPr>
          <w:rFonts w:hint="eastAsia" w:ascii="宋体" w:hAnsi="宋体" w:eastAsia="宋体" w:cs="宋体"/>
          <w:color w:val="auto"/>
          <w:sz w:val="24"/>
          <w:highlight w:val="none"/>
        </w:rPr>
        <w:t>提交响应文件。</w:t>
      </w:r>
    </w:p>
    <w:p w14:paraId="6B395168">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在此，授权代表宣布同意如下：</w:t>
      </w:r>
    </w:p>
    <w:p w14:paraId="2FCB26CD">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竞标人已详细审查全部“竞争性谈判文件”，包括修改文件（如有的话）以及全部参考资料和有关附件，已经了解我方对于谈判文件、采购过程、采购结果有依法进行询问、质疑、投诉的权利及相关渠道和要求。</w:t>
      </w:r>
    </w:p>
    <w:p w14:paraId="148C4D35">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2．竞标人在谈判之前已经与贵方进行了充分的沟通，完全理解并接受谈判文件的各项规定和要求，对谈判文件的合理性、合法性不再有异议。</w:t>
      </w:r>
    </w:p>
    <w:p w14:paraId="4B493BFB">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3．本次响应文件有效期自响应文件提交截止之日起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天（日历天）内。</w:t>
      </w:r>
    </w:p>
    <w:p w14:paraId="39DDC127">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4．如成交，竞标人将按“竞争性谈判文件”及政府采购法律、法规的规定履行合同责任和义务。</w:t>
      </w:r>
    </w:p>
    <w:p w14:paraId="09C6AC99">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5．竞标人同意按照贵方要求提供与谈判有关的一切数据或资料。</w:t>
      </w:r>
    </w:p>
    <w:p w14:paraId="09CE8709">
      <w:pPr>
        <w:spacing w:after="0"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与本次谈判有关的一切正式往来信函请寄：</w:t>
      </w:r>
    </w:p>
    <w:p w14:paraId="17E0FB23">
      <w:pPr>
        <w:spacing w:after="0" w:line="420" w:lineRule="exact"/>
        <w:ind w:left="1320" w:leftChars="600" w:firstLine="480" w:firstLineChars="200"/>
        <w:rPr>
          <w:rFonts w:hint="eastAsia" w:ascii="宋体" w:hAnsi="宋体" w:eastAsia="宋体" w:cs="宋体"/>
          <w:color w:val="auto"/>
          <w:sz w:val="24"/>
          <w:highlight w:val="none"/>
        </w:rPr>
      </w:pPr>
    </w:p>
    <w:p w14:paraId="441C23B5">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1112691A">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邮编：          </w:t>
      </w:r>
    </w:p>
    <w:p w14:paraId="37EC3D18">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14:paraId="128AF1CC">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3AEE6B44">
      <w:pPr>
        <w:spacing w:after="0" w:line="420" w:lineRule="exact"/>
        <w:ind w:left="1320" w:leftChars="6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77B12D3">
      <w:pPr>
        <w:spacing w:after="0" w:line="420" w:lineRule="exact"/>
        <w:ind w:left="1320" w:leftChars="600" w:firstLine="480" w:firstLineChars="200"/>
        <w:rPr>
          <w:rFonts w:hint="eastAsia" w:ascii="宋体" w:hAnsi="宋体" w:eastAsia="宋体" w:cs="宋体"/>
          <w:color w:val="auto"/>
          <w:sz w:val="24"/>
          <w:highlight w:val="none"/>
        </w:rPr>
      </w:pPr>
    </w:p>
    <w:p w14:paraId="43E66E78">
      <w:pPr>
        <w:spacing w:after="0" w:line="420" w:lineRule="exact"/>
        <w:rPr>
          <w:rFonts w:hint="eastAsia" w:ascii="宋体" w:hAnsi="宋体" w:eastAsia="宋体" w:cs="宋体"/>
          <w:b/>
          <w:color w:val="auto"/>
          <w:sz w:val="24"/>
          <w:highlight w:val="none"/>
        </w:rPr>
      </w:pPr>
      <w:bookmarkStart w:id="92" w:name="_Toc405196519"/>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附件三：</w:t>
      </w:r>
    </w:p>
    <w:bookmarkEnd w:id="92"/>
    <w:p w14:paraId="52F16BAE">
      <w:pPr>
        <w:spacing w:before="120" w:beforeLines="50" w:after="120" w:afterLines="50" w:line="6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竞标声明书</w:t>
      </w:r>
    </w:p>
    <w:p w14:paraId="38ACFC17">
      <w:pPr>
        <w:spacing w:after="0" w:line="400" w:lineRule="exact"/>
        <w:rPr>
          <w:rFonts w:hint="eastAsia" w:ascii="宋体" w:hAnsi="宋体" w:eastAsia="宋体" w:cs="宋体"/>
          <w:color w:val="auto"/>
          <w:sz w:val="24"/>
          <w:highlight w:val="none"/>
        </w:rPr>
      </w:pPr>
    </w:p>
    <w:p w14:paraId="7821AB55">
      <w:pPr>
        <w:spacing w:after="0"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致：(采购代理机构)</w:t>
      </w:r>
    </w:p>
    <w:p w14:paraId="55FE491F">
      <w:pPr>
        <w:spacing w:after="0" w:line="400" w:lineRule="exact"/>
        <w:ind w:firstLine="720" w:firstLineChars="3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u w:val="single"/>
        </w:rPr>
        <w:t>（竞标人名称）</w:t>
      </w:r>
      <w:r>
        <w:rPr>
          <w:rFonts w:hint="eastAsia" w:ascii="宋体" w:hAnsi="宋体" w:eastAsia="宋体" w:cs="宋体"/>
          <w:color w:val="auto"/>
          <w:sz w:val="24"/>
          <w:highlight w:val="none"/>
        </w:rPr>
        <w:t>系中华人民共和国合法企业，经营地址：。</w:t>
      </w:r>
    </w:p>
    <w:p w14:paraId="40311E7A">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（竞标人名称）</w:t>
      </w:r>
      <w:r>
        <w:rPr>
          <w:rFonts w:hint="eastAsia" w:ascii="宋体" w:hAnsi="宋体" w:eastAsia="宋体" w:cs="宋体"/>
          <w:color w:val="auto"/>
          <w:sz w:val="24"/>
          <w:highlight w:val="none"/>
        </w:rPr>
        <w:t>的法定代表人，我方愿意参加贵方组织的</w:t>
      </w:r>
      <w:r>
        <w:rPr>
          <w:rFonts w:hint="eastAsia" w:ascii="宋体" w:hAnsi="宋体" w:eastAsia="宋体" w:cs="宋体"/>
          <w:color w:val="auto"/>
          <w:sz w:val="24"/>
          <w:highlight w:val="none"/>
          <w:u w:val="single"/>
        </w:rPr>
        <w:t xml:space="preserve">（项目名称）（采购编号：      </w:t>
      </w:r>
      <w:r>
        <w:rPr>
          <w:rFonts w:hint="eastAsia" w:ascii="宋体" w:hAnsi="宋体" w:eastAsia="宋体" w:cs="宋体"/>
          <w:color w:val="auto"/>
          <w:sz w:val="24"/>
          <w:highlight w:val="none"/>
        </w:rPr>
        <w:t>）的竞标，为便于贵方公正、择优地确定成交人及其服务，我方就本次竞标有关事项郑重声明如下：</w:t>
      </w:r>
    </w:p>
    <w:p w14:paraId="048AC813">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1.我方向贵方提交的所有响应文件、资料都是准确的和真实的。</w:t>
      </w:r>
    </w:p>
    <w:p w14:paraId="67542636">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竞标人；在获知本项目采购信息后，与采购人聘请的为此项目提供咨询服务的公司及其附属机构没有任何联系。</w:t>
      </w:r>
    </w:p>
    <w:p w14:paraId="24911DFC">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根据《中华人民共和国政府采购法实施条例》第五十条要求对政府采购合同进行公告，但政府采购合同中涉及国家秘密、商业秘密的内容除外。我方就对本次响应文件进行注明如下：（两项内容中必须选择一项）</w:t>
      </w:r>
    </w:p>
    <w:p w14:paraId="2C1EF38E">
      <w:pPr>
        <w:spacing w:after="0" w:line="4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□我方本次响应文件</w:t>
      </w:r>
      <w:r>
        <w:rPr>
          <w:rFonts w:hint="eastAsia" w:ascii="宋体" w:hAnsi="宋体" w:eastAsia="宋体" w:cs="宋体"/>
          <w:color w:val="auto"/>
          <w:sz w:val="24"/>
          <w:highlight w:val="none"/>
        </w:rPr>
        <w:t>内容中</w:t>
      </w:r>
      <w:r>
        <w:rPr>
          <w:rFonts w:hint="eastAsia" w:ascii="宋体" w:hAnsi="宋体" w:eastAsia="宋体" w:cs="宋体"/>
          <w:color w:val="auto"/>
          <w:sz w:val="24"/>
          <w:szCs w:val="20"/>
          <w:highlight w:val="none"/>
        </w:rPr>
        <w:t>未</w:t>
      </w:r>
      <w:r>
        <w:rPr>
          <w:rFonts w:hint="eastAsia" w:ascii="宋体" w:hAnsi="宋体" w:eastAsia="宋体" w:cs="宋体"/>
          <w:color w:val="auto"/>
          <w:sz w:val="24"/>
          <w:highlight w:val="none"/>
        </w:rPr>
        <w:t>涉及商业秘密；</w:t>
      </w:r>
    </w:p>
    <w:p w14:paraId="6A5222AF">
      <w:pPr>
        <w:spacing w:after="0" w:line="400" w:lineRule="exact"/>
        <w:ind w:firstLine="480" w:firstLineChars="2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□我方本次响应文件</w:t>
      </w:r>
      <w:r>
        <w:rPr>
          <w:rFonts w:hint="eastAsia" w:ascii="宋体" w:hAnsi="宋体" w:eastAsia="宋体" w:cs="宋体"/>
          <w:color w:val="auto"/>
          <w:sz w:val="24"/>
          <w:highlight w:val="none"/>
        </w:rPr>
        <w:t>涉及商业秘密的内容有：；</w:t>
      </w:r>
    </w:p>
    <w:p w14:paraId="5CA93281">
      <w:pPr>
        <w:spacing w:after="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4.我方在此声明，完全符合《中华人民共和国政府采购法》第二十二条规定的竞标人资格条件，我方对此声明负全部法律责任。</w:t>
      </w:r>
    </w:p>
    <w:p w14:paraId="37FC752D">
      <w:pPr>
        <w:spacing w:after="0" w:line="400" w:lineRule="exact"/>
        <w:ind w:firstLine="480" w:firstLineChars="200"/>
        <w:rPr>
          <w:rFonts w:hint="eastAsia" w:ascii="宋体" w:hAnsi="宋体" w:eastAsia="宋体" w:cs="宋体"/>
          <w:color w:val="auto"/>
          <w:sz w:val="24"/>
          <w:szCs w:val="20"/>
          <w:highlight w:val="none"/>
          <w:u w:val="single"/>
        </w:rPr>
      </w:pPr>
      <w:r>
        <w:rPr>
          <w:rFonts w:hint="eastAsia" w:ascii="宋体" w:hAnsi="宋体" w:eastAsia="宋体" w:cs="宋体"/>
          <w:color w:val="auto"/>
          <w:sz w:val="24"/>
          <w:highlight w:val="none"/>
          <w:lang w:val="zh-CN"/>
        </w:rPr>
        <w:t>5.以上事项如有虚假或隐瞒，我方愿意承担一切后果，并不再寻求任何旨在减轻或免除法律责任的辩解。</w:t>
      </w:r>
    </w:p>
    <w:p w14:paraId="4D83FEB2">
      <w:pPr>
        <w:spacing w:after="0" w:line="400" w:lineRule="exact"/>
        <w:ind w:firstLine="480" w:firstLineChars="200"/>
        <w:rPr>
          <w:rFonts w:hint="eastAsia" w:ascii="宋体" w:hAnsi="宋体" w:eastAsia="宋体" w:cs="宋体"/>
          <w:color w:val="auto"/>
          <w:sz w:val="24"/>
          <w:szCs w:val="20"/>
          <w:highlight w:val="none"/>
          <w:u w:val="single"/>
        </w:rPr>
      </w:pPr>
    </w:p>
    <w:p w14:paraId="71FE57B4">
      <w:pPr>
        <w:spacing w:line="400" w:lineRule="exact"/>
        <w:ind w:firstLine="5476" w:firstLineChars="2282"/>
        <w:rPr>
          <w:rFonts w:hint="eastAsia" w:ascii="宋体" w:hAnsi="宋体" w:eastAsia="宋体" w:cs="宋体"/>
          <w:color w:val="auto"/>
          <w:sz w:val="24"/>
          <w:highlight w:val="none"/>
        </w:rPr>
      </w:pPr>
    </w:p>
    <w:p w14:paraId="7BE39AEC">
      <w:pPr>
        <w:spacing w:line="4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7B60378F">
      <w:pPr>
        <w:spacing w:line="400" w:lineRule="exact"/>
        <w:ind w:firstLine="3720" w:firstLineChars="15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法定代表人或授权委托代理人签字：</w:t>
      </w:r>
    </w:p>
    <w:p w14:paraId="07F22063">
      <w:pPr>
        <w:spacing w:line="4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FAA5E03">
      <w:pPr>
        <w:adjustRightInd/>
        <w:snapToGrid/>
        <w:spacing w:line="220" w:lineRule="atLeas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AD8F5A5">
      <w:pPr>
        <w:pStyle w:val="20"/>
        <w:spacing w:line="440" w:lineRule="exact"/>
        <w:rPr>
          <w:rFonts w:hint="eastAsia" w:hAnsi="宋体" w:cs="宋体"/>
          <w:b/>
          <w:color w:val="auto"/>
          <w:sz w:val="24"/>
          <w:szCs w:val="24"/>
          <w:highlight w:val="none"/>
        </w:rPr>
      </w:pPr>
    </w:p>
    <w:p w14:paraId="35025AF2">
      <w:pPr>
        <w:pStyle w:val="20"/>
        <w:spacing w:line="440" w:lineRule="exact"/>
        <w:rPr>
          <w:rFonts w:hint="eastAsia" w:hAnsi="宋体" w:cs="宋体"/>
          <w:b/>
          <w:color w:val="auto"/>
          <w:sz w:val="24"/>
          <w:szCs w:val="24"/>
          <w:highlight w:val="none"/>
        </w:rPr>
      </w:pPr>
    </w:p>
    <w:p w14:paraId="59FF9BA2">
      <w:pPr>
        <w:pStyle w:val="20"/>
        <w:spacing w:line="440" w:lineRule="exact"/>
        <w:rPr>
          <w:rFonts w:hint="eastAsia" w:hAnsi="宋体" w:cs="宋体"/>
          <w:b/>
          <w:color w:val="auto"/>
          <w:sz w:val="24"/>
          <w:szCs w:val="24"/>
          <w:highlight w:val="none"/>
        </w:rPr>
      </w:pPr>
      <w:r>
        <w:rPr>
          <w:rFonts w:hint="eastAsia" w:hAnsi="宋体" w:cs="宋体"/>
          <w:b/>
          <w:color w:val="auto"/>
          <w:sz w:val="24"/>
          <w:szCs w:val="24"/>
          <w:highlight w:val="none"/>
        </w:rPr>
        <w:t>附件四：</w:t>
      </w:r>
    </w:p>
    <w:p w14:paraId="6080B21A">
      <w:pPr>
        <w:pStyle w:val="20"/>
        <w:spacing w:line="440" w:lineRule="exact"/>
        <w:ind w:firstLine="2570" w:firstLineChars="800"/>
        <w:rPr>
          <w:rFonts w:hint="eastAsia" w:hAnsi="宋体" w:cs="宋体"/>
          <w:b/>
          <w:color w:val="auto"/>
          <w:sz w:val="32"/>
          <w:szCs w:val="32"/>
          <w:highlight w:val="none"/>
        </w:rPr>
      </w:pPr>
    </w:p>
    <w:p w14:paraId="594BB2B2">
      <w:pPr>
        <w:pStyle w:val="20"/>
        <w:spacing w:line="440" w:lineRule="exact"/>
        <w:ind w:firstLine="2570" w:firstLineChars="800"/>
        <w:rPr>
          <w:rFonts w:hint="eastAsia" w:hAnsi="宋体" w:cs="宋体"/>
          <w:b/>
          <w:color w:val="auto"/>
          <w:sz w:val="32"/>
          <w:szCs w:val="32"/>
          <w:highlight w:val="none"/>
        </w:rPr>
      </w:pPr>
    </w:p>
    <w:p w14:paraId="612FE0F7">
      <w:pPr>
        <w:pStyle w:val="20"/>
        <w:spacing w:line="440" w:lineRule="exact"/>
        <w:rPr>
          <w:rFonts w:hint="eastAsia" w:hAnsi="宋体" w:cs="宋体"/>
          <w:b/>
          <w:color w:val="auto"/>
          <w:sz w:val="32"/>
          <w:szCs w:val="32"/>
          <w:highlight w:val="none"/>
        </w:rPr>
      </w:pPr>
      <w:r>
        <w:rPr>
          <w:rFonts w:hint="eastAsia" w:hAnsi="宋体" w:cs="宋体"/>
          <w:b/>
          <w:color w:val="auto"/>
          <w:sz w:val="32"/>
          <w:szCs w:val="32"/>
          <w:highlight w:val="none"/>
        </w:rPr>
        <w:t>技术响应、偏离情况说明表</w:t>
      </w:r>
    </w:p>
    <w:p w14:paraId="6A14B2E9">
      <w:pPr>
        <w:spacing w:line="300" w:lineRule="auto"/>
        <w:rPr>
          <w:rFonts w:hint="eastAsia" w:ascii="宋体" w:hAnsi="宋体" w:eastAsia="宋体" w:cs="宋体"/>
          <w:color w:val="auto"/>
          <w:szCs w:val="21"/>
          <w:highlight w:val="none"/>
        </w:rPr>
      </w:pPr>
    </w:p>
    <w:p w14:paraId="769A73D7">
      <w:pPr>
        <w:spacing w:line="3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采购编号：</w:t>
      </w:r>
    </w:p>
    <w:p w14:paraId="12F33EA4">
      <w:pPr>
        <w:spacing w:line="30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项目名称：</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68"/>
        <w:gridCol w:w="2246"/>
        <w:gridCol w:w="2246"/>
        <w:gridCol w:w="2201"/>
        <w:gridCol w:w="1321"/>
        <w:gridCol w:w="1085"/>
      </w:tblGrid>
      <w:tr w14:paraId="5CAC8C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342" w:type="pct"/>
            <w:vAlign w:val="center"/>
          </w:tcPr>
          <w:p w14:paraId="7C8F6FAF">
            <w:pPr>
              <w:spacing w:line="300" w:lineRule="auto"/>
              <w:jc w:val="center"/>
              <w:rPr>
                <w:rFonts w:hint="eastAsia" w:ascii="宋体" w:hAnsi="宋体" w:eastAsia="宋体" w:cs="宋体"/>
                <w:color w:val="auto"/>
                <w:szCs w:val="21"/>
                <w:highlight w:val="none"/>
              </w:rPr>
            </w:pPr>
            <w:bookmarkStart w:id="93" w:name="_Toc437203424"/>
            <w:bookmarkStart w:id="94" w:name="_Toc173211900"/>
            <w:bookmarkStart w:id="95" w:name="_Toc254970588"/>
            <w:bookmarkStart w:id="96" w:name="_Toc392056928"/>
            <w:bookmarkStart w:id="97" w:name="_Toc254970729"/>
            <w:bookmarkStart w:id="98" w:name="_Toc173066401"/>
            <w:r>
              <w:rPr>
                <w:rFonts w:hint="eastAsia" w:ascii="宋体" w:hAnsi="宋体" w:eastAsia="宋体" w:cs="宋体"/>
                <w:color w:val="auto"/>
                <w:szCs w:val="21"/>
                <w:highlight w:val="none"/>
              </w:rPr>
              <w:t>序号</w:t>
            </w:r>
            <w:bookmarkEnd w:id="93"/>
            <w:bookmarkEnd w:id="94"/>
            <w:bookmarkEnd w:id="95"/>
            <w:bookmarkEnd w:id="96"/>
            <w:bookmarkEnd w:id="97"/>
            <w:bookmarkEnd w:id="98"/>
          </w:p>
        </w:tc>
        <w:tc>
          <w:tcPr>
            <w:tcW w:w="1149" w:type="pct"/>
            <w:vAlign w:val="center"/>
          </w:tcPr>
          <w:p w14:paraId="799B034B">
            <w:pPr>
              <w:spacing w:line="300" w:lineRule="auto"/>
              <w:jc w:val="center"/>
              <w:rPr>
                <w:rFonts w:hint="eastAsia" w:ascii="宋体" w:hAnsi="宋体" w:eastAsia="宋体" w:cs="宋体"/>
                <w:color w:val="auto"/>
                <w:szCs w:val="21"/>
                <w:highlight w:val="none"/>
                <w:lang w:eastAsia="zh-CN"/>
              </w:rPr>
            </w:pPr>
            <w:bookmarkStart w:id="99" w:name="_Toc254970730"/>
            <w:bookmarkStart w:id="100" w:name="_Toc437203425"/>
            <w:bookmarkStart w:id="101" w:name="_Toc254970589"/>
            <w:bookmarkStart w:id="102" w:name="_Toc173066402"/>
            <w:bookmarkStart w:id="103" w:name="_Toc173211901"/>
            <w:bookmarkStart w:id="104" w:name="_Toc392056929"/>
            <w:r>
              <w:rPr>
                <w:rFonts w:hint="eastAsia" w:ascii="宋体" w:hAnsi="宋体" w:eastAsia="宋体" w:cs="宋体"/>
                <w:color w:val="auto"/>
                <w:szCs w:val="21"/>
                <w:highlight w:val="none"/>
                <w:lang w:eastAsia="zh-CN"/>
              </w:rPr>
              <w:t>货物名称</w:t>
            </w:r>
          </w:p>
        </w:tc>
        <w:tc>
          <w:tcPr>
            <w:tcW w:w="1149" w:type="pct"/>
            <w:vAlign w:val="center"/>
          </w:tcPr>
          <w:p w14:paraId="0E3EF155">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竞争性谈判文件要求</w:t>
            </w:r>
            <w:bookmarkEnd w:id="99"/>
            <w:bookmarkEnd w:id="100"/>
            <w:bookmarkEnd w:id="101"/>
            <w:bookmarkEnd w:id="102"/>
            <w:bookmarkEnd w:id="103"/>
            <w:bookmarkEnd w:id="104"/>
          </w:p>
        </w:tc>
        <w:tc>
          <w:tcPr>
            <w:tcW w:w="1126" w:type="pct"/>
            <w:vAlign w:val="center"/>
          </w:tcPr>
          <w:p w14:paraId="3D5DBD06">
            <w:pPr>
              <w:spacing w:line="300" w:lineRule="auto"/>
              <w:jc w:val="center"/>
              <w:rPr>
                <w:rFonts w:hint="eastAsia" w:ascii="宋体" w:hAnsi="宋体" w:eastAsia="宋体" w:cs="宋体"/>
                <w:color w:val="auto"/>
                <w:szCs w:val="21"/>
                <w:highlight w:val="none"/>
              </w:rPr>
            </w:pPr>
            <w:bookmarkStart w:id="105" w:name="_Toc173066403"/>
            <w:bookmarkStart w:id="106" w:name="_Toc173211902"/>
            <w:bookmarkStart w:id="107" w:name="_Toc437203426"/>
            <w:bookmarkStart w:id="108" w:name="_Toc254970590"/>
            <w:bookmarkStart w:id="109" w:name="_Toc254970731"/>
            <w:bookmarkStart w:id="110" w:name="_Toc392056930"/>
            <w:r>
              <w:rPr>
                <w:rFonts w:hint="eastAsia" w:ascii="宋体" w:hAnsi="宋体" w:eastAsia="宋体" w:cs="宋体"/>
                <w:color w:val="auto"/>
                <w:szCs w:val="21"/>
                <w:highlight w:val="none"/>
              </w:rPr>
              <w:t>谈判响应文件具体响应</w:t>
            </w:r>
            <w:bookmarkEnd w:id="105"/>
            <w:bookmarkEnd w:id="106"/>
            <w:bookmarkEnd w:id="107"/>
            <w:bookmarkEnd w:id="108"/>
            <w:bookmarkEnd w:id="109"/>
            <w:bookmarkEnd w:id="110"/>
          </w:p>
        </w:tc>
        <w:tc>
          <w:tcPr>
            <w:tcW w:w="676" w:type="pct"/>
            <w:vAlign w:val="center"/>
          </w:tcPr>
          <w:p w14:paraId="57A057DB">
            <w:pPr>
              <w:spacing w:line="300" w:lineRule="auto"/>
              <w:jc w:val="center"/>
              <w:rPr>
                <w:rFonts w:hint="eastAsia" w:ascii="宋体" w:hAnsi="宋体" w:eastAsia="宋体" w:cs="宋体"/>
                <w:color w:val="auto"/>
                <w:szCs w:val="21"/>
                <w:highlight w:val="none"/>
              </w:rPr>
            </w:pPr>
            <w:bookmarkStart w:id="111" w:name="_Toc254970591"/>
            <w:bookmarkStart w:id="112" w:name="_Toc437203427"/>
            <w:bookmarkStart w:id="113" w:name="_Toc173211903"/>
            <w:bookmarkStart w:id="114" w:name="_Toc173066404"/>
            <w:bookmarkStart w:id="115" w:name="_Toc392056931"/>
            <w:bookmarkStart w:id="116" w:name="_Toc254970732"/>
            <w:r>
              <w:rPr>
                <w:rFonts w:hint="eastAsia" w:ascii="宋体" w:hAnsi="宋体" w:eastAsia="宋体" w:cs="宋体"/>
                <w:color w:val="auto"/>
                <w:szCs w:val="21"/>
                <w:highlight w:val="none"/>
              </w:rPr>
              <w:t>响应/偏离</w:t>
            </w:r>
            <w:bookmarkEnd w:id="111"/>
            <w:bookmarkEnd w:id="112"/>
            <w:bookmarkEnd w:id="113"/>
            <w:bookmarkEnd w:id="114"/>
            <w:bookmarkEnd w:id="115"/>
            <w:bookmarkEnd w:id="116"/>
          </w:p>
        </w:tc>
        <w:tc>
          <w:tcPr>
            <w:tcW w:w="555" w:type="pct"/>
            <w:vAlign w:val="center"/>
          </w:tcPr>
          <w:p w14:paraId="470E6BAC">
            <w:pPr>
              <w:spacing w:line="300" w:lineRule="auto"/>
              <w:jc w:val="center"/>
              <w:rPr>
                <w:rFonts w:hint="eastAsia" w:ascii="宋体" w:hAnsi="宋体" w:eastAsia="宋体" w:cs="宋体"/>
                <w:color w:val="auto"/>
                <w:szCs w:val="21"/>
                <w:highlight w:val="none"/>
              </w:rPr>
            </w:pPr>
            <w:bookmarkStart w:id="117" w:name="_Toc173211904"/>
            <w:bookmarkStart w:id="118" w:name="_Toc254970592"/>
            <w:bookmarkStart w:id="119" w:name="_Toc437203428"/>
            <w:bookmarkStart w:id="120" w:name="_Toc254970733"/>
            <w:bookmarkStart w:id="121" w:name="_Toc173066405"/>
            <w:bookmarkStart w:id="122" w:name="_Toc392056932"/>
            <w:r>
              <w:rPr>
                <w:rFonts w:hint="eastAsia" w:ascii="宋体" w:hAnsi="宋体" w:eastAsia="宋体" w:cs="宋体"/>
                <w:color w:val="auto"/>
                <w:szCs w:val="21"/>
                <w:highlight w:val="none"/>
              </w:rPr>
              <w:t>说明</w:t>
            </w:r>
            <w:bookmarkEnd w:id="117"/>
            <w:bookmarkEnd w:id="118"/>
            <w:bookmarkEnd w:id="119"/>
            <w:bookmarkEnd w:id="120"/>
            <w:bookmarkEnd w:id="121"/>
            <w:bookmarkEnd w:id="122"/>
          </w:p>
        </w:tc>
      </w:tr>
      <w:tr w14:paraId="39E66B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42" w:type="pct"/>
            <w:vAlign w:val="center"/>
          </w:tcPr>
          <w:p w14:paraId="48B45076">
            <w:pPr>
              <w:spacing w:line="300" w:lineRule="auto"/>
              <w:jc w:val="center"/>
              <w:rPr>
                <w:rFonts w:hint="eastAsia" w:ascii="宋体" w:hAnsi="宋体" w:eastAsia="宋体" w:cs="宋体"/>
                <w:color w:val="auto"/>
                <w:szCs w:val="21"/>
                <w:highlight w:val="none"/>
              </w:rPr>
            </w:pPr>
            <w:bookmarkStart w:id="123" w:name="_Toc173066406"/>
            <w:bookmarkStart w:id="124" w:name="_Toc392056933"/>
            <w:bookmarkStart w:id="125" w:name="_Toc254970734"/>
            <w:bookmarkStart w:id="126" w:name="_Toc173211905"/>
            <w:bookmarkStart w:id="127" w:name="_Toc254970593"/>
            <w:bookmarkStart w:id="128" w:name="_Toc437203429"/>
            <w:r>
              <w:rPr>
                <w:rFonts w:hint="eastAsia" w:ascii="宋体" w:hAnsi="宋体" w:eastAsia="宋体" w:cs="宋体"/>
                <w:color w:val="auto"/>
                <w:szCs w:val="21"/>
                <w:highlight w:val="none"/>
              </w:rPr>
              <w:t>1</w:t>
            </w:r>
            <w:bookmarkEnd w:id="123"/>
            <w:bookmarkEnd w:id="124"/>
            <w:bookmarkEnd w:id="125"/>
            <w:bookmarkEnd w:id="126"/>
            <w:bookmarkEnd w:id="127"/>
            <w:bookmarkEnd w:id="128"/>
          </w:p>
        </w:tc>
        <w:tc>
          <w:tcPr>
            <w:tcW w:w="1149" w:type="pct"/>
            <w:vAlign w:val="center"/>
          </w:tcPr>
          <w:p w14:paraId="621F98A4">
            <w:pPr>
              <w:spacing w:line="300" w:lineRule="auto"/>
              <w:jc w:val="center"/>
              <w:rPr>
                <w:rFonts w:hint="eastAsia" w:ascii="宋体" w:hAnsi="宋体" w:eastAsia="宋体" w:cs="宋体"/>
                <w:color w:val="auto"/>
                <w:szCs w:val="21"/>
                <w:highlight w:val="none"/>
              </w:rPr>
            </w:pPr>
          </w:p>
        </w:tc>
        <w:tc>
          <w:tcPr>
            <w:tcW w:w="1149" w:type="pct"/>
            <w:vAlign w:val="center"/>
          </w:tcPr>
          <w:p w14:paraId="7D579F7D">
            <w:pPr>
              <w:spacing w:line="300" w:lineRule="auto"/>
              <w:jc w:val="center"/>
              <w:rPr>
                <w:rFonts w:hint="eastAsia" w:ascii="宋体" w:hAnsi="宋体" w:eastAsia="宋体" w:cs="宋体"/>
                <w:color w:val="auto"/>
                <w:szCs w:val="21"/>
                <w:highlight w:val="none"/>
              </w:rPr>
            </w:pPr>
          </w:p>
        </w:tc>
        <w:tc>
          <w:tcPr>
            <w:tcW w:w="1126" w:type="pct"/>
            <w:vAlign w:val="center"/>
          </w:tcPr>
          <w:p w14:paraId="3C232E65">
            <w:pPr>
              <w:spacing w:line="300" w:lineRule="auto"/>
              <w:jc w:val="center"/>
              <w:rPr>
                <w:rFonts w:hint="eastAsia" w:ascii="宋体" w:hAnsi="宋体" w:eastAsia="宋体" w:cs="宋体"/>
                <w:color w:val="auto"/>
                <w:szCs w:val="21"/>
                <w:highlight w:val="none"/>
              </w:rPr>
            </w:pPr>
          </w:p>
        </w:tc>
        <w:tc>
          <w:tcPr>
            <w:tcW w:w="676" w:type="pct"/>
            <w:vAlign w:val="center"/>
          </w:tcPr>
          <w:p w14:paraId="26C62645">
            <w:pPr>
              <w:spacing w:line="300" w:lineRule="auto"/>
              <w:jc w:val="center"/>
              <w:rPr>
                <w:rFonts w:hint="eastAsia" w:ascii="宋体" w:hAnsi="宋体" w:eastAsia="宋体" w:cs="宋体"/>
                <w:color w:val="auto"/>
                <w:szCs w:val="21"/>
                <w:highlight w:val="none"/>
              </w:rPr>
            </w:pPr>
          </w:p>
        </w:tc>
        <w:tc>
          <w:tcPr>
            <w:tcW w:w="555" w:type="pct"/>
            <w:vAlign w:val="center"/>
          </w:tcPr>
          <w:p w14:paraId="41F7F8B4">
            <w:pPr>
              <w:spacing w:line="300" w:lineRule="auto"/>
              <w:jc w:val="center"/>
              <w:rPr>
                <w:rFonts w:hint="eastAsia" w:ascii="宋体" w:hAnsi="宋体" w:eastAsia="宋体" w:cs="宋体"/>
                <w:color w:val="auto"/>
                <w:szCs w:val="21"/>
                <w:highlight w:val="none"/>
              </w:rPr>
            </w:pPr>
          </w:p>
        </w:tc>
      </w:tr>
      <w:tr w14:paraId="7F718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42" w:type="pct"/>
            <w:vAlign w:val="center"/>
          </w:tcPr>
          <w:p w14:paraId="10DB27A2">
            <w:pPr>
              <w:spacing w:line="300" w:lineRule="auto"/>
              <w:jc w:val="center"/>
              <w:rPr>
                <w:rFonts w:hint="eastAsia" w:ascii="宋体" w:hAnsi="宋体" w:eastAsia="宋体" w:cs="宋体"/>
                <w:color w:val="auto"/>
                <w:szCs w:val="21"/>
                <w:highlight w:val="none"/>
              </w:rPr>
            </w:pPr>
            <w:bookmarkStart w:id="129" w:name="_Toc392056934"/>
            <w:bookmarkStart w:id="130" w:name="_Toc254970594"/>
            <w:bookmarkStart w:id="131" w:name="_Toc437203430"/>
            <w:bookmarkStart w:id="132" w:name="_Toc254970735"/>
            <w:bookmarkStart w:id="133" w:name="_Toc173211906"/>
            <w:bookmarkStart w:id="134" w:name="_Toc173066407"/>
            <w:r>
              <w:rPr>
                <w:rFonts w:hint="eastAsia" w:ascii="宋体" w:hAnsi="宋体" w:eastAsia="宋体" w:cs="宋体"/>
                <w:color w:val="auto"/>
                <w:szCs w:val="21"/>
                <w:highlight w:val="none"/>
              </w:rPr>
              <w:t>2</w:t>
            </w:r>
            <w:bookmarkEnd w:id="129"/>
            <w:bookmarkEnd w:id="130"/>
            <w:bookmarkEnd w:id="131"/>
            <w:bookmarkEnd w:id="132"/>
            <w:bookmarkEnd w:id="133"/>
            <w:bookmarkEnd w:id="134"/>
          </w:p>
        </w:tc>
        <w:tc>
          <w:tcPr>
            <w:tcW w:w="1149" w:type="pct"/>
            <w:vAlign w:val="center"/>
          </w:tcPr>
          <w:p w14:paraId="3A765885">
            <w:pPr>
              <w:spacing w:line="300" w:lineRule="auto"/>
              <w:jc w:val="center"/>
              <w:rPr>
                <w:rFonts w:hint="eastAsia" w:ascii="宋体" w:hAnsi="宋体" w:eastAsia="宋体" w:cs="宋体"/>
                <w:color w:val="auto"/>
                <w:szCs w:val="21"/>
                <w:highlight w:val="none"/>
              </w:rPr>
            </w:pPr>
          </w:p>
        </w:tc>
        <w:tc>
          <w:tcPr>
            <w:tcW w:w="1149" w:type="pct"/>
            <w:vAlign w:val="center"/>
          </w:tcPr>
          <w:p w14:paraId="77734505">
            <w:pPr>
              <w:spacing w:line="300" w:lineRule="auto"/>
              <w:jc w:val="center"/>
              <w:rPr>
                <w:rFonts w:hint="eastAsia" w:ascii="宋体" w:hAnsi="宋体" w:eastAsia="宋体" w:cs="宋体"/>
                <w:color w:val="auto"/>
                <w:szCs w:val="21"/>
                <w:highlight w:val="none"/>
              </w:rPr>
            </w:pPr>
          </w:p>
        </w:tc>
        <w:tc>
          <w:tcPr>
            <w:tcW w:w="1126" w:type="pct"/>
            <w:vAlign w:val="center"/>
          </w:tcPr>
          <w:p w14:paraId="2A24AD55">
            <w:pPr>
              <w:spacing w:line="300" w:lineRule="auto"/>
              <w:jc w:val="center"/>
              <w:rPr>
                <w:rFonts w:hint="eastAsia" w:ascii="宋体" w:hAnsi="宋体" w:eastAsia="宋体" w:cs="宋体"/>
                <w:color w:val="auto"/>
                <w:szCs w:val="21"/>
                <w:highlight w:val="none"/>
              </w:rPr>
            </w:pPr>
          </w:p>
        </w:tc>
        <w:tc>
          <w:tcPr>
            <w:tcW w:w="676" w:type="pct"/>
            <w:vAlign w:val="center"/>
          </w:tcPr>
          <w:p w14:paraId="7DE1C865">
            <w:pPr>
              <w:spacing w:line="300" w:lineRule="auto"/>
              <w:jc w:val="center"/>
              <w:rPr>
                <w:rFonts w:hint="eastAsia" w:ascii="宋体" w:hAnsi="宋体" w:eastAsia="宋体" w:cs="宋体"/>
                <w:color w:val="auto"/>
                <w:szCs w:val="21"/>
                <w:highlight w:val="none"/>
              </w:rPr>
            </w:pPr>
          </w:p>
        </w:tc>
        <w:tc>
          <w:tcPr>
            <w:tcW w:w="555" w:type="pct"/>
            <w:vAlign w:val="center"/>
          </w:tcPr>
          <w:p w14:paraId="691384B2">
            <w:pPr>
              <w:spacing w:line="300" w:lineRule="auto"/>
              <w:jc w:val="center"/>
              <w:rPr>
                <w:rFonts w:hint="eastAsia" w:ascii="宋体" w:hAnsi="宋体" w:eastAsia="宋体" w:cs="宋体"/>
                <w:color w:val="auto"/>
                <w:szCs w:val="21"/>
                <w:highlight w:val="none"/>
              </w:rPr>
            </w:pPr>
          </w:p>
        </w:tc>
      </w:tr>
      <w:tr w14:paraId="67F58F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42" w:type="pct"/>
            <w:vAlign w:val="center"/>
          </w:tcPr>
          <w:p w14:paraId="244B524E">
            <w:pPr>
              <w:spacing w:line="300" w:lineRule="auto"/>
              <w:jc w:val="center"/>
              <w:rPr>
                <w:rFonts w:hint="eastAsia" w:ascii="宋体" w:hAnsi="宋体" w:eastAsia="宋体" w:cs="宋体"/>
                <w:color w:val="auto"/>
                <w:szCs w:val="21"/>
                <w:highlight w:val="none"/>
              </w:rPr>
            </w:pPr>
            <w:bookmarkStart w:id="135" w:name="_Toc437203431"/>
            <w:bookmarkStart w:id="136" w:name="_Toc173211907"/>
            <w:bookmarkStart w:id="137" w:name="_Toc254970736"/>
            <w:bookmarkStart w:id="138" w:name="_Toc173066408"/>
            <w:bookmarkStart w:id="139" w:name="_Toc254970595"/>
            <w:bookmarkStart w:id="140" w:name="_Toc392056935"/>
            <w:r>
              <w:rPr>
                <w:rFonts w:hint="eastAsia" w:ascii="宋体" w:hAnsi="宋体" w:eastAsia="宋体" w:cs="宋体"/>
                <w:color w:val="auto"/>
                <w:szCs w:val="21"/>
                <w:highlight w:val="none"/>
              </w:rPr>
              <w:t>3</w:t>
            </w:r>
            <w:bookmarkEnd w:id="135"/>
            <w:bookmarkEnd w:id="136"/>
            <w:bookmarkEnd w:id="137"/>
            <w:bookmarkEnd w:id="138"/>
            <w:bookmarkEnd w:id="139"/>
            <w:bookmarkEnd w:id="140"/>
          </w:p>
        </w:tc>
        <w:tc>
          <w:tcPr>
            <w:tcW w:w="1149" w:type="pct"/>
            <w:vAlign w:val="center"/>
          </w:tcPr>
          <w:p w14:paraId="0A6B2619">
            <w:pPr>
              <w:spacing w:line="300" w:lineRule="auto"/>
              <w:jc w:val="center"/>
              <w:rPr>
                <w:rFonts w:hint="eastAsia" w:ascii="宋体" w:hAnsi="宋体" w:eastAsia="宋体" w:cs="宋体"/>
                <w:color w:val="auto"/>
                <w:szCs w:val="21"/>
                <w:highlight w:val="none"/>
              </w:rPr>
            </w:pPr>
          </w:p>
        </w:tc>
        <w:tc>
          <w:tcPr>
            <w:tcW w:w="1149" w:type="pct"/>
            <w:vAlign w:val="center"/>
          </w:tcPr>
          <w:p w14:paraId="260FA08B">
            <w:pPr>
              <w:spacing w:line="300" w:lineRule="auto"/>
              <w:jc w:val="center"/>
              <w:rPr>
                <w:rFonts w:hint="eastAsia" w:ascii="宋体" w:hAnsi="宋体" w:eastAsia="宋体" w:cs="宋体"/>
                <w:color w:val="auto"/>
                <w:szCs w:val="21"/>
                <w:highlight w:val="none"/>
              </w:rPr>
            </w:pPr>
          </w:p>
        </w:tc>
        <w:tc>
          <w:tcPr>
            <w:tcW w:w="1126" w:type="pct"/>
            <w:vAlign w:val="center"/>
          </w:tcPr>
          <w:p w14:paraId="27BC9B4B">
            <w:pPr>
              <w:spacing w:line="300" w:lineRule="auto"/>
              <w:jc w:val="center"/>
              <w:rPr>
                <w:rFonts w:hint="eastAsia" w:ascii="宋体" w:hAnsi="宋体" w:eastAsia="宋体" w:cs="宋体"/>
                <w:color w:val="auto"/>
                <w:szCs w:val="21"/>
                <w:highlight w:val="none"/>
              </w:rPr>
            </w:pPr>
          </w:p>
        </w:tc>
        <w:tc>
          <w:tcPr>
            <w:tcW w:w="676" w:type="pct"/>
            <w:vAlign w:val="center"/>
          </w:tcPr>
          <w:p w14:paraId="3CA6829A">
            <w:pPr>
              <w:spacing w:line="300" w:lineRule="auto"/>
              <w:jc w:val="center"/>
              <w:rPr>
                <w:rFonts w:hint="eastAsia" w:ascii="宋体" w:hAnsi="宋体" w:eastAsia="宋体" w:cs="宋体"/>
                <w:color w:val="auto"/>
                <w:szCs w:val="21"/>
                <w:highlight w:val="none"/>
              </w:rPr>
            </w:pPr>
          </w:p>
        </w:tc>
        <w:tc>
          <w:tcPr>
            <w:tcW w:w="555" w:type="pct"/>
            <w:vAlign w:val="center"/>
          </w:tcPr>
          <w:p w14:paraId="11582672">
            <w:pPr>
              <w:spacing w:line="300" w:lineRule="auto"/>
              <w:jc w:val="center"/>
              <w:rPr>
                <w:rFonts w:hint="eastAsia" w:ascii="宋体" w:hAnsi="宋体" w:eastAsia="宋体" w:cs="宋体"/>
                <w:color w:val="auto"/>
                <w:szCs w:val="21"/>
                <w:highlight w:val="none"/>
              </w:rPr>
            </w:pPr>
          </w:p>
        </w:tc>
      </w:tr>
      <w:tr w14:paraId="3A1B2A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42" w:type="pct"/>
            <w:vAlign w:val="center"/>
          </w:tcPr>
          <w:p w14:paraId="04A86896">
            <w:pPr>
              <w:spacing w:line="300" w:lineRule="auto"/>
              <w:jc w:val="center"/>
              <w:rPr>
                <w:rFonts w:hint="eastAsia" w:ascii="宋体" w:hAnsi="宋体" w:eastAsia="宋体" w:cs="宋体"/>
                <w:color w:val="auto"/>
                <w:szCs w:val="21"/>
                <w:highlight w:val="none"/>
              </w:rPr>
            </w:pPr>
            <w:bookmarkStart w:id="141" w:name="_Toc254970737"/>
            <w:bookmarkStart w:id="142" w:name="_Toc173211908"/>
            <w:bookmarkStart w:id="143" w:name="_Toc173066409"/>
            <w:bookmarkStart w:id="144" w:name="_Toc392056936"/>
            <w:bookmarkStart w:id="145" w:name="_Toc254970596"/>
            <w:bookmarkStart w:id="146" w:name="_Toc437203432"/>
            <w:r>
              <w:rPr>
                <w:rFonts w:hint="eastAsia" w:ascii="宋体" w:hAnsi="宋体" w:eastAsia="宋体" w:cs="宋体"/>
                <w:color w:val="auto"/>
                <w:szCs w:val="21"/>
                <w:highlight w:val="none"/>
              </w:rPr>
              <w:t>4</w:t>
            </w:r>
            <w:bookmarkEnd w:id="141"/>
            <w:bookmarkEnd w:id="142"/>
            <w:bookmarkEnd w:id="143"/>
            <w:bookmarkEnd w:id="144"/>
            <w:bookmarkEnd w:id="145"/>
            <w:bookmarkEnd w:id="146"/>
          </w:p>
        </w:tc>
        <w:tc>
          <w:tcPr>
            <w:tcW w:w="1149" w:type="pct"/>
            <w:vAlign w:val="center"/>
          </w:tcPr>
          <w:p w14:paraId="47003B94">
            <w:pPr>
              <w:spacing w:line="300" w:lineRule="auto"/>
              <w:jc w:val="center"/>
              <w:rPr>
                <w:rFonts w:hint="eastAsia" w:ascii="宋体" w:hAnsi="宋体" w:eastAsia="宋体" w:cs="宋体"/>
                <w:color w:val="auto"/>
                <w:szCs w:val="21"/>
                <w:highlight w:val="none"/>
              </w:rPr>
            </w:pPr>
          </w:p>
        </w:tc>
        <w:tc>
          <w:tcPr>
            <w:tcW w:w="1149" w:type="pct"/>
            <w:vAlign w:val="center"/>
          </w:tcPr>
          <w:p w14:paraId="2E9C9480">
            <w:pPr>
              <w:spacing w:line="300" w:lineRule="auto"/>
              <w:jc w:val="center"/>
              <w:rPr>
                <w:rFonts w:hint="eastAsia" w:ascii="宋体" w:hAnsi="宋体" w:eastAsia="宋体" w:cs="宋体"/>
                <w:color w:val="auto"/>
                <w:szCs w:val="21"/>
                <w:highlight w:val="none"/>
              </w:rPr>
            </w:pPr>
          </w:p>
        </w:tc>
        <w:tc>
          <w:tcPr>
            <w:tcW w:w="1126" w:type="pct"/>
            <w:vAlign w:val="center"/>
          </w:tcPr>
          <w:p w14:paraId="342B7124">
            <w:pPr>
              <w:spacing w:line="300" w:lineRule="auto"/>
              <w:jc w:val="center"/>
              <w:rPr>
                <w:rFonts w:hint="eastAsia" w:ascii="宋体" w:hAnsi="宋体" w:eastAsia="宋体" w:cs="宋体"/>
                <w:color w:val="auto"/>
                <w:szCs w:val="21"/>
                <w:highlight w:val="none"/>
              </w:rPr>
            </w:pPr>
          </w:p>
        </w:tc>
        <w:tc>
          <w:tcPr>
            <w:tcW w:w="676" w:type="pct"/>
            <w:vAlign w:val="center"/>
          </w:tcPr>
          <w:p w14:paraId="2D1DFFF4">
            <w:pPr>
              <w:spacing w:line="300" w:lineRule="auto"/>
              <w:jc w:val="center"/>
              <w:rPr>
                <w:rFonts w:hint="eastAsia" w:ascii="宋体" w:hAnsi="宋体" w:eastAsia="宋体" w:cs="宋体"/>
                <w:color w:val="auto"/>
                <w:szCs w:val="21"/>
                <w:highlight w:val="none"/>
              </w:rPr>
            </w:pPr>
          </w:p>
        </w:tc>
        <w:tc>
          <w:tcPr>
            <w:tcW w:w="555" w:type="pct"/>
            <w:vAlign w:val="center"/>
          </w:tcPr>
          <w:p w14:paraId="5A392921">
            <w:pPr>
              <w:spacing w:line="300" w:lineRule="auto"/>
              <w:jc w:val="center"/>
              <w:rPr>
                <w:rFonts w:hint="eastAsia" w:ascii="宋体" w:hAnsi="宋体" w:eastAsia="宋体" w:cs="宋体"/>
                <w:color w:val="auto"/>
                <w:szCs w:val="21"/>
                <w:highlight w:val="none"/>
              </w:rPr>
            </w:pPr>
          </w:p>
        </w:tc>
      </w:tr>
      <w:tr w14:paraId="04473F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42" w:type="pct"/>
            <w:vAlign w:val="center"/>
          </w:tcPr>
          <w:p w14:paraId="15338A24">
            <w:pPr>
              <w:spacing w:line="300" w:lineRule="auto"/>
              <w:jc w:val="center"/>
              <w:rPr>
                <w:rFonts w:hint="eastAsia" w:ascii="宋体" w:hAnsi="宋体" w:eastAsia="宋体" w:cs="宋体"/>
                <w:color w:val="auto"/>
                <w:szCs w:val="21"/>
                <w:highlight w:val="none"/>
              </w:rPr>
            </w:pPr>
            <w:bookmarkStart w:id="147" w:name="_Toc437203433"/>
            <w:bookmarkStart w:id="148" w:name="_Toc254970597"/>
            <w:bookmarkStart w:id="149" w:name="_Toc173211909"/>
            <w:bookmarkStart w:id="150" w:name="_Toc173066410"/>
            <w:bookmarkStart w:id="151" w:name="_Toc392056937"/>
            <w:bookmarkStart w:id="152" w:name="_Toc254970738"/>
            <w:r>
              <w:rPr>
                <w:rFonts w:hint="eastAsia" w:ascii="宋体" w:hAnsi="宋体" w:eastAsia="宋体" w:cs="宋体"/>
                <w:color w:val="auto"/>
                <w:szCs w:val="21"/>
                <w:highlight w:val="none"/>
              </w:rPr>
              <w:t>5</w:t>
            </w:r>
            <w:bookmarkEnd w:id="147"/>
            <w:bookmarkEnd w:id="148"/>
            <w:bookmarkEnd w:id="149"/>
            <w:bookmarkEnd w:id="150"/>
            <w:bookmarkEnd w:id="151"/>
            <w:bookmarkEnd w:id="152"/>
          </w:p>
        </w:tc>
        <w:tc>
          <w:tcPr>
            <w:tcW w:w="1149" w:type="pct"/>
            <w:vAlign w:val="center"/>
          </w:tcPr>
          <w:p w14:paraId="4952B11A">
            <w:pPr>
              <w:spacing w:line="300" w:lineRule="auto"/>
              <w:jc w:val="center"/>
              <w:rPr>
                <w:rFonts w:hint="eastAsia" w:ascii="宋体" w:hAnsi="宋体" w:eastAsia="宋体" w:cs="宋体"/>
                <w:color w:val="auto"/>
                <w:szCs w:val="21"/>
                <w:highlight w:val="none"/>
              </w:rPr>
            </w:pPr>
          </w:p>
        </w:tc>
        <w:tc>
          <w:tcPr>
            <w:tcW w:w="1149" w:type="pct"/>
            <w:vAlign w:val="center"/>
          </w:tcPr>
          <w:p w14:paraId="63B44A88">
            <w:pPr>
              <w:spacing w:line="300" w:lineRule="auto"/>
              <w:jc w:val="center"/>
              <w:rPr>
                <w:rFonts w:hint="eastAsia" w:ascii="宋体" w:hAnsi="宋体" w:eastAsia="宋体" w:cs="宋体"/>
                <w:color w:val="auto"/>
                <w:szCs w:val="21"/>
                <w:highlight w:val="none"/>
              </w:rPr>
            </w:pPr>
          </w:p>
        </w:tc>
        <w:tc>
          <w:tcPr>
            <w:tcW w:w="1126" w:type="pct"/>
            <w:vAlign w:val="center"/>
          </w:tcPr>
          <w:p w14:paraId="684A94BE">
            <w:pPr>
              <w:spacing w:line="300" w:lineRule="auto"/>
              <w:jc w:val="center"/>
              <w:rPr>
                <w:rFonts w:hint="eastAsia" w:ascii="宋体" w:hAnsi="宋体" w:eastAsia="宋体" w:cs="宋体"/>
                <w:color w:val="auto"/>
                <w:szCs w:val="21"/>
                <w:highlight w:val="none"/>
              </w:rPr>
            </w:pPr>
          </w:p>
        </w:tc>
        <w:tc>
          <w:tcPr>
            <w:tcW w:w="676" w:type="pct"/>
            <w:vAlign w:val="center"/>
          </w:tcPr>
          <w:p w14:paraId="2D442598">
            <w:pPr>
              <w:spacing w:line="300" w:lineRule="auto"/>
              <w:jc w:val="center"/>
              <w:rPr>
                <w:rFonts w:hint="eastAsia" w:ascii="宋体" w:hAnsi="宋体" w:eastAsia="宋体" w:cs="宋体"/>
                <w:color w:val="auto"/>
                <w:szCs w:val="21"/>
                <w:highlight w:val="none"/>
              </w:rPr>
            </w:pPr>
          </w:p>
        </w:tc>
        <w:tc>
          <w:tcPr>
            <w:tcW w:w="555" w:type="pct"/>
            <w:vAlign w:val="center"/>
          </w:tcPr>
          <w:p w14:paraId="20353857">
            <w:pPr>
              <w:spacing w:line="300" w:lineRule="auto"/>
              <w:jc w:val="center"/>
              <w:rPr>
                <w:rFonts w:hint="eastAsia" w:ascii="宋体" w:hAnsi="宋体" w:eastAsia="宋体" w:cs="宋体"/>
                <w:color w:val="auto"/>
                <w:szCs w:val="21"/>
                <w:highlight w:val="none"/>
              </w:rPr>
            </w:pPr>
          </w:p>
        </w:tc>
      </w:tr>
      <w:tr w14:paraId="7EA9C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342" w:type="pct"/>
            <w:vAlign w:val="center"/>
          </w:tcPr>
          <w:p w14:paraId="4B7C3E1B">
            <w:pPr>
              <w:spacing w:line="300" w:lineRule="auto"/>
              <w:jc w:val="center"/>
              <w:rPr>
                <w:rFonts w:hint="eastAsia" w:ascii="宋体" w:hAnsi="宋体" w:eastAsia="宋体" w:cs="宋体"/>
                <w:color w:val="auto"/>
                <w:szCs w:val="21"/>
                <w:highlight w:val="none"/>
              </w:rPr>
            </w:pPr>
            <w:bookmarkStart w:id="153" w:name="_Toc437203434"/>
            <w:bookmarkStart w:id="154" w:name="_Toc173211914"/>
            <w:bookmarkStart w:id="155" w:name="_Toc173066415"/>
            <w:bookmarkStart w:id="156" w:name="_Toc254970602"/>
            <w:bookmarkStart w:id="157" w:name="_Toc254970743"/>
            <w:bookmarkStart w:id="158" w:name="_Toc392056938"/>
            <w:r>
              <w:rPr>
                <w:rFonts w:hint="eastAsia" w:ascii="宋体" w:hAnsi="宋体" w:eastAsia="宋体" w:cs="宋体"/>
                <w:color w:val="auto"/>
                <w:szCs w:val="21"/>
                <w:highlight w:val="none"/>
              </w:rPr>
              <w:t>…</w:t>
            </w:r>
            <w:bookmarkEnd w:id="153"/>
            <w:bookmarkEnd w:id="154"/>
            <w:bookmarkEnd w:id="155"/>
            <w:bookmarkEnd w:id="156"/>
            <w:bookmarkEnd w:id="157"/>
            <w:bookmarkEnd w:id="158"/>
          </w:p>
        </w:tc>
        <w:tc>
          <w:tcPr>
            <w:tcW w:w="1149" w:type="pct"/>
            <w:vAlign w:val="center"/>
          </w:tcPr>
          <w:p w14:paraId="1C2507E6">
            <w:pPr>
              <w:spacing w:line="300" w:lineRule="auto"/>
              <w:jc w:val="center"/>
              <w:rPr>
                <w:rFonts w:hint="eastAsia" w:ascii="宋体" w:hAnsi="宋体" w:eastAsia="宋体" w:cs="宋体"/>
                <w:color w:val="auto"/>
                <w:szCs w:val="21"/>
                <w:highlight w:val="none"/>
              </w:rPr>
            </w:pPr>
          </w:p>
        </w:tc>
        <w:tc>
          <w:tcPr>
            <w:tcW w:w="1149" w:type="pct"/>
            <w:vAlign w:val="center"/>
          </w:tcPr>
          <w:p w14:paraId="04D9628C">
            <w:pPr>
              <w:spacing w:line="300" w:lineRule="auto"/>
              <w:jc w:val="center"/>
              <w:rPr>
                <w:rFonts w:hint="eastAsia" w:ascii="宋体" w:hAnsi="宋体" w:eastAsia="宋体" w:cs="宋体"/>
                <w:color w:val="auto"/>
                <w:szCs w:val="21"/>
                <w:highlight w:val="none"/>
              </w:rPr>
            </w:pPr>
          </w:p>
        </w:tc>
        <w:tc>
          <w:tcPr>
            <w:tcW w:w="1126" w:type="pct"/>
            <w:vAlign w:val="center"/>
          </w:tcPr>
          <w:p w14:paraId="7A682523">
            <w:pPr>
              <w:spacing w:line="300" w:lineRule="auto"/>
              <w:jc w:val="center"/>
              <w:rPr>
                <w:rFonts w:hint="eastAsia" w:ascii="宋体" w:hAnsi="宋体" w:eastAsia="宋体" w:cs="宋体"/>
                <w:color w:val="auto"/>
                <w:szCs w:val="21"/>
                <w:highlight w:val="none"/>
              </w:rPr>
            </w:pPr>
          </w:p>
        </w:tc>
        <w:tc>
          <w:tcPr>
            <w:tcW w:w="676" w:type="pct"/>
            <w:tcBorders>
              <w:right w:val="single" w:color="auto" w:sz="4" w:space="0"/>
            </w:tcBorders>
            <w:vAlign w:val="center"/>
          </w:tcPr>
          <w:p w14:paraId="61DCE18E">
            <w:pPr>
              <w:spacing w:line="300" w:lineRule="auto"/>
              <w:jc w:val="center"/>
              <w:rPr>
                <w:rFonts w:hint="eastAsia" w:ascii="宋体" w:hAnsi="宋体" w:eastAsia="宋体" w:cs="宋体"/>
                <w:color w:val="auto"/>
                <w:szCs w:val="21"/>
                <w:highlight w:val="none"/>
              </w:rPr>
            </w:pPr>
          </w:p>
        </w:tc>
        <w:tc>
          <w:tcPr>
            <w:tcW w:w="555" w:type="pct"/>
            <w:tcBorders>
              <w:left w:val="single" w:color="auto" w:sz="4" w:space="0"/>
            </w:tcBorders>
            <w:vAlign w:val="center"/>
          </w:tcPr>
          <w:p w14:paraId="7C16133D">
            <w:pPr>
              <w:spacing w:line="300" w:lineRule="auto"/>
              <w:jc w:val="center"/>
              <w:rPr>
                <w:rFonts w:hint="eastAsia" w:ascii="宋体" w:hAnsi="宋体" w:eastAsia="宋体" w:cs="宋体"/>
                <w:color w:val="auto"/>
                <w:szCs w:val="21"/>
                <w:highlight w:val="none"/>
              </w:rPr>
            </w:pPr>
          </w:p>
        </w:tc>
      </w:tr>
    </w:tbl>
    <w:p w14:paraId="28143703">
      <w:pPr>
        <w:spacing w:line="300" w:lineRule="auto"/>
        <w:rPr>
          <w:rFonts w:hint="eastAsia" w:ascii="宋体" w:hAnsi="宋体" w:eastAsia="宋体" w:cs="宋体"/>
          <w:color w:val="auto"/>
          <w:szCs w:val="21"/>
          <w:highlight w:val="none"/>
        </w:rPr>
      </w:pPr>
    </w:p>
    <w:p w14:paraId="4F4833EE">
      <w:pPr>
        <w:pStyle w:val="17"/>
        <w:spacing w:line="300" w:lineRule="auto"/>
        <w:ind w:firstLine="0" w:firstLineChars="0"/>
        <w:rPr>
          <w:rFonts w:hint="eastAsia" w:cs="宋体"/>
          <w:color w:val="auto"/>
          <w:szCs w:val="21"/>
          <w:highlight w:val="none"/>
        </w:rPr>
      </w:pPr>
      <w:r>
        <w:rPr>
          <w:rFonts w:hint="eastAsia" w:cs="宋体"/>
          <w:color w:val="auto"/>
          <w:szCs w:val="21"/>
          <w:highlight w:val="none"/>
        </w:rPr>
        <w:t>说明：应对照竞争性谈判文件“第三章 谈判采购技术规格、参数及要求”，逐条说明所提供货物和服务已对竞争性谈判文件的技术规格做出了实质性的响应并且满足</w:t>
      </w:r>
      <w:r>
        <w:rPr>
          <w:rFonts w:hint="eastAsia" w:cs="宋体"/>
          <w:b/>
          <w:bCs/>
          <w:color w:val="auto"/>
          <w:szCs w:val="21"/>
          <w:highlight w:val="none"/>
        </w:rPr>
        <w:t>要求</w:t>
      </w:r>
      <w:r>
        <w:rPr>
          <w:rFonts w:hint="eastAsia" w:cs="宋体"/>
          <w:color w:val="auto"/>
          <w:szCs w:val="21"/>
          <w:highlight w:val="none"/>
        </w:rPr>
        <w:t>，并申明与技术规格条文的响应和偏离。特别对有具体参数要求的指标，谈判竞标人必须提供所供设备的具体参数值。如果仅注明“符合”、“满足”或简单复制竞争性谈判文件要求，将导致谈判被拒绝。</w:t>
      </w:r>
    </w:p>
    <w:p w14:paraId="67A5E140">
      <w:pPr>
        <w:pStyle w:val="20"/>
        <w:spacing w:line="300" w:lineRule="auto"/>
        <w:rPr>
          <w:rFonts w:hint="eastAsia" w:hAnsi="宋体" w:cs="宋体"/>
          <w:color w:val="auto"/>
          <w:highlight w:val="none"/>
        </w:rPr>
      </w:pPr>
    </w:p>
    <w:p w14:paraId="35ED1BA9">
      <w:pPr>
        <w:spacing w:line="50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5717200C">
      <w:pPr>
        <w:spacing w:line="50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06BFF42E">
      <w:pPr>
        <w:pStyle w:val="20"/>
        <w:spacing w:line="500" w:lineRule="exact"/>
        <w:ind w:firstLine="218" w:firstLineChars="91"/>
        <w:rPr>
          <w:rFonts w:hint="eastAsia" w:hAnsi="宋体" w:cs="宋体"/>
          <w:color w:val="auto"/>
          <w:sz w:val="24"/>
          <w:highlight w:val="none"/>
        </w:rPr>
      </w:pPr>
      <w:r>
        <w:rPr>
          <w:rFonts w:hint="eastAsia" w:hAnsi="宋体" w:cs="宋体"/>
          <w:color w:val="auto"/>
          <w:sz w:val="24"/>
          <w:highlight w:val="none"/>
        </w:rPr>
        <w:t>日期：  年  月  日</w:t>
      </w:r>
    </w:p>
    <w:p w14:paraId="6D5ED6BC">
      <w:pPr>
        <w:spacing w:line="300" w:lineRule="auto"/>
        <w:rPr>
          <w:rFonts w:hint="eastAsia" w:ascii="宋体" w:hAnsi="宋体" w:eastAsia="宋体" w:cs="宋体"/>
          <w:color w:val="auto"/>
          <w:szCs w:val="21"/>
          <w:highlight w:val="none"/>
        </w:rPr>
      </w:pPr>
    </w:p>
    <w:p w14:paraId="00F55604">
      <w:pPr>
        <w:spacing w:line="300" w:lineRule="auto"/>
        <w:rPr>
          <w:rFonts w:hint="eastAsia" w:ascii="宋体" w:hAnsi="宋体" w:eastAsia="宋体" w:cs="宋体"/>
          <w:color w:val="auto"/>
          <w:szCs w:val="21"/>
          <w:highlight w:val="none"/>
        </w:rPr>
      </w:pPr>
    </w:p>
    <w:p w14:paraId="58144CB7">
      <w:pPr>
        <w:spacing w:line="300" w:lineRule="auto"/>
        <w:rPr>
          <w:rFonts w:hint="eastAsia" w:ascii="宋体" w:hAnsi="宋体" w:eastAsia="宋体" w:cs="宋体"/>
          <w:color w:val="auto"/>
          <w:szCs w:val="21"/>
          <w:highlight w:val="none"/>
        </w:rPr>
      </w:pPr>
    </w:p>
    <w:p w14:paraId="55E53AB4">
      <w:pPr>
        <w:spacing w:line="300" w:lineRule="auto"/>
        <w:rPr>
          <w:rFonts w:hint="eastAsia" w:ascii="宋体" w:hAnsi="宋体" w:eastAsia="宋体" w:cs="宋体"/>
          <w:color w:val="auto"/>
          <w:szCs w:val="21"/>
          <w:highlight w:val="none"/>
        </w:rPr>
      </w:pPr>
    </w:p>
    <w:p w14:paraId="60122F60">
      <w:pPr>
        <w:spacing w:line="300" w:lineRule="auto"/>
        <w:rPr>
          <w:rFonts w:hint="eastAsia" w:ascii="宋体" w:hAnsi="宋体" w:eastAsia="宋体" w:cs="宋体"/>
          <w:color w:val="auto"/>
          <w:szCs w:val="21"/>
          <w:highlight w:val="none"/>
        </w:rPr>
      </w:pPr>
    </w:p>
    <w:p w14:paraId="5A70C95D">
      <w:pPr>
        <w:ind w:firstLine="4321" w:firstLineChars="134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商务偏离表</w:t>
      </w:r>
    </w:p>
    <w:p w14:paraId="54229250">
      <w:pPr>
        <w:ind w:firstLine="562" w:firstLineChars="200"/>
        <w:rPr>
          <w:rFonts w:hint="eastAsia" w:ascii="宋体" w:hAnsi="宋体" w:eastAsia="宋体" w:cs="宋体"/>
          <w:b/>
          <w:color w:val="auto"/>
          <w:sz w:val="28"/>
          <w:szCs w:val="28"/>
          <w:highlight w:val="none"/>
        </w:rPr>
      </w:pPr>
    </w:p>
    <w:p w14:paraId="7E723559">
      <w:pPr>
        <w:spacing w:after="120" w:afterLines="50" w:line="420" w:lineRule="exact"/>
        <w:ind w:firstLine="44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采购编号：</w:t>
      </w:r>
    </w:p>
    <w:p w14:paraId="3B150E9B">
      <w:pPr>
        <w:pStyle w:val="20"/>
        <w:spacing w:after="120" w:afterLines="50" w:line="420" w:lineRule="exact"/>
        <w:ind w:firstLine="420" w:firstLineChars="200"/>
        <w:rPr>
          <w:rFonts w:hint="eastAsia" w:hAnsi="宋体" w:cs="宋体"/>
          <w:b/>
          <w:color w:val="auto"/>
          <w:sz w:val="24"/>
          <w:szCs w:val="24"/>
          <w:highlight w:val="none"/>
          <w:u w:val="single"/>
        </w:rPr>
      </w:pPr>
      <w:r>
        <w:rPr>
          <w:rFonts w:hint="eastAsia" w:hAnsi="宋体" w:cs="宋体"/>
          <w:color w:val="auto"/>
          <w:szCs w:val="21"/>
          <w:highlight w:val="none"/>
        </w:rPr>
        <w:t>项目名称：</w:t>
      </w:r>
    </w:p>
    <w:tbl>
      <w:tblPr>
        <w:tblStyle w:val="4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188"/>
        <w:gridCol w:w="2694"/>
        <w:gridCol w:w="1798"/>
      </w:tblGrid>
      <w:tr w14:paraId="0A79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vAlign w:val="center"/>
          </w:tcPr>
          <w:p w14:paraId="59511094">
            <w:pPr>
              <w:pStyle w:val="20"/>
              <w:ind w:left="-574" w:leftChars="-261" w:firstLine="548" w:firstLineChars="260"/>
              <w:jc w:val="center"/>
              <w:rPr>
                <w:rFonts w:hint="eastAsia" w:hAnsi="宋体" w:cs="宋体"/>
                <w:b/>
                <w:color w:val="auto"/>
                <w:highlight w:val="none"/>
              </w:rPr>
            </w:pPr>
            <w:r>
              <w:rPr>
                <w:rFonts w:hint="eastAsia" w:hAnsi="宋体" w:cs="宋体"/>
                <w:b/>
                <w:color w:val="auto"/>
                <w:highlight w:val="none"/>
              </w:rPr>
              <w:t>序号</w:t>
            </w:r>
          </w:p>
        </w:tc>
        <w:tc>
          <w:tcPr>
            <w:tcW w:w="3188" w:type="dxa"/>
            <w:vAlign w:val="center"/>
          </w:tcPr>
          <w:p w14:paraId="71035E4B">
            <w:pPr>
              <w:pStyle w:val="20"/>
              <w:jc w:val="center"/>
              <w:rPr>
                <w:rFonts w:hint="eastAsia" w:hAnsi="宋体" w:cs="宋体"/>
                <w:b/>
                <w:color w:val="auto"/>
                <w:highlight w:val="none"/>
              </w:rPr>
            </w:pPr>
            <w:r>
              <w:rPr>
                <w:rFonts w:hint="eastAsia" w:hAnsi="宋体" w:cs="宋体"/>
                <w:b/>
                <w:color w:val="auto"/>
                <w:highlight w:val="none"/>
              </w:rPr>
              <w:t>竞争性谈判文件的商务条款</w:t>
            </w:r>
          </w:p>
        </w:tc>
        <w:tc>
          <w:tcPr>
            <w:tcW w:w="2694" w:type="dxa"/>
            <w:vAlign w:val="center"/>
          </w:tcPr>
          <w:p w14:paraId="05C0F51B">
            <w:pPr>
              <w:pStyle w:val="20"/>
              <w:jc w:val="center"/>
              <w:rPr>
                <w:rFonts w:hint="eastAsia" w:hAnsi="宋体" w:cs="宋体"/>
                <w:b/>
                <w:color w:val="auto"/>
                <w:highlight w:val="none"/>
              </w:rPr>
            </w:pPr>
            <w:r>
              <w:rPr>
                <w:rFonts w:hint="eastAsia" w:hAnsi="宋体" w:cs="宋体"/>
                <w:b/>
                <w:color w:val="auto"/>
                <w:highlight w:val="none"/>
              </w:rPr>
              <w:t>响应文件响应内容</w:t>
            </w:r>
          </w:p>
        </w:tc>
        <w:tc>
          <w:tcPr>
            <w:tcW w:w="1798" w:type="dxa"/>
            <w:vAlign w:val="center"/>
          </w:tcPr>
          <w:p w14:paraId="5BEBAF69">
            <w:pPr>
              <w:pStyle w:val="20"/>
              <w:jc w:val="center"/>
              <w:rPr>
                <w:rFonts w:hint="eastAsia" w:hAnsi="宋体" w:cs="宋体"/>
                <w:b/>
                <w:color w:val="auto"/>
                <w:highlight w:val="none"/>
              </w:rPr>
            </w:pPr>
            <w:r>
              <w:rPr>
                <w:rFonts w:hint="eastAsia" w:hAnsi="宋体" w:cs="宋体"/>
                <w:b/>
                <w:color w:val="auto"/>
                <w:highlight w:val="none"/>
              </w:rPr>
              <w:t>偏离说明</w:t>
            </w:r>
          </w:p>
        </w:tc>
      </w:tr>
      <w:tr w14:paraId="6FCB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tcPr>
          <w:p w14:paraId="53C7792F">
            <w:pPr>
              <w:pStyle w:val="20"/>
              <w:rPr>
                <w:rFonts w:hint="eastAsia" w:hAnsi="宋体" w:cs="宋体"/>
                <w:color w:val="auto"/>
                <w:highlight w:val="none"/>
              </w:rPr>
            </w:pPr>
          </w:p>
        </w:tc>
        <w:tc>
          <w:tcPr>
            <w:tcW w:w="3188" w:type="dxa"/>
          </w:tcPr>
          <w:p w14:paraId="2D137F64">
            <w:pPr>
              <w:pStyle w:val="20"/>
              <w:rPr>
                <w:rFonts w:hint="eastAsia" w:hAnsi="宋体" w:cs="宋体"/>
                <w:color w:val="auto"/>
                <w:highlight w:val="none"/>
              </w:rPr>
            </w:pPr>
          </w:p>
        </w:tc>
        <w:tc>
          <w:tcPr>
            <w:tcW w:w="2694" w:type="dxa"/>
          </w:tcPr>
          <w:p w14:paraId="586DCC46">
            <w:pPr>
              <w:pStyle w:val="20"/>
              <w:rPr>
                <w:rFonts w:hint="eastAsia" w:hAnsi="宋体" w:cs="宋体"/>
                <w:color w:val="auto"/>
                <w:highlight w:val="none"/>
              </w:rPr>
            </w:pPr>
          </w:p>
        </w:tc>
        <w:tc>
          <w:tcPr>
            <w:tcW w:w="1798" w:type="dxa"/>
          </w:tcPr>
          <w:p w14:paraId="11CDAF0C">
            <w:pPr>
              <w:pStyle w:val="20"/>
              <w:jc w:val="center"/>
              <w:rPr>
                <w:rFonts w:hint="eastAsia" w:hAnsi="宋体" w:cs="宋体"/>
                <w:color w:val="auto"/>
                <w:highlight w:val="none"/>
              </w:rPr>
            </w:pPr>
          </w:p>
        </w:tc>
      </w:tr>
      <w:tr w14:paraId="4A10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tcPr>
          <w:p w14:paraId="41E5AC08">
            <w:pPr>
              <w:pStyle w:val="20"/>
              <w:rPr>
                <w:rFonts w:hint="eastAsia" w:hAnsi="宋体" w:cs="宋体"/>
                <w:color w:val="auto"/>
                <w:highlight w:val="none"/>
              </w:rPr>
            </w:pPr>
          </w:p>
        </w:tc>
        <w:tc>
          <w:tcPr>
            <w:tcW w:w="3188" w:type="dxa"/>
          </w:tcPr>
          <w:p w14:paraId="08F6D67C">
            <w:pPr>
              <w:pStyle w:val="20"/>
              <w:rPr>
                <w:rFonts w:hint="eastAsia" w:hAnsi="宋体" w:cs="宋体"/>
                <w:color w:val="auto"/>
                <w:highlight w:val="none"/>
              </w:rPr>
            </w:pPr>
          </w:p>
        </w:tc>
        <w:tc>
          <w:tcPr>
            <w:tcW w:w="2694" w:type="dxa"/>
          </w:tcPr>
          <w:p w14:paraId="2D322E7A">
            <w:pPr>
              <w:pStyle w:val="20"/>
              <w:rPr>
                <w:rFonts w:hint="eastAsia" w:hAnsi="宋体" w:cs="宋体"/>
                <w:color w:val="auto"/>
                <w:highlight w:val="none"/>
              </w:rPr>
            </w:pPr>
          </w:p>
        </w:tc>
        <w:tc>
          <w:tcPr>
            <w:tcW w:w="1798" w:type="dxa"/>
          </w:tcPr>
          <w:p w14:paraId="0A3F6440">
            <w:pPr>
              <w:pStyle w:val="20"/>
              <w:jc w:val="center"/>
              <w:rPr>
                <w:rFonts w:hint="eastAsia" w:hAnsi="宋体" w:cs="宋体"/>
                <w:color w:val="auto"/>
                <w:highlight w:val="none"/>
              </w:rPr>
            </w:pPr>
          </w:p>
        </w:tc>
      </w:tr>
      <w:tr w14:paraId="393A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tcPr>
          <w:p w14:paraId="3F68E0B4">
            <w:pPr>
              <w:pStyle w:val="20"/>
              <w:rPr>
                <w:rFonts w:hint="eastAsia" w:hAnsi="宋体" w:cs="宋体"/>
                <w:color w:val="auto"/>
                <w:highlight w:val="none"/>
              </w:rPr>
            </w:pPr>
          </w:p>
        </w:tc>
        <w:tc>
          <w:tcPr>
            <w:tcW w:w="3188" w:type="dxa"/>
          </w:tcPr>
          <w:p w14:paraId="7AB6B0C6">
            <w:pPr>
              <w:pStyle w:val="20"/>
              <w:rPr>
                <w:rFonts w:hint="eastAsia" w:hAnsi="宋体" w:cs="宋体"/>
                <w:color w:val="auto"/>
                <w:highlight w:val="none"/>
              </w:rPr>
            </w:pPr>
          </w:p>
        </w:tc>
        <w:tc>
          <w:tcPr>
            <w:tcW w:w="2694" w:type="dxa"/>
          </w:tcPr>
          <w:p w14:paraId="478B818B">
            <w:pPr>
              <w:pStyle w:val="20"/>
              <w:rPr>
                <w:rFonts w:hint="eastAsia" w:hAnsi="宋体" w:cs="宋体"/>
                <w:color w:val="auto"/>
                <w:highlight w:val="none"/>
              </w:rPr>
            </w:pPr>
          </w:p>
        </w:tc>
        <w:tc>
          <w:tcPr>
            <w:tcW w:w="1798" w:type="dxa"/>
          </w:tcPr>
          <w:p w14:paraId="05CE1AC3">
            <w:pPr>
              <w:pStyle w:val="20"/>
              <w:jc w:val="center"/>
              <w:rPr>
                <w:rFonts w:hint="eastAsia" w:hAnsi="宋体" w:cs="宋体"/>
                <w:color w:val="auto"/>
                <w:highlight w:val="none"/>
              </w:rPr>
            </w:pPr>
          </w:p>
        </w:tc>
      </w:tr>
      <w:tr w14:paraId="5DE7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tcPr>
          <w:p w14:paraId="0ED1CD4A">
            <w:pPr>
              <w:pStyle w:val="20"/>
              <w:rPr>
                <w:rFonts w:hint="eastAsia" w:hAnsi="宋体" w:cs="宋体"/>
                <w:color w:val="auto"/>
                <w:highlight w:val="none"/>
              </w:rPr>
            </w:pPr>
          </w:p>
        </w:tc>
        <w:tc>
          <w:tcPr>
            <w:tcW w:w="3188" w:type="dxa"/>
          </w:tcPr>
          <w:p w14:paraId="17AB7CBD">
            <w:pPr>
              <w:pStyle w:val="20"/>
              <w:rPr>
                <w:rFonts w:hint="eastAsia" w:hAnsi="宋体" w:cs="宋体"/>
                <w:color w:val="auto"/>
                <w:highlight w:val="none"/>
              </w:rPr>
            </w:pPr>
          </w:p>
        </w:tc>
        <w:tc>
          <w:tcPr>
            <w:tcW w:w="2694" w:type="dxa"/>
          </w:tcPr>
          <w:p w14:paraId="6DF65769">
            <w:pPr>
              <w:pStyle w:val="20"/>
              <w:rPr>
                <w:rFonts w:hint="eastAsia" w:hAnsi="宋体" w:cs="宋体"/>
                <w:color w:val="auto"/>
                <w:highlight w:val="none"/>
              </w:rPr>
            </w:pPr>
          </w:p>
        </w:tc>
        <w:tc>
          <w:tcPr>
            <w:tcW w:w="1798" w:type="dxa"/>
          </w:tcPr>
          <w:p w14:paraId="47234F9A">
            <w:pPr>
              <w:pStyle w:val="20"/>
              <w:jc w:val="center"/>
              <w:rPr>
                <w:rFonts w:hint="eastAsia" w:hAnsi="宋体" w:cs="宋体"/>
                <w:color w:val="auto"/>
                <w:highlight w:val="none"/>
              </w:rPr>
            </w:pPr>
          </w:p>
        </w:tc>
      </w:tr>
      <w:tr w14:paraId="3A90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tcPr>
          <w:p w14:paraId="1B029FCE">
            <w:pPr>
              <w:pStyle w:val="20"/>
              <w:rPr>
                <w:rFonts w:hint="eastAsia" w:hAnsi="宋体" w:cs="宋体"/>
                <w:color w:val="auto"/>
                <w:highlight w:val="none"/>
              </w:rPr>
            </w:pPr>
          </w:p>
        </w:tc>
        <w:tc>
          <w:tcPr>
            <w:tcW w:w="3188" w:type="dxa"/>
          </w:tcPr>
          <w:p w14:paraId="7AD00833">
            <w:pPr>
              <w:pStyle w:val="20"/>
              <w:rPr>
                <w:rFonts w:hint="eastAsia" w:hAnsi="宋体" w:cs="宋体"/>
                <w:color w:val="auto"/>
                <w:highlight w:val="none"/>
              </w:rPr>
            </w:pPr>
          </w:p>
        </w:tc>
        <w:tc>
          <w:tcPr>
            <w:tcW w:w="2694" w:type="dxa"/>
          </w:tcPr>
          <w:p w14:paraId="1AAEB1E6">
            <w:pPr>
              <w:pStyle w:val="20"/>
              <w:rPr>
                <w:rFonts w:hint="eastAsia" w:hAnsi="宋体" w:cs="宋体"/>
                <w:color w:val="auto"/>
                <w:highlight w:val="none"/>
              </w:rPr>
            </w:pPr>
          </w:p>
        </w:tc>
        <w:tc>
          <w:tcPr>
            <w:tcW w:w="1798" w:type="dxa"/>
          </w:tcPr>
          <w:p w14:paraId="6C71C724">
            <w:pPr>
              <w:pStyle w:val="20"/>
              <w:jc w:val="center"/>
              <w:rPr>
                <w:rFonts w:hint="eastAsia" w:hAnsi="宋体" w:cs="宋体"/>
                <w:color w:val="auto"/>
                <w:highlight w:val="none"/>
              </w:rPr>
            </w:pPr>
          </w:p>
        </w:tc>
      </w:tr>
      <w:tr w14:paraId="366D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 w:type="dxa"/>
          </w:tcPr>
          <w:p w14:paraId="58064729">
            <w:pPr>
              <w:pStyle w:val="20"/>
              <w:rPr>
                <w:rFonts w:hint="eastAsia" w:hAnsi="宋体" w:cs="宋体"/>
                <w:color w:val="auto"/>
                <w:highlight w:val="none"/>
              </w:rPr>
            </w:pPr>
          </w:p>
        </w:tc>
        <w:tc>
          <w:tcPr>
            <w:tcW w:w="3188" w:type="dxa"/>
          </w:tcPr>
          <w:p w14:paraId="6A898C8E">
            <w:pPr>
              <w:pStyle w:val="20"/>
              <w:rPr>
                <w:rFonts w:hint="eastAsia" w:hAnsi="宋体" w:cs="宋体"/>
                <w:color w:val="auto"/>
                <w:highlight w:val="none"/>
              </w:rPr>
            </w:pPr>
          </w:p>
        </w:tc>
        <w:tc>
          <w:tcPr>
            <w:tcW w:w="2694" w:type="dxa"/>
          </w:tcPr>
          <w:p w14:paraId="17580FEF">
            <w:pPr>
              <w:pStyle w:val="20"/>
              <w:rPr>
                <w:rFonts w:hint="eastAsia" w:hAnsi="宋体" w:cs="宋体"/>
                <w:color w:val="auto"/>
                <w:highlight w:val="none"/>
              </w:rPr>
            </w:pPr>
          </w:p>
        </w:tc>
        <w:tc>
          <w:tcPr>
            <w:tcW w:w="1798" w:type="dxa"/>
          </w:tcPr>
          <w:p w14:paraId="1B9DB9E6">
            <w:pPr>
              <w:pStyle w:val="20"/>
              <w:jc w:val="center"/>
              <w:rPr>
                <w:rFonts w:hint="eastAsia" w:hAnsi="宋体" w:cs="宋体"/>
                <w:color w:val="auto"/>
                <w:highlight w:val="none"/>
              </w:rPr>
            </w:pPr>
          </w:p>
        </w:tc>
      </w:tr>
      <w:tr w14:paraId="1253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tcPr>
          <w:p w14:paraId="45097A4F">
            <w:pPr>
              <w:pStyle w:val="20"/>
              <w:rPr>
                <w:rFonts w:hint="eastAsia" w:hAnsi="宋体" w:cs="宋体"/>
                <w:color w:val="auto"/>
                <w:highlight w:val="none"/>
              </w:rPr>
            </w:pPr>
          </w:p>
        </w:tc>
        <w:tc>
          <w:tcPr>
            <w:tcW w:w="3188" w:type="dxa"/>
          </w:tcPr>
          <w:p w14:paraId="56C06B73">
            <w:pPr>
              <w:pStyle w:val="20"/>
              <w:rPr>
                <w:rFonts w:hint="eastAsia" w:hAnsi="宋体" w:cs="宋体"/>
                <w:color w:val="auto"/>
                <w:highlight w:val="none"/>
              </w:rPr>
            </w:pPr>
          </w:p>
        </w:tc>
        <w:tc>
          <w:tcPr>
            <w:tcW w:w="2694" w:type="dxa"/>
          </w:tcPr>
          <w:p w14:paraId="59D86E75">
            <w:pPr>
              <w:pStyle w:val="20"/>
              <w:rPr>
                <w:rFonts w:hint="eastAsia" w:hAnsi="宋体" w:cs="宋体"/>
                <w:color w:val="auto"/>
                <w:highlight w:val="none"/>
              </w:rPr>
            </w:pPr>
          </w:p>
        </w:tc>
        <w:tc>
          <w:tcPr>
            <w:tcW w:w="1798" w:type="dxa"/>
          </w:tcPr>
          <w:p w14:paraId="3AEF9F9E">
            <w:pPr>
              <w:pStyle w:val="20"/>
              <w:rPr>
                <w:rFonts w:hint="eastAsia" w:hAnsi="宋体" w:cs="宋体"/>
                <w:color w:val="auto"/>
                <w:highlight w:val="none"/>
              </w:rPr>
            </w:pPr>
          </w:p>
        </w:tc>
      </w:tr>
      <w:tr w14:paraId="4048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tcPr>
          <w:p w14:paraId="6ACBC924">
            <w:pPr>
              <w:pStyle w:val="20"/>
              <w:rPr>
                <w:rFonts w:hint="eastAsia" w:hAnsi="宋体" w:cs="宋体"/>
                <w:color w:val="auto"/>
                <w:highlight w:val="none"/>
              </w:rPr>
            </w:pPr>
          </w:p>
        </w:tc>
        <w:tc>
          <w:tcPr>
            <w:tcW w:w="3188" w:type="dxa"/>
          </w:tcPr>
          <w:p w14:paraId="5553161D">
            <w:pPr>
              <w:pStyle w:val="20"/>
              <w:rPr>
                <w:rFonts w:hint="eastAsia" w:hAnsi="宋体" w:cs="宋体"/>
                <w:color w:val="auto"/>
                <w:highlight w:val="none"/>
              </w:rPr>
            </w:pPr>
          </w:p>
        </w:tc>
        <w:tc>
          <w:tcPr>
            <w:tcW w:w="2694" w:type="dxa"/>
          </w:tcPr>
          <w:p w14:paraId="0216718F">
            <w:pPr>
              <w:pStyle w:val="20"/>
              <w:rPr>
                <w:rFonts w:hint="eastAsia" w:hAnsi="宋体" w:cs="宋体"/>
                <w:color w:val="auto"/>
                <w:highlight w:val="none"/>
              </w:rPr>
            </w:pPr>
          </w:p>
        </w:tc>
        <w:tc>
          <w:tcPr>
            <w:tcW w:w="1798" w:type="dxa"/>
          </w:tcPr>
          <w:p w14:paraId="0113C0F6">
            <w:pPr>
              <w:pStyle w:val="20"/>
              <w:rPr>
                <w:rFonts w:hint="eastAsia" w:hAnsi="宋体" w:cs="宋体"/>
                <w:color w:val="auto"/>
                <w:highlight w:val="none"/>
              </w:rPr>
            </w:pPr>
          </w:p>
        </w:tc>
      </w:tr>
      <w:tr w14:paraId="726A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0" w:type="dxa"/>
          </w:tcPr>
          <w:p w14:paraId="433EC8D1">
            <w:pPr>
              <w:pStyle w:val="20"/>
              <w:rPr>
                <w:rFonts w:hint="eastAsia" w:hAnsi="宋体" w:cs="宋体"/>
                <w:color w:val="auto"/>
                <w:highlight w:val="none"/>
              </w:rPr>
            </w:pPr>
          </w:p>
        </w:tc>
        <w:tc>
          <w:tcPr>
            <w:tcW w:w="3188" w:type="dxa"/>
          </w:tcPr>
          <w:p w14:paraId="44907F4B">
            <w:pPr>
              <w:pStyle w:val="20"/>
              <w:rPr>
                <w:rFonts w:hint="eastAsia" w:hAnsi="宋体" w:cs="宋体"/>
                <w:color w:val="auto"/>
                <w:highlight w:val="none"/>
              </w:rPr>
            </w:pPr>
          </w:p>
        </w:tc>
        <w:tc>
          <w:tcPr>
            <w:tcW w:w="2694" w:type="dxa"/>
          </w:tcPr>
          <w:p w14:paraId="1431C9DC">
            <w:pPr>
              <w:pStyle w:val="20"/>
              <w:rPr>
                <w:rFonts w:hint="eastAsia" w:hAnsi="宋体" w:cs="宋体"/>
                <w:color w:val="auto"/>
                <w:highlight w:val="none"/>
              </w:rPr>
            </w:pPr>
          </w:p>
        </w:tc>
        <w:tc>
          <w:tcPr>
            <w:tcW w:w="1798" w:type="dxa"/>
          </w:tcPr>
          <w:p w14:paraId="47C11BA6">
            <w:pPr>
              <w:pStyle w:val="20"/>
              <w:rPr>
                <w:rFonts w:hint="eastAsia" w:hAnsi="宋体" w:cs="宋体"/>
                <w:color w:val="auto"/>
                <w:highlight w:val="none"/>
              </w:rPr>
            </w:pPr>
          </w:p>
        </w:tc>
      </w:tr>
    </w:tbl>
    <w:p w14:paraId="74566E38">
      <w:pPr>
        <w:pStyle w:val="20"/>
        <w:spacing w:line="360" w:lineRule="exact"/>
        <w:ind w:firstLine="360" w:firstLineChars="150"/>
        <w:rPr>
          <w:rFonts w:hint="eastAsia" w:hAnsi="宋体" w:cs="宋体"/>
          <w:color w:val="auto"/>
          <w:sz w:val="24"/>
          <w:szCs w:val="24"/>
          <w:highlight w:val="none"/>
        </w:rPr>
      </w:pPr>
      <w:r>
        <w:rPr>
          <w:rFonts w:hint="eastAsia" w:hAnsi="宋体" w:cs="宋体"/>
          <w:color w:val="auto"/>
          <w:sz w:val="24"/>
          <w:szCs w:val="24"/>
          <w:highlight w:val="none"/>
        </w:rPr>
        <w:t>注：“偏离”系指“正偏离”、“负偏离”或“无偏离”。</w:t>
      </w:r>
    </w:p>
    <w:p w14:paraId="1417141A">
      <w:pPr>
        <w:pStyle w:val="20"/>
        <w:spacing w:line="360" w:lineRule="exact"/>
        <w:ind w:firstLine="360" w:firstLineChars="150"/>
        <w:rPr>
          <w:rFonts w:hint="eastAsia" w:hAnsi="宋体" w:cs="宋体"/>
          <w:color w:val="auto"/>
          <w:sz w:val="24"/>
          <w:szCs w:val="24"/>
          <w:highlight w:val="none"/>
        </w:rPr>
      </w:pPr>
      <w:r>
        <w:rPr>
          <w:rFonts w:hint="eastAsia" w:hAnsi="宋体" w:cs="宋体"/>
          <w:color w:val="auto"/>
          <w:sz w:val="24"/>
          <w:szCs w:val="24"/>
          <w:highlight w:val="none"/>
        </w:rPr>
        <w:t>请逐条对应竞争性谈判文件的第三章“项目需求”中要求的“商务条款”，认真填写该表。</w:t>
      </w:r>
    </w:p>
    <w:p w14:paraId="0885D187">
      <w:pPr>
        <w:pStyle w:val="20"/>
        <w:spacing w:line="600" w:lineRule="exact"/>
        <w:rPr>
          <w:rFonts w:hint="eastAsia" w:hAnsi="宋体" w:cs="宋体"/>
          <w:color w:val="auto"/>
          <w:sz w:val="24"/>
          <w:szCs w:val="24"/>
          <w:highlight w:val="none"/>
        </w:rPr>
      </w:pPr>
    </w:p>
    <w:p w14:paraId="0A988EE5">
      <w:pPr>
        <w:pStyle w:val="20"/>
        <w:spacing w:line="6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法定代表人或法定代表人授权代表：</w:t>
      </w:r>
      <w:r>
        <w:rPr>
          <w:rFonts w:hint="eastAsia" w:hAnsi="宋体" w:cs="宋体"/>
          <w:color w:val="auto"/>
          <w:sz w:val="24"/>
          <w:highlight w:val="none"/>
          <w:u w:val="single"/>
        </w:rPr>
        <w:t xml:space="preserve">（签字）  </w:t>
      </w:r>
    </w:p>
    <w:p w14:paraId="4B57519E">
      <w:pPr>
        <w:pStyle w:val="20"/>
        <w:spacing w:line="600" w:lineRule="exact"/>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竞标人：</w:t>
      </w:r>
      <w:r>
        <w:rPr>
          <w:rFonts w:hint="eastAsia" w:hAnsi="宋体" w:cs="宋体"/>
          <w:color w:val="auto"/>
          <w:sz w:val="24"/>
          <w:szCs w:val="24"/>
          <w:highlight w:val="none"/>
          <w:u w:val="single"/>
        </w:rPr>
        <w:t xml:space="preserve">（单位名称并盖公章）      </w:t>
      </w:r>
    </w:p>
    <w:p w14:paraId="44460843">
      <w:pPr>
        <w:spacing w:line="30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年    月    日</w:t>
      </w:r>
    </w:p>
    <w:p w14:paraId="026CD9F5">
      <w:pPr>
        <w:spacing w:line="300" w:lineRule="auto"/>
        <w:rPr>
          <w:rFonts w:hint="eastAsia" w:ascii="宋体" w:hAnsi="宋体" w:eastAsia="宋体" w:cs="宋体"/>
          <w:b/>
          <w:color w:val="auto"/>
          <w:szCs w:val="21"/>
          <w:highlight w:val="none"/>
        </w:rPr>
      </w:pPr>
    </w:p>
    <w:p w14:paraId="0913F769">
      <w:pPr>
        <w:spacing w:before="120" w:beforeLines="50" w:after="50"/>
        <w:rPr>
          <w:rFonts w:hint="eastAsia" w:ascii="宋体" w:hAnsi="宋体" w:eastAsia="宋体" w:cs="宋体"/>
          <w:b/>
          <w:color w:val="auto"/>
          <w:kern w:val="2"/>
          <w:sz w:val="24"/>
          <w:szCs w:val="24"/>
          <w:highlight w:val="none"/>
        </w:rPr>
      </w:pPr>
    </w:p>
    <w:p w14:paraId="6AD11061">
      <w:pPr>
        <w:spacing w:before="120" w:beforeLines="50" w:after="50"/>
        <w:rPr>
          <w:rFonts w:hint="eastAsia" w:ascii="宋体" w:hAnsi="宋体" w:eastAsia="宋体" w:cs="宋体"/>
          <w:b/>
          <w:color w:val="auto"/>
          <w:kern w:val="2"/>
          <w:sz w:val="24"/>
          <w:szCs w:val="24"/>
          <w:highlight w:val="none"/>
        </w:rPr>
      </w:pPr>
    </w:p>
    <w:p w14:paraId="3F3F1D1A">
      <w:pPr>
        <w:spacing w:before="120" w:beforeLines="50" w:after="50"/>
        <w:rPr>
          <w:rFonts w:hint="eastAsia" w:ascii="宋体" w:hAnsi="宋体" w:eastAsia="宋体" w:cs="宋体"/>
          <w:b/>
          <w:color w:val="auto"/>
          <w:kern w:val="2"/>
          <w:sz w:val="24"/>
          <w:szCs w:val="24"/>
          <w:highlight w:val="none"/>
        </w:rPr>
      </w:pPr>
    </w:p>
    <w:p w14:paraId="47489068">
      <w:pPr>
        <w:adjustRightInd/>
        <w:snapToGrid/>
        <w:spacing w:line="220" w:lineRule="atLeast"/>
        <w:rPr>
          <w:rFonts w:hint="eastAsia" w:ascii="宋体" w:hAnsi="宋体" w:eastAsia="宋体" w:cs="宋体"/>
          <w:color w:val="auto"/>
          <w:szCs w:val="21"/>
          <w:highlight w:val="none"/>
        </w:rPr>
      </w:pPr>
      <w:r>
        <w:rPr>
          <w:rFonts w:hint="eastAsia" w:ascii="宋体" w:hAnsi="宋体" w:eastAsia="宋体" w:cs="宋体"/>
          <w:b/>
          <w:color w:val="auto"/>
          <w:sz w:val="24"/>
          <w:szCs w:val="24"/>
          <w:highlight w:val="none"/>
        </w:rPr>
        <w:t>附件六：</w:t>
      </w:r>
    </w:p>
    <w:p w14:paraId="07AD0735">
      <w:pPr>
        <w:spacing w:before="120" w:beforeLines="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具备履行合同所必需的设备和专业技术服务能力的承诺书</w:t>
      </w:r>
    </w:p>
    <w:p w14:paraId="07DC4A70">
      <w:pPr>
        <w:spacing w:after="0" w:line="400" w:lineRule="exact"/>
        <w:rPr>
          <w:rFonts w:hint="eastAsia" w:ascii="宋体" w:hAnsi="宋体" w:eastAsia="宋体" w:cs="宋体"/>
          <w:b/>
          <w:bCs/>
          <w:color w:val="auto"/>
          <w:sz w:val="24"/>
          <w:szCs w:val="24"/>
          <w:highlight w:val="none"/>
        </w:rPr>
      </w:pPr>
    </w:p>
    <w:p w14:paraId="04FDD932">
      <w:pPr>
        <w:spacing w:after="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（采购人或代理机构）     </w:t>
      </w:r>
    </w:p>
    <w:p w14:paraId="3A442F27">
      <w:pPr>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我单位参加贵公司组织的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编号：）政府采购活动。我单位在此郑重承诺:我单位具有履行合同所必需的设备和专业技术服务能力，完全符合《中华人民共和国政府采购法》第二十二条规定的竞标人资格条件，按照采购文件的要求提交响应文件（响应文件），并对所提供的全部资料的真实性承担法律责任。</w:t>
      </w:r>
    </w:p>
    <w:p w14:paraId="4F416764">
      <w:pPr>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428D49A">
      <w:pPr>
        <w:spacing w:after="0" w:line="400" w:lineRule="exact"/>
        <w:ind w:firstLine="480" w:firstLineChars="200"/>
        <w:rPr>
          <w:rFonts w:hint="eastAsia" w:ascii="宋体" w:hAnsi="宋体" w:eastAsia="宋体" w:cs="宋体"/>
          <w:color w:val="auto"/>
          <w:sz w:val="24"/>
          <w:szCs w:val="24"/>
          <w:highlight w:val="none"/>
        </w:rPr>
      </w:pPr>
    </w:p>
    <w:p w14:paraId="291566B5">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47E5720E">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16A31B3B">
      <w:pPr>
        <w:pStyle w:val="20"/>
        <w:spacing w:line="500" w:lineRule="exact"/>
        <w:ind w:firstLine="3720" w:firstLineChars="1550"/>
        <w:rPr>
          <w:rFonts w:hint="eastAsia" w:hAnsi="宋体" w:cs="宋体"/>
          <w:color w:val="auto"/>
          <w:sz w:val="24"/>
          <w:highlight w:val="none"/>
        </w:rPr>
      </w:pPr>
      <w:r>
        <w:rPr>
          <w:rFonts w:hint="eastAsia" w:hAnsi="宋体" w:cs="宋体"/>
          <w:color w:val="auto"/>
          <w:sz w:val="24"/>
          <w:highlight w:val="none"/>
        </w:rPr>
        <w:t>日期：  年  月  日</w:t>
      </w:r>
    </w:p>
    <w:p w14:paraId="1134B8AA">
      <w:pPr>
        <w:spacing w:before="120" w:beforeLines="50" w:after="50" w:line="360" w:lineRule="auto"/>
        <w:rPr>
          <w:rFonts w:hint="eastAsia" w:ascii="宋体" w:hAnsi="宋体" w:eastAsia="宋体" w:cs="宋体"/>
          <w:color w:val="auto"/>
          <w:szCs w:val="21"/>
          <w:highlight w:val="none"/>
        </w:rPr>
      </w:pPr>
    </w:p>
    <w:p w14:paraId="0F44C0C3">
      <w:pPr>
        <w:adjustRightInd/>
        <w:snapToGrid/>
        <w:spacing w:line="220" w:lineRule="atLeast"/>
        <w:rPr>
          <w:rFonts w:hint="eastAsia" w:ascii="宋体" w:hAnsi="宋体" w:eastAsia="宋体" w:cs="宋体"/>
          <w:b/>
          <w:color w:val="auto"/>
          <w:sz w:val="24"/>
          <w:szCs w:val="24"/>
          <w:highlight w:val="none"/>
        </w:rPr>
      </w:pPr>
    </w:p>
    <w:p w14:paraId="28ACDF81">
      <w:pPr>
        <w:adjustRightInd/>
        <w:snapToGrid/>
        <w:spacing w:line="220" w:lineRule="atLeast"/>
        <w:rPr>
          <w:rFonts w:hint="eastAsia" w:ascii="宋体" w:hAnsi="宋体" w:eastAsia="宋体" w:cs="宋体"/>
          <w:b/>
          <w:color w:val="auto"/>
          <w:sz w:val="24"/>
          <w:szCs w:val="24"/>
          <w:highlight w:val="none"/>
        </w:rPr>
      </w:pPr>
    </w:p>
    <w:p w14:paraId="00A106CF">
      <w:pPr>
        <w:adjustRightInd/>
        <w:snapToGrid/>
        <w:spacing w:line="220" w:lineRule="atLeast"/>
        <w:rPr>
          <w:rFonts w:hint="eastAsia" w:ascii="宋体" w:hAnsi="宋体" w:eastAsia="宋体" w:cs="宋体"/>
          <w:b/>
          <w:color w:val="auto"/>
          <w:sz w:val="24"/>
          <w:szCs w:val="24"/>
          <w:highlight w:val="none"/>
        </w:rPr>
      </w:pPr>
    </w:p>
    <w:p w14:paraId="057C84FD">
      <w:pPr>
        <w:adjustRightInd/>
        <w:snapToGrid/>
        <w:spacing w:line="220" w:lineRule="atLeast"/>
        <w:rPr>
          <w:rFonts w:hint="eastAsia" w:ascii="宋体" w:hAnsi="宋体" w:eastAsia="宋体" w:cs="宋体"/>
          <w:b/>
          <w:color w:val="auto"/>
          <w:sz w:val="24"/>
          <w:szCs w:val="24"/>
          <w:highlight w:val="none"/>
        </w:rPr>
      </w:pPr>
    </w:p>
    <w:p w14:paraId="041B3136">
      <w:pPr>
        <w:adjustRightInd/>
        <w:snapToGrid/>
        <w:spacing w:line="220" w:lineRule="atLeast"/>
        <w:rPr>
          <w:rFonts w:hint="eastAsia" w:ascii="宋体" w:hAnsi="宋体" w:eastAsia="宋体" w:cs="宋体"/>
          <w:b/>
          <w:color w:val="auto"/>
          <w:sz w:val="24"/>
          <w:szCs w:val="24"/>
          <w:highlight w:val="none"/>
        </w:rPr>
      </w:pPr>
    </w:p>
    <w:p w14:paraId="5A1D2D8F">
      <w:pPr>
        <w:adjustRightInd/>
        <w:snapToGrid/>
        <w:spacing w:line="220" w:lineRule="atLeast"/>
        <w:rPr>
          <w:rFonts w:hint="eastAsia" w:ascii="宋体" w:hAnsi="宋体" w:eastAsia="宋体" w:cs="宋体"/>
          <w:b/>
          <w:color w:val="auto"/>
          <w:sz w:val="24"/>
          <w:szCs w:val="24"/>
          <w:highlight w:val="none"/>
        </w:rPr>
      </w:pPr>
    </w:p>
    <w:p w14:paraId="40B1C0D5">
      <w:pPr>
        <w:adjustRightInd/>
        <w:snapToGrid/>
        <w:spacing w:line="220" w:lineRule="atLeast"/>
        <w:rPr>
          <w:rFonts w:hint="eastAsia" w:ascii="宋体" w:hAnsi="宋体" w:eastAsia="宋体" w:cs="宋体"/>
          <w:b/>
          <w:color w:val="auto"/>
          <w:sz w:val="24"/>
          <w:szCs w:val="24"/>
          <w:highlight w:val="none"/>
        </w:rPr>
      </w:pPr>
    </w:p>
    <w:p w14:paraId="7473F63C">
      <w:pPr>
        <w:adjustRightInd/>
        <w:snapToGrid/>
        <w:spacing w:line="220" w:lineRule="atLeast"/>
        <w:rPr>
          <w:rFonts w:hint="eastAsia" w:ascii="宋体" w:hAnsi="宋体" w:eastAsia="宋体" w:cs="宋体"/>
          <w:b/>
          <w:color w:val="auto"/>
          <w:sz w:val="24"/>
          <w:szCs w:val="24"/>
          <w:highlight w:val="none"/>
        </w:rPr>
      </w:pPr>
    </w:p>
    <w:p w14:paraId="002D3AF6">
      <w:pPr>
        <w:adjustRightInd/>
        <w:snapToGrid/>
        <w:spacing w:line="220" w:lineRule="atLeast"/>
        <w:rPr>
          <w:rFonts w:hint="eastAsia" w:ascii="宋体" w:hAnsi="宋体" w:eastAsia="宋体" w:cs="宋体"/>
          <w:b/>
          <w:color w:val="auto"/>
          <w:sz w:val="24"/>
          <w:szCs w:val="24"/>
          <w:highlight w:val="none"/>
        </w:rPr>
      </w:pPr>
    </w:p>
    <w:p w14:paraId="232252A5">
      <w:pPr>
        <w:adjustRightInd/>
        <w:snapToGrid/>
        <w:spacing w:line="220" w:lineRule="atLeast"/>
        <w:rPr>
          <w:rFonts w:hint="eastAsia" w:ascii="宋体" w:hAnsi="宋体" w:eastAsia="宋体" w:cs="宋体"/>
          <w:b/>
          <w:color w:val="auto"/>
          <w:sz w:val="24"/>
          <w:szCs w:val="24"/>
          <w:highlight w:val="none"/>
        </w:rPr>
      </w:pPr>
    </w:p>
    <w:p w14:paraId="619E3CA2">
      <w:pPr>
        <w:adjustRightInd/>
        <w:snapToGrid/>
        <w:spacing w:line="220" w:lineRule="atLeast"/>
        <w:rPr>
          <w:rFonts w:hint="eastAsia" w:ascii="宋体" w:hAnsi="宋体" w:eastAsia="宋体" w:cs="宋体"/>
          <w:b/>
          <w:color w:val="auto"/>
          <w:sz w:val="24"/>
          <w:szCs w:val="24"/>
          <w:highlight w:val="none"/>
        </w:rPr>
      </w:pPr>
    </w:p>
    <w:p w14:paraId="5CB6B89D">
      <w:pPr>
        <w:adjustRightInd/>
        <w:snapToGrid/>
        <w:spacing w:line="220" w:lineRule="atLeast"/>
        <w:rPr>
          <w:rFonts w:hint="eastAsia" w:ascii="宋体" w:hAnsi="宋体" w:eastAsia="宋体" w:cs="宋体"/>
          <w:b/>
          <w:color w:val="auto"/>
          <w:sz w:val="24"/>
          <w:szCs w:val="24"/>
          <w:highlight w:val="none"/>
        </w:rPr>
      </w:pPr>
    </w:p>
    <w:p w14:paraId="7A180FF2">
      <w:pPr>
        <w:adjustRightInd/>
        <w:snapToGrid/>
        <w:spacing w:line="220" w:lineRule="atLeast"/>
        <w:rPr>
          <w:rFonts w:hint="eastAsia" w:ascii="宋体" w:hAnsi="宋体" w:eastAsia="宋体" w:cs="宋体"/>
          <w:b/>
          <w:color w:val="auto"/>
          <w:sz w:val="24"/>
          <w:szCs w:val="24"/>
          <w:highlight w:val="none"/>
        </w:rPr>
      </w:pPr>
    </w:p>
    <w:p w14:paraId="4051A039">
      <w:pPr>
        <w:adjustRightInd/>
        <w:snapToGrid/>
        <w:spacing w:line="220" w:lineRule="atLeast"/>
        <w:rPr>
          <w:rFonts w:hint="eastAsia" w:ascii="宋体" w:hAnsi="宋体" w:eastAsia="宋体" w:cs="宋体"/>
          <w:b/>
          <w:color w:val="auto"/>
          <w:sz w:val="24"/>
          <w:szCs w:val="24"/>
          <w:highlight w:val="none"/>
        </w:rPr>
      </w:pPr>
    </w:p>
    <w:p w14:paraId="13966AC4">
      <w:pPr>
        <w:adjustRightInd/>
        <w:snapToGrid/>
        <w:spacing w:line="220" w:lineRule="atLeast"/>
        <w:rPr>
          <w:rFonts w:hint="eastAsia" w:ascii="宋体" w:hAnsi="宋体" w:eastAsia="宋体" w:cs="宋体"/>
          <w:b/>
          <w:color w:val="auto"/>
          <w:sz w:val="24"/>
          <w:szCs w:val="24"/>
          <w:highlight w:val="none"/>
        </w:rPr>
      </w:pPr>
    </w:p>
    <w:p w14:paraId="3950674D">
      <w:pPr>
        <w:adjustRightInd/>
        <w:snapToGrid/>
        <w:spacing w:line="220" w:lineRule="atLeas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附件七：</w:t>
      </w:r>
    </w:p>
    <w:p w14:paraId="6E18D721">
      <w:pPr>
        <w:pStyle w:val="20"/>
        <w:spacing w:line="400" w:lineRule="exact"/>
        <w:rPr>
          <w:rFonts w:hint="eastAsia" w:hAnsi="宋体" w:cs="宋体"/>
          <w:b/>
          <w:color w:val="auto"/>
          <w:szCs w:val="21"/>
          <w:highlight w:val="none"/>
        </w:rPr>
      </w:pPr>
    </w:p>
    <w:p w14:paraId="43E2B954">
      <w:pPr>
        <w:pStyle w:val="20"/>
        <w:spacing w:line="400" w:lineRule="exact"/>
        <w:jc w:val="center"/>
        <w:rPr>
          <w:rFonts w:hint="eastAsia" w:hAnsi="宋体" w:cs="宋体"/>
          <w:b/>
          <w:color w:val="auto"/>
          <w:sz w:val="28"/>
          <w:szCs w:val="28"/>
          <w:highlight w:val="none"/>
        </w:rPr>
      </w:pPr>
      <w:r>
        <w:rPr>
          <w:rFonts w:hint="eastAsia" w:hAnsi="宋体" w:cs="宋体"/>
          <w:b/>
          <w:color w:val="auto"/>
          <w:sz w:val="28"/>
          <w:szCs w:val="28"/>
          <w:highlight w:val="none"/>
        </w:rPr>
        <w:t>参加政府采购活动前三年内在经营活动中没有重大违法记录的书面声明</w:t>
      </w:r>
    </w:p>
    <w:p w14:paraId="7F0AE51F">
      <w:pPr>
        <w:pStyle w:val="20"/>
        <w:spacing w:line="400" w:lineRule="exact"/>
        <w:rPr>
          <w:rFonts w:hint="eastAsia" w:hAnsi="宋体" w:cs="宋体"/>
          <w:color w:val="auto"/>
          <w:szCs w:val="21"/>
          <w:highlight w:val="none"/>
        </w:rPr>
      </w:pPr>
    </w:p>
    <w:p w14:paraId="48CD6E86">
      <w:pPr>
        <w:pStyle w:val="20"/>
        <w:spacing w:line="400" w:lineRule="exact"/>
        <w:rPr>
          <w:rFonts w:hint="eastAsia" w:hAnsi="宋体" w:cs="宋体"/>
          <w:color w:val="auto"/>
          <w:szCs w:val="21"/>
          <w:highlight w:val="none"/>
        </w:rPr>
      </w:pPr>
    </w:p>
    <w:p w14:paraId="7EBAC4D8">
      <w:pPr>
        <w:pStyle w:val="20"/>
        <w:spacing w:line="500" w:lineRule="exact"/>
        <w:rPr>
          <w:rFonts w:hint="eastAsia" w:hAnsi="宋体" w:cs="宋体"/>
          <w:color w:val="auto"/>
          <w:sz w:val="24"/>
          <w:szCs w:val="24"/>
          <w:highlight w:val="none"/>
        </w:rPr>
      </w:pPr>
      <w:r>
        <w:rPr>
          <w:rFonts w:hint="eastAsia" w:hAnsi="宋体" w:cs="宋体"/>
          <w:color w:val="auto"/>
          <w:sz w:val="24"/>
          <w:szCs w:val="24"/>
          <w:highlight w:val="none"/>
        </w:rPr>
        <w:t>致：________(采购代理机构)</w:t>
      </w:r>
    </w:p>
    <w:p w14:paraId="5A8EC3B3">
      <w:pPr>
        <w:pStyle w:val="20"/>
        <w:spacing w:line="5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我单位参加贵公司组织的</w:t>
      </w:r>
      <w:r>
        <w:rPr>
          <w:rFonts w:hint="eastAsia" w:hAnsi="宋体" w:cs="宋体"/>
          <w:color w:val="auto"/>
          <w:sz w:val="24"/>
          <w:szCs w:val="24"/>
          <w:highlight w:val="none"/>
          <w:u w:val="single"/>
        </w:rPr>
        <w:t>（项目名称）</w:t>
      </w:r>
      <w:r>
        <w:rPr>
          <w:rFonts w:hint="eastAsia" w:hAnsi="宋体" w:cs="宋体"/>
          <w:color w:val="auto"/>
          <w:sz w:val="24"/>
          <w:szCs w:val="24"/>
          <w:highlight w:val="none"/>
        </w:rPr>
        <w:t>（采购编号：）政府采购活动。我单位在此郑重声明，我单位参加本项目的政府采购活动前三年内在经营活动中没有重大违法记录（重大违法记录是指竞标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竞标人资格条件，我方对此声明负全部法律责任。</w:t>
      </w:r>
    </w:p>
    <w:p w14:paraId="5C3CDFFE">
      <w:pPr>
        <w:pStyle w:val="20"/>
        <w:spacing w:line="5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特此承诺。</w:t>
      </w:r>
    </w:p>
    <w:p w14:paraId="2D9B0D32">
      <w:pPr>
        <w:pStyle w:val="20"/>
        <w:spacing w:line="400" w:lineRule="exact"/>
        <w:rPr>
          <w:rFonts w:hint="eastAsia" w:hAnsi="宋体" w:cs="宋体"/>
          <w:color w:val="auto"/>
          <w:szCs w:val="21"/>
          <w:highlight w:val="none"/>
        </w:rPr>
      </w:pPr>
    </w:p>
    <w:p w14:paraId="42AA2322">
      <w:pPr>
        <w:pStyle w:val="20"/>
        <w:spacing w:line="300" w:lineRule="auto"/>
        <w:ind w:firstLine="1680" w:firstLineChars="700"/>
        <w:rPr>
          <w:rFonts w:hint="eastAsia" w:hAnsi="宋体" w:cs="宋体"/>
          <w:color w:val="auto"/>
          <w:sz w:val="24"/>
          <w:szCs w:val="24"/>
          <w:highlight w:val="none"/>
        </w:rPr>
      </w:pPr>
    </w:p>
    <w:p w14:paraId="1220A0B5">
      <w:pPr>
        <w:pStyle w:val="20"/>
        <w:spacing w:line="300" w:lineRule="auto"/>
        <w:ind w:firstLine="1680" w:firstLineChars="700"/>
        <w:rPr>
          <w:rFonts w:hint="eastAsia" w:hAnsi="宋体" w:cs="宋体"/>
          <w:color w:val="auto"/>
          <w:sz w:val="24"/>
          <w:szCs w:val="24"/>
          <w:highlight w:val="none"/>
        </w:rPr>
      </w:pPr>
    </w:p>
    <w:p w14:paraId="12F37098">
      <w:pPr>
        <w:pStyle w:val="20"/>
        <w:spacing w:line="300" w:lineRule="auto"/>
        <w:ind w:firstLine="1680" w:firstLineChars="700"/>
        <w:rPr>
          <w:rFonts w:hint="eastAsia" w:hAnsi="宋体" w:cs="宋体"/>
          <w:color w:val="auto"/>
          <w:sz w:val="24"/>
          <w:szCs w:val="24"/>
          <w:highlight w:val="none"/>
        </w:rPr>
      </w:pPr>
    </w:p>
    <w:p w14:paraId="2D03FCFC">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23C3E81F">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337023CC">
      <w:pPr>
        <w:pStyle w:val="20"/>
        <w:spacing w:line="500" w:lineRule="exact"/>
        <w:ind w:firstLine="3720" w:firstLineChars="1550"/>
        <w:rPr>
          <w:rFonts w:hint="eastAsia" w:hAnsi="宋体" w:cs="宋体"/>
          <w:color w:val="auto"/>
          <w:sz w:val="24"/>
          <w:highlight w:val="none"/>
        </w:rPr>
      </w:pPr>
      <w:r>
        <w:rPr>
          <w:rFonts w:hint="eastAsia" w:hAnsi="宋体" w:cs="宋体"/>
          <w:color w:val="auto"/>
          <w:sz w:val="24"/>
          <w:highlight w:val="none"/>
        </w:rPr>
        <w:t>日期：  年  月  日</w:t>
      </w:r>
    </w:p>
    <w:p w14:paraId="5871E347">
      <w:pPr>
        <w:pStyle w:val="20"/>
        <w:spacing w:line="400" w:lineRule="exact"/>
        <w:rPr>
          <w:rFonts w:hint="eastAsia" w:hAnsi="宋体" w:cs="宋体"/>
          <w:color w:val="auto"/>
          <w:szCs w:val="21"/>
          <w:highlight w:val="none"/>
        </w:rPr>
      </w:pPr>
    </w:p>
    <w:p w14:paraId="41898D02">
      <w:pPr>
        <w:spacing w:before="120"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1AD029E">
      <w:pPr>
        <w:pStyle w:val="20"/>
        <w:spacing w:line="440" w:lineRule="exact"/>
        <w:rPr>
          <w:rFonts w:hint="eastAsia" w:hAnsi="宋体" w:cs="宋体"/>
          <w:b/>
          <w:color w:val="auto"/>
          <w:sz w:val="24"/>
          <w:szCs w:val="24"/>
          <w:highlight w:val="none"/>
        </w:rPr>
      </w:pPr>
      <w:r>
        <w:rPr>
          <w:rFonts w:hint="eastAsia" w:hAnsi="宋体" w:cs="宋体"/>
          <w:b/>
          <w:color w:val="auto"/>
          <w:sz w:val="24"/>
          <w:szCs w:val="24"/>
          <w:highlight w:val="none"/>
        </w:rPr>
        <w:t>附件八：</w:t>
      </w:r>
    </w:p>
    <w:p w14:paraId="07981F28">
      <w:pPr>
        <w:pStyle w:val="20"/>
        <w:spacing w:line="400" w:lineRule="exact"/>
        <w:rPr>
          <w:rFonts w:hint="eastAsia" w:hAnsi="宋体" w:cs="宋体"/>
          <w:color w:val="auto"/>
          <w:szCs w:val="21"/>
          <w:highlight w:val="none"/>
        </w:rPr>
      </w:pPr>
    </w:p>
    <w:p w14:paraId="35D42B68">
      <w:pPr>
        <w:pStyle w:val="73"/>
        <w:ind w:firstLine="0" w:firstLineChars="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竞标人控股及管理关系情况申报表</w:t>
      </w:r>
    </w:p>
    <w:p w14:paraId="2ED74651">
      <w:pPr>
        <w:spacing w:line="440" w:lineRule="exact"/>
        <w:rPr>
          <w:rFonts w:hint="eastAsia" w:ascii="宋体" w:hAnsi="宋体" w:eastAsia="宋体" w:cs="宋体"/>
          <w:color w:val="auto"/>
          <w:sz w:val="24"/>
          <w:szCs w:val="24"/>
          <w:highlight w:val="none"/>
        </w:rPr>
      </w:pPr>
    </w:p>
    <w:p w14:paraId="27ADB71F">
      <w:pPr>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致：________(采购代理机构)</w:t>
      </w:r>
    </w:p>
    <w:p w14:paraId="44A677AA">
      <w:pPr>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我单位参加</w:t>
      </w:r>
      <w:r>
        <w:rPr>
          <w:rFonts w:hint="eastAsia" w:ascii="宋体" w:hAnsi="宋体" w:eastAsia="宋体" w:cs="宋体"/>
          <w:color w:val="auto"/>
          <w:kern w:val="2"/>
          <w:sz w:val="24"/>
          <w:szCs w:val="24"/>
          <w:highlight w:val="none"/>
          <w:u w:val="single"/>
        </w:rPr>
        <w:t xml:space="preserve">   （项目名称）      </w:t>
      </w:r>
      <w:r>
        <w:rPr>
          <w:rFonts w:hint="eastAsia" w:ascii="宋体" w:hAnsi="宋体" w:eastAsia="宋体" w:cs="宋体"/>
          <w:color w:val="auto"/>
          <w:kern w:val="2"/>
          <w:sz w:val="24"/>
          <w:szCs w:val="24"/>
          <w:highlight w:val="none"/>
        </w:rPr>
        <w:t>的竞标，根据《中华人民共和国政府采购法》及相关规定，特就本单位控股及管理关系情况申报如下，并承担申报不实的责任。</w:t>
      </w:r>
    </w:p>
    <w:tbl>
      <w:tblPr>
        <w:tblStyle w:val="41"/>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2627"/>
        <w:gridCol w:w="3828"/>
      </w:tblGrid>
      <w:tr w14:paraId="12F1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9" w:type="dxa"/>
            <w:vAlign w:val="center"/>
          </w:tcPr>
          <w:p w14:paraId="46AB70F5">
            <w:pPr>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竞标人名称</w:t>
            </w:r>
          </w:p>
        </w:tc>
        <w:tc>
          <w:tcPr>
            <w:tcW w:w="6455" w:type="dxa"/>
            <w:gridSpan w:val="2"/>
            <w:vAlign w:val="center"/>
          </w:tcPr>
          <w:p w14:paraId="657068E1">
            <w:pPr>
              <w:spacing w:line="440" w:lineRule="exact"/>
              <w:rPr>
                <w:rFonts w:hint="eastAsia" w:ascii="宋体" w:hAnsi="宋体" w:eastAsia="宋体" w:cs="宋体"/>
                <w:color w:val="auto"/>
                <w:kern w:val="2"/>
                <w:sz w:val="24"/>
                <w:szCs w:val="24"/>
                <w:highlight w:val="none"/>
              </w:rPr>
            </w:pPr>
          </w:p>
        </w:tc>
      </w:tr>
      <w:tr w14:paraId="1D2E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9" w:type="dxa"/>
            <w:vMerge w:val="restart"/>
            <w:vAlign w:val="center"/>
          </w:tcPr>
          <w:p w14:paraId="3C18E23E">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法定代表人/单位负责人</w:t>
            </w:r>
          </w:p>
        </w:tc>
        <w:tc>
          <w:tcPr>
            <w:tcW w:w="2627" w:type="dxa"/>
            <w:vAlign w:val="center"/>
          </w:tcPr>
          <w:p w14:paraId="76182747">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3828" w:type="dxa"/>
            <w:vAlign w:val="center"/>
          </w:tcPr>
          <w:p w14:paraId="61AD382E">
            <w:pPr>
              <w:spacing w:line="440" w:lineRule="exact"/>
              <w:rPr>
                <w:rFonts w:hint="eastAsia" w:ascii="宋体" w:hAnsi="宋体" w:eastAsia="宋体" w:cs="宋体"/>
                <w:color w:val="auto"/>
                <w:kern w:val="2"/>
                <w:sz w:val="24"/>
                <w:szCs w:val="24"/>
                <w:highlight w:val="none"/>
              </w:rPr>
            </w:pPr>
          </w:p>
        </w:tc>
      </w:tr>
      <w:tr w14:paraId="508C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9" w:type="dxa"/>
            <w:vMerge w:val="continue"/>
            <w:vAlign w:val="center"/>
          </w:tcPr>
          <w:p w14:paraId="48F5E6BB">
            <w:pPr>
              <w:spacing w:after="0" w:line="360" w:lineRule="exact"/>
              <w:rPr>
                <w:rFonts w:hint="eastAsia" w:ascii="宋体" w:hAnsi="宋体" w:eastAsia="宋体" w:cs="宋体"/>
                <w:color w:val="auto"/>
                <w:kern w:val="2"/>
                <w:sz w:val="24"/>
                <w:szCs w:val="24"/>
                <w:highlight w:val="none"/>
              </w:rPr>
            </w:pPr>
          </w:p>
        </w:tc>
        <w:tc>
          <w:tcPr>
            <w:tcW w:w="2627" w:type="dxa"/>
            <w:vAlign w:val="center"/>
          </w:tcPr>
          <w:p w14:paraId="3276949A">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p>
        </w:tc>
        <w:tc>
          <w:tcPr>
            <w:tcW w:w="3828" w:type="dxa"/>
            <w:vAlign w:val="center"/>
          </w:tcPr>
          <w:p w14:paraId="6A1F212B">
            <w:pPr>
              <w:spacing w:line="440" w:lineRule="exact"/>
              <w:rPr>
                <w:rFonts w:hint="eastAsia" w:ascii="宋体" w:hAnsi="宋体" w:eastAsia="宋体" w:cs="宋体"/>
                <w:color w:val="auto"/>
                <w:kern w:val="2"/>
                <w:sz w:val="24"/>
                <w:szCs w:val="24"/>
                <w:highlight w:val="none"/>
              </w:rPr>
            </w:pPr>
          </w:p>
        </w:tc>
      </w:tr>
      <w:tr w14:paraId="102E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449" w:type="dxa"/>
            <w:vAlign w:val="center"/>
          </w:tcPr>
          <w:p w14:paraId="002EB85B">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控股股东/投资人名称及出资比例</w:t>
            </w:r>
          </w:p>
        </w:tc>
        <w:tc>
          <w:tcPr>
            <w:tcW w:w="6455" w:type="dxa"/>
            <w:gridSpan w:val="2"/>
            <w:vAlign w:val="center"/>
          </w:tcPr>
          <w:p w14:paraId="70D0FFF5">
            <w:pPr>
              <w:spacing w:after="0" w:line="360" w:lineRule="exact"/>
              <w:rPr>
                <w:rFonts w:hint="eastAsia" w:ascii="宋体" w:hAnsi="宋体" w:eastAsia="宋体" w:cs="宋体"/>
                <w:color w:val="auto"/>
                <w:kern w:val="2"/>
                <w:sz w:val="24"/>
                <w:szCs w:val="24"/>
                <w:highlight w:val="none"/>
              </w:rPr>
            </w:pPr>
          </w:p>
        </w:tc>
      </w:tr>
      <w:tr w14:paraId="5C68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49" w:type="dxa"/>
            <w:vAlign w:val="center"/>
          </w:tcPr>
          <w:p w14:paraId="13837934">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非控股股东/投资人名称及出资比例</w:t>
            </w:r>
          </w:p>
        </w:tc>
        <w:tc>
          <w:tcPr>
            <w:tcW w:w="6455" w:type="dxa"/>
            <w:gridSpan w:val="2"/>
            <w:vAlign w:val="center"/>
          </w:tcPr>
          <w:p w14:paraId="211C3041">
            <w:pPr>
              <w:spacing w:after="0" w:line="360" w:lineRule="exact"/>
              <w:rPr>
                <w:rFonts w:hint="eastAsia" w:ascii="宋体" w:hAnsi="宋体" w:eastAsia="宋体" w:cs="宋体"/>
                <w:color w:val="auto"/>
                <w:kern w:val="2"/>
                <w:sz w:val="24"/>
                <w:szCs w:val="24"/>
                <w:highlight w:val="none"/>
              </w:rPr>
            </w:pPr>
          </w:p>
        </w:tc>
      </w:tr>
      <w:tr w14:paraId="529A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9" w:type="dxa"/>
            <w:vMerge w:val="restart"/>
            <w:vAlign w:val="center"/>
          </w:tcPr>
          <w:p w14:paraId="4A02480C">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管理关系单位名称</w:t>
            </w:r>
          </w:p>
        </w:tc>
        <w:tc>
          <w:tcPr>
            <w:tcW w:w="2627" w:type="dxa"/>
            <w:vAlign w:val="center"/>
          </w:tcPr>
          <w:p w14:paraId="1AAC2B0E">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管理关系单位名称</w:t>
            </w:r>
          </w:p>
        </w:tc>
        <w:tc>
          <w:tcPr>
            <w:tcW w:w="3828" w:type="dxa"/>
            <w:vAlign w:val="center"/>
          </w:tcPr>
          <w:p w14:paraId="7D217573">
            <w:pPr>
              <w:spacing w:line="440" w:lineRule="exact"/>
              <w:rPr>
                <w:rFonts w:hint="eastAsia" w:ascii="宋体" w:hAnsi="宋体" w:eastAsia="宋体" w:cs="宋体"/>
                <w:color w:val="auto"/>
                <w:kern w:val="2"/>
                <w:sz w:val="24"/>
                <w:szCs w:val="24"/>
                <w:highlight w:val="none"/>
              </w:rPr>
            </w:pPr>
          </w:p>
        </w:tc>
      </w:tr>
      <w:tr w14:paraId="473F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9" w:type="dxa"/>
            <w:vMerge w:val="continue"/>
            <w:vAlign w:val="center"/>
          </w:tcPr>
          <w:p w14:paraId="4DA2D9AB">
            <w:pPr>
              <w:spacing w:after="0" w:line="360" w:lineRule="exact"/>
              <w:rPr>
                <w:rFonts w:hint="eastAsia" w:ascii="宋体" w:hAnsi="宋体" w:eastAsia="宋体" w:cs="宋体"/>
                <w:color w:val="auto"/>
                <w:kern w:val="2"/>
                <w:sz w:val="24"/>
                <w:szCs w:val="24"/>
                <w:highlight w:val="none"/>
              </w:rPr>
            </w:pPr>
          </w:p>
        </w:tc>
        <w:tc>
          <w:tcPr>
            <w:tcW w:w="2627" w:type="dxa"/>
            <w:vAlign w:val="center"/>
          </w:tcPr>
          <w:p w14:paraId="45568F05">
            <w:pPr>
              <w:spacing w:after="0" w:line="36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被管理关系单位名称</w:t>
            </w:r>
          </w:p>
        </w:tc>
        <w:tc>
          <w:tcPr>
            <w:tcW w:w="3828" w:type="dxa"/>
            <w:vAlign w:val="center"/>
          </w:tcPr>
          <w:p w14:paraId="6BC6895D">
            <w:pPr>
              <w:spacing w:line="440" w:lineRule="exact"/>
              <w:rPr>
                <w:rFonts w:hint="eastAsia" w:ascii="宋体" w:hAnsi="宋体" w:eastAsia="宋体" w:cs="宋体"/>
                <w:color w:val="auto"/>
                <w:kern w:val="2"/>
                <w:sz w:val="24"/>
                <w:szCs w:val="24"/>
                <w:highlight w:val="none"/>
              </w:rPr>
            </w:pPr>
          </w:p>
        </w:tc>
      </w:tr>
      <w:tr w14:paraId="3B20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904" w:type="dxa"/>
            <w:gridSpan w:val="3"/>
            <w:vAlign w:val="center"/>
          </w:tcPr>
          <w:p w14:paraId="428A3DC2">
            <w:pPr>
              <w:spacing w:line="44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bl>
    <w:p w14:paraId="38D024E9">
      <w:pPr>
        <w:spacing w:after="0" w:line="34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p>
    <w:p w14:paraId="37E8D9AD">
      <w:pPr>
        <w:pStyle w:val="73"/>
        <w:numPr>
          <w:ilvl w:val="3"/>
          <w:numId w:val="5"/>
        </w:numPr>
        <w:adjustRightInd w:val="0"/>
        <w:snapToGrid w:val="0"/>
        <w:spacing w:line="340" w:lineRule="exact"/>
        <w:ind w:left="0" w:firstLine="480"/>
        <w:rPr>
          <w:rFonts w:hint="eastAsia" w:ascii="宋体" w:hAnsi="宋体" w:cs="宋体"/>
          <w:color w:val="auto"/>
          <w:sz w:val="24"/>
          <w:highlight w:val="none"/>
        </w:rPr>
      </w:pPr>
      <w:r>
        <w:rPr>
          <w:rFonts w:hint="eastAsia" w:ascii="宋体" w:hAnsi="宋体" w:cs="宋体"/>
          <w:color w:val="auto"/>
          <w:sz w:val="24"/>
          <w:highlight w:val="none"/>
        </w:rPr>
        <w:t>控股股东/投资人是指出资比例在50%以上，或者出资比例不足50%，但享有公司股东会/董事会控制权的投资方（含单位或者个人）；</w:t>
      </w:r>
    </w:p>
    <w:p w14:paraId="5D83868B">
      <w:pPr>
        <w:pStyle w:val="73"/>
        <w:numPr>
          <w:ilvl w:val="3"/>
          <w:numId w:val="5"/>
        </w:numPr>
        <w:adjustRightInd w:val="0"/>
        <w:snapToGrid w:val="0"/>
        <w:spacing w:line="340" w:lineRule="exact"/>
        <w:ind w:left="0" w:firstLine="480"/>
        <w:rPr>
          <w:rFonts w:hint="eastAsia" w:ascii="宋体" w:hAnsi="宋体" w:cs="宋体"/>
          <w:color w:val="auto"/>
          <w:sz w:val="24"/>
          <w:highlight w:val="none"/>
        </w:rPr>
      </w:pPr>
      <w:r>
        <w:rPr>
          <w:rFonts w:hint="eastAsia" w:ascii="宋体" w:hAnsi="宋体" w:cs="宋体"/>
          <w:color w:val="auto"/>
          <w:sz w:val="24"/>
          <w:highlight w:val="none"/>
        </w:rPr>
        <w:t>管理关系单位是指与不具有出资持股关系的其他单位之间存在管理与被管理关系的单位；</w:t>
      </w:r>
    </w:p>
    <w:p w14:paraId="7B9F79B6">
      <w:pPr>
        <w:pStyle w:val="73"/>
        <w:numPr>
          <w:ilvl w:val="3"/>
          <w:numId w:val="5"/>
        </w:numPr>
        <w:adjustRightInd w:val="0"/>
        <w:snapToGrid w:val="0"/>
        <w:spacing w:line="340" w:lineRule="exact"/>
        <w:ind w:left="0" w:firstLine="480"/>
        <w:rPr>
          <w:rFonts w:hint="eastAsia" w:ascii="宋体" w:hAnsi="宋体" w:cs="宋体"/>
          <w:color w:val="auto"/>
          <w:sz w:val="24"/>
          <w:highlight w:val="none"/>
        </w:rPr>
      </w:pPr>
      <w:r>
        <w:rPr>
          <w:rFonts w:hint="eastAsia" w:ascii="宋体" w:hAnsi="宋体" w:cs="宋体"/>
          <w:color w:val="auto"/>
          <w:sz w:val="24"/>
          <w:highlight w:val="none"/>
        </w:rPr>
        <w:t>如未有相关情况，请在相应栏填写“无”。</w:t>
      </w:r>
    </w:p>
    <w:p w14:paraId="0F095667">
      <w:pPr>
        <w:pStyle w:val="20"/>
        <w:spacing w:line="300" w:lineRule="auto"/>
        <w:ind w:firstLine="1680" w:firstLineChars="700"/>
        <w:rPr>
          <w:rFonts w:hint="eastAsia" w:hAnsi="宋体" w:cs="宋体"/>
          <w:color w:val="auto"/>
          <w:sz w:val="24"/>
          <w:szCs w:val="24"/>
          <w:highlight w:val="none"/>
        </w:rPr>
      </w:pPr>
    </w:p>
    <w:p w14:paraId="739F7D6C">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3F1B69A4">
      <w:pPr>
        <w:spacing w:line="500" w:lineRule="exact"/>
        <w:ind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76D53A83">
      <w:pPr>
        <w:pStyle w:val="20"/>
        <w:spacing w:line="500" w:lineRule="exact"/>
        <w:ind w:firstLine="3720" w:firstLineChars="1550"/>
        <w:rPr>
          <w:rFonts w:hint="eastAsia" w:hAnsi="宋体" w:cs="宋体"/>
          <w:color w:val="auto"/>
          <w:szCs w:val="21"/>
          <w:highlight w:val="none"/>
        </w:rPr>
      </w:pPr>
      <w:r>
        <w:rPr>
          <w:rFonts w:hint="eastAsia" w:hAnsi="宋体" w:cs="宋体"/>
          <w:color w:val="auto"/>
          <w:sz w:val="24"/>
          <w:highlight w:val="none"/>
        </w:rPr>
        <w:t>日期：  年  月  日</w:t>
      </w:r>
    </w:p>
    <w:p w14:paraId="30C76EBA">
      <w:pPr>
        <w:pStyle w:val="20"/>
        <w:spacing w:line="440" w:lineRule="exact"/>
        <w:rPr>
          <w:rFonts w:hint="eastAsia" w:hAnsi="宋体" w:cs="宋体"/>
          <w:color w:val="auto"/>
          <w:sz w:val="24"/>
          <w:highlight w:val="none"/>
        </w:rPr>
      </w:pPr>
      <w:r>
        <w:rPr>
          <w:rFonts w:hint="eastAsia" w:hAnsi="宋体" w:cs="宋体"/>
          <w:color w:val="auto"/>
          <w:sz w:val="24"/>
          <w:highlight w:val="none"/>
        </w:rPr>
        <w:br w:type="page"/>
      </w:r>
      <w:r>
        <w:rPr>
          <w:rFonts w:hint="eastAsia" w:hAnsi="宋体" w:cs="宋体"/>
          <w:b/>
          <w:color w:val="auto"/>
          <w:sz w:val="24"/>
          <w:szCs w:val="24"/>
          <w:highlight w:val="none"/>
        </w:rPr>
        <w:t>附件九：</w:t>
      </w:r>
    </w:p>
    <w:p w14:paraId="34951A6B">
      <w:pPr>
        <w:pStyle w:val="20"/>
        <w:spacing w:line="440" w:lineRule="exact"/>
        <w:jc w:val="center"/>
        <w:rPr>
          <w:rFonts w:hint="eastAsia" w:hAnsi="宋体" w:cs="宋体"/>
          <w:b/>
          <w:color w:val="auto"/>
          <w:sz w:val="32"/>
          <w:szCs w:val="32"/>
          <w:highlight w:val="none"/>
        </w:rPr>
      </w:pPr>
    </w:p>
    <w:p w14:paraId="33AC4E31">
      <w:pPr>
        <w:spacing w:before="120" w:beforeLines="50" w:after="120" w:afterLines="50" w:line="6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法定代表人身份证明</w:t>
      </w:r>
    </w:p>
    <w:p w14:paraId="7FCE7E07">
      <w:pPr>
        <w:pStyle w:val="20"/>
        <w:spacing w:line="460" w:lineRule="exact"/>
        <w:ind w:firstLine="616" w:firstLineChars="257"/>
        <w:rPr>
          <w:rFonts w:hint="eastAsia" w:hAnsi="宋体" w:cs="宋体"/>
          <w:color w:val="auto"/>
          <w:sz w:val="24"/>
          <w:highlight w:val="none"/>
          <w:u w:val="single"/>
        </w:rPr>
      </w:pPr>
      <w:r>
        <w:rPr>
          <w:rFonts w:hint="eastAsia" w:hAnsi="宋体" w:cs="宋体"/>
          <w:color w:val="auto"/>
          <w:sz w:val="24"/>
          <w:highlight w:val="none"/>
        </w:rPr>
        <w:t>竞标人：</w:t>
      </w:r>
    </w:p>
    <w:p w14:paraId="1B3D5178">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单位性质：</w:t>
      </w:r>
    </w:p>
    <w:p w14:paraId="38F89EA8">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地    址：</w:t>
      </w:r>
    </w:p>
    <w:p w14:paraId="5A81937C">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成立时间：年月日</w:t>
      </w:r>
    </w:p>
    <w:p w14:paraId="18A24764">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经营期限：</w:t>
      </w:r>
    </w:p>
    <w:p w14:paraId="75F3286B">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姓    名：性      别：</w:t>
      </w:r>
    </w:p>
    <w:p w14:paraId="78DE74E3">
      <w:pPr>
        <w:pStyle w:val="20"/>
        <w:spacing w:line="460" w:lineRule="exact"/>
        <w:ind w:firstLine="616" w:firstLineChars="257"/>
        <w:rPr>
          <w:rFonts w:hint="eastAsia" w:hAnsi="宋体" w:cs="宋体"/>
          <w:color w:val="auto"/>
          <w:sz w:val="24"/>
          <w:highlight w:val="none"/>
          <w:u w:val="single"/>
        </w:rPr>
      </w:pPr>
      <w:r>
        <w:rPr>
          <w:rFonts w:hint="eastAsia" w:hAnsi="宋体" w:cs="宋体"/>
          <w:color w:val="auto"/>
          <w:sz w:val="24"/>
          <w:highlight w:val="none"/>
        </w:rPr>
        <w:t>年    龄：职      务：</w:t>
      </w:r>
    </w:p>
    <w:p w14:paraId="3A47B528">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身份证号码：</w:t>
      </w:r>
    </w:p>
    <w:p w14:paraId="3BABB5C4">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系</w:t>
      </w:r>
      <w:r>
        <w:rPr>
          <w:rFonts w:hint="eastAsia" w:hAnsi="宋体" w:cs="宋体"/>
          <w:color w:val="auto"/>
          <w:sz w:val="24"/>
          <w:highlight w:val="none"/>
          <w:u w:val="single"/>
        </w:rPr>
        <w:t xml:space="preserve">（竞标人名称）               </w:t>
      </w:r>
      <w:r>
        <w:rPr>
          <w:rFonts w:hint="eastAsia" w:hAnsi="宋体" w:cs="宋体"/>
          <w:color w:val="auto"/>
          <w:sz w:val="24"/>
          <w:highlight w:val="none"/>
        </w:rPr>
        <w:t>的法定代表人。</w:t>
      </w:r>
    </w:p>
    <w:p w14:paraId="02D2336F">
      <w:pPr>
        <w:pStyle w:val="20"/>
        <w:spacing w:line="460" w:lineRule="exact"/>
        <w:ind w:firstLine="616" w:firstLineChars="257"/>
        <w:rPr>
          <w:rFonts w:hint="eastAsia" w:hAnsi="宋体" w:cs="宋体"/>
          <w:color w:val="auto"/>
          <w:sz w:val="24"/>
          <w:highlight w:val="none"/>
        </w:rPr>
      </w:pPr>
      <w:r>
        <w:rPr>
          <w:rFonts w:hint="eastAsia" w:hAnsi="宋体" w:cs="宋体"/>
          <w:color w:val="auto"/>
          <w:sz w:val="24"/>
          <w:highlight w:val="none"/>
        </w:rPr>
        <w:t>特此证明。</w:t>
      </w:r>
    </w:p>
    <w:p w14:paraId="47D5B5AD">
      <w:pPr>
        <w:pStyle w:val="20"/>
        <w:spacing w:line="460" w:lineRule="exact"/>
        <w:ind w:firstLine="616" w:firstLineChars="257"/>
        <w:rPr>
          <w:rFonts w:hint="eastAsia" w:hAnsi="宋体" w:cs="宋体"/>
          <w:color w:val="auto"/>
          <w:sz w:val="24"/>
          <w:szCs w:val="24"/>
          <w:highlight w:val="none"/>
        </w:rPr>
      </w:pPr>
      <w:r>
        <w:rPr>
          <w:rFonts w:hint="eastAsia" w:hAnsi="宋体" w:cs="宋体"/>
          <w:color w:val="auto"/>
          <w:kern w:val="0"/>
          <w:sz w:val="24"/>
          <w:highlight w:val="none"/>
        </w:rPr>
        <w:t>附：法定代表人有效的身份证正反面复印件，并加盖公章。</w:t>
      </w:r>
    </w:p>
    <w:p w14:paraId="35A7B2D9">
      <w:pPr>
        <w:pStyle w:val="20"/>
        <w:spacing w:line="460" w:lineRule="exact"/>
        <w:ind w:firstLine="616" w:firstLineChars="257"/>
        <w:rPr>
          <w:rFonts w:hint="eastAsia" w:hAnsi="宋体" w:cs="宋体"/>
          <w:color w:val="auto"/>
          <w:sz w:val="24"/>
          <w:szCs w:val="24"/>
          <w:highlight w:val="none"/>
        </w:rPr>
      </w:pPr>
    </w:p>
    <w:p w14:paraId="749C89CD">
      <w:pPr>
        <w:pStyle w:val="20"/>
        <w:spacing w:line="460" w:lineRule="exact"/>
        <w:ind w:firstLine="616" w:firstLineChars="257"/>
        <w:rPr>
          <w:rFonts w:hint="eastAsia" w:hAnsi="宋体" w:cs="宋体"/>
          <w:color w:val="auto"/>
          <w:sz w:val="24"/>
          <w:szCs w:val="24"/>
          <w:highlight w:val="none"/>
        </w:rPr>
      </w:pPr>
    </w:p>
    <w:p w14:paraId="3D35CA46">
      <w:pPr>
        <w:pStyle w:val="20"/>
        <w:spacing w:line="460" w:lineRule="exact"/>
        <w:ind w:firstLine="616" w:firstLineChars="257"/>
        <w:rPr>
          <w:rFonts w:hint="eastAsia" w:hAnsi="宋体" w:cs="宋体"/>
          <w:color w:val="auto"/>
          <w:sz w:val="24"/>
          <w:szCs w:val="24"/>
          <w:highlight w:val="none"/>
        </w:rPr>
      </w:pPr>
    </w:p>
    <w:p w14:paraId="0974E58E">
      <w:pPr>
        <w:pStyle w:val="20"/>
        <w:spacing w:line="460" w:lineRule="exact"/>
        <w:ind w:firstLine="616" w:firstLineChars="257"/>
        <w:rPr>
          <w:rFonts w:hint="eastAsia" w:hAnsi="宋体" w:cs="宋体"/>
          <w:color w:val="auto"/>
          <w:sz w:val="24"/>
          <w:szCs w:val="24"/>
          <w:highlight w:val="none"/>
        </w:rPr>
      </w:pPr>
    </w:p>
    <w:p w14:paraId="1185C7A6">
      <w:pPr>
        <w:spacing w:after="0"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 </w:t>
      </w:r>
    </w:p>
    <w:p w14:paraId="02CDCC8B">
      <w:pPr>
        <w:pStyle w:val="20"/>
        <w:spacing w:line="460" w:lineRule="exact"/>
        <w:ind w:firstLine="3840" w:firstLineChars="1600"/>
        <w:rPr>
          <w:rFonts w:hint="eastAsia" w:hAnsi="宋体" w:cs="宋体"/>
          <w:color w:val="auto"/>
          <w:sz w:val="24"/>
          <w:szCs w:val="24"/>
          <w:highlight w:val="none"/>
        </w:rPr>
      </w:pPr>
      <w:r>
        <w:rPr>
          <w:rFonts w:hint="eastAsia" w:hAnsi="宋体" w:cs="宋体"/>
          <w:color w:val="auto"/>
          <w:sz w:val="24"/>
          <w:highlight w:val="none"/>
        </w:rPr>
        <w:t>日期：  年  月  日</w:t>
      </w:r>
    </w:p>
    <w:p w14:paraId="71FF7C9C">
      <w:pPr>
        <w:adjustRightInd/>
        <w:snapToGrid/>
        <w:spacing w:line="22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246CBFA">
      <w:pPr>
        <w:spacing w:line="400" w:lineRule="exact"/>
        <w:rPr>
          <w:rFonts w:hint="eastAsia" w:ascii="宋体" w:hAnsi="宋体" w:eastAsia="宋体" w:cs="宋体"/>
          <w:b/>
          <w:color w:val="auto"/>
          <w:sz w:val="24"/>
          <w:highlight w:val="none"/>
        </w:rPr>
      </w:pPr>
    </w:p>
    <w:p w14:paraId="001BBF42">
      <w:pPr>
        <w:spacing w:line="40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附件十：</w:t>
      </w:r>
    </w:p>
    <w:p w14:paraId="691FD71B">
      <w:pPr>
        <w:spacing w:before="120" w:beforeLines="50" w:after="120" w:afterLines="50" w:line="6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0DDC3E57">
      <w:pPr>
        <w:autoSpaceDE w:val="0"/>
        <w:rPr>
          <w:rFonts w:hint="eastAsia" w:ascii="宋体" w:hAnsi="宋体" w:eastAsia="宋体" w:cs="宋体"/>
          <w:b/>
          <w:color w:val="auto"/>
          <w:szCs w:val="21"/>
          <w:highlight w:val="none"/>
        </w:rPr>
      </w:pPr>
    </w:p>
    <w:p w14:paraId="3FB977AC">
      <w:pPr>
        <w:spacing w:after="0" w:line="440" w:lineRule="exact"/>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color w:val="auto"/>
          <w:sz w:val="24"/>
          <w:highlight w:val="none"/>
        </w:rPr>
        <w:t>：（采购代理机构）</w:t>
      </w:r>
    </w:p>
    <w:p w14:paraId="1AAAE003">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（竞标人名称）</w:t>
      </w:r>
      <w:r>
        <w:rPr>
          <w:rFonts w:hint="eastAsia" w:ascii="宋体" w:hAnsi="宋体" w:eastAsia="宋体" w:cs="宋体"/>
          <w:color w:val="auto"/>
          <w:sz w:val="24"/>
          <w:highlight w:val="none"/>
        </w:rPr>
        <w:t>的法定代表人，现授权委托本单位在职职工</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（项目名称）（采购编号：      </w:t>
      </w:r>
      <w:r>
        <w:rPr>
          <w:rFonts w:hint="eastAsia" w:ascii="宋体" w:hAnsi="宋体" w:eastAsia="宋体" w:cs="宋体"/>
          <w:color w:val="auto"/>
          <w:sz w:val="24"/>
          <w:highlight w:val="none"/>
        </w:rPr>
        <w:t>）项目的竞标活动，并代表我方全权办理针对上述项目的响应文件签署、响应文件提交、谈判、签订合同和处理一切有关事宜等。</w:t>
      </w:r>
    </w:p>
    <w:p w14:paraId="7579455F">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我方对被授权人的签名事项负全部责任。</w:t>
      </w:r>
    </w:p>
    <w:p w14:paraId="6B259DD2">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授权委托期限：年月日至年月日。被授权人在授权书有效期内签署的所有文件均有效。</w:t>
      </w:r>
    </w:p>
    <w:p w14:paraId="0B5CCCD9">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2E765FB2">
      <w:pPr>
        <w:spacing w:after="0" w:line="440" w:lineRule="exact"/>
        <w:ind w:firstLine="480" w:firstLineChars="200"/>
        <w:rPr>
          <w:rFonts w:hint="eastAsia" w:ascii="宋体" w:hAnsi="宋体" w:eastAsia="宋体" w:cs="宋体"/>
          <w:color w:val="auto"/>
          <w:sz w:val="24"/>
          <w:highlight w:val="none"/>
        </w:rPr>
      </w:pPr>
    </w:p>
    <w:p w14:paraId="3757C0AB">
      <w:pPr>
        <w:spacing w:after="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附：被授权人有效的身份证正反面复印件，并加盖公章。</w:t>
      </w:r>
    </w:p>
    <w:p w14:paraId="36E1845F">
      <w:pPr>
        <w:spacing w:line="440" w:lineRule="exact"/>
        <w:ind w:firstLine="480" w:firstLineChars="200"/>
        <w:rPr>
          <w:rFonts w:hint="eastAsia" w:ascii="宋体" w:hAnsi="宋体" w:eastAsia="宋体" w:cs="宋体"/>
          <w:color w:val="auto"/>
          <w:sz w:val="24"/>
          <w:highlight w:val="none"/>
        </w:rPr>
      </w:pPr>
    </w:p>
    <w:p w14:paraId="161B0393">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竞标人：</w:t>
      </w:r>
      <w:r>
        <w:rPr>
          <w:rFonts w:hint="eastAsia" w:ascii="宋体" w:hAnsi="宋体" w:eastAsia="宋体" w:cs="宋体"/>
          <w:color w:val="auto"/>
          <w:sz w:val="24"/>
          <w:highlight w:val="none"/>
          <w:u w:val="single"/>
        </w:rPr>
        <w:t xml:space="preserve">  （单位名称并盖公章）</w:t>
      </w:r>
    </w:p>
    <w:p w14:paraId="551203F8">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w:t>
      </w:r>
    </w:p>
    <w:p w14:paraId="152FDB61">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法定代表人身份证号码：</w:t>
      </w:r>
    </w:p>
    <w:p w14:paraId="7C0DF24F">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委托代理人（签字）：</w:t>
      </w:r>
    </w:p>
    <w:p w14:paraId="1E94292E">
      <w:pPr>
        <w:spacing w:line="440" w:lineRule="exact"/>
        <w:ind w:firstLine="2760" w:firstLineChars="1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委托代理人身份证号码：</w:t>
      </w:r>
    </w:p>
    <w:p w14:paraId="186437A6">
      <w:pPr>
        <w:spacing w:line="440" w:lineRule="exact"/>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1755A89">
      <w:pPr>
        <w:spacing w:line="440" w:lineRule="exact"/>
        <w:ind w:firstLine="480" w:firstLineChars="200"/>
        <w:rPr>
          <w:rFonts w:hint="eastAsia" w:ascii="宋体" w:hAnsi="宋体" w:eastAsia="宋体" w:cs="宋体"/>
          <w:color w:val="auto"/>
          <w:sz w:val="24"/>
          <w:highlight w:val="none"/>
        </w:rPr>
      </w:pPr>
    </w:p>
    <w:p w14:paraId="0D9B79DA">
      <w:pPr>
        <w:adjustRightInd/>
        <w:snapToGrid/>
        <w:spacing w:line="220" w:lineRule="atLeas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br w:type="page"/>
      </w:r>
    </w:p>
    <w:p w14:paraId="4851B924">
      <w:pPr>
        <w:pStyle w:val="7"/>
        <w:overflowPunct w:val="0"/>
        <w:ind w:firstLine="0"/>
        <w:rPr>
          <w:rFonts w:hint="eastAsia" w:ascii="宋体" w:hAnsi="宋体" w:cs="宋体"/>
          <w:color w:val="auto"/>
          <w:sz w:val="24"/>
          <w:highlight w:val="none"/>
        </w:rPr>
      </w:pPr>
    </w:p>
    <w:p w14:paraId="63A5C39A">
      <w:pPr>
        <w:spacing w:line="30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附件十一：</w:t>
      </w:r>
    </w:p>
    <w:p w14:paraId="6222A38A">
      <w:pPr>
        <w:spacing w:line="30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中小企业声明函只需对本项目主要标的物进行填写，辅材、配件不做要求，可不填写。</w:t>
      </w:r>
    </w:p>
    <w:p w14:paraId="4E6D816C">
      <w:pPr>
        <w:ind w:firstLine="2891" w:firstLineChars="800"/>
        <w:rPr>
          <w:rFonts w:hint="eastAsia" w:ascii="宋体" w:hAnsi="宋体" w:eastAsia="宋体" w:cs="宋体"/>
          <w:color w:val="auto"/>
          <w:highlight w:val="none"/>
        </w:rPr>
      </w:pPr>
      <w:r>
        <w:rPr>
          <w:rFonts w:hint="eastAsia" w:ascii="宋体" w:hAnsi="宋体" w:eastAsia="宋体" w:cs="宋体"/>
          <w:b/>
          <w:color w:val="auto"/>
          <w:sz w:val="36"/>
          <w:szCs w:val="36"/>
          <w:highlight w:val="none"/>
        </w:rPr>
        <w:t xml:space="preserve">中小企业声明函（货物） </w:t>
      </w:r>
    </w:p>
    <w:p w14:paraId="2C05740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采购活动，提供的货物全部由符合政策要求的中小企业制造。相关企业（含联合体中的中小企业、签订分包意向协议的中小企业）的具体情况如下： </w:t>
      </w:r>
    </w:p>
    <w:p w14:paraId="15D87A24">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xml:space="preserve">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0E050C9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xml:space="preserve">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 企业、微型企业）</w:t>
      </w:r>
      <w:r>
        <w:rPr>
          <w:rFonts w:hint="eastAsia" w:ascii="宋体" w:hAnsi="宋体" w:eastAsia="宋体" w:cs="宋体"/>
          <w:color w:val="auto"/>
          <w:sz w:val="24"/>
          <w:szCs w:val="24"/>
          <w:highlight w:val="none"/>
        </w:rPr>
        <w:t xml:space="preserve">； </w:t>
      </w:r>
    </w:p>
    <w:p w14:paraId="4B91A3C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7AB9D9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C99E95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059672D6">
      <w:pPr>
        <w:ind w:firstLine="3840" w:firstLineChars="1600"/>
        <w:rPr>
          <w:rFonts w:hint="eastAsia" w:ascii="宋体" w:hAnsi="宋体" w:eastAsia="宋体" w:cs="宋体"/>
          <w:color w:val="auto"/>
          <w:sz w:val="24"/>
          <w:szCs w:val="24"/>
          <w:highlight w:val="none"/>
        </w:rPr>
      </w:pPr>
    </w:p>
    <w:p w14:paraId="56D20EE5">
      <w:pPr>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46409320">
      <w:pPr>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43CC0EFE">
      <w:pPr>
        <w:rPr>
          <w:rFonts w:hint="eastAsia" w:ascii="宋体" w:hAnsi="宋体" w:eastAsia="宋体" w:cs="宋体"/>
          <w:color w:val="auto"/>
          <w:highlight w:val="none"/>
        </w:rPr>
      </w:pPr>
      <w:r>
        <w:rPr>
          <w:rFonts w:hint="eastAsia" w:ascii="宋体" w:hAnsi="宋体" w:eastAsia="宋体" w:cs="宋体"/>
          <w:color w:val="auto"/>
          <w:sz w:val="11"/>
          <w:szCs w:val="11"/>
          <w:highlight w:val="none"/>
        </w:rPr>
        <w:t>1</w:t>
      </w:r>
      <w:r>
        <w:rPr>
          <w:rFonts w:hint="eastAsia" w:ascii="宋体" w:hAnsi="宋体" w:eastAsia="宋体" w:cs="宋体"/>
          <w:color w:val="auto"/>
          <w:sz w:val="18"/>
          <w:szCs w:val="18"/>
          <w:highlight w:val="none"/>
        </w:rPr>
        <w:t>从业人员、营业收入、资产总额填报上一年度数据，无上一年度数据的新成立企业可不填报。</w:t>
      </w:r>
    </w:p>
    <w:p w14:paraId="765232CB">
      <w:pPr>
        <w:spacing w:line="330" w:lineRule="atLeast"/>
        <w:jc w:val="center"/>
        <w:rPr>
          <w:rFonts w:hint="eastAsia" w:ascii="方正小标宋_GBK" w:hAnsi="宋体" w:eastAsia="方正小标宋_GBK" w:cs="宋体"/>
          <w:color w:val="auto"/>
          <w:sz w:val="24"/>
          <w:szCs w:val="24"/>
          <w:highlight w:val="none"/>
        </w:rPr>
      </w:pPr>
    </w:p>
    <w:p w14:paraId="22C5F6BA">
      <w:pPr>
        <w:spacing w:line="330" w:lineRule="atLeast"/>
        <w:jc w:val="center"/>
        <w:rPr>
          <w:rFonts w:hint="eastAsia" w:ascii="方正小标宋_GBK" w:hAnsi="宋体" w:eastAsia="方正小标宋_GBK" w:cs="宋体"/>
          <w:color w:val="auto"/>
          <w:sz w:val="24"/>
          <w:szCs w:val="24"/>
          <w:highlight w:val="none"/>
        </w:rPr>
      </w:pPr>
    </w:p>
    <w:p w14:paraId="7B86310C">
      <w:pPr>
        <w:spacing w:line="330" w:lineRule="atLeast"/>
        <w:jc w:val="center"/>
        <w:rPr>
          <w:rFonts w:hint="eastAsia" w:ascii="方正小标宋_GBK" w:hAnsi="宋体" w:eastAsia="方正小标宋_GBK" w:cs="宋体"/>
          <w:color w:val="auto"/>
          <w:sz w:val="24"/>
          <w:szCs w:val="24"/>
          <w:highlight w:val="none"/>
        </w:rPr>
      </w:pPr>
    </w:p>
    <w:p w14:paraId="12CCCF5A">
      <w:pPr>
        <w:spacing w:line="330" w:lineRule="atLeast"/>
        <w:jc w:val="center"/>
        <w:rPr>
          <w:rFonts w:hint="eastAsia" w:ascii="方正小标宋_GBK" w:hAnsi="宋体" w:eastAsia="方正小标宋_GBK" w:cs="宋体"/>
          <w:color w:val="auto"/>
          <w:sz w:val="24"/>
          <w:szCs w:val="24"/>
          <w:highlight w:val="none"/>
        </w:rPr>
      </w:pPr>
    </w:p>
    <w:p w14:paraId="15FBAB77">
      <w:pPr>
        <w:spacing w:line="330" w:lineRule="atLeast"/>
        <w:jc w:val="center"/>
        <w:rPr>
          <w:rFonts w:hint="eastAsia" w:ascii="方正小标宋_GBK" w:hAnsi="宋体" w:eastAsia="方正小标宋_GBK" w:cs="宋体"/>
          <w:color w:val="auto"/>
          <w:sz w:val="24"/>
          <w:szCs w:val="24"/>
          <w:highlight w:val="none"/>
        </w:rPr>
      </w:pPr>
    </w:p>
    <w:p w14:paraId="67DC0FDC">
      <w:pPr>
        <w:spacing w:line="330" w:lineRule="atLeast"/>
        <w:jc w:val="center"/>
        <w:rPr>
          <w:rFonts w:hint="eastAsia" w:ascii="方正小标宋_GBK" w:hAnsi="宋体" w:eastAsia="方正小标宋_GBK" w:cs="宋体"/>
          <w:color w:val="auto"/>
          <w:sz w:val="24"/>
          <w:szCs w:val="24"/>
          <w:highlight w:val="none"/>
        </w:rPr>
      </w:pPr>
    </w:p>
    <w:p w14:paraId="14131820">
      <w:pPr>
        <w:spacing w:line="330" w:lineRule="atLeast"/>
        <w:jc w:val="center"/>
        <w:rPr>
          <w:rFonts w:hint="eastAsia" w:ascii="方正小标宋_GBK" w:hAnsi="宋体" w:eastAsia="方正小标宋_GBK" w:cs="宋体"/>
          <w:color w:val="auto"/>
          <w:sz w:val="24"/>
          <w:szCs w:val="24"/>
          <w:highlight w:val="none"/>
        </w:rPr>
      </w:pPr>
    </w:p>
    <w:p w14:paraId="6DDAFAAA">
      <w:pPr>
        <w:spacing w:line="330" w:lineRule="atLeast"/>
        <w:jc w:val="center"/>
        <w:rPr>
          <w:rFonts w:hint="eastAsia" w:ascii="方正小标宋_GBK" w:hAnsi="宋体" w:eastAsia="方正小标宋_GBK" w:cs="宋体"/>
          <w:color w:val="auto"/>
          <w:sz w:val="24"/>
          <w:szCs w:val="24"/>
          <w:highlight w:val="none"/>
        </w:rPr>
      </w:pPr>
    </w:p>
    <w:p w14:paraId="15988592">
      <w:pPr>
        <w:spacing w:line="330" w:lineRule="atLeast"/>
        <w:jc w:val="center"/>
        <w:rPr>
          <w:rFonts w:hint="eastAsia" w:ascii="方正小标宋_GBK" w:hAnsi="宋体" w:eastAsia="方正小标宋_GBK" w:cs="宋体"/>
          <w:color w:val="auto"/>
          <w:sz w:val="24"/>
          <w:szCs w:val="24"/>
          <w:highlight w:val="none"/>
        </w:rPr>
      </w:pPr>
    </w:p>
    <w:p w14:paraId="65A1625D">
      <w:pPr>
        <w:spacing w:line="330" w:lineRule="atLeast"/>
        <w:jc w:val="center"/>
        <w:rPr>
          <w:rFonts w:hint="eastAsia" w:ascii="方正小标宋_GBK" w:hAnsi="宋体" w:eastAsia="方正小标宋_GBK" w:cs="宋体"/>
          <w:color w:val="auto"/>
          <w:sz w:val="24"/>
          <w:szCs w:val="24"/>
          <w:highlight w:val="none"/>
        </w:rPr>
      </w:pPr>
      <w:r>
        <w:rPr>
          <w:rFonts w:hint="eastAsia" w:ascii="方正小标宋_GBK" w:hAnsi="宋体" w:eastAsia="方正小标宋_GBK" w:cs="宋体"/>
          <w:color w:val="auto"/>
          <w:sz w:val="24"/>
          <w:szCs w:val="24"/>
          <w:highlight w:val="none"/>
        </w:rPr>
        <w:t>统计上大中小微型企业划分标准</w:t>
      </w:r>
    </w:p>
    <w:tbl>
      <w:tblPr>
        <w:tblStyle w:val="41"/>
        <w:tblW w:w="9675" w:type="dxa"/>
        <w:jc w:val="center"/>
        <w:tblLayout w:type="fixed"/>
        <w:tblCellMar>
          <w:top w:w="0" w:type="dxa"/>
          <w:left w:w="108" w:type="dxa"/>
          <w:bottom w:w="0" w:type="dxa"/>
          <w:right w:w="108" w:type="dxa"/>
        </w:tblCellMar>
      </w:tblPr>
      <w:tblGrid>
        <w:gridCol w:w="2113"/>
        <w:gridCol w:w="1369"/>
        <w:gridCol w:w="709"/>
        <w:gridCol w:w="1125"/>
        <w:gridCol w:w="1701"/>
        <w:gridCol w:w="1426"/>
        <w:gridCol w:w="1232"/>
      </w:tblGrid>
      <w:tr w14:paraId="0B228628">
        <w:tblPrEx>
          <w:tblCellMar>
            <w:top w:w="0" w:type="dxa"/>
            <w:left w:w="108" w:type="dxa"/>
            <w:bottom w:w="0" w:type="dxa"/>
            <w:right w:w="108" w:type="dxa"/>
          </w:tblCellMar>
        </w:tblPrEx>
        <w:trPr>
          <w:trHeight w:val="622" w:hRule="exact"/>
          <w:jc w:val="center"/>
        </w:trPr>
        <w:tc>
          <w:tcPr>
            <w:tcW w:w="2113" w:type="dxa"/>
            <w:tcBorders>
              <w:top w:val="single" w:color="auto" w:sz="4" w:space="0"/>
              <w:left w:val="single" w:color="auto" w:sz="4" w:space="0"/>
              <w:bottom w:val="single" w:color="auto" w:sz="4" w:space="0"/>
              <w:right w:val="single" w:color="auto" w:sz="4" w:space="0"/>
            </w:tcBorders>
            <w:vAlign w:val="center"/>
          </w:tcPr>
          <w:p w14:paraId="54D561FD">
            <w:pPr>
              <w:spacing w:line="240" w:lineRule="exact"/>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48E3119F">
            <w:pPr>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741CD668">
            <w:pPr>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计量</w:t>
            </w:r>
            <w:r>
              <w:rPr>
                <w:rFonts w:hint="eastAsia" w:ascii="宋体" w:hAnsi="宋体" w:cs="宋体"/>
                <w:b/>
                <w:bCs/>
                <w:color w:val="auto"/>
                <w:sz w:val="18"/>
                <w:szCs w:val="18"/>
                <w:highlight w:val="none"/>
              </w:rPr>
              <w:br w:type="textWrapping"/>
            </w:r>
            <w:r>
              <w:rPr>
                <w:rFonts w:hint="eastAsia" w:ascii="宋体" w:hAnsi="宋体" w:cs="宋体"/>
                <w:b/>
                <w:bCs/>
                <w:color w:val="auto"/>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70BBDDB5">
            <w:pPr>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38F525D5">
            <w:pPr>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43A2E500">
            <w:pPr>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小型</w:t>
            </w:r>
          </w:p>
        </w:tc>
        <w:tc>
          <w:tcPr>
            <w:tcW w:w="1232" w:type="dxa"/>
            <w:tcBorders>
              <w:top w:val="single" w:color="auto" w:sz="4" w:space="0"/>
              <w:left w:val="nil"/>
              <w:bottom w:val="single" w:color="auto" w:sz="4" w:space="0"/>
              <w:right w:val="single" w:color="auto" w:sz="4" w:space="0"/>
            </w:tcBorders>
            <w:vAlign w:val="center"/>
          </w:tcPr>
          <w:p w14:paraId="50C41DFB">
            <w:pPr>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微型</w:t>
            </w:r>
          </w:p>
        </w:tc>
      </w:tr>
      <w:tr w14:paraId="5AE1C29A">
        <w:tblPrEx>
          <w:tblCellMar>
            <w:top w:w="0" w:type="dxa"/>
            <w:left w:w="108" w:type="dxa"/>
            <w:bottom w:w="0" w:type="dxa"/>
            <w:right w:w="108" w:type="dxa"/>
          </w:tblCellMar>
        </w:tblPrEx>
        <w:trPr>
          <w:trHeight w:val="397" w:hRule="exact"/>
          <w:jc w:val="center"/>
        </w:trPr>
        <w:tc>
          <w:tcPr>
            <w:tcW w:w="2113" w:type="dxa"/>
            <w:tcBorders>
              <w:top w:val="nil"/>
              <w:left w:val="single" w:color="auto" w:sz="4" w:space="0"/>
              <w:bottom w:val="single" w:color="auto" w:sz="4" w:space="0"/>
              <w:right w:val="single" w:color="auto" w:sz="4" w:space="0"/>
            </w:tcBorders>
            <w:vAlign w:val="center"/>
          </w:tcPr>
          <w:p w14:paraId="320639FE">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2527327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E2CBED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7E59BB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68B8AD1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59AA36B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50≤Y＜500</w:t>
            </w:r>
          </w:p>
        </w:tc>
        <w:tc>
          <w:tcPr>
            <w:tcW w:w="1232" w:type="dxa"/>
            <w:tcBorders>
              <w:top w:val="nil"/>
              <w:left w:val="nil"/>
              <w:bottom w:val="single" w:color="auto" w:sz="4" w:space="0"/>
              <w:right w:val="single" w:color="auto" w:sz="4" w:space="0"/>
            </w:tcBorders>
            <w:vAlign w:val="center"/>
          </w:tcPr>
          <w:p w14:paraId="227FA8A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Y＜50</w:t>
            </w:r>
          </w:p>
        </w:tc>
      </w:tr>
      <w:tr w14:paraId="46F24463">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23400D24">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工业 *</w:t>
            </w:r>
          </w:p>
        </w:tc>
        <w:tc>
          <w:tcPr>
            <w:tcW w:w="1369" w:type="dxa"/>
            <w:tcBorders>
              <w:top w:val="nil"/>
              <w:left w:val="nil"/>
              <w:bottom w:val="nil"/>
              <w:right w:val="single" w:color="auto" w:sz="4" w:space="0"/>
            </w:tcBorders>
            <w:vAlign w:val="center"/>
          </w:tcPr>
          <w:p w14:paraId="6D78EB7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2F1E8FD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0137779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vAlign w:val="center"/>
          </w:tcPr>
          <w:p w14:paraId="6E412FF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4810517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1232" w:type="dxa"/>
            <w:tcBorders>
              <w:top w:val="nil"/>
              <w:left w:val="nil"/>
              <w:bottom w:val="nil"/>
              <w:right w:val="single" w:color="auto" w:sz="4" w:space="0"/>
            </w:tcBorders>
            <w:vAlign w:val="center"/>
          </w:tcPr>
          <w:p w14:paraId="3D51C83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1381B25D">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115B69F8">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4A3425E8">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E52E80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26A230F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09C1A16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426" w:type="dxa"/>
            <w:tcBorders>
              <w:top w:val="nil"/>
              <w:left w:val="nil"/>
              <w:bottom w:val="single" w:color="auto" w:sz="4" w:space="0"/>
              <w:right w:val="single" w:color="auto" w:sz="4" w:space="0"/>
            </w:tcBorders>
            <w:vAlign w:val="center"/>
          </w:tcPr>
          <w:p w14:paraId="139C368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300≤Y＜2000</w:t>
            </w:r>
          </w:p>
        </w:tc>
        <w:tc>
          <w:tcPr>
            <w:tcW w:w="1232" w:type="dxa"/>
            <w:tcBorders>
              <w:top w:val="nil"/>
              <w:left w:val="nil"/>
              <w:bottom w:val="single" w:color="auto" w:sz="4" w:space="0"/>
              <w:right w:val="single" w:color="auto" w:sz="4" w:space="0"/>
            </w:tcBorders>
            <w:vAlign w:val="center"/>
          </w:tcPr>
          <w:p w14:paraId="52F4FCF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Y＜300</w:t>
            </w:r>
          </w:p>
        </w:tc>
      </w:tr>
      <w:tr w14:paraId="3D41CE59">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57AEA380">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369" w:type="dxa"/>
            <w:tcBorders>
              <w:top w:val="nil"/>
              <w:left w:val="nil"/>
              <w:bottom w:val="nil"/>
              <w:right w:val="single" w:color="auto" w:sz="4" w:space="0"/>
            </w:tcBorders>
            <w:vAlign w:val="center"/>
          </w:tcPr>
          <w:p w14:paraId="36F9E24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7B21FA2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nil"/>
              <w:right w:val="single" w:color="auto" w:sz="4" w:space="0"/>
            </w:tcBorders>
            <w:vAlign w:val="center"/>
          </w:tcPr>
          <w:p w14:paraId="75DA647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Y≥80000</w:t>
            </w:r>
          </w:p>
        </w:tc>
        <w:tc>
          <w:tcPr>
            <w:tcW w:w="1701" w:type="dxa"/>
            <w:tcBorders>
              <w:top w:val="nil"/>
              <w:left w:val="nil"/>
              <w:bottom w:val="nil"/>
              <w:right w:val="single" w:color="auto" w:sz="4" w:space="0"/>
            </w:tcBorders>
            <w:vAlign w:val="center"/>
          </w:tcPr>
          <w:p w14:paraId="7876384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426" w:type="dxa"/>
            <w:tcBorders>
              <w:top w:val="nil"/>
              <w:left w:val="nil"/>
              <w:bottom w:val="nil"/>
              <w:right w:val="single" w:color="auto" w:sz="4" w:space="0"/>
            </w:tcBorders>
            <w:vAlign w:val="center"/>
          </w:tcPr>
          <w:p w14:paraId="774867D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300≤Y＜6000</w:t>
            </w:r>
          </w:p>
        </w:tc>
        <w:tc>
          <w:tcPr>
            <w:tcW w:w="1232" w:type="dxa"/>
            <w:tcBorders>
              <w:top w:val="nil"/>
              <w:left w:val="nil"/>
              <w:bottom w:val="nil"/>
              <w:right w:val="single" w:color="auto" w:sz="4" w:space="0"/>
            </w:tcBorders>
            <w:vAlign w:val="center"/>
          </w:tcPr>
          <w:p w14:paraId="649E43C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Y＜300</w:t>
            </w:r>
          </w:p>
        </w:tc>
      </w:tr>
      <w:tr w14:paraId="4FCE1868">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02DBCC00">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1696BE1">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116ED76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20B33EF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Z≥80000</w:t>
            </w:r>
          </w:p>
        </w:tc>
        <w:tc>
          <w:tcPr>
            <w:tcW w:w="1701" w:type="dxa"/>
            <w:tcBorders>
              <w:top w:val="nil"/>
              <w:left w:val="nil"/>
              <w:bottom w:val="single" w:color="auto" w:sz="4" w:space="0"/>
              <w:right w:val="single" w:color="auto" w:sz="4" w:space="0"/>
            </w:tcBorders>
            <w:vAlign w:val="center"/>
          </w:tcPr>
          <w:p w14:paraId="7612BBA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426" w:type="dxa"/>
            <w:tcBorders>
              <w:top w:val="nil"/>
              <w:left w:val="nil"/>
              <w:bottom w:val="single" w:color="auto" w:sz="4" w:space="0"/>
              <w:right w:val="single" w:color="auto" w:sz="4" w:space="0"/>
            </w:tcBorders>
            <w:vAlign w:val="center"/>
          </w:tcPr>
          <w:p w14:paraId="37BF13C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300≤Z＜5000</w:t>
            </w:r>
          </w:p>
        </w:tc>
        <w:tc>
          <w:tcPr>
            <w:tcW w:w="1232" w:type="dxa"/>
            <w:tcBorders>
              <w:top w:val="nil"/>
              <w:left w:val="nil"/>
              <w:bottom w:val="single" w:color="auto" w:sz="4" w:space="0"/>
              <w:right w:val="single" w:color="auto" w:sz="4" w:space="0"/>
            </w:tcBorders>
            <w:vAlign w:val="center"/>
          </w:tcPr>
          <w:p w14:paraId="4AD4FFD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Z＜300</w:t>
            </w:r>
          </w:p>
        </w:tc>
      </w:tr>
      <w:tr w14:paraId="589E6DA1">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45BA5D68">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369" w:type="dxa"/>
            <w:tcBorders>
              <w:top w:val="nil"/>
              <w:left w:val="nil"/>
              <w:bottom w:val="nil"/>
              <w:right w:val="single" w:color="auto" w:sz="4" w:space="0"/>
            </w:tcBorders>
            <w:vAlign w:val="center"/>
          </w:tcPr>
          <w:p w14:paraId="627C348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571F29B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1F0B2EE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tcBorders>
              <w:top w:val="nil"/>
              <w:left w:val="nil"/>
              <w:bottom w:val="nil"/>
              <w:right w:val="single" w:color="auto" w:sz="4" w:space="0"/>
            </w:tcBorders>
            <w:vAlign w:val="center"/>
          </w:tcPr>
          <w:p w14:paraId="7279D5A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20≤X＜200</w:t>
            </w:r>
          </w:p>
        </w:tc>
        <w:tc>
          <w:tcPr>
            <w:tcW w:w="1426" w:type="dxa"/>
            <w:tcBorders>
              <w:top w:val="nil"/>
              <w:left w:val="nil"/>
              <w:bottom w:val="nil"/>
              <w:right w:val="single" w:color="auto" w:sz="4" w:space="0"/>
            </w:tcBorders>
            <w:vAlign w:val="center"/>
          </w:tcPr>
          <w:p w14:paraId="1B577F8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5≤X＜20</w:t>
            </w:r>
          </w:p>
        </w:tc>
        <w:tc>
          <w:tcPr>
            <w:tcW w:w="1232" w:type="dxa"/>
            <w:tcBorders>
              <w:top w:val="nil"/>
              <w:left w:val="nil"/>
              <w:bottom w:val="nil"/>
              <w:right w:val="single" w:color="auto" w:sz="4" w:space="0"/>
            </w:tcBorders>
            <w:vAlign w:val="center"/>
          </w:tcPr>
          <w:p w14:paraId="507C2FA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X＜5</w:t>
            </w:r>
          </w:p>
        </w:tc>
      </w:tr>
      <w:tr w14:paraId="101C18BF">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6FFE780B">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103F735F">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2CBAB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E04AB8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tcBorders>
              <w:top w:val="nil"/>
              <w:left w:val="nil"/>
              <w:bottom w:val="single" w:color="auto" w:sz="4" w:space="0"/>
              <w:right w:val="single" w:color="auto" w:sz="4" w:space="0"/>
            </w:tcBorders>
            <w:vAlign w:val="center"/>
          </w:tcPr>
          <w:p w14:paraId="481DB01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426" w:type="dxa"/>
            <w:tcBorders>
              <w:top w:val="nil"/>
              <w:left w:val="nil"/>
              <w:bottom w:val="single" w:color="auto" w:sz="4" w:space="0"/>
              <w:right w:val="single" w:color="auto" w:sz="4" w:space="0"/>
            </w:tcBorders>
            <w:vAlign w:val="center"/>
          </w:tcPr>
          <w:p w14:paraId="6E4B0A26">
            <w:pPr>
              <w:ind w:left="-1" w:leftChars="-1" w:hanging="1"/>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232" w:type="dxa"/>
            <w:tcBorders>
              <w:top w:val="nil"/>
              <w:left w:val="nil"/>
              <w:bottom w:val="single" w:color="auto" w:sz="4" w:space="0"/>
              <w:right w:val="single" w:color="auto" w:sz="4" w:space="0"/>
            </w:tcBorders>
            <w:vAlign w:val="center"/>
          </w:tcPr>
          <w:p w14:paraId="79F90D2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Y＜1000</w:t>
            </w:r>
          </w:p>
        </w:tc>
      </w:tr>
      <w:tr w14:paraId="72AAB35D">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2A86ADA6">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369" w:type="dxa"/>
            <w:tcBorders>
              <w:top w:val="nil"/>
              <w:left w:val="nil"/>
              <w:bottom w:val="nil"/>
              <w:right w:val="single" w:color="auto" w:sz="4" w:space="0"/>
            </w:tcBorders>
            <w:vAlign w:val="center"/>
          </w:tcPr>
          <w:p w14:paraId="422739F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19D630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339D0DC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vAlign w:val="center"/>
          </w:tcPr>
          <w:p w14:paraId="216F539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50≤X＜300</w:t>
            </w:r>
          </w:p>
        </w:tc>
        <w:tc>
          <w:tcPr>
            <w:tcW w:w="1426" w:type="dxa"/>
            <w:tcBorders>
              <w:top w:val="nil"/>
              <w:left w:val="nil"/>
              <w:bottom w:val="nil"/>
              <w:right w:val="single" w:color="auto" w:sz="4" w:space="0"/>
            </w:tcBorders>
            <w:vAlign w:val="center"/>
          </w:tcPr>
          <w:p w14:paraId="30E8B983">
            <w:pPr>
              <w:ind w:left="-1" w:leftChars="-1" w:hanging="1"/>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10≤X＜50 </w:t>
            </w:r>
          </w:p>
        </w:tc>
        <w:tc>
          <w:tcPr>
            <w:tcW w:w="1232" w:type="dxa"/>
            <w:tcBorders>
              <w:top w:val="nil"/>
              <w:left w:val="nil"/>
              <w:bottom w:val="nil"/>
              <w:right w:val="single" w:color="auto" w:sz="4" w:space="0"/>
            </w:tcBorders>
            <w:vAlign w:val="center"/>
          </w:tcPr>
          <w:p w14:paraId="156E152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07B56D2A">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1EF70B7C">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5A3E5DC3">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0B26A3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4811B3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tcBorders>
              <w:top w:val="nil"/>
              <w:left w:val="nil"/>
              <w:bottom w:val="single" w:color="auto" w:sz="4" w:space="0"/>
              <w:right w:val="single" w:color="auto" w:sz="4" w:space="0"/>
            </w:tcBorders>
            <w:vAlign w:val="center"/>
          </w:tcPr>
          <w:p w14:paraId="0965EF9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0970BA24">
            <w:pPr>
              <w:ind w:left="-1" w:leftChars="-1" w:hanging="1"/>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100≤Y＜500 </w:t>
            </w:r>
          </w:p>
        </w:tc>
        <w:tc>
          <w:tcPr>
            <w:tcW w:w="1232" w:type="dxa"/>
            <w:tcBorders>
              <w:top w:val="nil"/>
              <w:left w:val="nil"/>
              <w:bottom w:val="single" w:color="auto" w:sz="4" w:space="0"/>
              <w:right w:val="single" w:color="auto" w:sz="4" w:space="0"/>
            </w:tcBorders>
            <w:vAlign w:val="center"/>
          </w:tcPr>
          <w:p w14:paraId="7E58573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444AC27C">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44D265B8">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交通运输业 *</w:t>
            </w:r>
          </w:p>
        </w:tc>
        <w:tc>
          <w:tcPr>
            <w:tcW w:w="1369" w:type="dxa"/>
            <w:tcBorders>
              <w:top w:val="nil"/>
              <w:left w:val="nil"/>
              <w:bottom w:val="nil"/>
              <w:right w:val="single" w:color="auto" w:sz="4" w:space="0"/>
            </w:tcBorders>
            <w:vAlign w:val="center"/>
          </w:tcPr>
          <w:p w14:paraId="3E65C73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C9AC9C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562545E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vAlign w:val="center"/>
          </w:tcPr>
          <w:p w14:paraId="0AC72A5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301922A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1232" w:type="dxa"/>
            <w:tcBorders>
              <w:top w:val="nil"/>
              <w:left w:val="nil"/>
              <w:bottom w:val="nil"/>
              <w:right w:val="single" w:color="auto" w:sz="4" w:space="0"/>
            </w:tcBorders>
            <w:vAlign w:val="center"/>
          </w:tcPr>
          <w:p w14:paraId="03F8EAE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6741C014">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440C7F5E">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1E90038">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CBD291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2F27EB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6E96C60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426" w:type="dxa"/>
            <w:tcBorders>
              <w:top w:val="nil"/>
              <w:left w:val="nil"/>
              <w:bottom w:val="single" w:color="auto" w:sz="4" w:space="0"/>
              <w:right w:val="single" w:color="auto" w:sz="4" w:space="0"/>
            </w:tcBorders>
            <w:vAlign w:val="center"/>
          </w:tcPr>
          <w:p w14:paraId="5501363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200≤Y＜3000</w:t>
            </w:r>
          </w:p>
        </w:tc>
        <w:tc>
          <w:tcPr>
            <w:tcW w:w="1232" w:type="dxa"/>
            <w:tcBorders>
              <w:top w:val="nil"/>
              <w:left w:val="nil"/>
              <w:bottom w:val="single" w:color="auto" w:sz="4" w:space="0"/>
              <w:right w:val="single" w:color="auto" w:sz="4" w:space="0"/>
            </w:tcBorders>
            <w:vAlign w:val="center"/>
          </w:tcPr>
          <w:p w14:paraId="4BCD633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Y＜200</w:t>
            </w:r>
          </w:p>
        </w:tc>
      </w:tr>
      <w:tr w14:paraId="5D7D980C">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4482EB52">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369" w:type="dxa"/>
            <w:tcBorders>
              <w:top w:val="nil"/>
              <w:left w:val="nil"/>
              <w:bottom w:val="nil"/>
              <w:right w:val="single" w:color="auto" w:sz="4" w:space="0"/>
            </w:tcBorders>
            <w:vAlign w:val="center"/>
          </w:tcPr>
          <w:p w14:paraId="0208E86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5DB0495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318B4A8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tcBorders>
              <w:top w:val="nil"/>
              <w:left w:val="nil"/>
              <w:bottom w:val="nil"/>
              <w:right w:val="single" w:color="auto" w:sz="4" w:space="0"/>
            </w:tcBorders>
            <w:vAlign w:val="center"/>
          </w:tcPr>
          <w:p w14:paraId="1D0C77B0">
            <w:pPr>
              <w:ind w:left="-4" w:leftChars="-51" w:hanging="108" w:hangingChars="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100≤X＜200</w:t>
            </w:r>
          </w:p>
        </w:tc>
        <w:tc>
          <w:tcPr>
            <w:tcW w:w="1426" w:type="dxa"/>
            <w:tcBorders>
              <w:top w:val="nil"/>
              <w:left w:val="nil"/>
              <w:bottom w:val="nil"/>
              <w:right w:val="single" w:color="auto" w:sz="4" w:space="0"/>
            </w:tcBorders>
            <w:vAlign w:val="center"/>
          </w:tcPr>
          <w:p w14:paraId="2ED8729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20≤X＜100</w:t>
            </w:r>
          </w:p>
        </w:tc>
        <w:tc>
          <w:tcPr>
            <w:tcW w:w="1232" w:type="dxa"/>
            <w:tcBorders>
              <w:top w:val="nil"/>
              <w:left w:val="nil"/>
              <w:bottom w:val="nil"/>
              <w:right w:val="single" w:color="auto" w:sz="4" w:space="0"/>
            </w:tcBorders>
            <w:vAlign w:val="center"/>
          </w:tcPr>
          <w:p w14:paraId="4C796D7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4E2850C6">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6B5DAF8A">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5E5E290B">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7091B4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073CAE2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51D127E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426" w:type="dxa"/>
            <w:tcBorders>
              <w:top w:val="nil"/>
              <w:left w:val="nil"/>
              <w:bottom w:val="single" w:color="auto" w:sz="4" w:space="0"/>
              <w:right w:val="single" w:color="auto" w:sz="4" w:space="0"/>
            </w:tcBorders>
            <w:vAlign w:val="center"/>
          </w:tcPr>
          <w:p w14:paraId="3129880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1232" w:type="dxa"/>
            <w:tcBorders>
              <w:top w:val="nil"/>
              <w:left w:val="nil"/>
              <w:bottom w:val="single" w:color="auto" w:sz="4" w:space="0"/>
              <w:right w:val="single" w:color="auto" w:sz="4" w:space="0"/>
            </w:tcBorders>
            <w:vAlign w:val="center"/>
          </w:tcPr>
          <w:p w14:paraId="5277F7C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25599BA7">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7C05D1AD">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369" w:type="dxa"/>
            <w:tcBorders>
              <w:top w:val="nil"/>
              <w:left w:val="nil"/>
              <w:bottom w:val="nil"/>
              <w:right w:val="single" w:color="auto" w:sz="4" w:space="0"/>
            </w:tcBorders>
            <w:vAlign w:val="center"/>
          </w:tcPr>
          <w:p w14:paraId="2FC25AC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236B63A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11A19D7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vAlign w:val="center"/>
          </w:tcPr>
          <w:p w14:paraId="3710990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1BAE89C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1232" w:type="dxa"/>
            <w:tcBorders>
              <w:top w:val="nil"/>
              <w:left w:val="nil"/>
              <w:bottom w:val="nil"/>
              <w:right w:val="single" w:color="auto" w:sz="4" w:space="0"/>
            </w:tcBorders>
            <w:vAlign w:val="center"/>
          </w:tcPr>
          <w:p w14:paraId="119D995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6DC4E800">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4036565D">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21D45839">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3686B6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7364057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tcBorders>
              <w:top w:val="nil"/>
              <w:left w:val="nil"/>
              <w:bottom w:val="single" w:color="auto" w:sz="4" w:space="0"/>
              <w:right w:val="single" w:color="auto" w:sz="4" w:space="0"/>
            </w:tcBorders>
            <w:vAlign w:val="center"/>
          </w:tcPr>
          <w:p w14:paraId="7B05C47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426" w:type="dxa"/>
            <w:tcBorders>
              <w:top w:val="nil"/>
              <w:left w:val="nil"/>
              <w:bottom w:val="single" w:color="auto" w:sz="4" w:space="0"/>
              <w:right w:val="single" w:color="auto" w:sz="4" w:space="0"/>
            </w:tcBorders>
            <w:vAlign w:val="center"/>
          </w:tcPr>
          <w:p w14:paraId="37FBFC0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1232" w:type="dxa"/>
            <w:tcBorders>
              <w:top w:val="nil"/>
              <w:left w:val="nil"/>
              <w:bottom w:val="single" w:color="auto" w:sz="4" w:space="0"/>
              <w:right w:val="single" w:color="auto" w:sz="4" w:space="0"/>
            </w:tcBorders>
            <w:vAlign w:val="center"/>
          </w:tcPr>
          <w:p w14:paraId="7FBB119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28F0FD0A">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299E41A4">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369" w:type="dxa"/>
            <w:tcBorders>
              <w:top w:val="nil"/>
              <w:left w:val="nil"/>
              <w:bottom w:val="nil"/>
              <w:right w:val="single" w:color="auto" w:sz="4" w:space="0"/>
            </w:tcBorders>
            <w:vAlign w:val="center"/>
          </w:tcPr>
          <w:p w14:paraId="39830DC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2328819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179D20F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vAlign w:val="center"/>
          </w:tcPr>
          <w:p w14:paraId="62C966D7">
            <w:pPr>
              <w:ind w:left="-4" w:leftChars="-51" w:hanging="108" w:hangingChars="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11BBCD1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232" w:type="dxa"/>
            <w:tcBorders>
              <w:top w:val="nil"/>
              <w:left w:val="nil"/>
              <w:bottom w:val="nil"/>
              <w:right w:val="single" w:color="auto" w:sz="4" w:space="0"/>
            </w:tcBorders>
            <w:vAlign w:val="center"/>
          </w:tcPr>
          <w:p w14:paraId="2C7D9B3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679C6F9B">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2B602FF9">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ABFBDF5">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59F77CB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7BB42D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6A18F49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1113548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1232" w:type="dxa"/>
            <w:tcBorders>
              <w:top w:val="nil"/>
              <w:left w:val="nil"/>
              <w:bottom w:val="single" w:color="auto" w:sz="4" w:space="0"/>
              <w:right w:val="single" w:color="auto" w:sz="4" w:space="0"/>
            </w:tcBorders>
            <w:vAlign w:val="center"/>
          </w:tcPr>
          <w:p w14:paraId="2CEB581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2B06E618">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41438BEB">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369" w:type="dxa"/>
            <w:tcBorders>
              <w:top w:val="nil"/>
              <w:left w:val="nil"/>
              <w:bottom w:val="nil"/>
              <w:right w:val="single" w:color="auto" w:sz="4" w:space="0"/>
            </w:tcBorders>
            <w:vAlign w:val="center"/>
          </w:tcPr>
          <w:p w14:paraId="32F79BF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01D1C2A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6C79ABB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vAlign w:val="center"/>
          </w:tcPr>
          <w:p w14:paraId="26836E12">
            <w:pPr>
              <w:ind w:left="-4" w:leftChars="-51" w:hanging="108" w:hangingChars="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2DA94292">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232" w:type="dxa"/>
            <w:tcBorders>
              <w:top w:val="nil"/>
              <w:left w:val="nil"/>
              <w:bottom w:val="nil"/>
              <w:right w:val="single" w:color="auto" w:sz="4" w:space="0"/>
            </w:tcBorders>
            <w:vAlign w:val="center"/>
          </w:tcPr>
          <w:p w14:paraId="7B0196B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09F7FAA1">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17E293A8">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34A61463">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604B7C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2C3CF94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4AD6BAD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tcBorders>
              <w:top w:val="nil"/>
              <w:left w:val="nil"/>
              <w:bottom w:val="single" w:color="auto" w:sz="4" w:space="0"/>
              <w:right w:val="single" w:color="auto" w:sz="4" w:space="0"/>
            </w:tcBorders>
            <w:vAlign w:val="center"/>
          </w:tcPr>
          <w:p w14:paraId="1640CBC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1232" w:type="dxa"/>
            <w:tcBorders>
              <w:top w:val="nil"/>
              <w:left w:val="nil"/>
              <w:bottom w:val="single" w:color="auto" w:sz="4" w:space="0"/>
              <w:right w:val="single" w:color="auto" w:sz="4" w:space="0"/>
            </w:tcBorders>
            <w:vAlign w:val="center"/>
          </w:tcPr>
          <w:p w14:paraId="173FABF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13F2A2CD">
        <w:tblPrEx>
          <w:tblCellMar>
            <w:top w:w="0" w:type="dxa"/>
            <w:left w:w="108" w:type="dxa"/>
            <w:bottom w:w="0" w:type="dxa"/>
            <w:right w:w="108" w:type="dxa"/>
          </w:tblCellMar>
        </w:tblPrEx>
        <w:trPr>
          <w:trHeight w:val="397"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1B0ABEFA">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信息传输业 *</w:t>
            </w:r>
          </w:p>
        </w:tc>
        <w:tc>
          <w:tcPr>
            <w:tcW w:w="1369" w:type="dxa"/>
            <w:tcBorders>
              <w:top w:val="nil"/>
              <w:left w:val="nil"/>
              <w:bottom w:val="nil"/>
              <w:right w:val="single" w:color="auto" w:sz="4" w:space="0"/>
            </w:tcBorders>
            <w:vAlign w:val="center"/>
          </w:tcPr>
          <w:p w14:paraId="759138C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612210C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2D13A8A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X≥2000</w:t>
            </w:r>
          </w:p>
        </w:tc>
        <w:tc>
          <w:tcPr>
            <w:tcW w:w="1701" w:type="dxa"/>
            <w:tcBorders>
              <w:top w:val="nil"/>
              <w:left w:val="nil"/>
              <w:bottom w:val="nil"/>
              <w:right w:val="single" w:color="auto" w:sz="4" w:space="0"/>
            </w:tcBorders>
            <w:vAlign w:val="center"/>
          </w:tcPr>
          <w:p w14:paraId="74F1F37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100≤X＜2000</w:t>
            </w:r>
          </w:p>
        </w:tc>
        <w:tc>
          <w:tcPr>
            <w:tcW w:w="1426" w:type="dxa"/>
            <w:tcBorders>
              <w:top w:val="nil"/>
              <w:left w:val="nil"/>
              <w:bottom w:val="nil"/>
              <w:right w:val="single" w:color="auto" w:sz="4" w:space="0"/>
            </w:tcBorders>
            <w:vAlign w:val="center"/>
          </w:tcPr>
          <w:p w14:paraId="685AAB2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232" w:type="dxa"/>
            <w:tcBorders>
              <w:top w:val="nil"/>
              <w:left w:val="nil"/>
              <w:bottom w:val="nil"/>
              <w:right w:val="single" w:color="auto" w:sz="4" w:space="0"/>
            </w:tcBorders>
            <w:vAlign w:val="center"/>
          </w:tcPr>
          <w:p w14:paraId="4ACD9F7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C10B2C3">
        <w:tblPrEx>
          <w:tblCellMar>
            <w:top w:w="0" w:type="dxa"/>
            <w:left w:w="108" w:type="dxa"/>
            <w:bottom w:w="0" w:type="dxa"/>
            <w:right w:w="108" w:type="dxa"/>
          </w:tblCellMar>
        </w:tblPrEx>
        <w:trPr>
          <w:trHeight w:val="397"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098C7C3D">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106B34B8">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5510F4A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46F31378">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Y≥100000</w:t>
            </w:r>
          </w:p>
        </w:tc>
        <w:tc>
          <w:tcPr>
            <w:tcW w:w="1701" w:type="dxa"/>
            <w:tcBorders>
              <w:top w:val="nil"/>
              <w:left w:val="nil"/>
              <w:bottom w:val="single" w:color="auto" w:sz="4" w:space="0"/>
              <w:right w:val="single" w:color="auto" w:sz="4" w:space="0"/>
            </w:tcBorders>
            <w:vAlign w:val="center"/>
          </w:tcPr>
          <w:p w14:paraId="4CC9668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14:paraId="38C1B9A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1232" w:type="dxa"/>
            <w:tcBorders>
              <w:top w:val="nil"/>
              <w:left w:val="nil"/>
              <w:bottom w:val="single" w:color="auto" w:sz="4" w:space="0"/>
              <w:right w:val="single" w:color="auto" w:sz="4" w:space="0"/>
            </w:tcBorders>
            <w:vAlign w:val="center"/>
          </w:tcPr>
          <w:p w14:paraId="4621A70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56BC0972">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14:paraId="53198725">
            <w:pPr>
              <w:spacing w:line="240" w:lineRule="exact"/>
              <w:rPr>
                <w:rFonts w:hint="eastAsia" w:ascii="宋体" w:hAnsi="宋体" w:cs="宋体"/>
                <w:color w:val="auto"/>
                <w:spacing w:val="-12"/>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369" w:type="dxa"/>
            <w:tcBorders>
              <w:top w:val="nil"/>
              <w:left w:val="nil"/>
              <w:bottom w:val="nil"/>
              <w:right w:val="single" w:color="auto" w:sz="4" w:space="0"/>
            </w:tcBorders>
            <w:vAlign w:val="center"/>
          </w:tcPr>
          <w:p w14:paraId="0809CA2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10E6913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317EF7C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vAlign w:val="center"/>
          </w:tcPr>
          <w:p w14:paraId="1EC0D29A">
            <w:pPr>
              <w:ind w:left="-4" w:leftChars="-51" w:hanging="108" w:hangingChars="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7CB61C9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232" w:type="dxa"/>
            <w:tcBorders>
              <w:top w:val="nil"/>
              <w:left w:val="nil"/>
              <w:bottom w:val="nil"/>
              <w:right w:val="single" w:color="auto" w:sz="4" w:space="0"/>
            </w:tcBorders>
            <w:vAlign w:val="center"/>
          </w:tcPr>
          <w:p w14:paraId="5F3B7FA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4BBDF33B">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51B0A179">
            <w:pPr>
              <w:rPr>
                <w:rFonts w:hint="eastAsia" w:ascii="宋体" w:hAnsi="宋体" w:cs="宋体"/>
                <w:color w:val="auto"/>
                <w:spacing w:val="-12"/>
                <w:sz w:val="18"/>
                <w:szCs w:val="18"/>
                <w:highlight w:val="none"/>
              </w:rPr>
            </w:pPr>
          </w:p>
        </w:tc>
        <w:tc>
          <w:tcPr>
            <w:tcW w:w="1369" w:type="dxa"/>
            <w:tcBorders>
              <w:top w:val="nil"/>
              <w:left w:val="nil"/>
              <w:bottom w:val="single" w:color="auto" w:sz="4" w:space="0"/>
              <w:right w:val="single" w:color="auto" w:sz="4" w:space="0"/>
            </w:tcBorders>
            <w:vAlign w:val="center"/>
          </w:tcPr>
          <w:p w14:paraId="78CC557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578524E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5134CD6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tcBorders>
              <w:top w:val="nil"/>
              <w:left w:val="nil"/>
              <w:bottom w:val="single" w:color="auto" w:sz="4" w:space="0"/>
              <w:right w:val="single" w:color="auto" w:sz="4" w:space="0"/>
            </w:tcBorders>
            <w:vAlign w:val="center"/>
          </w:tcPr>
          <w:p w14:paraId="5A1E8C53">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426" w:type="dxa"/>
            <w:tcBorders>
              <w:top w:val="nil"/>
              <w:left w:val="nil"/>
              <w:bottom w:val="single" w:color="auto" w:sz="4" w:space="0"/>
              <w:right w:val="single" w:color="auto" w:sz="4" w:space="0"/>
            </w:tcBorders>
            <w:vAlign w:val="center"/>
          </w:tcPr>
          <w:p w14:paraId="42FA94C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50≤Y＜1000</w:t>
            </w:r>
          </w:p>
        </w:tc>
        <w:tc>
          <w:tcPr>
            <w:tcW w:w="1232" w:type="dxa"/>
            <w:tcBorders>
              <w:top w:val="nil"/>
              <w:left w:val="nil"/>
              <w:bottom w:val="single" w:color="auto" w:sz="4" w:space="0"/>
              <w:right w:val="single" w:color="auto" w:sz="4" w:space="0"/>
            </w:tcBorders>
            <w:vAlign w:val="center"/>
          </w:tcPr>
          <w:p w14:paraId="03FAEA4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Y＜50</w:t>
            </w:r>
          </w:p>
        </w:tc>
      </w:tr>
      <w:tr w14:paraId="4F93D034">
        <w:tblPrEx>
          <w:tblCellMar>
            <w:top w:w="0" w:type="dxa"/>
            <w:left w:w="108" w:type="dxa"/>
            <w:bottom w:w="0" w:type="dxa"/>
            <w:right w:w="108" w:type="dxa"/>
          </w:tblCellMar>
        </w:tblPrEx>
        <w:trPr>
          <w:trHeight w:val="340"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4DB1CA00">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369" w:type="dxa"/>
            <w:tcBorders>
              <w:top w:val="nil"/>
              <w:left w:val="nil"/>
              <w:bottom w:val="nil"/>
              <w:right w:val="single" w:color="auto" w:sz="4" w:space="0"/>
            </w:tcBorders>
            <w:vAlign w:val="center"/>
          </w:tcPr>
          <w:p w14:paraId="44349A0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nil"/>
              <w:right w:val="single" w:color="auto" w:sz="4" w:space="0"/>
            </w:tcBorders>
            <w:vAlign w:val="center"/>
          </w:tcPr>
          <w:p w14:paraId="3EFCDD7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nil"/>
              <w:right w:val="single" w:color="auto" w:sz="4" w:space="0"/>
            </w:tcBorders>
            <w:vAlign w:val="center"/>
          </w:tcPr>
          <w:p w14:paraId="6609DD3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Y≥200000</w:t>
            </w:r>
          </w:p>
        </w:tc>
        <w:tc>
          <w:tcPr>
            <w:tcW w:w="1701" w:type="dxa"/>
            <w:tcBorders>
              <w:top w:val="nil"/>
              <w:left w:val="nil"/>
              <w:bottom w:val="nil"/>
              <w:right w:val="single" w:color="auto" w:sz="4" w:space="0"/>
            </w:tcBorders>
            <w:vAlign w:val="center"/>
          </w:tcPr>
          <w:p w14:paraId="6202BD6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1000≤Y＜200000</w:t>
            </w:r>
          </w:p>
        </w:tc>
        <w:tc>
          <w:tcPr>
            <w:tcW w:w="1426" w:type="dxa"/>
            <w:tcBorders>
              <w:top w:val="nil"/>
              <w:left w:val="nil"/>
              <w:bottom w:val="nil"/>
              <w:right w:val="single" w:color="auto" w:sz="4" w:space="0"/>
            </w:tcBorders>
            <w:vAlign w:val="center"/>
          </w:tcPr>
          <w:p w14:paraId="5725686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1232" w:type="dxa"/>
            <w:tcBorders>
              <w:top w:val="nil"/>
              <w:left w:val="nil"/>
              <w:bottom w:val="nil"/>
              <w:right w:val="single" w:color="auto" w:sz="4" w:space="0"/>
            </w:tcBorders>
            <w:vAlign w:val="center"/>
          </w:tcPr>
          <w:p w14:paraId="682B57C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7E714169">
        <w:tblPrEx>
          <w:tblCellMar>
            <w:top w:w="0" w:type="dxa"/>
            <w:left w:w="108" w:type="dxa"/>
            <w:bottom w:w="0" w:type="dxa"/>
            <w:right w:w="108" w:type="dxa"/>
          </w:tblCellMar>
        </w:tblPrEx>
        <w:trPr>
          <w:trHeight w:val="340"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728D1DA5">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55543A87">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2DC9301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227A3A9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Z≥10000</w:t>
            </w:r>
          </w:p>
        </w:tc>
        <w:tc>
          <w:tcPr>
            <w:tcW w:w="1701" w:type="dxa"/>
            <w:tcBorders>
              <w:top w:val="nil"/>
              <w:left w:val="nil"/>
              <w:bottom w:val="single" w:color="auto" w:sz="4" w:space="0"/>
              <w:right w:val="single" w:color="auto" w:sz="4" w:space="0"/>
            </w:tcBorders>
            <w:vAlign w:val="center"/>
          </w:tcPr>
          <w:p w14:paraId="399E91A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426" w:type="dxa"/>
            <w:tcBorders>
              <w:top w:val="nil"/>
              <w:left w:val="nil"/>
              <w:bottom w:val="single" w:color="auto" w:sz="4" w:space="0"/>
              <w:right w:val="single" w:color="auto" w:sz="4" w:space="0"/>
            </w:tcBorders>
            <w:vAlign w:val="center"/>
          </w:tcPr>
          <w:p w14:paraId="773FFD50">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2000≤Z＜5000   </w:t>
            </w:r>
          </w:p>
        </w:tc>
        <w:tc>
          <w:tcPr>
            <w:tcW w:w="1232" w:type="dxa"/>
            <w:tcBorders>
              <w:top w:val="nil"/>
              <w:left w:val="nil"/>
              <w:bottom w:val="single" w:color="auto" w:sz="4" w:space="0"/>
              <w:right w:val="single" w:color="auto" w:sz="4" w:space="0"/>
            </w:tcBorders>
            <w:vAlign w:val="center"/>
          </w:tcPr>
          <w:p w14:paraId="5763EA4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Z＜2000</w:t>
            </w:r>
          </w:p>
        </w:tc>
      </w:tr>
      <w:tr w14:paraId="771A9F75">
        <w:tblPrEx>
          <w:tblCellMar>
            <w:top w:w="0" w:type="dxa"/>
            <w:left w:w="108" w:type="dxa"/>
            <w:bottom w:w="0" w:type="dxa"/>
            <w:right w:w="108" w:type="dxa"/>
          </w:tblCellMar>
        </w:tblPrEx>
        <w:trPr>
          <w:trHeight w:val="340"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5E7E0161">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369" w:type="dxa"/>
            <w:tcBorders>
              <w:top w:val="nil"/>
              <w:left w:val="nil"/>
              <w:bottom w:val="nil"/>
              <w:right w:val="single" w:color="auto" w:sz="4" w:space="0"/>
            </w:tcBorders>
            <w:vAlign w:val="center"/>
          </w:tcPr>
          <w:p w14:paraId="3E58296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74A620C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2A2A115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tcBorders>
              <w:top w:val="nil"/>
              <w:left w:val="nil"/>
              <w:bottom w:val="nil"/>
              <w:right w:val="single" w:color="auto" w:sz="4" w:space="0"/>
            </w:tcBorders>
            <w:vAlign w:val="center"/>
          </w:tcPr>
          <w:p w14:paraId="4F8B61C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tcBorders>
              <w:top w:val="nil"/>
              <w:left w:val="nil"/>
              <w:bottom w:val="nil"/>
              <w:right w:val="single" w:color="auto" w:sz="4" w:space="0"/>
            </w:tcBorders>
            <w:vAlign w:val="center"/>
          </w:tcPr>
          <w:p w14:paraId="2B2E797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232" w:type="dxa"/>
            <w:tcBorders>
              <w:top w:val="nil"/>
              <w:left w:val="nil"/>
              <w:bottom w:val="nil"/>
              <w:right w:val="single" w:color="auto" w:sz="4" w:space="0"/>
            </w:tcBorders>
            <w:vAlign w:val="center"/>
          </w:tcPr>
          <w:p w14:paraId="4847FA9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X＜100</w:t>
            </w:r>
          </w:p>
        </w:tc>
      </w:tr>
      <w:tr w14:paraId="324A03A7">
        <w:tblPrEx>
          <w:tblCellMar>
            <w:top w:w="0" w:type="dxa"/>
            <w:left w:w="108" w:type="dxa"/>
            <w:bottom w:w="0" w:type="dxa"/>
            <w:right w:w="108" w:type="dxa"/>
          </w:tblCellMar>
        </w:tblPrEx>
        <w:trPr>
          <w:trHeight w:val="340"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7E7A22AB">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D4FCDEF">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AFE0A0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1E0CA97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Y≥5000</w:t>
            </w:r>
          </w:p>
        </w:tc>
        <w:tc>
          <w:tcPr>
            <w:tcW w:w="1701" w:type="dxa"/>
            <w:tcBorders>
              <w:top w:val="nil"/>
              <w:left w:val="nil"/>
              <w:bottom w:val="single" w:color="auto" w:sz="4" w:space="0"/>
              <w:right w:val="single" w:color="auto" w:sz="4" w:space="0"/>
            </w:tcBorders>
            <w:vAlign w:val="center"/>
          </w:tcPr>
          <w:p w14:paraId="7BD2BBA0">
            <w:pPr>
              <w:ind w:left="-4" w:leftChars="-51" w:hanging="108" w:hangingChars="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14:paraId="4AA7733A">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500≤Y＜1000</w:t>
            </w:r>
          </w:p>
        </w:tc>
        <w:tc>
          <w:tcPr>
            <w:tcW w:w="1232" w:type="dxa"/>
            <w:tcBorders>
              <w:top w:val="nil"/>
              <w:left w:val="nil"/>
              <w:bottom w:val="single" w:color="auto" w:sz="4" w:space="0"/>
              <w:right w:val="single" w:color="auto" w:sz="4" w:space="0"/>
            </w:tcBorders>
            <w:vAlign w:val="center"/>
          </w:tcPr>
          <w:p w14:paraId="5B342B7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Y＜500</w:t>
            </w:r>
          </w:p>
        </w:tc>
      </w:tr>
      <w:tr w14:paraId="65029561">
        <w:tblPrEx>
          <w:tblCellMar>
            <w:top w:w="0" w:type="dxa"/>
            <w:left w:w="108" w:type="dxa"/>
            <w:bottom w:w="0" w:type="dxa"/>
            <w:right w:w="108" w:type="dxa"/>
          </w:tblCellMar>
        </w:tblPrEx>
        <w:trPr>
          <w:trHeight w:val="340" w:hRule="exact"/>
          <w:jc w:val="center"/>
        </w:trPr>
        <w:tc>
          <w:tcPr>
            <w:tcW w:w="2113" w:type="dxa"/>
            <w:vMerge w:val="restart"/>
            <w:tcBorders>
              <w:top w:val="nil"/>
              <w:left w:val="single" w:color="auto" w:sz="4" w:space="0"/>
              <w:bottom w:val="single" w:color="auto" w:sz="4" w:space="0"/>
              <w:right w:val="single" w:color="auto" w:sz="4" w:space="0"/>
            </w:tcBorders>
            <w:vAlign w:val="center"/>
          </w:tcPr>
          <w:p w14:paraId="03B291AF">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369" w:type="dxa"/>
            <w:tcBorders>
              <w:top w:val="nil"/>
              <w:left w:val="nil"/>
              <w:bottom w:val="nil"/>
              <w:right w:val="single" w:color="auto" w:sz="4" w:space="0"/>
            </w:tcBorders>
            <w:vAlign w:val="center"/>
          </w:tcPr>
          <w:p w14:paraId="2C7E6C2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nil"/>
              <w:right w:val="single" w:color="auto" w:sz="4" w:space="0"/>
            </w:tcBorders>
            <w:vAlign w:val="center"/>
          </w:tcPr>
          <w:p w14:paraId="169A766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nil"/>
              <w:right w:val="single" w:color="auto" w:sz="4" w:space="0"/>
            </w:tcBorders>
            <w:vAlign w:val="center"/>
          </w:tcPr>
          <w:p w14:paraId="2D475BC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nil"/>
              <w:right w:val="single" w:color="auto" w:sz="4" w:space="0"/>
            </w:tcBorders>
            <w:vAlign w:val="center"/>
          </w:tcPr>
          <w:p w14:paraId="6AA4704B">
            <w:pPr>
              <w:ind w:left="-4" w:leftChars="-51" w:hanging="108" w:hangingChars="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nil"/>
              <w:right w:val="single" w:color="auto" w:sz="4" w:space="0"/>
            </w:tcBorders>
            <w:vAlign w:val="center"/>
          </w:tcPr>
          <w:p w14:paraId="56F3FFA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232" w:type="dxa"/>
            <w:tcBorders>
              <w:top w:val="nil"/>
              <w:left w:val="nil"/>
              <w:bottom w:val="nil"/>
              <w:right w:val="single" w:color="auto" w:sz="4" w:space="0"/>
            </w:tcBorders>
            <w:vAlign w:val="center"/>
          </w:tcPr>
          <w:p w14:paraId="0F60454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B21E95B">
        <w:tblPrEx>
          <w:tblCellMar>
            <w:top w:w="0" w:type="dxa"/>
            <w:left w:w="108" w:type="dxa"/>
            <w:bottom w:w="0" w:type="dxa"/>
            <w:right w:w="108" w:type="dxa"/>
          </w:tblCellMar>
        </w:tblPrEx>
        <w:trPr>
          <w:trHeight w:val="340" w:hRule="exact"/>
          <w:jc w:val="center"/>
        </w:trPr>
        <w:tc>
          <w:tcPr>
            <w:tcW w:w="2113" w:type="dxa"/>
            <w:vMerge w:val="continue"/>
            <w:tcBorders>
              <w:top w:val="nil"/>
              <w:left w:val="single" w:color="auto" w:sz="4" w:space="0"/>
              <w:bottom w:val="single" w:color="auto" w:sz="4" w:space="0"/>
              <w:right w:val="single" w:color="auto" w:sz="4" w:space="0"/>
            </w:tcBorders>
            <w:vAlign w:val="center"/>
          </w:tcPr>
          <w:p w14:paraId="532831D4">
            <w:pPr>
              <w:rPr>
                <w:rFonts w:hint="eastAsia" w:ascii="宋体" w:hAnsi="宋体" w:cs="宋体"/>
                <w:color w:val="auto"/>
                <w:sz w:val="18"/>
                <w:szCs w:val="18"/>
                <w:highlight w:val="none"/>
              </w:rPr>
            </w:pPr>
          </w:p>
        </w:tc>
        <w:tc>
          <w:tcPr>
            <w:tcW w:w="1369" w:type="dxa"/>
            <w:tcBorders>
              <w:top w:val="nil"/>
              <w:left w:val="nil"/>
              <w:bottom w:val="single" w:color="auto" w:sz="4" w:space="0"/>
              <w:right w:val="single" w:color="auto" w:sz="4" w:space="0"/>
            </w:tcBorders>
            <w:vAlign w:val="center"/>
          </w:tcPr>
          <w:p w14:paraId="7F746FBB">
            <w:pPr>
              <w:spacing w:line="24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tcBorders>
              <w:top w:val="nil"/>
              <w:left w:val="nil"/>
              <w:bottom w:val="single" w:color="auto" w:sz="4" w:space="0"/>
              <w:right w:val="single" w:color="auto" w:sz="4" w:space="0"/>
            </w:tcBorders>
            <w:vAlign w:val="center"/>
          </w:tcPr>
          <w:p w14:paraId="6A72621C">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tcBorders>
              <w:top w:val="nil"/>
              <w:left w:val="nil"/>
              <w:bottom w:val="single" w:color="auto" w:sz="4" w:space="0"/>
              <w:right w:val="single" w:color="auto" w:sz="4" w:space="0"/>
            </w:tcBorders>
            <w:vAlign w:val="center"/>
          </w:tcPr>
          <w:p w14:paraId="6702954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Z≥120000</w:t>
            </w:r>
          </w:p>
        </w:tc>
        <w:tc>
          <w:tcPr>
            <w:tcW w:w="1701" w:type="dxa"/>
            <w:tcBorders>
              <w:top w:val="nil"/>
              <w:left w:val="nil"/>
              <w:bottom w:val="single" w:color="auto" w:sz="4" w:space="0"/>
              <w:right w:val="single" w:color="auto" w:sz="4" w:space="0"/>
            </w:tcBorders>
            <w:vAlign w:val="center"/>
          </w:tcPr>
          <w:p w14:paraId="1A649827">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8000≤Z＜120000</w:t>
            </w:r>
          </w:p>
        </w:tc>
        <w:tc>
          <w:tcPr>
            <w:tcW w:w="1426" w:type="dxa"/>
            <w:tcBorders>
              <w:top w:val="nil"/>
              <w:left w:val="nil"/>
              <w:bottom w:val="single" w:color="auto" w:sz="4" w:space="0"/>
              <w:right w:val="single" w:color="auto" w:sz="4" w:space="0"/>
            </w:tcBorders>
            <w:vAlign w:val="center"/>
          </w:tcPr>
          <w:p w14:paraId="3A011B59">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100≤Z＜8000</w:t>
            </w:r>
          </w:p>
        </w:tc>
        <w:tc>
          <w:tcPr>
            <w:tcW w:w="1232" w:type="dxa"/>
            <w:tcBorders>
              <w:top w:val="nil"/>
              <w:left w:val="nil"/>
              <w:bottom w:val="single" w:color="auto" w:sz="4" w:space="0"/>
              <w:right w:val="single" w:color="auto" w:sz="4" w:space="0"/>
            </w:tcBorders>
            <w:vAlign w:val="center"/>
          </w:tcPr>
          <w:p w14:paraId="242CCE4B">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Z＜100</w:t>
            </w:r>
          </w:p>
        </w:tc>
      </w:tr>
      <w:tr w14:paraId="62CCDA79">
        <w:tblPrEx>
          <w:tblCellMar>
            <w:top w:w="0" w:type="dxa"/>
            <w:left w:w="108" w:type="dxa"/>
            <w:bottom w:w="0" w:type="dxa"/>
            <w:right w:w="108" w:type="dxa"/>
          </w:tblCellMar>
        </w:tblPrEx>
        <w:trPr>
          <w:trHeight w:val="397" w:hRule="exact"/>
          <w:jc w:val="center"/>
        </w:trPr>
        <w:tc>
          <w:tcPr>
            <w:tcW w:w="2113" w:type="dxa"/>
            <w:tcBorders>
              <w:top w:val="nil"/>
              <w:left w:val="single" w:color="auto" w:sz="4" w:space="0"/>
              <w:bottom w:val="single" w:color="auto" w:sz="4" w:space="0"/>
              <w:right w:val="single" w:color="auto" w:sz="4" w:space="0"/>
            </w:tcBorders>
            <w:vAlign w:val="center"/>
          </w:tcPr>
          <w:p w14:paraId="3EFC0C17">
            <w:pPr>
              <w:spacing w:line="24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其他未列明行业 *</w:t>
            </w:r>
          </w:p>
        </w:tc>
        <w:tc>
          <w:tcPr>
            <w:tcW w:w="1369" w:type="dxa"/>
            <w:tcBorders>
              <w:top w:val="nil"/>
              <w:left w:val="nil"/>
              <w:bottom w:val="single" w:color="auto" w:sz="4" w:space="0"/>
              <w:right w:val="single" w:color="auto" w:sz="4" w:space="0"/>
            </w:tcBorders>
            <w:vAlign w:val="center"/>
          </w:tcPr>
          <w:p w14:paraId="579ECE1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tcBorders>
              <w:top w:val="nil"/>
              <w:left w:val="nil"/>
              <w:bottom w:val="single" w:color="auto" w:sz="4" w:space="0"/>
              <w:right w:val="single" w:color="auto" w:sz="4" w:space="0"/>
            </w:tcBorders>
            <w:vAlign w:val="center"/>
          </w:tcPr>
          <w:p w14:paraId="412D0D81">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tcBorders>
              <w:top w:val="nil"/>
              <w:left w:val="nil"/>
              <w:bottom w:val="single" w:color="auto" w:sz="4" w:space="0"/>
              <w:right w:val="single" w:color="auto" w:sz="4" w:space="0"/>
            </w:tcBorders>
            <w:vAlign w:val="center"/>
          </w:tcPr>
          <w:p w14:paraId="5D6335EE">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tcBorders>
              <w:top w:val="nil"/>
              <w:left w:val="nil"/>
              <w:bottom w:val="single" w:color="auto" w:sz="4" w:space="0"/>
              <w:right w:val="single" w:color="auto" w:sz="4" w:space="0"/>
            </w:tcBorders>
            <w:vAlign w:val="center"/>
          </w:tcPr>
          <w:p w14:paraId="1ACDE106">
            <w:pPr>
              <w:ind w:left="-4" w:leftChars="-51" w:hanging="108" w:hangingChars="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tcBorders>
              <w:top w:val="nil"/>
              <w:left w:val="nil"/>
              <w:bottom w:val="single" w:color="auto" w:sz="4" w:space="0"/>
              <w:right w:val="single" w:color="auto" w:sz="4" w:space="0"/>
            </w:tcBorders>
            <w:vAlign w:val="center"/>
          </w:tcPr>
          <w:p w14:paraId="75AFDF54">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232" w:type="dxa"/>
            <w:tcBorders>
              <w:top w:val="nil"/>
              <w:left w:val="nil"/>
              <w:bottom w:val="single" w:color="auto" w:sz="4" w:space="0"/>
              <w:right w:val="single" w:color="auto" w:sz="4" w:space="0"/>
            </w:tcBorders>
            <w:vAlign w:val="center"/>
          </w:tcPr>
          <w:p w14:paraId="556BBA5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bl>
    <w:p w14:paraId="7422ABFD">
      <w:pPr>
        <w:pStyle w:val="35"/>
        <w:spacing w:before="0" w:beforeAutospacing="0" w:after="0" w:afterAutospacing="0" w:line="440" w:lineRule="exact"/>
        <w:ind w:right="180" w:rightChars="82"/>
        <w:rPr>
          <w:rFonts w:hint="eastAsia" w:cs="宋体"/>
          <w:color w:val="auto"/>
          <w:sz w:val="18"/>
          <w:szCs w:val="18"/>
          <w:highlight w:val="none"/>
        </w:rPr>
      </w:pPr>
      <w:r>
        <w:rPr>
          <w:rFonts w:hint="eastAsia" w:cs="宋体"/>
          <w:color w:val="auto"/>
          <w:sz w:val="18"/>
          <w:szCs w:val="18"/>
          <w:highlight w:val="none"/>
        </w:rPr>
        <w:t>说明：</w:t>
      </w:r>
    </w:p>
    <w:p w14:paraId="31624D10">
      <w:pPr>
        <w:pStyle w:val="35"/>
        <w:spacing w:before="0" w:beforeAutospacing="0" w:after="0" w:afterAutospacing="0" w:line="440" w:lineRule="exact"/>
        <w:ind w:right="180" w:rightChars="82"/>
        <w:rPr>
          <w:rFonts w:hint="eastAsia" w:cs="宋体"/>
          <w:color w:val="auto"/>
          <w:sz w:val="18"/>
          <w:szCs w:val="18"/>
          <w:highlight w:val="none"/>
        </w:rPr>
      </w:pPr>
      <w:r>
        <w:rPr>
          <w:rFonts w:hint="eastAsia" w:cs="宋体"/>
          <w:color w:val="auto"/>
          <w:sz w:val="18"/>
          <w:szCs w:val="18"/>
          <w:highlight w:val="none"/>
        </w:rPr>
        <w:t>　　1.大型、中型和小型企业须同时满足所列指标的下限，否则下划一档；微型企业只须满足所列指标中的一项即可。</w:t>
      </w:r>
    </w:p>
    <w:p w14:paraId="474F3C07">
      <w:pPr>
        <w:pStyle w:val="35"/>
        <w:spacing w:before="0" w:beforeAutospacing="0" w:after="0" w:afterAutospacing="0" w:line="440" w:lineRule="exact"/>
        <w:ind w:right="180" w:rightChars="82"/>
        <w:rPr>
          <w:rFonts w:hint="eastAsia" w:cs="宋体"/>
          <w:color w:val="auto"/>
          <w:sz w:val="18"/>
          <w:szCs w:val="18"/>
          <w:highlight w:val="none"/>
        </w:rPr>
      </w:pPr>
      <w:r>
        <w:rPr>
          <w:rFonts w:hint="eastAsia" w:cs="宋体"/>
          <w:color w:val="auto"/>
          <w:sz w:val="18"/>
          <w:szCs w:val="18"/>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B6A7031">
      <w:pPr>
        <w:pStyle w:val="35"/>
        <w:spacing w:before="0" w:beforeAutospacing="0" w:after="0" w:afterAutospacing="0" w:line="440" w:lineRule="exact"/>
        <w:ind w:right="180" w:rightChars="82"/>
        <w:rPr>
          <w:rFonts w:hint="eastAsia" w:cs="宋体"/>
          <w:color w:val="auto"/>
          <w:highlight w:val="none"/>
        </w:rPr>
      </w:pPr>
      <w:r>
        <w:rPr>
          <w:rFonts w:hint="eastAsia" w:cs="宋体"/>
          <w:color w:val="auto"/>
          <w:sz w:val="18"/>
          <w:szCs w:val="18"/>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323887A">
      <w:pPr>
        <w:rPr>
          <w:rFonts w:hint="eastAsia" w:ascii="宋体" w:hAnsi="宋体" w:eastAsia="宋体" w:cs="宋体"/>
          <w:b/>
          <w:color w:val="auto"/>
          <w:sz w:val="24"/>
          <w:szCs w:val="24"/>
          <w:highlight w:val="none"/>
        </w:rPr>
      </w:pPr>
    </w:p>
    <w:p w14:paraId="2F7C1C8F">
      <w:pPr>
        <w:pStyle w:val="16"/>
        <w:jc w:val="both"/>
        <w:rPr>
          <w:rFonts w:hint="eastAsia" w:ascii="宋体" w:hAnsi="宋体" w:cs="宋体"/>
          <w:color w:val="auto"/>
          <w:highlight w:val="none"/>
        </w:rPr>
      </w:pPr>
    </w:p>
    <w:p w14:paraId="2C9B7704">
      <w:pPr>
        <w:pStyle w:val="16"/>
        <w:jc w:val="both"/>
        <w:rPr>
          <w:rFonts w:hint="eastAsia" w:ascii="宋体" w:hAnsi="宋体" w:cs="宋体"/>
          <w:color w:val="auto"/>
          <w:highlight w:val="none"/>
        </w:rPr>
      </w:pPr>
    </w:p>
    <w:p w14:paraId="53A32716">
      <w:pPr>
        <w:pStyle w:val="16"/>
        <w:jc w:val="both"/>
        <w:rPr>
          <w:rFonts w:hint="eastAsia" w:ascii="宋体" w:hAnsi="宋体" w:cs="宋体"/>
          <w:color w:val="auto"/>
          <w:highlight w:val="none"/>
        </w:rPr>
      </w:pPr>
    </w:p>
    <w:p w14:paraId="788D7167">
      <w:pPr>
        <w:pStyle w:val="16"/>
        <w:jc w:val="both"/>
        <w:rPr>
          <w:rFonts w:hint="eastAsia" w:ascii="宋体" w:hAnsi="宋体" w:cs="宋体"/>
          <w:color w:val="auto"/>
          <w:highlight w:val="none"/>
        </w:rPr>
      </w:pPr>
    </w:p>
    <w:p w14:paraId="5A998777">
      <w:pPr>
        <w:pStyle w:val="16"/>
        <w:jc w:val="both"/>
        <w:rPr>
          <w:rFonts w:hint="eastAsia" w:ascii="宋体" w:hAnsi="宋体" w:cs="宋体"/>
          <w:color w:val="auto"/>
          <w:highlight w:val="none"/>
        </w:rPr>
      </w:pPr>
    </w:p>
    <w:p w14:paraId="44206123">
      <w:pPr>
        <w:pStyle w:val="16"/>
        <w:jc w:val="both"/>
        <w:rPr>
          <w:rFonts w:hint="eastAsia" w:ascii="宋体" w:hAnsi="宋体" w:cs="宋体"/>
          <w:color w:val="auto"/>
          <w:highlight w:val="none"/>
        </w:rPr>
      </w:pPr>
    </w:p>
    <w:p w14:paraId="251D63A4">
      <w:pPr>
        <w:pStyle w:val="16"/>
        <w:jc w:val="both"/>
        <w:rPr>
          <w:rFonts w:hint="eastAsia" w:ascii="宋体" w:hAnsi="宋体" w:cs="宋体"/>
          <w:color w:val="auto"/>
          <w:highlight w:val="none"/>
        </w:rPr>
      </w:pPr>
    </w:p>
    <w:p w14:paraId="58F6AAF8">
      <w:pPr>
        <w:pStyle w:val="16"/>
        <w:jc w:val="both"/>
        <w:rPr>
          <w:rFonts w:hint="eastAsia" w:ascii="宋体" w:hAnsi="宋体" w:cs="宋体"/>
          <w:color w:val="auto"/>
          <w:highlight w:val="none"/>
        </w:rPr>
      </w:pPr>
    </w:p>
    <w:p w14:paraId="6C61D345">
      <w:pPr>
        <w:pStyle w:val="16"/>
        <w:jc w:val="both"/>
        <w:rPr>
          <w:rFonts w:hint="eastAsia" w:ascii="宋体" w:hAnsi="宋体" w:cs="宋体"/>
          <w:color w:val="auto"/>
          <w:highlight w:val="none"/>
        </w:rPr>
      </w:pPr>
    </w:p>
    <w:p w14:paraId="65D9159E">
      <w:pPr>
        <w:pStyle w:val="16"/>
        <w:jc w:val="both"/>
        <w:rPr>
          <w:rFonts w:hint="eastAsia" w:ascii="宋体" w:hAnsi="宋体" w:cs="宋体"/>
          <w:color w:val="auto"/>
          <w:highlight w:val="none"/>
        </w:rPr>
      </w:pPr>
    </w:p>
    <w:p w14:paraId="53B23D0B">
      <w:pPr>
        <w:pStyle w:val="16"/>
        <w:jc w:val="both"/>
        <w:rPr>
          <w:rFonts w:hint="eastAsia" w:ascii="宋体" w:hAnsi="宋体" w:cs="宋体"/>
          <w:color w:val="auto"/>
          <w:highlight w:val="none"/>
        </w:rPr>
      </w:pPr>
    </w:p>
    <w:p w14:paraId="6A27AF58">
      <w:pPr>
        <w:pStyle w:val="16"/>
        <w:jc w:val="both"/>
        <w:rPr>
          <w:rFonts w:hint="eastAsia" w:ascii="宋体" w:hAnsi="宋体" w:cs="宋体"/>
          <w:color w:val="auto"/>
          <w:highlight w:val="none"/>
        </w:rPr>
      </w:pPr>
    </w:p>
    <w:p w14:paraId="79F6219B">
      <w:pPr>
        <w:pStyle w:val="16"/>
        <w:jc w:val="both"/>
        <w:rPr>
          <w:rFonts w:hint="eastAsia" w:ascii="宋体" w:hAnsi="宋体" w:cs="宋体"/>
          <w:color w:val="auto"/>
          <w:highlight w:val="none"/>
        </w:rPr>
      </w:pPr>
    </w:p>
    <w:p w14:paraId="03FA5AD5">
      <w:pPr>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t>附件十二：</w:t>
      </w:r>
    </w:p>
    <w:p w14:paraId="1FFF1527">
      <w:pPr>
        <w:jc w:val="center"/>
        <w:rPr>
          <w:rFonts w:hint="eastAsia" w:ascii="宋体" w:hAnsi="宋体" w:eastAsia="宋体" w:cs="宋体"/>
          <w:b/>
          <w:color w:val="auto"/>
          <w:sz w:val="32"/>
          <w:szCs w:val="32"/>
          <w:highlight w:val="none"/>
        </w:rPr>
      </w:pPr>
    </w:p>
    <w:p w14:paraId="02859C89">
      <w:pPr>
        <w:spacing w:line="588" w:lineRule="exact"/>
        <w:jc w:val="center"/>
        <w:rPr>
          <w:rFonts w:hint="eastAsia" w:ascii="宋体" w:hAnsi="宋体" w:eastAsia="宋体" w:cs="宋体"/>
          <w:b/>
          <w:color w:val="auto"/>
          <w:spacing w:val="6"/>
          <w:sz w:val="32"/>
          <w:szCs w:val="32"/>
          <w:highlight w:val="none"/>
        </w:rPr>
      </w:pPr>
      <w:bookmarkStart w:id="159" w:name="OLE_LINK14"/>
      <w:bookmarkStart w:id="160" w:name="OLE_LINK13"/>
      <w:r>
        <w:rPr>
          <w:rFonts w:hint="eastAsia" w:ascii="宋体" w:hAnsi="宋体" w:eastAsia="宋体" w:cs="宋体"/>
          <w:b/>
          <w:color w:val="auto"/>
          <w:spacing w:val="6"/>
          <w:sz w:val="32"/>
          <w:szCs w:val="32"/>
          <w:highlight w:val="none"/>
        </w:rPr>
        <w:t>残疾人福利性单位声明函</w:t>
      </w:r>
    </w:p>
    <w:bookmarkEnd w:id="159"/>
    <w:bookmarkEnd w:id="160"/>
    <w:p w14:paraId="250418D3">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7B37D0">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10F93AB">
      <w:pPr>
        <w:spacing w:line="588" w:lineRule="exact"/>
        <w:ind w:firstLine="504" w:firstLineChars="200"/>
        <w:rPr>
          <w:rFonts w:hint="eastAsia" w:ascii="宋体" w:hAnsi="宋体" w:eastAsia="宋体" w:cs="宋体"/>
          <w:color w:val="auto"/>
          <w:spacing w:val="6"/>
          <w:sz w:val="24"/>
          <w:szCs w:val="24"/>
          <w:highlight w:val="none"/>
        </w:rPr>
      </w:pPr>
    </w:p>
    <w:p w14:paraId="665C7795">
      <w:pPr>
        <w:spacing w:line="588" w:lineRule="exact"/>
        <w:ind w:firstLine="504" w:firstLineChars="200"/>
        <w:rPr>
          <w:rFonts w:hint="eastAsia" w:ascii="宋体" w:hAnsi="宋体" w:eastAsia="宋体" w:cs="宋体"/>
          <w:color w:val="auto"/>
          <w:spacing w:val="6"/>
          <w:sz w:val="24"/>
          <w:szCs w:val="24"/>
          <w:highlight w:val="none"/>
        </w:rPr>
      </w:pPr>
    </w:p>
    <w:p w14:paraId="57B99103">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10BF6D31">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6CB6548F">
      <w:pPr>
        <w:pStyle w:val="20"/>
        <w:ind w:firstLine="281" w:firstLineChars="100"/>
        <w:outlineLvl w:val="2"/>
        <w:rPr>
          <w:rFonts w:hint="eastAsia" w:hAnsi="宋体" w:cs="宋体"/>
          <w:b/>
          <w:bCs/>
          <w:color w:val="auto"/>
          <w:sz w:val="28"/>
          <w:szCs w:val="28"/>
          <w:highlight w:val="none"/>
        </w:rPr>
      </w:pPr>
    </w:p>
    <w:p w14:paraId="0BD143B7">
      <w:pPr>
        <w:pStyle w:val="20"/>
        <w:ind w:firstLine="281" w:firstLineChars="100"/>
        <w:outlineLvl w:val="2"/>
        <w:rPr>
          <w:rFonts w:hint="eastAsia" w:hAnsi="宋体" w:cs="宋体"/>
          <w:b/>
          <w:bCs/>
          <w:color w:val="auto"/>
          <w:sz w:val="28"/>
          <w:szCs w:val="28"/>
          <w:highlight w:val="none"/>
        </w:rPr>
      </w:pPr>
    </w:p>
    <w:p w14:paraId="06E2DFF9">
      <w:pPr>
        <w:pStyle w:val="20"/>
        <w:ind w:firstLine="281" w:firstLineChars="100"/>
        <w:outlineLvl w:val="2"/>
        <w:rPr>
          <w:rFonts w:hint="eastAsia" w:hAnsi="宋体" w:cs="宋体"/>
          <w:b/>
          <w:bCs/>
          <w:color w:val="auto"/>
          <w:sz w:val="28"/>
          <w:szCs w:val="28"/>
          <w:highlight w:val="none"/>
        </w:rPr>
      </w:pPr>
    </w:p>
    <w:p w14:paraId="0E68D267">
      <w:pPr>
        <w:pStyle w:val="20"/>
        <w:ind w:firstLine="281" w:firstLineChars="100"/>
        <w:outlineLvl w:val="2"/>
        <w:rPr>
          <w:rFonts w:hint="eastAsia" w:hAnsi="宋体" w:cs="宋体"/>
          <w:b/>
          <w:bCs/>
          <w:color w:val="auto"/>
          <w:sz w:val="28"/>
          <w:szCs w:val="28"/>
          <w:highlight w:val="none"/>
        </w:rPr>
      </w:pPr>
    </w:p>
    <w:p w14:paraId="10728416">
      <w:pPr>
        <w:pStyle w:val="20"/>
        <w:ind w:firstLine="281" w:firstLineChars="100"/>
        <w:outlineLvl w:val="2"/>
        <w:rPr>
          <w:rFonts w:hint="eastAsia" w:hAnsi="宋体" w:cs="宋体"/>
          <w:b/>
          <w:bCs/>
          <w:color w:val="auto"/>
          <w:sz w:val="28"/>
          <w:szCs w:val="28"/>
          <w:highlight w:val="none"/>
        </w:rPr>
      </w:pPr>
    </w:p>
    <w:p w14:paraId="722D94F9">
      <w:pPr>
        <w:pStyle w:val="20"/>
        <w:ind w:firstLine="281" w:firstLineChars="100"/>
        <w:outlineLvl w:val="2"/>
        <w:rPr>
          <w:rFonts w:hint="eastAsia" w:hAnsi="宋体" w:cs="宋体"/>
          <w:b/>
          <w:bCs/>
          <w:color w:val="auto"/>
          <w:sz w:val="28"/>
          <w:szCs w:val="28"/>
          <w:highlight w:val="none"/>
        </w:rPr>
      </w:pPr>
    </w:p>
    <w:p w14:paraId="5A41CA9B">
      <w:pPr>
        <w:pStyle w:val="20"/>
        <w:ind w:firstLine="281" w:firstLineChars="100"/>
        <w:outlineLvl w:val="2"/>
        <w:rPr>
          <w:rFonts w:hint="eastAsia" w:hAnsi="宋体" w:cs="宋体"/>
          <w:b/>
          <w:bCs/>
          <w:color w:val="auto"/>
          <w:sz w:val="28"/>
          <w:szCs w:val="28"/>
          <w:highlight w:val="none"/>
        </w:rPr>
      </w:pPr>
    </w:p>
    <w:p w14:paraId="237369C6">
      <w:pPr>
        <w:pStyle w:val="20"/>
        <w:ind w:firstLine="281" w:firstLineChars="100"/>
        <w:outlineLvl w:val="2"/>
        <w:rPr>
          <w:rFonts w:hint="eastAsia" w:hAnsi="宋体" w:cs="宋体"/>
          <w:b/>
          <w:bCs/>
          <w:color w:val="auto"/>
          <w:sz w:val="28"/>
          <w:szCs w:val="28"/>
          <w:highlight w:val="none"/>
        </w:rPr>
      </w:pPr>
    </w:p>
    <w:p w14:paraId="54A70387">
      <w:pPr>
        <w:spacing w:after="0" w:line="360" w:lineRule="exact"/>
        <w:ind w:firstLine="446" w:firstLineChars="200"/>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注：1、</w:t>
      </w:r>
      <w:r>
        <w:rPr>
          <w:rFonts w:hint="eastAsia" w:ascii="宋体" w:hAnsi="宋体" w:eastAsia="宋体" w:cs="宋体"/>
          <w:b/>
          <w:color w:val="auto"/>
          <w:spacing w:val="6"/>
          <w:sz w:val="21"/>
          <w:szCs w:val="21"/>
          <w:highlight w:val="none"/>
          <w:u w:val="single"/>
        </w:rPr>
        <w:t>成交竞标人为残疾人福利性单位的，成交结果将同时公告其《残疾人福利性单位声明函》，接受社会监督</w:t>
      </w:r>
      <w:r>
        <w:rPr>
          <w:rFonts w:hint="eastAsia" w:ascii="宋体" w:hAnsi="宋体" w:eastAsia="宋体" w:cs="宋体"/>
          <w:b/>
          <w:color w:val="auto"/>
          <w:spacing w:val="6"/>
          <w:sz w:val="21"/>
          <w:szCs w:val="21"/>
          <w:highlight w:val="none"/>
        </w:rPr>
        <w:t>。</w:t>
      </w:r>
    </w:p>
    <w:p w14:paraId="553DC630">
      <w:pPr>
        <w:numPr>
          <w:ilvl w:val="0"/>
          <w:numId w:val="6"/>
        </w:numPr>
        <w:spacing w:after="0" w:line="360" w:lineRule="exact"/>
        <w:ind w:firstLine="446" w:firstLineChars="200"/>
        <w:rPr>
          <w:rFonts w:eastAsia="宋体"/>
          <w:color w:val="auto"/>
          <w:highlight w:val="none"/>
        </w:rPr>
      </w:pPr>
      <w:r>
        <w:rPr>
          <w:rFonts w:hint="eastAsia" w:ascii="宋体" w:hAnsi="宋体" w:eastAsia="宋体" w:cs="宋体"/>
          <w:b/>
          <w:color w:val="auto"/>
          <w:spacing w:val="6"/>
          <w:sz w:val="21"/>
          <w:szCs w:val="21"/>
          <w:highlight w:val="none"/>
          <w:u w:val="single"/>
        </w:rPr>
        <w:t>竞标人提供的《残疾人福利性单位声明函》与事实不符的，依照《政府采购法》第七十七条第一款的规定追究法律责任</w:t>
      </w:r>
      <w:r>
        <w:rPr>
          <w:rFonts w:hint="eastAsia" w:ascii="宋体" w:hAnsi="宋体" w:eastAsia="宋体" w:cs="宋体"/>
          <w:b/>
          <w:color w:val="auto"/>
          <w:spacing w:val="6"/>
          <w:sz w:val="21"/>
          <w:szCs w:val="21"/>
          <w:highlight w:val="none"/>
        </w:rPr>
        <w:t>。</w:t>
      </w:r>
    </w:p>
    <w:sectPr>
      <w:pgSz w:w="11907" w:h="16840"/>
      <w:pgMar w:top="1077" w:right="1275" w:bottom="1418" w:left="1077" w:header="62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0000000000000000000"/>
    <w:charset w:val="86"/>
    <w:family w:val="auto"/>
    <w:pitch w:val="default"/>
    <w:sig w:usb0="00000000" w:usb1="00000000" w:usb2="00000012" w:usb3="00000000" w:csb0="00040000" w:csb1="00000000"/>
  </w:font>
  <w:font w:name="汉仪字典宋简">
    <w:altName w:val="宋体"/>
    <w:panose1 w:val="00000000000000000000"/>
    <w:charset w:val="86"/>
    <w:family w:val="auto"/>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A7797">
    <w:pPr>
      <w:pStyle w:val="25"/>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F6CD">
    <w:pPr>
      <w:pStyle w:val="25"/>
      <w:jc w:val="right"/>
    </w:pPr>
    <w:r>
      <w:rPr>
        <w:rFonts w:hint="eastAsia"/>
      </w:rPr>
      <w:t>广西桂水工程咨询有限公司编制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B5AB">
    <w:pPr>
      <w:pStyle w:val="25"/>
      <w:framePr w:wrap="around" w:vAnchor="text" w:hAnchor="margin" w:xAlign="center" w:y="1"/>
      <w:rPr>
        <w:rStyle w:val="45"/>
      </w:rPr>
    </w:pPr>
    <w:r>
      <w:fldChar w:fldCharType="begin"/>
    </w:r>
    <w:r>
      <w:rPr>
        <w:rStyle w:val="45"/>
      </w:rPr>
      <w:instrText xml:space="preserve">PAGE  </w:instrText>
    </w:r>
    <w:r>
      <w:fldChar w:fldCharType="separate"/>
    </w:r>
    <w:r>
      <w:rPr>
        <w:rStyle w:val="45"/>
      </w:rPr>
      <w:t>3</w:t>
    </w:r>
    <w:r>
      <w:fldChar w:fldCharType="end"/>
    </w:r>
  </w:p>
  <w:p w14:paraId="456E633A">
    <w:pPr>
      <w:pStyle w:val="25"/>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AD322">
    <w:pPr>
      <w:pStyle w:val="25"/>
      <w:framePr w:wrap="around" w:vAnchor="text" w:hAnchor="margin" w:xAlign="center" w:y="1"/>
      <w:rPr>
        <w:rStyle w:val="45"/>
      </w:rPr>
    </w:pPr>
    <w:r>
      <w:fldChar w:fldCharType="begin"/>
    </w:r>
    <w:r>
      <w:rPr>
        <w:rStyle w:val="45"/>
      </w:rPr>
      <w:instrText xml:space="preserve">PAGE  </w:instrText>
    </w:r>
    <w:r>
      <w:fldChar w:fldCharType="separate"/>
    </w:r>
    <w:r>
      <w:rPr>
        <w:rStyle w:val="45"/>
      </w:rPr>
      <w:t>50</w:t>
    </w:r>
    <w:r>
      <w:fldChar w:fldCharType="end"/>
    </w:r>
  </w:p>
  <w:p w14:paraId="7F584D76">
    <w:pPr>
      <w:pStyle w:val="2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9158">
    <w:pPr>
      <w:pStyle w:val="2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5F6A">
    <w:pPr>
      <w:pStyle w:val="26"/>
    </w:pPr>
    <w:r>
      <w:rPr>
        <w:rFonts w:hint="eastAsia" w:ascii="宋体" w:hAnsi="宋体"/>
        <w:color w:val="000000"/>
        <w:szCs w:val="21"/>
      </w:rPr>
      <w:t>田东县平马镇东区小学项目地质勘察服务</w:t>
    </w:r>
    <w:r>
      <w:rPr>
        <w:rFonts w:hint="eastAsia" w:ascii="宋体" w:hAnsi="宋体"/>
      </w:rPr>
      <w:t>GXZC2019-J1-0016-GS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C8D6">
    <w:pPr>
      <w:pStyle w:val="2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616CC"/>
    <w:multiLevelType w:val="multilevel"/>
    <w:tmpl w:val="2E2616CC"/>
    <w:lvl w:ilvl="0" w:tentative="0">
      <w:start w:val="1"/>
      <w:numFmt w:val="decimal"/>
      <w:lvlText w:val="（%1）"/>
      <w:lvlJc w:val="left"/>
      <w:pPr>
        <w:tabs>
          <w:tab w:val="left" w:pos="1140"/>
        </w:tabs>
        <w:ind w:left="1140" w:hanging="720"/>
      </w:pPr>
      <w:rPr>
        <w:rFonts w:hint="default"/>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4CBF751F"/>
    <w:multiLevelType w:val="multilevel"/>
    <w:tmpl w:val="4CBF751F"/>
    <w:lvl w:ilvl="0" w:tentative="0">
      <w:start w:val="1"/>
      <w:numFmt w:val="decimal"/>
      <w:lvlText w:val="%1."/>
      <w:lvlJc w:val="left"/>
      <w:pPr>
        <w:ind w:left="420" w:hanging="420"/>
      </w:pPr>
      <w:rPr>
        <w:rFonts w:hint="eastAsia" w:eastAsia="仿宋_GB2312" w:cs="Times New Roman"/>
        <w:color w:val="auto"/>
        <w:sz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63242F60"/>
    <w:multiLevelType w:val="singleLevel"/>
    <w:tmpl w:val="63242F60"/>
    <w:lvl w:ilvl="0" w:tentative="0">
      <w:start w:val="2"/>
      <w:numFmt w:val="decimal"/>
      <w:suff w:val="nothing"/>
      <w:lvlText w:val="%1、"/>
      <w:lvlJc w:val="left"/>
    </w:lvl>
  </w:abstractNum>
  <w:abstractNum w:abstractNumId="5">
    <w:nsid w:val="76C94796"/>
    <w:multiLevelType w:val="multilevel"/>
    <w:tmpl w:val="76C94796"/>
    <w:lvl w:ilvl="0" w:tentative="0">
      <w:start w:val="1"/>
      <w:numFmt w:val="decimal"/>
      <w:lvlText w:val="%1)"/>
      <w:lvlJc w:val="left"/>
      <w:pPr>
        <w:ind w:left="92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H93cm4hYtVFEeXNbFfNI/l8W2FY=" w:salt="4fmjknQByKe1dIioKzcc6A=="/>
  <w:defaultTabStop w:val="0"/>
  <w:displayHorizontalDrawingGridEvery w:val="1"/>
  <w:displayVerticalDrawingGridEvery w:val="1"/>
  <w:noPunctuationKerning w:val="1"/>
  <w:characterSpacingControl w:val="compressPunctuation"/>
  <w:footnotePr>
    <w:footnote w:id="0"/>
    <w:footnote w:id="1"/>
  </w:footnotePr>
  <w:compat>
    <w:spaceForUL/>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1C"/>
    <w:rsid w:val="00071550"/>
    <w:rsid w:val="00121D1D"/>
    <w:rsid w:val="001A7327"/>
    <w:rsid w:val="003111A1"/>
    <w:rsid w:val="00360CFB"/>
    <w:rsid w:val="003979F3"/>
    <w:rsid w:val="003A426F"/>
    <w:rsid w:val="005D229A"/>
    <w:rsid w:val="008F62F7"/>
    <w:rsid w:val="009A6535"/>
    <w:rsid w:val="00B00BD6"/>
    <w:rsid w:val="00B801FE"/>
    <w:rsid w:val="00CE318A"/>
    <w:rsid w:val="00E565A0"/>
    <w:rsid w:val="00EC551C"/>
    <w:rsid w:val="04036024"/>
    <w:rsid w:val="05CE0EA8"/>
    <w:rsid w:val="067D1DBB"/>
    <w:rsid w:val="084103C7"/>
    <w:rsid w:val="08AE6223"/>
    <w:rsid w:val="09A92667"/>
    <w:rsid w:val="0D0C4F86"/>
    <w:rsid w:val="1016181B"/>
    <w:rsid w:val="11870B79"/>
    <w:rsid w:val="12136CCC"/>
    <w:rsid w:val="12427603"/>
    <w:rsid w:val="12676085"/>
    <w:rsid w:val="1425345A"/>
    <w:rsid w:val="15010816"/>
    <w:rsid w:val="15C2342E"/>
    <w:rsid w:val="16535A2F"/>
    <w:rsid w:val="1A561CD6"/>
    <w:rsid w:val="214E201A"/>
    <w:rsid w:val="21BF4088"/>
    <w:rsid w:val="21CB18BC"/>
    <w:rsid w:val="24AD4533"/>
    <w:rsid w:val="25FF6609"/>
    <w:rsid w:val="2D7F64FA"/>
    <w:rsid w:val="2E747329"/>
    <w:rsid w:val="2FC61CC0"/>
    <w:rsid w:val="30FA5E8E"/>
    <w:rsid w:val="32A73338"/>
    <w:rsid w:val="348559EA"/>
    <w:rsid w:val="35DD5A99"/>
    <w:rsid w:val="35EA3A52"/>
    <w:rsid w:val="3787086C"/>
    <w:rsid w:val="38FB5325"/>
    <w:rsid w:val="3AA31AF0"/>
    <w:rsid w:val="3B2172E5"/>
    <w:rsid w:val="3E605D42"/>
    <w:rsid w:val="3E665F4E"/>
    <w:rsid w:val="3FAE21A9"/>
    <w:rsid w:val="43606F47"/>
    <w:rsid w:val="43BF4123"/>
    <w:rsid w:val="459C198D"/>
    <w:rsid w:val="46524EFC"/>
    <w:rsid w:val="46560EA5"/>
    <w:rsid w:val="47BE6D02"/>
    <w:rsid w:val="48C81525"/>
    <w:rsid w:val="48EC78B8"/>
    <w:rsid w:val="4D2565A8"/>
    <w:rsid w:val="4FF94CD0"/>
    <w:rsid w:val="51280E55"/>
    <w:rsid w:val="53661A3E"/>
    <w:rsid w:val="54C4000C"/>
    <w:rsid w:val="54FE4BE1"/>
    <w:rsid w:val="5BD7618C"/>
    <w:rsid w:val="5C4111B4"/>
    <w:rsid w:val="5E325D36"/>
    <w:rsid w:val="61252C26"/>
    <w:rsid w:val="621E332F"/>
    <w:rsid w:val="63F21418"/>
    <w:rsid w:val="655D50DF"/>
    <w:rsid w:val="65E62AFE"/>
    <w:rsid w:val="67BF02B5"/>
    <w:rsid w:val="6A634033"/>
    <w:rsid w:val="6A6E35CE"/>
    <w:rsid w:val="6AC00E5F"/>
    <w:rsid w:val="6AEB14D2"/>
    <w:rsid w:val="6B7A75DA"/>
    <w:rsid w:val="705D1E68"/>
    <w:rsid w:val="70B90980"/>
    <w:rsid w:val="71C747FB"/>
    <w:rsid w:val="71D2426E"/>
    <w:rsid w:val="75D16A56"/>
    <w:rsid w:val="76E0219F"/>
    <w:rsid w:val="78530190"/>
    <w:rsid w:val="79AF1E94"/>
    <w:rsid w:val="7A21233F"/>
    <w:rsid w:val="7C296A2E"/>
    <w:rsid w:val="7D7C39D0"/>
    <w:rsid w:val="7EE8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link w:val="79"/>
    <w:qFormat/>
    <w:uiPriority w:val="0"/>
    <w:pPr>
      <w:keepNext/>
      <w:adjustRightInd/>
      <w:snapToGrid/>
      <w:spacing w:after="0" w:line="400" w:lineRule="exact"/>
      <w:jc w:val="center"/>
      <w:outlineLvl w:val="0"/>
    </w:pPr>
    <w:rPr>
      <w:rFonts w:ascii="黑体" w:hAnsi="Times New Roman" w:eastAsia="黑体" w:cs="Times New Roman"/>
      <w:sz w:val="36"/>
      <w:szCs w:val="20"/>
    </w:rPr>
  </w:style>
  <w:style w:type="paragraph" w:styleId="3">
    <w:name w:val="heading 2"/>
    <w:basedOn w:val="1"/>
    <w:next w:val="1"/>
    <w:link w:val="88"/>
    <w:qFormat/>
    <w:uiPriority w:val="0"/>
    <w:pPr>
      <w:keepNext/>
      <w:keepLines/>
      <w:widowControl w:val="0"/>
      <w:adjustRightInd/>
      <w:snapToGrid/>
      <w:spacing w:after="0" w:line="380" w:lineRule="atLeast"/>
      <w:jc w:val="center"/>
      <w:outlineLvl w:val="1"/>
    </w:pPr>
    <w:rPr>
      <w:rFonts w:ascii="Arial" w:hAnsi="Arial" w:eastAsia="黑体" w:cs="Times New Roman"/>
      <w:bCs/>
      <w:sz w:val="32"/>
      <w:szCs w:val="32"/>
    </w:rPr>
  </w:style>
  <w:style w:type="paragraph" w:styleId="4">
    <w:name w:val="heading 3"/>
    <w:basedOn w:val="1"/>
    <w:next w:val="1"/>
    <w:link w:val="81"/>
    <w:qFormat/>
    <w:uiPriority w:val="0"/>
    <w:pPr>
      <w:keepNext/>
      <w:keepLines/>
      <w:widowControl w:val="0"/>
      <w:adjustRightInd/>
      <w:snapToGrid/>
      <w:spacing w:after="0" w:line="380" w:lineRule="exact"/>
      <w:jc w:val="center"/>
      <w:outlineLvl w:val="2"/>
    </w:pPr>
    <w:rPr>
      <w:rFonts w:hint="eastAsia" w:ascii="宋体" w:hAnsi="宋体" w:eastAsia="宋体" w:cs="Times New Roman"/>
      <w:bCs/>
      <w:sz w:val="30"/>
      <w:szCs w:val="32"/>
    </w:rPr>
  </w:style>
  <w:style w:type="paragraph" w:styleId="5">
    <w:name w:val="heading 4"/>
    <w:basedOn w:val="1"/>
    <w:next w:val="1"/>
    <w:link w:val="82"/>
    <w:qFormat/>
    <w:uiPriority w:val="0"/>
    <w:pPr>
      <w:keepNext/>
      <w:keepLines/>
      <w:widowControl w:val="0"/>
      <w:adjustRightInd/>
      <w:snapToGrid/>
      <w:spacing w:before="280" w:after="290" w:line="376" w:lineRule="auto"/>
      <w:jc w:val="both"/>
      <w:outlineLvl w:val="3"/>
    </w:pPr>
    <w:rPr>
      <w:rFonts w:ascii="Cambria" w:hAnsi="Cambria" w:eastAsia="宋体" w:cs="Times New Roman"/>
      <w:b/>
      <w:bCs/>
      <w:kern w:val="2"/>
      <w:sz w:val="28"/>
      <w:szCs w:val="28"/>
    </w:rPr>
  </w:style>
  <w:style w:type="paragraph" w:styleId="6">
    <w:name w:val="heading 5"/>
    <w:basedOn w:val="1"/>
    <w:next w:val="7"/>
    <w:link w:val="8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8">
    <w:name w:val="heading 6"/>
    <w:basedOn w:val="1"/>
    <w:next w:val="1"/>
    <w:link w:val="84"/>
    <w:qFormat/>
    <w:uiPriority w:val="0"/>
    <w:pPr>
      <w:keepNext/>
      <w:keepLines/>
      <w:adjustRightInd/>
      <w:snapToGrid/>
      <w:spacing w:before="240" w:after="64" w:line="319" w:lineRule="auto"/>
      <w:outlineLvl w:val="5"/>
    </w:pPr>
    <w:rPr>
      <w:rFonts w:ascii="Arial" w:hAnsi="Arial" w:eastAsia="黑体" w:cs="Times New Roman"/>
      <w:b/>
      <w:bCs/>
      <w:sz w:val="24"/>
      <w:szCs w:val="24"/>
    </w:rPr>
  </w:style>
  <w:style w:type="paragraph" w:styleId="9">
    <w:name w:val="heading 7"/>
    <w:basedOn w:val="1"/>
    <w:next w:val="1"/>
    <w:link w:val="85"/>
    <w:qFormat/>
    <w:uiPriority w:val="0"/>
    <w:pPr>
      <w:keepNext/>
      <w:keepLines/>
      <w:adjustRightInd/>
      <w:snapToGrid/>
      <w:spacing w:before="240" w:after="64" w:line="319" w:lineRule="auto"/>
      <w:outlineLvl w:val="6"/>
    </w:pPr>
    <w:rPr>
      <w:rFonts w:ascii="Times New Roman" w:hAnsi="Times New Roman" w:eastAsia="宋体" w:cs="Times New Roman"/>
      <w:b/>
      <w:bCs/>
      <w:sz w:val="24"/>
      <w:szCs w:val="24"/>
    </w:rPr>
  </w:style>
  <w:style w:type="paragraph" w:styleId="10">
    <w:name w:val="heading 8"/>
    <w:basedOn w:val="1"/>
    <w:next w:val="1"/>
    <w:link w:val="86"/>
    <w:qFormat/>
    <w:uiPriority w:val="0"/>
    <w:pPr>
      <w:keepNext/>
      <w:keepLines/>
      <w:adjustRightInd/>
      <w:snapToGrid/>
      <w:spacing w:before="240" w:after="64" w:line="319" w:lineRule="auto"/>
      <w:outlineLvl w:val="7"/>
    </w:pPr>
    <w:rPr>
      <w:rFonts w:ascii="Arial" w:hAnsi="Arial" w:eastAsia="黑体" w:cs="Times New Roman"/>
      <w:sz w:val="24"/>
      <w:szCs w:val="24"/>
    </w:rPr>
  </w:style>
  <w:style w:type="paragraph" w:styleId="11">
    <w:name w:val="heading 9"/>
    <w:basedOn w:val="1"/>
    <w:next w:val="1"/>
    <w:link w:val="87"/>
    <w:qFormat/>
    <w:uiPriority w:val="0"/>
    <w:pPr>
      <w:keepNext/>
      <w:keepLines/>
      <w:adjustRightInd/>
      <w:snapToGrid/>
      <w:spacing w:before="240" w:after="64" w:line="319" w:lineRule="auto"/>
      <w:outlineLvl w:val="8"/>
    </w:pPr>
    <w:rPr>
      <w:rFonts w:ascii="Arial" w:hAnsi="Arial" w:eastAsia="黑体" w:cs="Times New Roman"/>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07"/>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12">
    <w:name w:val="toc 7"/>
    <w:basedOn w:val="1"/>
    <w:next w:val="1"/>
    <w:qFormat/>
    <w:uiPriority w:val="0"/>
    <w:pPr>
      <w:widowControl w:val="0"/>
      <w:adjustRightInd/>
      <w:snapToGrid/>
      <w:spacing w:after="0"/>
      <w:ind w:left="1260"/>
    </w:pPr>
    <w:rPr>
      <w:rFonts w:ascii="Times New Roman" w:hAnsi="Times New Roman" w:eastAsia="宋体" w:cs="Times New Roman"/>
      <w:kern w:val="2"/>
      <w:sz w:val="18"/>
      <w:szCs w:val="18"/>
    </w:rPr>
  </w:style>
  <w:style w:type="paragraph" w:styleId="13">
    <w:name w:val="index 8"/>
    <w:basedOn w:val="1"/>
    <w:next w:val="1"/>
    <w:qFormat/>
    <w:uiPriority w:val="0"/>
    <w:pPr>
      <w:ind w:left="2940"/>
    </w:pPr>
  </w:style>
  <w:style w:type="paragraph" w:styleId="14">
    <w:name w:val="Document Map"/>
    <w:basedOn w:val="1"/>
    <w:link w:val="101"/>
    <w:semiHidden/>
    <w:qFormat/>
    <w:uiPriority w:val="0"/>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15">
    <w:name w:val="annotation text"/>
    <w:basedOn w:val="1"/>
    <w:link w:val="94"/>
    <w:qFormat/>
    <w:uiPriority w:val="0"/>
    <w:pPr>
      <w:widowControl w:val="0"/>
      <w:adjustRightInd/>
      <w:snapToGrid/>
      <w:spacing w:after="0"/>
    </w:pPr>
    <w:rPr>
      <w:rFonts w:ascii="Times New Roman" w:hAnsi="Times New Roman" w:eastAsia="宋体" w:cs="Times New Roman"/>
      <w:kern w:val="2"/>
      <w:sz w:val="21"/>
      <w:szCs w:val="24"/>
    </w:rPr>
  </w:style>
  <w:style w:type="paragraph" w:styleId="16">
    <w:name w:val="Body Text"/>
    <w:basedOn w:val="1"/>
    <w:link w:val="100"/>
    <w:qFormat/>
    <w:uiPriority w:val="0"/>
    <w:pPr>
      <w:widowControl w:val="0"/>
      <w:adjustRightInd/>
      <w:snapToGrid/>
      <w:spacing w:after="0"/>
      <w:jc w:val="center"/>
    </w:pPr>
    <w:rPr>
      <w:rFonts w:ascii="Times New Roman" w:hAnsi="Times New Roman" w:eastAsia="宋体" w:cs="Times New Roman"/>
      <w:kern w:val="2"/>
      <w:sz w:val="52"/>
      <w:szCs w:val="24"/>
    </w:rPr>
  </w:style>
  <w:style w:type="paragraph" w:styleId="17">
    <w:name w:val="Body Text Indent"/>
    <w:basedOn w:val="1"/>
    <w:link w:val="95"/>
    <w:qFormat/>
    <w:uiPriority w:val="0"/>
    <w:pPr>
      <w:widowControl w:val="0"/>
      <w:adjustRightInd/>
      <w:snapToGrid/>
      <w:spacing w:after="0" w:line="440" w:lineRule="exact"/>
      <w:ind w:firstLine="419" w:firstLineChars="196"/>
      <w:jc w:val="both"/>
    </w:pPr>
    <w:rPr>
      <w:rFonts w:ascii="宋体" w:hAnsi="宋体" w:eastAsia="宋体" w:cs="Courier New"/>
      <w:spacing w:val="2"/>
      <w:kern w:val="2"/>
      <w:sz w:val="21"/>
      <w:szCs w:val="24"/>
    </w:rPr>
  </w:style>
  <w:style w:type="paragraph" w:styleId="18">
    <w:name w:val="toc 5"/>
    <w:basedOn w:val="1"/>
    <w:next w:val="1"/>
    <w:qFormat/>
    <w:uiPriority w:val="0"/>
    <w:pPr>
      <w:widowControl w:val="0"/>
      <w:adjustRightInd/>
      <w:snapToGrid/>
      <w:spacing w:after="0"/>
      <w:ind w:left="840"/>
    </w:pPr>
    <w:rPr>
      <w:rFonts w:ascii="Times New Roman" w:hAnsi="Times New Roman" w:eastAsia="宋体" w:cs="Times New Roman"/>
      <w:kern w:val="2"/>
      <w:sz w:val="18"/>
      <w:szCs w:val="18"/>
    </w:rPr>
  </w:style>
  <w:style w:type="paragraph" w:styleId="19">
    <w:name w:val="toc 3"/>
    <w:basedOn w:val="1"/>
    <w:next w:val="1"/>
    <w:qFormat/>
    <w:uiPriority w:val="39"/>
    <w:pPr>
      <w:widowControl w:val="0"/>
      <w:adjustRightInd/>
      <w:snapToGrid/>
      <w:spacing w:after="0"/>
      <w:ind w:left="420"/>
    </w:pPr>
    <w:rPr>
      <w:rFonts w:ascii="Times New Roman" w:hAnsi="Times New Roman" w:eastAsia="宋体" w:cs="Times New Roman"/>
      <w:i/>
      <w:iCs/>
      <w:kern w:val="2"/>
      <w:sz w:val="20"/>
      <w:szCs w:val="20"/>
    </w:rPr>
  </w:style>
  <w:style w:type="paragraph" w:styleId="20">
    <w:name w:val="Plain Text"/>
    <w:basedOn w:val="1"/>
    <w:next w:val="13"/>
    <w:link w:val="91"/>
    <w:qFormat/>
    <w:uiPriority w:val="0"/>
    <w:pPr>
      <w:widowControl w:val="0"/>
      <w:adjustRightInd/>
      <w:snapToGrid/>
      <w:spacing w:after="0"/>
      <w:jc w:val="both"/>
    </w:pPr>
    <w:rPr>
      <w:rFonts w:ascii="宋体" w:hAnsi="Courier New" w:eastAsia="宋体"/>
      <w:kern w:val="2"/>
      <w:sz w:val="21"/>
    </w:rPr>
  </w:style>
  <w:style w:type="paragraph" w:styleId="21">
    <w:name w:val="toc 8"/>
    <w:basedOn w:val="1"/>
    <w:next w:val="1"/>
    <w:qFormat/>
    <w:uiPriority w:val="0"/>
    <w:pPr>
      <w:widowControl w:val="0"/>
      <w:adjustRightInd/>
      <w:snapToGrid/>
      <w:spacing w:after="0"/>
      <w:ind w:left="1470"/>
    </w:pPr>
    <w:rPr>
      <w:rFonts w:ascii="Times New Roman" w:hAnsi="Times New Roman" w:eastAsia="宋体" w:cs="Times New Roman"/>
      <w:kern w:val="2"/>
      <w:sz w:val="18"/>
      <w:szCs w:val="18"/>
    </w:rPr>
  </w:style>
  <w:style w:type="paragraph" w:styleId="22">
    <w:name w:val="Date"/>
    <w:basedOn w:val="1"/>
    <w:next w:val="1"/>
    <w:link w:val="102"/>
    <w:qFormat/>
    <w:uiPriority w:val="0"/>
    <w:pPr>
      <w:widowControl w:val="0"/>
      <w:adjustRightInd/>
      <w:snapToGrid/>
      <w:spacing w:after="0"/>
      <w:ind w:left="100" w:leftChars="2500"/>
      <w:jc w:val="both"/>
    </w:pPr>
    <w:rPr>
      <w:rFonts w:ascii="Times New Roman" w:hAnsi="Times New Roman" w:eastAsia="宋体" w:cs="Times New Roman"/>
      <w:kern w:val="2"/>
      <w:sz w:val="21"/>
      <w:szCs w:val="24"/>
    </w:rPr>
  </w:style>
  <w:style w:type="paragraph" w:styleId="23">
    <w:name w:val="Body Text Indent 2"/>
    <w:basedOn w:val="1"/>
    <w:link w:val="96"/>
    <w:qFormat/>
    <w:uiPriority w:val="0"/>
    <w:pPr>
      <w:widowControl w:val="0"/>
      <w:adjustRightInd/>
      <w:snapToGrid/>
      <w:spacing w:after="0" w:line="420" w:lineRule="exact"/>
      <w:ind w:firstLine="409" w:firstLineChars="195"/>
      <w:jc w:val="both"/>
    </w:pPr>
    <w:rPr>
      <w:rFonts w:ascii="Times New Roman" w:hAnsi="Times New Roman" w:eastAsia="宋体" w:cs="Times New Roman"/>
      <w:kern w:val="2"/>
      <w:sz w:val="21"/>
      <w:szCs w:val="24"/>
    </w:rPr>
  </w:style>
  <w:style w:type="paragraph" w:styleId="24">
    <w:name w:val="Balloon Text"/>
    <w:basedOn w:val="1"/>
    <w:link w:val="97"/>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25">
    <w:name w:val="footer"/>
    <w:basedOn w:val="1"/>
    <w:link w:val="78"/>
    <w:unhideWhenUsed/>
    <w:qFormat/>
    <w:uiPriority w:val="0"/>
    <w:pPr>
      <w:tabs>
        <w:tab w:val="center" w:pos="4153"/>
        <w:tab w:val="right" w:pos="8306"/>
      </w:tabs>
    </w:pPr>
    <w:rPr>
      <w:sz w:val="18"/>
      <w:szCs w:val="18"/>
    </w:rPr>
  </w:style>
  <w:style w:type="paragraph" w:styleId="26">
    <w:name w:val="header"/>
    <w:basedOn w:val="1"/>
    <w:link w:val="77"/>
    <w:unhideWhenUsed/>
    <w:qFormat/>
    <w:uiPriority w:val="0"/>
    <w:pPr>
      <w:pBdr>
        <w:bottom w:val="single" w:color="auto" w:sz="6" w:space="1"/>
      </w:pBdr>
      <w:tabs>
        <w:tab w:val="center" w:pos="4153"/>
        <w:tab w:val="right" w:pos="8306"/>
      </w:tabs>
      <w:jc w:val="center"/>
    </w:pPr>
    <w:rPr>
      <w:sz w:val="18"/>
      <w:szCs w:val="18"/>
    </w:rPr>
  </w:style>
  <w:style w:type="paragraph" w:styleId="27">
    <w:name w:val="toc 1"/>
    <w:basedOn w:val="1"/>
    <w:next w:val="1"/>
    <w:qFormat/>
    <w:uiPriority w:val="39"/>
    <w:pPr>
      <w:widowControl w:val="0"/>
      <w:adjustRightInd/>
      <w:snapToGrid/>
      <w:spacing w:before="120" w:after="120"/>
    </w:pPr>
    <w:rPr>
      <w:rFonts w:ascii="Times New Roman" w:hAnsi="Times New Roman" w:eastAsia="宋体" w:cs="Times New Roman"/>
      <w:b/>
      <w:bCs/>
      <w:caps/>
      <w:kern w:val="2"/>
      <w:sz w:val="20"/>
      <w:szCs w:val="20"/>
    </w:rPr>
  </w:style>
  <w:style w:type="paragraph" w:styleId="28">
    <w:name w:val="toc 4"/>
    <w:basedOn w:val="1"/>
    <w:next w:val="1"/>
    <w:qFormat/>
    <w:uiPriority w:val="0"/>
    <w:pPr>
      <w:widowControl w:val="0"/>
      <w:adjustRightInd/>
      <w:snapToGrid/>
      <w:spacing w:after="0"/>
      <w:ind w:left="630"/>
    </w:pPr>
    <w:rPr>
      <w:rFonts w:ascii="Times New Roman" w:hAnsi="Times New Roman" w:eastAsia="宋体" w:cs="Times New Roman"/>
      <w:kern w:val="2"/>
      <w:sz w:val="18"/>
      <w:szCs w:val="18"/>
    </w:rPr>
  </w:style>
  <w:style w:type="paragraph" w:styleId="29">
    <w:name w:val="List"/>
    <w:basedOn w:val="1"/>
    <w:qFormat/>
    <w:uiPriority w:val="0"/>
    <w:pPr>
      <w:widowControl w:val="0"/>
      <w:adjustRightInd/>
      <w:snapToGrid/>
      <w:spacing w:after="0" w:line="340" w:lineRule="exact"/>
      <w:jc w:val="both"/>
    </w:pPr>
    <w:rPr>
      <w:rFonts w:ascii="Times New Roman" w:hAnsi="Times New Roman" w:eastAsia="楷体_GB2312" w:cs="Times New Roman"/>
      <w:kern w:val="2"/>
      <w:sz w:val="24"/>
      <w:szCs w:val="20"/>
    </w:rPr>
  </w:style>
  <w:style w:type="paragraph" w:styleId="30">
    <w:name w:val="toc 6"/>
    <w:basedOn w:val="1"/>
    <w:next w:val="1"/>
    <w:qFormat/>
    <w:uiPriority w:val="0"/>
    <w:pPr>
      <w:widowControl w:val="0"/>
      <w:adjustRightInd/>
      <w:snapToGrid/>
      <w:spacing w:after="0"/>
      <w:ind w:left="1050"/>
    </w:pPr>
    <w:rPr>
      <w:rFonts w:ascii="Times New Roman" w:hAnsi="Times New Roman" w:eastAsia="宋体" w:cs="Times New Roman"/>
      <w:kern w:val="2"/>
      <w:sz w:val="18"/>
      <w:szCs w:val="18"/>
    </w:rPr>
  </w:style>
  <w:style w:type="paragraph" w:styleId="31">
    <w:name w:val="Body Text Indent 3"/>
    <w:basedOn w:val="1"/>
    <w:link w:val="99"/>
    <w:qFormat/>
    <w:uiPriority w:val="0"/>
    <w:pPr>
      <w:widowControl w:val="0"/>
      <w:adjustRightInd/>
      <w:snapToGrid/>
      <w:spacing w:after="0" w:line="480" w:lineRule="exact"/>
      <w:ind w:firstLine="420" w:firstLineChars="200"/>
      <w:jc w:val="both"/>
    </w:pPr>
    <w:rPr>
      <w:rFonts w:ascii="宋体" w:hAnsi="Courier New" w:eastAsia="宋体" w:cs="Courier New"/>
      <w:kern w:val="2"/>
      <w:sz w:val="21"/>
      <w:szCs w:val="24"/>
    </w:rPr>
  </w:style>
  <w:style w:type="paragraph" w:styleId="32">
    <w:name w:val="toc 2"/>
    <w:basedOn w:val="1"/>
    <w:next w:val="1"/>
    <w:qFormat/>
    <w:uiPriority w:val="39"/>
    <w:pPr>
      <w:widowControl w:val="0"/>
      <w:adjustRightInd/>
      <w:snapToGrid/>
      <w:spacing w:after="0"/>
      <w:ind w:left="210"/>
    </w:pPr>
    <w:rPr>
      <w:rFonts w:ascii="Times New Roman" w:hAnsi="Times New Roman" w:eastAsia="宋体" w:cs="Times New Roman"/>
      <w:smallCaps/>
      <w:kern w:val="2"/>
      <w:sz w:val="20"/>
      <w:szCs w:val="20"/>
    </w:rPr>
  </w:style>
  <w:style w:type="paragraph" w:styleId="33">
    <w:name w:val="toc 9"/>
    <w:basedOn w:val="1"/>
    <w:next w:val="1"/>
    <w:qFormat/>
    <w:uiPriority w:val="0"/>
    <w:pPr>
      <w:widowControl w:val="0"/>
      <w:adjustRightInd/>
      <w:snapToGrid/>
      <w:spacing w:after="0"/>
      <w:ind w:left="1680"/>
    </w:pPr>
    <w:rPr>
      <w:rFonts w:ascii="Times New Roman" w:hAnsi="Times New Roman" w:eastAsia="宋体" w:cs="Times New Roman"/>
      <w:kern w:val="2"/>
      <w:sz w:val="18"/>
      <w:szCs w:val="18"/>
    </w:rPr>
  </w:style>
  <w:style w:type="paragraph" w:styleId="34">
    <w:name w:val="Body Text 2"/>
    <w:basedOn w:val="1"/>
    <w:link w:val="93"/>
    <w:qFormat/>
    <w:uiPriority w:val="0"/>
    <w:pPr>
      <w:widowControl w:val="0"/>
      <w:adjustRightInd/>
      <w:snapToGrid/>
      <w:spacing w:after="0" w:line="280" w:lineRule="exact"/>
      <w:jc w:val="center"/>
    </w:pPr>
    <w:rPr>
      <w:rFonts w:ascii="Times New Roman" w:hAnsi="Times New Roman" w:eastAsia="宋体" w:cs="Times New Roman"/>
      <w:kern w:val="2"/>
      <w:sz w:val="21"/>
      <w:szCs w:val="24"/>
    </w:rPr>
  </w:style>
  <w:style w:type="paragraph" w:styleId="3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paragraph" w:styleId="36">
    <w:name w:val="Title"/>
    <w:basedOn w:val="1"/>
    <w:next w:val="1"/>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98"/>
    <w:semiHidden/>
    <w:qFormat/>
    <w:uiPriority w:val="0"/>
    <w:rPr>
      <w:b/>
      <w:bCs/>
    </w:rPr>
  </w:style>
  <w:style w:type="paragraph" w:styleId="38">
    <w:name w:val="Body Text First Indent"/>
    <w:basedOn w:val="16"/>
    <w:qFormat/>
    <w:uiPriority w:val="0"/>
    <w:pPr>
      <w:spacing w:line="600" w:lineRule="exact"/>
      <w:ind w:firstLine="880" w:firstLineChars="200"/>
    </w:pPr>
    <w:rPr>
      <w:sz w:val="28"/>
    </w:rPr>
  </w:style>
  <w:style w:type="paragraph" w:styleId="39">
    <w:name w:val="Body Text First Indent 2"/>
    <w:basedOn w:val="17"/>
    <w:next w:val="40"/>
    <w:unhideWhenUsed/>
    <w:qFormat/>
    <w:uiPriority w:val="99"/>
    <w:pPr>
      <w:spacing w:after="120" w:line="240" w:lineRule="auto"/>
      <w:ind w:left="420" w:leftChars="200" w:firstLine="420"/>
    </w:pPr>
    <w:rPr>
      <w:rFonts w:ascii="Times New Roman"/>
      <w:sz w:val="28"/>
    </w:rPr>
  </w:style>
  <w:style w:type="paragraph" w:customStyle="1" w:styleId="40">
    <w:name w:val="明显引用1"/>
    <w:basedOn w:val="1"/>
    <w:next w:val="1"/>
    <w:qFormat/>
    <w:uiPriority w:val="0"/>
    <w:pPr>
      <w:pBdr>
        <w:bottom w:val="single" w:color="4F81BD" w:sz="4" w:space="4"/>
      </w:pBdr>
      <w:spacing w:before="200" w:after="280"/>
      <w:ind w:left="936" w:right="936"/>
    </w:pPr>
    <w:rPr>
      <w:rFonts w:ascii="Calibri" w:hAnsi="Calibri" w:eastAsia="宋体" w:cs="Times New Roman"/>
      <w:b/>
      <w:i/>
      <w:color w:val="4F81BD"/>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basedOn w:val="43"/>
    <w:qFormat/>
    <w:uiPriority w:val="99"/>
    <w:rPr>
      <w:color w:val="0000FF"/>
      <w:u w:val="single"/>
    </w:rPr>
  </w:style>
  <w:style w:type="character" w:styleId="48">
    <w:name w:val="annotation reference"/>
    <w:qFormat/>
    <w:uiPriority w:val="0"/>
    <w:rPr>
      <w:sz w:val="21"/>
      <w:szCs w:val="21"/>
    </w:rPr>
  </w:style>
  <w:style w:type="character" w:styleId="49">
    <w:name w:val="HTML Sample"/>
    <w:basedOn w:val="43"/>
    <w:semiHidden/>
    <w:unhideWhenUsed/>
    <w:qFormat/>
    <w:uiPriority w:val="99"/>
    <w:rPr>
      <w:rFonts w:ascii="Courier New" w:hAnsi="Courier New"/>
    </w:rPr>
  </w:style>
  <w:style w:type="paragraph" w:customStyle="1" w:styleId="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样式 标题 3 + 五号 黑色"/>
    <w:basedOn w:val="4"/>
    <w:link w:val="89"/>
    <w:qFormat/>
    <w:uiPriority w:val="0"/>
    <w:rPr>
      <w:rFonts w:hint="default" w:eastAsia="微软雅黑" w:cs="黑体"/>
      <w:color w:val="000000"/>
      <w:sz w:val="28"/>
    </w:rPr>
  </w:style>
  <w:style w:type="paragraph" w:customStyle="1" w:styleId="52">
    <w:name w:val="样式 标题 2"/>
    <w:basedOn w:val="3"/>
    <w:link w:val="92"/>
    <w:qFormat/>
    <w:uiPriority w:val="0"/>
  </w:style>
  <w:style w:type="paragraph" w:customStyle="1" w:styleId="53">
    <w:name w:val="样式 样式16 + 首行缩进:  2 字符"/>
    <w:basedOn w:val="1"/>
    <w:qFormat/>
    <w:uiPriority w:val="0"/>
    <w:pPr>
      <w:widowControl w:val="0"/>
      <w:adjustRightInd/>
      <w:snapToGrid/>
      <w:spacing w:after="0" w:line="400" w:lineRule="exact"/>
      <w:ind w:firstLine="200" w:firstLineChars="200"/>
      <w:jc w:val="both"/>
    </w:pPr>
    <w:rPr>
      <w:rFonts w:ascii="汉仪中宋简" w:hAnsi="宋体" w:eastAsia="汉仪字典宋简" w:cs="Times New Roman"/>
      <w:b/>
      <w:bCs/>
      <w:spacing w:val="2"/>
      <w:kern w:val="2"/>
      <w:sz w:val="24"/>
      <w:szCs w:val="20"/>
    </w:rPr>
  </w:style>
  <w:style w:type="paragraph" w:customStyle="1" w:styleId="54">
    <w:name w:val="图"/>
    <w:basedOn w:val="1"/>
    <w:qFormat/>
    <w:uiPriority w:val="0"/>
    <w:pPr>
      <w:keepNext/>
      <w:widowControl w:val="0"/>
      <w:spacing w:before="60" w:after="60" w:line="300" w:lineRule="auto"/>
      <w:jc w:val="center"/>
    </w:pPr>
    <w:rPr>
      <w:rFonts w:ascii="Times New Roman" w:hAnsi="Times New Roman" w:eastAsia="宋体" w:cs="Times New Roman"/>
      <w:spacing w:val="20"/>
      <w:sz w:val="24"/>
      <w:szCs w:val="20"/>
    </w:rPr>
  </w:style>
  <w:style w:type="paragraph" w:customStyle="1" w:styleId="55">
    <w:name w:val="_Style 32"/>
    <w:basedOn w:val="1"/>
    <w:qFormat/>
    <w:uiPriority w:val="0"/>
    <w:pPr>
      <w:widowControl w:val="0"/>
      <w:adjustRightInd/>
      <w:snapToGrid/>
      <w:spacing w:after="0"/>
      <w:jc w:val="both"/>
    </w:pPr>
    <w:rPr>
      <w:rFonts w:ascii="Times New Roman" w:hAnsi="Times New Roman" w:eastAsia="宋体" w:cs="Times New Roman"/>
      <w:sz w:val="24"/>
      <w:szCs w:val="20"/>
    </w:rPr>
  </w:style>
  <w:style w:type="paragraph" w:customStyle="1" w:styleId="56">
    <w:name w:val="Char"/>
    <w:basedOn w:val="1"/>
    <w:qFormat/>
    <w:uiPriority w:val="0"/>
    <w:pPr>
      <w:adjustRightInd/>
      <w:snapToGrid/>
      <w:spacing w:after="0" w:line="500" w:lineRule="exact"/>
      <w:jc w:val="both"/>
      <w:outlineLvl w:val="2"/>
    </w:pPr>
    <w:rPr>
      <w:rFonts w:ascii="黑体" w:hAnsi="Verdana" w:eastAsia="黑体"/>
      <w:sz w:val="28"/>
      <w:szCs w:val="28"/>
      <w:lang w:eastAsia="en-US"/>
    </w:rPr>
  </w:style>
  <w:style w:type="paragraph" w:customStyle="1" w:styleId="57">
    <w:name w:val="Char Char Char Char Char Char2 Char"/>
    <w:basedOn w:val="1"/>
    <w:qFormat/>
    <w:uiPriority w:val="0"/>
    <w:pPr>
      <w:widowControl w:val="0"/>
      <w:adjustRightInd/>
      <w:snapToGrid/>
      <w:spacing w:after="0" w:line="360" w:lineRule="auto"/>
      <w:ind w:firstLine="200" w:firstLineChars="200"/>
      <w:jc w:val="both"/>
    </w:pPr>
    <w:rPr>
      <w:rFonts w:ascii="宋体" w:hAnsi="宋体" w:eastAsia="宋体" w:cs="宋体"/>
      <w:kern w:val="2"/>
      <w:sz w:val="24"/>
      <w:szCs w:val="24"/>
    </w:rPr>
  </w:style>
  <w:style w:type="paragraph" w:customStyle="1" w:styleId="58">
    <w:name w:val="Char Char Char Char Char Char Char Char Char Char Char Char Char Char Char Char"/>
    <w:basedOn w:val="1"/>
    <w:qFormat/>
    <w:uiPriority w:val="0"/>
    <w:pPr>
      <w:widowControl w:val="0"/>
      <w:tabs>
        <w:tab w:val="left" w:pos="360"/>
      </w:tabs>
      <w:adjustRightInd/>
      <w:snapToGrid/>
      <w:spacing w:after="0"/>
      <w:jc w:val="both"/>
    </w:pPr>
    <w:rPr>
      <w:rFonts w:ascii="Times New Roman" w:hAnsi="Times New Roman" w:eastAsia="宋体" w:cs="Times New Roman"/>
      <w:kern w:val="2"/>
      <w:sz w:val="24"/>
      <w:szCs w:val="24"/>
    </w:rPr>
  </w:style>
  <w:style w:type="paragraph" w:customStyle="1" w:styleId="59">
    <w:name w:val="样式17"/>
    <w:basedOn w:val="1"/>
    <w:qFormat/>
    <w:uiPriority w:val="0"/>
    <w:pPr>
      <w:widowControl w:val="0"/>
      <w:adjustRightInd/>
      <w:snapToGrid/>
      <w:spacing w:after="0" w:line="500" w:lineRule="exact"/>
      <w:ind w:firstLine="200" w:firstLineChars="200"/>
      <w:jc w:val="both"/>
    </w:pPr>
    <w:rPr>
      <w:rFonts w:ascii="汉仪中宋简" w:hAnsi="宋体" w:eastAsia="汉仪字典宋简" w:cs="Times New Roman"/>
      <w:b/>
      <w:spacing w:val="2"/>
      <w:kern w:val="2"/>
      <w:sz w:val="24"/>
      <w:szCs w:val="20"/>
    </w:rPr>
  </w:style>
  <w:style w:type="paragraph" w:customStyle="1" w:styleId="60">
    <w:name w:val="1"/>
    <w:basedOn w:val="1"/>
    <w:next w:val="20"/>
    <w:qFormat/>
    <w:uiPriority w:val="0"/>
    <w:pPr>
      <w:widowControl w:val="0"/>
      <w:adjustRightInd/>
      <w:snapToGrid/>
      <w:spacing w:after="0"/>
      <w:jc w:val="both"/>
    </w:pPr>
    <w:rPr>
      <w:rFonts w:ascii="宋体" w:hAnsi="Courier New" w:eastAsia="宋体" w:cs="Times New Roman"/>
      <w:kern w:val="2"/>
      <w:sz w:val="21"/>
      <w:szCs w:val="20"/>
    </w:rPr>
  </w:style>
  <w:style w:type="paragraph" w:customStyle="1" w:styleId="61">
    <w:name w:val="Char1 Char Char Char"/>
    <w:basedOn w:val="1"/>
    <w:qFormat/>
    <w:uiPriority w:val="0"/>
    <w:pPr>
      <w:widowControl w:val="0"/>
      <w:adjustRightInd/>
      <w:snapToGrid/>
      <w:spacing w:after="0"/>
      <w:ind w:left="420" w:hanging="420"/>
      <w:jc w:val="both"/>
    </w:pPr>
    <w:rPr>
      <w:rFonts w:ascii="Times New Roman" w:hAnsi="Times New Roman" w:eastAsia="宋体" w:cs="Times New Roman"/>
      <w:kern w:val="2"/>
      <w:sz w:val="24"/>
      <w:szCs w:val="24"/>
    </w:rPr>
  </w:style>
  <w:style w:type="paragraph" w:customStyle="1" w:styleId="62">
    <w:name w:val="样式5"/>
    <w:basedOn w:val="1"/>
    <w:qFormat/>
    <w:uiPriority w:val="0"/>
    <w:pPr>
      <w:widowControl w:val="0"/>
      <w:adjustRightInd/>
      <w:snapToGrid/>
      <w:spacing w:after="0" w:line="440" w:lineRule="exact"/>
      <w:jc w:val="both"/>
    </w:pPr>
    <w:rPr>
      <w:rFonts w:ascii="汉仪中宋简" w:hAnsi="宋体" w:eastAsia="黑体" w:cs="Times New Roman"/>
      <w:kern w:val="2"/>
      <w:sz w:val="28"/>
      <w:szCs w:val="21"/>
    </w:rPr>
  </w:style>
  <w:style w:type="paragraph" w:customStyle="1" w:styleId="63">
    <w:name w:val="样式 样式 样式 样式 汉仪中宋简 (符号) 宋体 首行缩进:  2 字符 + 首行缩进:  2 字符 + 首行缩进:  2 字..."/>
    <w:basedOn w:val="1"/>
    <w:qFormat/>
    <w:uiPriority w:val="0"/>
    <w:pPr>
      <w:widowControl w:val="0"/>
      <w:adjustRightInd/>
      <w:snapToGrid/>
      <w:spacing w:after="0" w:line="440" w:lineRule="exact"/>
      <w:ind w:firstLine="488" w:firstLineChars="200"/>
      <w:jc w:val="both"/>
    </w:pPr>
    <w:rPr>
      <w:rFonts w:ascii="汉仪中宋简" w:hAnsi="宋体" w:eastAsia="汉仪字典宋简" w:cs="Times New Roman"/>
      <w:b/>
      <w:spacing w:val="2"/>
      <w:kern w:val="2"/>
      <w:sz w:val="24"/>
      <w:szCs w:val="20"/>
    </w:rPr>
  </w:style>
  <w:style w:type="paragraph" w:customStyle="1" w:styleId="64">
    <w:name w:val="Char Char Char Char"/>
    <w:basedOn w:val="14"/>
    <w:qFormat/>
    <w:uiPriority w:val="0"/>
    <w:rPr>
      <w:rFonts w:ascii="宋体" w:hAnsi="Courier New"/>
      <w:szCs w:val="20"/>
    </w:rPr>
  </w:style>
  <w:style w:type="paragraph" w:customStyle="1" w:styleId="65">
    <w:name w:val="样式3"/>
    <w:basedOn w:val="20"/>
    <w:qFormat/>
    <w:uiPriority w:val="0"/>
    <w:pPr>
      <w:adjustRightInd w:val="0"/>
      <w:spacing w:line="0" w:lineRule="atLeast"/>
      <w:textAlignment w:val="baseline"/>
      <w:outlineLvl w:val="0"/>
    </w:pPr>
    <w:rPr>
      <w:sz w:val="28"/>
    </w:rPr>
  </w:style>
  <w:style w:type="paragraph" w:customStyle="1" w:styleId="6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67">
    <w:name w:val="Char1"/>
    <w:basedOn w:val="1"/>
    <w:qFormat/>
    <w:uiPriority w:val="0"/>
    <w:pPr>
      <w:adjustRightInd/>
      <w:snapToGrid/>
      <w:spacing w:after="160" w:line="240" w:lineRule="exact"/>
    </w:pPr>
    <w:rPr>
      <w:rFonts w:ascii="Verdana" w:hAnsi="Verdana" w:eastAsia="宋体" w:cs="Times New Roman"/>
      <w:sz w:val="21"/>
      <w:szCs w:val="20"/>
      <w:lang w:eastAsia="en-US"/>
    </w:rPr>
  </w:style>
  <w:style w:type="paragraph" w:customStyle="1" w:styleId="68">
    <w:name w:val="Char Char2 Char Char Char Char Char Char Char Char Char Char Char Char"/>
    <w:basedOn w:val="1"/>
    <w:qFormat/>
    <w:uiPriority w:val="0"/>
    <w:pPr>
      <w:widowControl w:val="0"/>
      <w:adjustRightInd/>
      <w:snapToGrid/>
      <w:spacing w:after="0"/>
      <w:jc w:val="both"/>
    </w:pPr>
    <w:rPr>
      <w:rFonts w:eastAsia="宋体" w:cs="Times New Roman"/>
      <w:kern w:val="2"/>
      <w:sz w:val="24"/>
      <w:szCs w:val="20"/>
    </w:rPr>
  </w:style>
  <w:style w:type="paragraph" w:customStyle="1" w:styleId="69">
    <w:name w:val="Char Char Char2 Char"/>
    <w:basedOn w:val="1"/>
    <w:qFormat/>
    <w:uiPriority w:val="0"/>
    <w:pPr>
      <w:widowControl w:val="0"/>
      <w:tabs>
        <w:tab w:val="left" w:pos="815"/>
      </w:tabs>
      <w:adjustRightInd/>
      <w:snapToGrid/>
      <w:spacing w:after="0"/>
      <w:ind w:left="815" w:hanging="360"/>
      <w:jc w:val="both"/>
    </w:pPr>
    <w:rPr>
      <w:rFonts w:ascii="Times New Roman" w:hAnsi="Times New Roman" w:eastAsia="宋体" w:cs="Times New Roman"/>
      <w:kern w:val="2"/>
      <w:sz w:val="21"/>
      <w:szCs w:val="24"/>
    </w:rPr>
  </w:style>
  <w:style w:type="paragraph" w:customStyle="1" w:styleId="70">
    <w:name w:val="默认段落字体 Para Char Char Char Char Char Char Char Char Char1 Char"/>
    <w:basedOn w:val="14"/>
    <w:qFormat/>
    <w:uiPriority w:val="0"/>
    <w:pPr>
      <w:adjustRightInd w:val="0"/>
      <w:spacing w:line="436" w:lineRule="exact"/>
      <w:ind w:left="357"/>
      <w:jc w:val="left"/>
      <w:outlineLvl w:val="3"/>
    </w:pPr>
    <w:rPr>
      <w:shd w:val="clear" w:color="auto" w:fill="000080"/>
    </w:rPr>
  </w:style>
  <w:style w:type="paragraph" w:customStyle="1" w:styleId="71">
    <w:name w:val="列表段落1"/>
    <w:basedOn w:val="1"/>
    <w:qFormat/>
    <w:uiPriority w:val="34"/>
    <w:pPr>
      <w:ind w:firstLine="420" w:firstLineChars="200"/>
    </w:pPr>
  </w:style>
  <w:style w:type="paragraph" w:customStyle="1" w:styleId="72">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3">
    <w:name w:val="列出段落2"/>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74">
    <w:name w:val="缺省文本"/>
    <w:basedOn w:val="1"/>
    <w:qFormat/>
    <w:uiPriority w:val="0"/>
    <w:pPr>
      <w:autoSpaceDE w:val="0"/>
      <w:autoSpaceDN w:val="0"/>
    </w:pPr>
    <w:rPr>
      <w:sz w:val="24"/>
    </w:rPr>
  </w:style>
  <w:style w:type="paragraph" w:customStyle="1" w:styleId="75">
    <w:name w:val="正文段"/>
    <w:basedOn w:val="1"/>
    <w:qFormat/>
    <w:uiPriority w:val="0"/>
    <w:pPr>
      <w:spacing w:afterLines="50"/>
      <w:ind w:firstLine="200" w:firstLineChars="200"/>
    </w:pPr>
    <w:rPr>
      <w:sz w:val="24"/>
      <w:szCs w:val="20"/>
    </w:rPr>
  </w:style>
  <w:style w:type="paragraph" w:customStyle="1" w:styleId="76">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7">
    <w:name w:val="页眉 字符"/>
    <w:basedOn w:val="43"/>
    <w:link w:val="26"/>
    <w:semiHidden/>
    <w:qFormat/>
    <w:uiPriority w:val="99"/>
    <w:rPr>
      <w:rFonts w:ascii="Tahoma" w:hAnsi="Tahoma"/>
      <w:sz w:val="18"/>
      <w:szCs w:val="18"/>
    </w:rPr>
  </w:style>
  <w:style w:type="character" w:customStyle="1" w:styleId="78">
    <w:name w:val="页脚 字符"/>
    <w:basedOn w:val="43"/>
    <w:link w:val="25"/>
    <w:semiHidden/>
    <w:qFormat/>
    <w:uiPriority w:val="99"/>
    <w:rPr>
      <w:rFonts w:ascii="Tahoma" w:hAnsi="Tahoma"/>
      <w:sz w:val="18"/>
      <w:szCs w:val="18"/>
    </w:rPr>
  </w:style>
  <w:style w:type="character" w:customStyle="1" w:styleId="79">
    <w:name w:val="标题 1 字符"/>
    <w:basedOn w:val="43"/>
    <w:link w:val="2"/>
    <w:qFormat/>
    <w:uiPriority w:val="0"/>
    <w:rPr>
      <w:rFonts w:ascii="黑体" w:hAnsi="Times New Roman" w:eastAsia="黑体" w:cs="Times New Roman"/>
      <w:sz w:val="36"/>
      <w:szCs w:val="20"/>
    </w:rPr>
  </w:style>
  <w:style w:type="character" w:customStyle="1" w:styleId="80">
    <w:name w:val="标题 2 Char"/>
    <w:basedOn w:val="43"/>
    <w:qFormat/>
    <w:uiPriority w:val="0"/>
    <w:rPr>
      <w:rFonts w:ascii="Cambria" w:hAnsi="Cambria" w:eastAsia="宋体" w:cs="黑体"/>
      <w:b/>
      <w:bCs/>
      <w:sz w:val="32"/>
      <w:szCs w:val="32"/>
    </w:rPr>
  </w:style>
  <w:style w:type="character" w:customStyle="1" w:styleId="81">
    <w:name w:val="标题 3 字符"/>
    <w:basedOn w:val="43"/>
    <w:link w:val="4"/>
    <w:qFormat/>
    <w:uiPriority w:val="0"/>
    <w:rPr>
      <w:rFonts w:ascii="宋体" w:hAnsi="宋体" w:eastAsia="宋体" w:cs="Times New Roman"/>
      <w:bCs/>
      <w:sz w:val="30"/>
      <w:szCs w:val="32"/>
    </w:rPr>
  </w:style>
  <w:style w:type="character" w:customStyle="1" w:styleId="82">
    <w:name w:val="标题 4 字符"/>
    <w:basedOn w:val="43"/>
    <w:link w:val="5"/>
    <w:qFormat/>
    <w:uiPriority w:val="0"/>
    <w:rPr>
      <w:rFonts w:ascii="Cambria" w:hAnsi="Cambria" w:eastAsia="宋体" w:cs="Times New Roman"/>
      <w:b/>
      <w:bCs/>
      <w:kern w:val="2"/>
      <w:sz w:val="28"/>
      <w:szCs w:val="28"/>
    </w:rPr>
  </w:style>
  <w:style w:type="character" w:customStyle="1" w:styleId="83">
    <w:name w:val="标题 5 字符"/>
    <w:basedOn w:val="43"/>
    <w:link w:val="6"/>
    <w:qFormat/>
    <w:uiPriority w:val="0"/>
    <w:rPr>
      <w:rFonts w:ascii="Times New Roman" w:hAnsi="Times New Roman" w:eastAsia="宋体" w:cs="Times New Roman"/>
      <w:b/>
      <w:bCs/>
      <w:kern w:val="2"/>
      <w:sz w:val="28"/>
      <w:szCs w:val="28"/>
    </w:rPr>
  </w:style>
  <w:style w:type="character" w:customStyle="1" w:styleId="84">
    <w:name w:val="标题 6 字符"/>
    <w:basedOn w:val="43"/>
    <w:link w:val="8"/>
    <w:qFormat/>
    <w:uiPriority w:val="0"/>
    <w:rPr>
      <w:rFonts w:ascii="Arial" w:hAnsi="Arial" w:eastAsia="黑体" w:cs="Times New Roman"/>
      <w:b/>
      <w:bCs/>
      <w:sz w:val="24"/>
      <w:szCs w:val="24"/>
    </w:rPr>
  </w:style>
  <w:style w:type="character" w:customStyle="1" w:styleId="85">
    <w:name w:val="标题 7 字符"/>
    <w:basedOn w:val="43"/>
    <w:link w:val="9"/>
    <w:qFormat/>
    <w:uiPriority w:val="0"/>
    <w:rPr>
      <w:rFonts w:ascii="Times New Roman" w:hAnsi="Times New Roman" w:eastAsia="宋体" w:cs="Times New Roman"/>
      <w:b/>
      <w:bCs/>
      <w:sz w:val="24"/>
      <w:szCs w:val="24"/>
    </w:rPr>
  </w:style>
  <w:style w:type="character" w:customStyle="1" w:styleId="86">
    <w:name w:val="标题 8 字符"/>
    <w:basedOn w:val="43"/>
    <w:link w:val="10"/>
    <w:qFormat/>
    <w:uiPriority w:val="0"/>
    <w:rPr>
      <w:rFonts w:ascii="Arial" w:hAnsi="Arial" w:eastAsia="黑体" w:cs="Times New Roman"/>
      <w:sz w:val="24"/>
      <w:szCs w:val="24"/>
    </w:rPr>
  </w:style>
  <w:style w:type="character" w:customStyle="1" w:styleId="87">
    <w:name w:val="标题 9 字符"/>
    <w:basedOn w:val="43"/>
    <w:link w:val="11"/>
    <w:qFormat/>
    <w:uiPriority w:val="0"/>
    <w:rPr>
      <w:rFonts w:ascii="Arial" w:hAnsi="Arial" w:eastAsia="黑体" w:cs="Times New Roman"/>
      <w:sz w:val="21"/>
      <w:szCs w:val="21"/>
    </w:rPr>
  </w:style>
  <w:style w:type="character" w:customStyle="1" w:styleId="88">
    <w:name w:val="标题 2 字符"/>
    <w:link w:val="3"/>
    <w:qFormat/>
    <w:uiPriority w:val="0"/>
    <w:rPr>
      <w:rFonts w:ascii="Arial" w:hAnsi="Arial" w:eastAsia="黑体" w:cs="Times New Roman"/>
      <w:bCs/>
      <w:sz w:val="32"/>
      <w:szCs w:val="32"/>
    </w:rPr>
  </w:style>
  <w:style w:type="character" w:customStyle="1" w:styleId="89">
    <w:name w:val="样式 标题 3 + 五号 黑色 Char"/>
    <w:link w:val="51"/>
    <w:qFormat/>
    <w:uiPriority w:val="0"/>
    <w:rPr>
      <w:rFonts w:ascii="宋体" w:hAnsi="宋体"/>
      <w:bCs/>
      <w:color w:val="000000"/>
      <w:sz w:val="28"/>
      <w:szCs w:val="32"/>
    </w:rPr>
  </w:style>
  <w:style w:type="character" w:customStyle="1" w:styleId="90">
    <w:name w:val="标题 2 Char Char"/>
    <w:qFormat/>
    <w:uiPriority w:val="0"/>
    <w:rPr>
      <w:rFonts w:ascii="Arial" w:hAnsi="Arial" w:eastAsia="黑体"/>
      <w:bCs/>
      <w:sz w:val="32"/>
      <w:szCs w:val="32"/>
      <w:lang w:val="en-US" w:eastAsia="zh-CN" w:bidi="ar-SA"/>
    </w:rPr>
  </w:style>
  <w:style w:type="character" w:customStyle="1" w:styleId="91">
    <w:name w:val="纯文本 字符"/>
    <w:link w:val="20"/>
    <w:qFormat/>
    <w:uiPriority w:val="0"/>
    <w:rPr>
      <w:rFonts w:ascii="宋体" w:hAnsi="Courier New" w:eastAsia="宋体"/>
      <w:kern w:val="2"/>
      <w:sz w:val="21"/>
    </w:rPr>
  </w:style>
  <w:style w:type="character" w:customStyle="1" w:styleId="92">
    <w:name w:val="样式 标题 2 Char"/>
    <w:basedOn w:val="88"/>
    <w:link w:val="52"/>
    <w:qFormat/>
    <w:uiPriority w:val="0"/>
    <w:rPr>
      <w:rFonts w:ascii="Arial" w:hAnsi="Arial" w:eastAsia="黑体" w:cs="Times New Roman"/>
      <w:sz w:val="32"/>
      <w:szCs w:val="32"/>
    </w:rPr>
  </w:style>
  <w:style w:type="character" w:customStyle="1" w:styleId="93">
    <w:name w:val="正文文本 2 字符"/>
    <w:basedOn w:val="43"/>
    <w:link w:val="34"/>
    <w:qFormat/>
    <w:uiPriority w:val="0"/>
    <w:rPr>
      <w:rFonts w:ascii="Times New Roman" w:hAnsi="Times New Roman" w:eastAsia="宋体" w:cs="Times New Roman"/>
      <w:kern w:val="2"/>
      <w:sz w:val="21"/>
      <w:szCs w:val="24"/>
    </w:rPr>
  </w:style>
  <w:style w:type="character" w:customStyle="1" w:styleId="94">
    <w:name w:val="批注文字 字符"/>
    <w:basedOn w:val="43"/>
    <w:link w:val="15"/>
    <w:qFormat/>
    <w:uiPriority w:val="0"/>
    <w:rPr>
      <w:rFonts w:ascii="Times New Roman" w:hAnsi="Times New Roman" w:eastAsia="宋体" w:cs="Times New Roman"/>
      <w:kern w:val="2"/>
      <w:sz w:val="21"/>
      <w:szCs w:val="24"/>
    </w:rPr>
  </w:style>
  <w:style w:type="character" w:customStyle="1" w:styleId="95">
    <w:name w:val="正文文本缩进 字符"/>
    <w:basedOn w:val="43"/>
    <w:link w:val="17"/>
    <w:qFormat/>
    <w:uiPriority w:val="0"/>
    <w:rPr>
      <w:rFonts w:ascii="宋体" w:hAnsi="宋体" w:eastAsia="宋体" w:cs="Courier New"/>
      <w:spacing w:val="2"/>
      <w:kern w:val="2"/>
      <w:sz w:val="21"/>
      <w:szCs w:val="24"/>
    </w:rPr>
  </w:style>
  <w:style w:type="character" w:customStyle="1" w:styleId="96">
    <w:name w:val="正文文本缩进 2 字符"/>
    <w:basedOn w:val="43"/>
    <w:link w:val="23"/>
    <w:qFormat/>
    <w:uiPriority w:val="0"/>
    <w:rPr>
      <w:rFonts w:ascii="Times New Roman" w:hAnsi="Times New Roman" w:eastAsia="宋体" w:cs="Times New Roman"/>
      <w:kern w:val="2"/>
      <w:sz w:val="21"/>
      <w:szCs w:val="24"/>
    </w:rPr>
  </w:style>
  <w:style w:type="character" w:customStyle="1" w:styleId="97">
    <w:name w:val="批注框文本 字符"/>
    <w:basedOn w:val="43"/>
    <w:link w:val="24"/>
    <w:qFormat/>
    <w:uiPriority w:val="0"/>
    <w:rPr>
      <w:rFonts w:ascii="Times New Roman" w:hAnsi="Times New Roman" w:eastAsia="宋体" w:cs="Times New Roman"/>
      <w:kern w:val="2"/>
      <w:sz w:val="18"/>
      <w:szCs w:val="18"/>
    </w:rPr>
  </w:style>
  <w:style w:type="character" w:customStyle="1" w:styleId="98">
    <w:name w:val="批注主题 字符"/>
    <w:basedOn w:val="94"/>
    <w:link w:val="37"/>
    <w:semiHidden/>
    <w:qFormat/>
    <w:uiPriority w:val="0"/>
    <w:rPr>
      <w:rFonts w:ascii="Times New Roman" w:hAnsi="Times New Roman" w:eastAsia="宋体" w:cs="Times New Roman"/>
      <w:b/>
      <w:bCs/>
      <w:kern w:val="2"/>
      <w:sz w:val="21"/>
      <w:szCs w:val="24"/>
    </w:rPr>
  </w:style>
  <w:style w:type="character" w:customStyle="1" w:styleId="99">
    <w:name w:val="正文文本缩进 3 字符"/>
    <w:basedOn w:val="43"/>
    <w:link w:val="31"/>
    <w:qFormat/>
    <w:uiPriority w:val="0"/>
    <w:rPr>
      <w:rFonts w:ascii="宋体" w:hAnsi="Courier New" w:eastAsia="宋体" w:cs="Courier New"/>
      <w:kern w:val="2"/>
      <w:sz w:val="21"/>
      <w:szCs w:val="24"/>
    </w:rPr>
  </w:style>
  <w:style w:type="character" w:customStyle="1" w:styleId="100">
    <w:name w:val="正文文本 字符"/>
    <w:basedOn w:val="43"/>
    <w:link w:val="16"/>
    <w:qFormat/>
    <w:uiPriority w:val="0"/>
    <w:rPr>
      <w:rFonts w:ascii="Times New Roman" w:hAnsi="Times New Roman" w:eastAsia="宋体" w:cs="Times New Roman"/>
      <w:kern w:val="2"/>
      <w:sz w:val="52"/>
      <w:szCs w:val="24"/>
    </w:rPr>
  </w:style>
  <w:style w:type="character" w:customStyle="1" w:styleId="101">
    <w:name w:val="文档结构图 字符"/>
    <w:basedOn w:val="43"/>
    <w:link w:val="14"/>
    <w:semiHidden/>
    <w:qFormat/>
    <w:uiPriority w:val="0"/>
    <w:rPr>
      <w:rFonts w:ascii="Times New Roman" w:hAnsi="Times New Roman" w:eastAsia="宋体" w:cs="Times New Roman"/>
      <w:kern w:val="2"/>
      <w:sz w:val="21"/>
      <w:szCs w:val="24"/>
      <w:shd w:val="clear" w:color="auto" w:fill="000080"/>
    </w:rPr>
  </w:style>
  <w:style w:type="character" w:customStyle="1" w:styleId="102">
    <w:name w:val="日期 字符"/>
    <w:basedOn w:val="43"/>
    <w:link w:val="22"/>
    <w:qFormat/>
    <w:uiPriority w:val="0"/>
    <w:rPr>
      <w:rFonts w:ascii="Times New Roman" w:hAnsi="Times New Roman" w:eastAsia="宋体" w:cs="Times New Roman"/>
      <w:kern w:val="2"/>
      <w:sz w:val="21"/>
      <w:szCs w:val="24"/>
    </w:rPr>
  </w:style>
  <w:style w:type="character" w:customStyle="1" w:styleId="103">
    <w:name w:val="纯文本 Char"/>
    <w:basedOn w:val="43"/>
    <w:qFormat/>
    <w:uiPriority w:val="0"/>
    <w:rPr>
      <w:rFonts w:ascii="宋体" w:hAnsi="Courier New" w:eastAsia="宋体" w:cs="Courier New"/>
      <w:sz w:val="21"/>
      <w:szCs w:val="21"/>
    </w:rPr>
  </w:style>
  <w:style w:type="character" w:customStyle="1" w:styleId="104">
    <w:name w:val="Char Char2"/>
    <w:qFormat/>
    <w:uiPriority w:val="0"/>
    <w:rPr>
      <w:rFonts w:ascii="宋体" w:hAnsi="Courier New" w:eastAsia="宋体" w:cs="Courier New"/>
      <w:szCs w:val="21"/>
    </w:rPr>
  </w:style>
  <w:style w:type="character" w:customStyle="1" w:styleId="105">
    <w:name w:val="普通文字 Char Char2"/>
    <w:qFormat/>
    <w:uiPriority w:val="0"/>
    <w:rPr>
      <w:rFonts w:ascii="宋体" w:hAnsi="宋体"/>
      <w:kern w:val="1"/>
      <w:sz w:val="21"/>
      <w:lang w:eastAsia="ar-SA"/>
    </w:rPr>
  </w:style>
  <w:style w:type="character" w:customStyle="1" w:styleId="106">
    <w:name w:val="纯文本 Char1"/>
    <w:qFormat/>
    <w:uiPriority w:val="0"/>
    <w:rPr>
      <w:rFonts w:ascii="宋体" w:hAnsi="Courier New" w:eastAsia="宋体" w:cs="Courier New"/>
      <w:szCs w:val="21"/>
    </w:rPr>
  </w:style>
  <w:style w:type="character" w:customStyle="1" w:styleId="107">
    <w:name w:val="正文缩进 字符"/>
    <w:link w:val="7"/>
    <w:qFormat/>
    <w:uiPriority w:val="0"/>
    <w:rPr>
      <w:rFonts w:ascii="Times New Roman" w:hAnsi="Times New Roman" w:eastAsia="宋体" w:cs="Times New Roman"/>
      <w:kern w:val="2"/>
      <w:sz w:val="21"/>
      <w:szCs w:val="20"/>
    </w:rPr>
  </w:style>
  <w:style w:type="character" w:customStyle="1" w:styleId="108">
    <w:name w:val="Char Char10"/>
    <w:qFormat/>
    <w:uiPriority w:val="0"/>
    <w:rPr>
      <w:rFonts w:ascii="宋体" w:hAnsi="Courier New" w:eastAsia="宋体" w:cs="Courier New"/>
      <w:kern w:val="2"/>
      <w:sz w:val="21"/>
      <w:szCs w:val="21"/>
      <w:lang w:val="en-US" w:eastAsia="zh-CN" w:bidi="ar-SA"/>
    </w:rPr>
  </w:style>
  <w:style w:type="character" w:customStyle="1" w:styleId="109">
    <w:name w:val="日期 Char1"/>
    <w:qFormat/>
    <w:uiPriority w:val="0"/>
    <w:rPr>
      <w:kern w:val="2"/>
      <w:sz w:val="21"/>
      <w:szCs w:val="24"/>
    </w:rPr>
  </w:style>
  <w:style w:type="character" w:customStyle="1" w:styleId="110">
    <w:name w:val="未处理的提及1"/>
    <w:basedOn w:val="43"/>
    <w:semiHidden/>
    <w:unhideWhenUsed/>
    <w:qFormat/>
    <w:uiPriority w:val="99"/>
    <w:rPr>
      <w:color w:val="605E5C"/>
      <w:shd w:val="clear" w:color="auto" w:fill="E1DFDD"/>
    </w:rPr>
  </w:style>
  <w:style w:type="character" w:customStyle="1" w:styleId="111">
    <w:name w:val="font11"/>
    <w:basedOn w:val="43"/>
    <w:qFormat/>
    <w:uiPriority w:val="0"/>
    <w:rPr>
      <w:rFonts w:hint="eastAsia" w:ascii="宋体" w:hAnsi="宋体" w:eastAsia="宋体" w:cs="宋体"/>
      <w:color w:val="000000"/>
      <w:sz w:val="24"/>
      <w:szCs w:val="24"/>
      <w:u w:val="none"/>
    </w:rPr>
  </w:style>
  <w:style w:type="character" w:customStyle="1" w:styleId="112">
    <w:name w:val="font51"/>
    <w:basedOn w:val="43"/>
    <w:qFormat/>
    <w:uiPriority w:val="0"/>
    <w:rPr>
      <w:rFonts w:hint="eastAsia" w:ascii="宋体" w:hAnsi="宋体" w:eastAsia="宋体" w:cs="宋体"/>
      <w:color w:val="000000"/>
      <w:sz w:val="22"/>
      <w:szCs w:val="22"/>
      <w:u w:val="none"/>
    </w:rPr>
  </w:style>
  <w:style w:type="character" w:customStyle="1" w:styleId="113">
    <w:name w:val="font01"/>
    <w:basedOn w:val="43"/>
    <w:qFormat/>
    <w:uiPriority w:val="0"/>
    <w:rPr>
      <w:rFonts w:hint="eastAsia" w:ascii="宋体" w:hAnsi="宋体" w:eastAsia="宋体" w:cs="宋体"/>
      <w:color w:val="000000"/>
      <w:sz w:val="22"/>
      <w:szCs w:val="22"/>
      <w:u w:val="none"/>
    </w:rPr>
  </w:style>
  <w:style w:type="character" w:customStyle="1" w:styleId="114">
    <w:name w:val="font31"/>
    <w:basedOn w:val="43"/>
    <w:qFormat/>
    <w:uiPriority w:val="0"/>
    <w:rPr>
      <w:rFonts w:ascii="Tahoma" w:hAnsi="Tahoma" w:eastAsia="Tahoma" w:cs="Tahoma"/>
      <w:color w:val="000000"/>
      <w:sz w:val="18"/>
      <w:szCs w:val="18"/>
      <w:u w:val="none"/>
    </w:rPr>
  </w:style>
  <w:style w:type="character" w:customStyle="1" w:styleId="115">
    <w:name w:val="font21"/>
    <w:basedOn w:val="43"/>
    <w:qFormat/>
    <w:uiPriority w:val="0"/>
    <w:rPr>
      <w:rFonts w:ascii="Tahoma" w:hAnsi="Tahoma" w:eastAsia="Tahoma" w:cs="Tahoma"/>
      <w:color w:val="5B5B5B"/>
      <w:sz w:val="21"/>
      <w:szCs w:val="21"/>
      <w:u w:val="none"/>
    </w:rPr>
  </w:style>
  <w:style w:type="character" w:customStyle="1" w:styleId="116">
    <w:name w:val="font41"/>
    <w:basedOn w:val="43"/>
    <w:qFormat/>
    <w:uiPriority w:val="0"/>
    <w:rPr>
      <w:rFonts w:hint="eastAsia" w:ascii="宋体" w:hAnsi="宋体" w:eastAsia="宋体" w:cs="宋体"/>
      <w:color w:val="FFFF00"/>
      <w:sz w:val="20"/>
      <w:szCs w:val="20"/>
      <w:u w:val="none"/>
    </w:rPr>
  </w:style>
  <w:style w:type="character" w:customStyle="1" w:styleId="117">
    <w:name w:val="cf01"/>
    <w:basedOn w:val="43"/>
    <w:qFormat/>
    <w:uiPriority w:val="0"/>
    <w:rPr>
      <w:rFonts w:hint="eastAsia" w:ascii="Microsoft YaHei UI" w:hAnsi="Microsoft YaHei UI" w:eastAsia="Microsoft YaHei UI"/>
      <w:b/>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19456</Words>
  <Characters>20938</Characters>
  <Lines>366</Lines>
  <Paragraphs>103</Paragraphs>
  <TotalTime>17</TotalTime>
  <ScaleCrop>false</ScaleCrop>
  <LinksUpToDate>false</LinksUpToDate>
  <CharactersWithSpaces>21195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2025-08-20T00:42:00Z</dcterms:created>
  <dc:creator>Administrator</dc:creator>
  <cp:lastModifiedBy>Strulle</cp:lastModifiedBy>
  <cp:lastPrinted>2025-09-01T14:47:00Z</cp:lastPrinted>
  <dcterms:modified xsi:type="dcterms:W3CDTF">2025-09-15T07:51:48Z</dcterms:modified>
  <dc:title>广西睿翼工程咨询有限公司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E528F7F6D73B4C0BB883CC20F5B56829_13</vt:lpwstr>
  </property>
  <property fmtid="{D5CDD505-2E9C-101B-9397-08002B2CF9AE}" pid="4" name="KSOTemplateDocerSaveRecord">
    <vt:lpwstr>eyJoZGlkIjoiMTg1ZWM3NjJjNDE5ZWFkZDk4YjJkOTBhMzc4MzQ0MTEiLCJ1c2VySWQiOiI0MjkwMTM3MjUifQ==</vt:lpwstr>
  </property>
</Properties>
</file>