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color w:val="auto"/>
          <w:sz w:val="24"/>
        </w:rPr>
      </w:pPr>
    </w:p>
    <w:p>
      <w:pPr>
        <w:spacing w:line="360" w:lineRule="auto"/>
        <w:jc w:val="center"/>
        <w:rPr>
          <w:rFonts w:cs="仿宋_GB2312" w:asciiTheme="minorEastAsia" w:hAnsiTheme="minorEastAsia" w:eastAsiaTheme="minorEastAsia"/>
          <w:b/>
          <w:color w:val="auto"/>
          <w:sz w:val="24"/>
        </w:rPr>
      </w:pPr>
    </w:p>
    <w:p>
      <w:pPr>
        <w:adjustRightInd/>
        <w:spacing w:line="360" w:lineRule="auto"/>
        <w:jc w:val="center"/>
        <w:rPr>
          <w:rFonts w:cs="仿宋_GB2312" w:asciiTheme="minorEastAsia" w:hAnsiTheme="minorEastAsia" w:eastAsiaTheme="minorEastAsia"/>
          <w:b/>
          <w:color w:val="auto"/>
          <w:sz w:val="44"/>
          <w:szCs w:val="44"/>
        </w:rPr>
      </w:pPr>
    </w:p>
    <w:p>
      <w:pPr>
        <w:adjustRightInd/>
        <w:spacing w:line="360" w:lineRule="auto"/>
        <w:jc w:val="center"/>
        <w:rPr>
          <w:rFonts w:cs="仿宋_GB2312" w:asciiTheme="minorEastAsia" w:hAnsiTheme="minorEastAsia" w:eastAsiaTheme="minorEastAsia"/>
          <w:b/>
          <w:color w:val="auto"/>
          <w:sz w:val="44"/>
          <w:szCs w:val="44"/>
        </w:rPr>
      </w:pPr>
    </w:p>
    <w:p>
      <w:pPr>
        <w:adjustRightInd/>
        <w:spacing w:line="360" w:lineRule="auto"/>
        <w:jc w:val="center"/>
        <w:rPr>
          <w:rFonts w:hint="eastAsia" w:cs="仿宋_GB2312" w:asciiTheme="minorEastAsia" w:hAnsiTheme="minorEastAsia" w:eastAsiaTheme="minorEastAsia"/>
          <w:b/>
          <w:color w:val="auto"/>
          <w:sz w:val="44"/>
          <w:szCs w:val="44"/>
          <w:lang w:eastAsia="zh-CN"/>
        </w:rPr>
      </w:pPr>
      <w:r>
        <w:rPr>
          <w:rFonts w:hint="eastAsia" w:cs="仿宋_GB2312" w:asciiTheme="minorEastAsia" w:hAnsiTheme="minorEastAsia" w:eastAsiaTheme="minorEastAsia"/>
          <w:b/>
          <w:color w:val="auto"/>
          <w:sz w:val="44"/>
          <w:szCs w:val="44"/>
          <w:lang w:val="en-US" w:eastAsia="zh-CN"/>
        </w:rPr>
        <w:t>2025年</w:t>
      </w:r>
      <w:r>
        <w:rPr>
          <w:rFonts w:hint="eastAsia" w:cs="仿宋_GB2312" w:asciiTheme="minorEastAsia" w:hAnsiTheme="minorEastAsia" w:eastAsiaTheme="minorEastAsia"/>
          <w:b/>
          <w:color w:val="auto"/>
          <w:sz w:val="44"/>
          <w:szCs w:val="44"/>
          <w:lang w:eastAsia="zh-CN"/>
        </w:rPr>
        <w:t>海城区计生家庭关爱保险项目采购</w:t>
      </w:r>
    </w:p>
    <w:p>
      <w:pPr>
        <w:adjustRightInd/>
        <w:spacing w:line="360" w:lineRule="auto"/>
        <w:jc w:val="center"/>
        <w:rPr>
          <w:rFonts w:cs="仿宋_GB2312" w:asciiTheme="minorEastAsia" w:hAnsiTheme="minorEastAsia" w:eastAsiaTheme="minorEastAsia"/>
          <w:b/>
          <w:bCs/>
          <w:color w:val="auto"/>
          <w:w w:val="95"/>
          <w:sz w:val="72"/>
          <w:szCs w:val="72"/>
          <w:lang w:val="zh-CN"/>
        </w:rPr>
      </w:pPr>
    </w:p>
    <w:p>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pPr>
        <w:snapToGrid w:val="0"/>
        <w:spacing w:line="360" w:lineRule="auto"/>
        <w:jc w:val="center"/>
        <w:rPr>
          <w:rFonts w:cs="仿宋_GB2312" w:asciiTheme="minorEastAsia" w:hAnsiTheme="minorEastAsia" w:eastAsiaTheme="minorEastAsia"/>
          <w:color w:val="auto"/>
          <w:sz w:val="30"/>
          <w:szCs w:val="30"/>
        </w:rPr>
      </w:pPr>
    </w:p>
    <w:p>
      <w:pPr>
        <w:snapToGrid w:val="0"/>
        <w:spacing w:line="360" w:lineRule="auto"/>
        <w:jc w:val="center"/>
        <w:rPr>
          <w:rFonts w:hint="eastAsia" w:eastAsia="微软雅黑" w:cs="仿宋_GB2312" w:asciiTheme="minorEastAsia" w:hAnsiTheme="minorEastAsia"/>
          <w:color w:val="auto"/>
          <w:sz w:val="30"/>
          <w:szCs w:val="30"/>
          <w:lang w:eastAsia="zh-CN"/>
        </w:rPr>
      </w:pPr>
      <w:r>
        <w:rPr>
          <w:rFonts w:hint="eastAsia" w:cs="仿宋_GB2312" w:asciiTheme="minorEastAsia" w:hAnsiTheme="minorEastAsia" w:eastAsiaTheme="minorEastAsia"/>
          <w:color w:val="auto"/>
          <w:sz w:val="30"/>
          <w:szCs w:val="30"/>
        </w:rPr>
        <w:t>项目编号:</w:t>
      </w:r>
      <w:r>
        <w:rPr>
          <w:rFonts w:hint="eastAsia" w:ascii="微软雅黑" w:hAnsi="微软雅黑" w:eastAsia="微软雅黑"/>
          <w:b/>
          <w:bCs/>
          <w:color w:val="auto"/>
          <w:sz w:val="30"/>
          <w:szCs w:val="30"/>
          <w:shd w:val="clear" w:color="auto" w:fill="FFFFFF"/>
        </w:rPr>
        <w:t xml:space="preserve"> BHZC2025-C3-020047-BHSH</w:t>
      </w:r>
    </w:p>
    <w:p>
      <w:pPr>
        <w:pStyle w:val="184"/>
        <w:widowControl w:val="0"/>
        <w:spacing w:before="0" w:beforeAutospacing="0" w:after="0" w:afterAutospacing="0" w:line="360" w:lineRule="auto"/>
        <w:jc w:val="both"/>
        <w:textAlignment w:val="auto"/>
        <w:rPr>
          <w:rFonts w:hint="default" w:cs="仿宋_GB2312" w:asciiTheme="minorEastAsia" w:hAnsiTheme="minorEastAsia" w:eastAsiaTheme="minorEastAsia"/>
          <w:color w:val="auto"/>
          <w:kern w:val="2"/>
        </w:rPr>
      </w:pPr>
    </w:p>
    <w:p>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pPr>
        <w:snapToGrid w:val="0"/>
        <w:spacing w:line="360" w:lineRule="auto"/>
        <w:jc w:val="center"/>
        <w:rPr>
          <w:rFonts w:cs="仿宋_GB2312" w:asciiTheme="minorEastAsia" w:hAnsiTheme="minorEastAsia" w:eastAsiaTheme="minorEastAsia"/>
          <w:color w:val="auto"/>
          <w:sz w:val="32"/>
          <w:szCs w:val="32"/>
        </w:rPr>
      </w:pPr>
    </w:p>
    <w:p>
      <w:pPr>
        <w:snapToGrid w:val="0"/>
        <w:spacing w:line="360" w:lineRule="auto"/>
        <w:jc w:val="center"/>
        <w:rPr>
          <w:rFonts w:cs="仿宋_GB2312" w:asciiTheme="minorEastAsia" w:hAnsiTheme="minorEastAsia" w:eastAsiaTheme="minorEastAsia"/>
          <w:color w:val="auto"/>
          <w:sz w:val="32"/>
          <w:szCs w:val="32"/>
        </w:rPr>
      </w:pPr>
      <w:r>
        <w:rPr>
          <w:rFonts w:hint="eastAsia" w:ascii="宋体" w:hAnsi="宋体" w:cs="宋体"/>
          <w:color w:val="auto"/>
          <w:sz w:val="32"/>
          <w:szCs w:val="32"/>
        </w:rPr>
        <w:t>（采购人：</w:t>
      </w:r>
      <w:r>
        <w:rPr>
          <w:rFonts w:hint="eastAsia" w:ascii="宋体" w:hAnsi="宋体" w:cs="宋体"/>
          <w:color w:val="auto"/>
          <w:sz w:val="32"/>
          <w:szCs w:val="32"/>
          <w:lang w:eastAsia="zh-CN"/>
        </w:rPr>
        <w:t>北海市海城区卫生健康局</w:t>
      </w:r>
      <w:r>
        <w:rPr>
          <w:rFonts w:hint="eastAsia" w:ascii="宋体" w:hAnsi="宋体" w:cs="宋体"/>
          <w:color w:val="auto"/>
          <w:sz w:val="32"/>
          <w:szCs w:val="32"/>
        </w:rPr>
        <w:t>）</w:t>
      </w:r>
    </w:p>
    <w:p>
      <w:pPr>
        <w:spacing w:line="360" w:lineRule="auto"/>
        <w:jc w:val="center"/>
        <w:rPr>
          <w:rFonts w:cs="仿宋_GB2312" w:asciiTheme="minorEastAsia" w:hAnsiTheme="minorEastAsia" w:eastAsiaTheme="minorEastAsia"/>
          <w:bCs/>
          <w:color w:val="auto"/>
          <w:sz w:val="32"/>
          <w:szCs w:val="32"/>
        </w:rPr>
      </w:pPr>
      <w:r>
        <w:rPr>
          <w:rFonts w:hint="eastAsia" w:ascii="宋体" w:hAnsi="宋体" w:cs="宋体"/>
          <w:bCs/>
          <w:color w:val="auto"/>
          <w:sz w:val="32"/>
          <w:szCs w:val="32"/>
        </w:rPr>
        <w:t>（采购代理机构:北海市</w:t>
      </w:r>
      <w:r>
        <w:rPr>
          <w:rFonts w:hint="eastAsia" w:ascii="宋体" w:hAnsi="宋体" w:cs="宋体"/>
          <w:bCs/>
          <w:color w:val="auto"/>
          <w:sz w:val="32"/>
          <w:szCs w:val="32"/>
          <w:lang w:eastAsia="zh-CN"/>
        </w:rPr>
        <w:t>海城区</w:t>
      </w:r>
      <w:r>
        <w:rPr>
          <w:rFonts w:hint="eastAsia" w:ascii="宋体" w:hAnsi="宋体" w:cs="宋体"/>
          <w:bCs/>
          <w:color w:val="auto"/>
          <w:sz w:val="32"/>
          <w:szCs w:val="32"/>
        </w:rPr>
        <w:t>政府采购中心）</w:t>
      </w:r>
    </w:p>
    <w:p>
      <w:pPr>
        <w:snapToGrid w:val="0"/>
        <w:spacing w:line="360" w:lineRule="auto"/>
        <w:jc w:val="center"/>
        <w:rPr>
          <w:rFonts w:hint="eastAsia" w:cs="仿宋_GB2312" w:asciiTheme="minorEastAsia" w:hAnsiTheme="minorEastAsia" w:eastAsiaTheme="minorEastAsia"/>
          <w:bCs/>
          <w:color w:val="auto"/>
          <w:sz w:val="32"/>
          <w:szCs w:val="32"/>
          <w:lang w:eastAsia="zh-CN"/>
        </w:rPr>
      </w:pPr>
      <w:r>
        <w:rPr>
          <w:rFonts w:hint="eastAsia" w:cs="仿宋_GB2312" w:asciiTheme="minorEastAsia" w:hAnsiTheme="minorEastAsia" w:eastAsiaTheme="minorEastAsia"/>
          <w:bCs/>
          <w:color w:val="auto"/>
          <w:sz w:val="32"/>
          <w:szCs w:val="32"/>
          <w:lang w:eastAsia="zh-CN"/>
        </w:rPr>
        <w:t>2025年</w:t>
      </w:r>
      <w:r>
        <w:rPr>
          <w:rFonts w:hint="eastAsia" w:cs="仿宋_GB2312" w:asciiTheme="minorEastAsia" w:hAnsiTheme="minorEastAsia" w:eastAsiaTheme="minorEastAsia"/>
          <w:bCs/>
          <w:color w:val="auto"/>
          <w:sz w:val="32"/>
          <w:szCs w:val="32"/>
          <w:lang w:val="en-US" w:eastAsia="zh-CN"/>
        </w:rPr>
        <w:t>10</w:t>
      </w:r>
      <w:r>
        <w:rPr>
          <w:rFonts w:hint="eastAsia" w:cs="仿宋_GB2312" w:asciiTheme="minorEastAsia" w:hAnsiTheme="minorEastAsia" w:eastAsiaTheme="minorEastAsia"/>
          <w:bCs/>
          <w:color w:val="auto"/>
          <w:sz w:val="32"/>
          <w:szCs w:val="32"/>
          <w:lang w:eastAsia="zh-CN"/>
        </w:rPr>
        <w:t>月</w:t>
      </w:r>
      <w:r>
        <w:rPr>
          <w:rFonts w:hint="eastAsia" w:cs="仿宋_GB2312" w:asciiTheme="minorEastAsia" w:hAnsiTheme="minorEastAsia" w:eastAsiaTheme="minorEastAsia"/>
          <w:bCs/>
          <w:color w:val="auto"/>
          <w:sz w:val="32"/>
          <w:szCs w:val="32"/>
          <w:lang w:val="en-US" w:eastAsia="zh-CN"/>
        </w:rPr>
        <w:t>21</w:t>
      </w:r>
      <w:r>
        <w:rPr>
          <w:rFonts w:hint="eastAsia" w:cs="仿宋_GB2312" w:asciiTheme="minorEastAsia" w:hAnsiTheme="minorEastAsia" w:eastAsiaTheme="minorEastAsia"/>
          <w:bCs/>
          <w:color w:val="auto"/>
          <w:sz w:val="32"/>
          <w:szCs w:val="32"/>
          <w:lang w:eastAsia="zh-CN"/>
        </w:rPr>
        <w:t>日</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0" w:name="_Hlt67893495"/>
      <w:bookmarkEnd w:id="0"/>
    </w:p>
    <w:p>
      <w:pPr>
        <w:tabs>
          <w:tab w:val="left" w:pos="2268"/>
        </w:tabs>
        <w:spacing w:line="360" w:lineRule="auto"/>
        <w:jc w:val="center"/>
        <w:rPr>
          <w:rFonts w:cs="仿宋_GB2312" w:asciiTheme="minorEastAsia" w:hAnsiTheme="minorEastAsia" w:eastAsiaTheme="minorEastAsia"/>
          <w:color w:val="auto"/>
          <w:sz w:val="24"/>
        </w:rPr>
      </w:pPr>
    </w:p>
    <w:p>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pPr>
        <w:spacing w:line="360" w:lineRule="auto"/>
        <w:rPr>
          <w:rFonts w:cs="仿宋_GB2312" w:asciiTheme="minorEastAsia" w:hAnsiTheme="minorEastAsia" w:eastAsiaTheme="minorEastAsia"/>
          <w:color w:val="auto"/>
          <w:sz w:val="32"/>
          <w:szCs w:val="32"/>
        </w:rPr>
      </w:pPr>
    </w:p>
    <w:p>
      <w:pPr>
        <w:spacing w:line="360" w:lineRule="auto"/>
        <w:rPr>
          <w:rFonts w:cs="仿宋_GB2312" w:asciiTheme="minorEastAsia" w:hAnsiTheme="minorEastAsia" w:eastAsiaTheme="minorEastAsia"/>
          <w:color w:val="auto"/>
          <w:sz w:val="32"/>
          <w:szCs w:val="32"/>
        </w:rPr>
      </w:pPr>
    </w:p>
    <w:p>
      <w:pPr>
        <w:pStyle w:val="42"/>
        <w:tabs>
          <w:tab w:val="right" w:leader="dot" w:pos="9060"/>
        </w:tabs>
        <w:spacing w:line="360" w:lineRule="auto"/>
        <w:rPr>
          <w:rFonts w:asciiTheme="minorEastAsia" w:hAnsiTheme="minorEastAsia" w:eastAsiaTheme="minorEastAsia" w:cstheme="minorBidi"/>
          <w:color w:val="auto"/>
          <w:sz w:val="32"/>
          <w:szCs w:val="32"/>
        </w:rPr>
      </w:pPr>
      <w:bookmarkStart w:id="1" w:name="_Hlt91233176"/>
      <w:bookmarkEnd w:id="1"/>
      <w:bookmarkStart w:id="2" w:name="_Toc91899869"/>
      <w:r>
        <w:rPr>
          <w:rFonts w:cs="仿宋_GB2312" w:asciiTheme="minorEastAsia" w:hAnsiTheme="minorEastAsia" w:eastAsiaTheme="minorEastAsia"/>
          <w:color w:val="auto"/>
          <w:sz w:val="32"/>
          <w:szCs w:val="32"/>
        </w:rPr>
        <w:fldChar w:fldCharType="begin"/>
      </w:r>
      <w:r>
        <w:rPr>
          <w:rFonts w:cs="仿宋_GB2312" w:asciiTheme="minorEastAsia" w:hAnsiTheme="minorEastAsia" w:eastAsiaTheme="minorEastAsia"/>
          <w:color w:val="auto"/>
          <w:sz w:val="32"/>
          <w:szCs w:val="32"/>
        </w:rPr>
        <w:instrText xml:space="preserve"> </w:instrText>
      </w:r>
      <w:r>
        <w:rPr>
          <w:rFonts w:hint="eastAsia" w:cs="仿宋_GB2312" w:asciiTheme="minorEastAsia" w:hAnsiTheme="minorEastAsia" w:eastAsiaTheme="minorEastAsia"/>
          <w:color w:val="auto"/>
          <w:sz w:val="32"/>
          <w:szCs w:val="32"/>
        </w:rPr>
        <w:instrText xml:space="preserve">TOC \o "1-1" \h \z \u</w:instrText>
      </w:r>
      <w:r>
        <w:rPr>
          <w:rFonts w:cs="仿宋_GB2312" w:asciiTheme="minorEastAsia" w:hAnsiTheme="minorEastAsia" w:eastAsiaTheme="minorEastAsia"/>
          <w:color w:val="auto"/>
          <w:sz w:val="32"/>
          <w:szCs w:val="32"/>
        </w:rPr>
        <w:instrText xml:space="preserve"> </w:instrText>
      </w:r>
      <w:r>
        <w:rPr>
          <w:rFonts w:cs="仿宋_GB2312"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"_Toc181203094" </w:instrText>
      </w:r>
      <w:r>
        <w:rPr>
          <w:color w:val="auto"/>
        </w:rPr>
        <w:fldChar w:fldCharType="separate"/>
      </w:r>
      <w:r>
        <w:rPr>
          <w:rStyle w:val="69"/>
          <w:rFonts w:hint="eastAsia" w:cs="仿宋_GB2312" w:asciiTheme="minorEastAsia" w:hAnsiTheme="minorEastAsia" w:eastAsiaTheme="minorEastAsia"/>
          <w:color w:val="auto"/>
          <w:sz w:val="32"/>
          <w:szCs w:val="32"/>
        </w:rPr>
        <w:t>第一部分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邀请供应商</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rPr>
        <w:fldChar w:fldCharType="end"/>
      </w:r>
    </w:p>
    <w:p>
      <w:pPr>
        <w:pStyle w:val="42"/>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"_Toc181203095" </w:instrText>
      </w:r>
      <w:r>
        <w:rPr>
          <w:color w:val="auto"/>
        </w:rPr>
        <w:fldChar w:fldCharType="separate"/>
      </w:r>
      <w:r>
        <w:rPr>
          <w:rStyle w:val="69"/>
          <w:rFonts w:hint="eastAsia" w:cs="仿宋_GB2312" w:asciiTheme="minorEastAsia" w:hAnsiTheme="minorEastAsia" w:eastAsiaTheme="minorEastAsia"/>
          <w:color w:val="auto"/>
          <w:sz w:val="32"/>
          <w:szCs w:val="32"/>
        </w:rPr>
        <w:t>第二部分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竞争性磋商流程</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_Toc181203095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pPr>
        <w:pStyle w:val="42"/>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"_Toc181203096" </w:instrText>
      </w:r>
      <w:r>
        <w:rPr>
          <w:color w:val="auto"/>
        </w:rPr>
        <w:fldChar w:fldCharType="separate"/>
      </w:r>
      <w:r>
        <w:rPr>
          <w:rStyle w:val="69"/>
          <w:rFonts w:hint="eastAsia" w:cs="仿宋_GB2312" w:asciiTheme="minorEastAsia" w:hAnsiTheme="minorEastAsia" w:eastAsiaTheme="minorEastAsia"/>
          <w:color w:val="auto"/>
          <w:sz w:val="32"/>
          <w:szCs w:val="32"/>
        </w:rPr>
        <w:t>第三部分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供应商须知</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_Toc181203096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10</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pPr>
        <w:pStyle w:val="42"/>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"_Toc181203097" </w:instrText>
      </w:r>
      <w:r>
        <w:rPr>
          <w:color w:val="auto"/>
        </w:rPr>
        <w:fldChar w:fldCharType="separate"/>
      </w:r>
      <w:r>
        <w:rPr>
          <w:rStyle w:val="69"/>
          <w:rFonts w:hint="eastAsia" w:cs="仿宋_GB2312" w:asciiTheme="minorEastAsia" w:hAnsiTheme="minorEastAsia" w:eastAsiaTheme="minorEastAsia"/>
          <w:color w:val="auto"/>
          <w:sz w:val="32"/>
          <w:szCs w:val="32"/>
        </w:rPr>
        <w:t>第四部分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采购需求</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_Toc181203097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30</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pPr>
        <w:pStyle w:val="42"/>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"_Toc181203098" </w:instrText>
      </w:r>
      <w:r>
        <w:rPr>
          <w:color w:val="auto"/>
        </w:rPr>
        <w:fldChar w:fldCharType="separate"/>
      </w:r>
      <w:r>
        <w:rPr>
          <w:rStyle w:val="69"/>
          <w:rFonts w:hint="eastAsia" w:cs="仿宋_GB2312" w:asciiTheme="minorEastAsia" w:hAnsiTheme="minorEastAsia" w:eastAsiaTheme="minorEastAsia"/>
          <w:color w:val="auto"/>
          <w:sz w:val="32"/>
          <w:szCs w:val="32"/>
        </w:rPr>
        <w:t>第五部分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评审方法及评审标准</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rPr>
        <w:t>42</w:t>
      </w:r>
      <w:r>
        <w:rPr>
          <w:rFonts w:hint="eastAsia" w:asciiTheme="minorEastAsia" w:hAnsiTheme="minorEastAsia" w:eastAsiaTheme="minorEastAsia"/>
          <w:color w:val="auto"/>
          <w:sz w:val="32"/>
          <w:szCs w:val="32"/>
        </w:rPr>
        <w:fldChar w:fldCharType="end"/>
      </w:r>
    </w:p>
    <w:p>
      <w:pPr>
        <w:pStyle w:val="42"/>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"_Toc181203099" </w:instrText>
      </w:r>
      <w:r>
        <w:rPr>
          <w:color w:val="auto"/>
        </w:rPr>
        <w:fldChar w:fldCharType="separate"/>
      </w:r>
      <w:r>
        <w:rPr>
          <w:rStyle w:val="69"/>
          <w:rFonts w:hint="eastAsia" w:cs="仿宋_GB2312" w:asciiTheme="minorEastAsia" w:hAnsiTheme="minorEastAsia" w:eastAsiaTheme="minorEastAsia"/>
          <w:color w:val="auto"/>
          <w:sz w:val="32"/>
          <w:szCs w:val="32"/>
        </w:rPr>
        <w:t>第六部分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拟签订的合同文本</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rPr>
        <w:t>50</w:t>
      </w:r>
      <w:r>
        <w:rPr>
          <w:rFonts w:hint="eastAsia" w:asciiTheme="minorEastAsia" w:hAnsiTheme="minorEastAsia" w:eastAsiaTheme="minorEastAsia"/>
          <w:color w:val="auto"/>
          <w:sz w:val="32"/>
          <w:szCs w:val="32"/>
        </w:rPr>
        <w:fldChar w:fldCharType="end"/>
      </w:r>
    </w:p>
    <w:p>
      <w:pPr>
        <w:pStyle w:val="42"/>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"_Toc181203100" </w:instrText>
      </w:r>
      <w:r>
        <w:rPr>
          <w:color w:val="auto"/>
        </w:rPr>
        <w:fldChar w:fldCharType="separate"/>
      </w:r>
      <w:r>
        <w:rPr>
          <w:rStyle w:val="69"/>
          <w:rFonts w:hint="eastAsia" w:cs="仿宋_GB2312" w:asciiTheme="minorEastAsia" w:hAnsiTheme="minorEastAsia" w:eastAsiaTheme="minorEastAsia"/>
          <w:color w:val="auto"/>
          <w:sz w:val="32"/>
          <w:szCs w:val="32"/>
        </w:rPr>
        <w:t>第七部分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应提交的有关格式范例</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rPr>
        <w:t>60</w:t>
      </w:r>
      <w:r>
        <w:rPr>
          <w:rFonts w:hint="eastAsia" w:asciiTheme="minorEastAsia" w:hAnsiTheme="minorEastAsia" w:eastAsiaTheme="minorEastAsia"/>
          <w:color w:val="auto"/>
          <w:sz w:val="32"/>
          <w:szCs w:val="32"/>
        </w:rPr>
        <w:fldChar w:fldCharType="end"/>
      </w:r>
    </w:p>
    <w:p>
      <w:pPr>
        <w:pStyle w:val="42"/>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"_Toc181203101" </w:instrText>
      </w:r>
      <w:r>
        <w:rPr>
          <w:color w:val="auto"/>
        </w:rPr>
        <w:fldChar w:fldCharType="separate"/>
      </w:r>
      <w:r>
        <w:rPr>
          <w:rStyle w:val="69"/>
          <w:rFonts w:hint="eastAsia" w:cs="仿宋_GB2312" w:asciiTheme="minorEastAsia" w:hAnsiTheme="minorEastAsia" w:eastAsiaTheme="minorEastAsia"/>
          <w:color w:val="auto"/>
          <w:sz w:val="32"/>
          <w:szCs w:val="32"/>
        </w:rPr>
        <w:t>第八部分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最后报价格式</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rPr>
        <w:t>82</w:t>
      </w:r>
      <w:r>
        <w:rPr>
          <w:rFonts w:hint="eastAsia" w:asciiTheme="minorEastAsia" w:hAnsiTheme="minorEastAsia" w:eastAsiaTheme="minorEastAsia"/>
          <w:color w:val="auto"/>
          <w:sz w:val="32"/>
          <w:szCs w:val="32"/>
        </w:rPr>
        <w:fldChar w:fldCharType="end"/>
      </w:r>
    </w:p>
    <w:p>
      <w:pPr>
        <w:spacing w:line="360" w:lineRule="auto"/>
        <w:ind w:firstLine="732" w:firstLineChars="229"/>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32"/>
          <w:szCs w:val="32"/>
        </w:rPr>
        <w:fldChar w:fldCharType="end"/>
      </w: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rPr>
          <w:rFonts w:cs="仿宋_GB2312" w:asciiTheme="minorEastAsia" w:hAnsiTheme="minorEastAsia" w:eastAsiaTheme="minorEastAsia"/>
          <w:color w:val="auto"/>
          <w:sz w:val="24"/>
        </w:rPr>
      </w:pPr>
    </w:p>
    <w:p>
      <w:pPr>
        <w:adjustRightInd/>
        <w:jc w:val="center"/>
        <w:outlineLvl w:val="0"/>
        <w:rPr>
          <w:rFonts w:hint="default" w:cs="仿宋_GB2312" w:asciiTheme="minorEastAsia" w:hAnsiTheme="minorEastAsia" w:eastAsiaTheme="minorEastAsia"/>
          <w:b/>
          <w:color w:val="auto"/>
          <w:sz w:val="36"/>
          <w:szCs w:val="20"/>
          <w:lang w:val="en-US" w:eastAsia="zh-CN"/>
        </w:rPr>
      </w:pPr>
      <w:bookmarkStart w:id="3" w:name="第一部分"/>
      <w:r>
        <w:rPr>
          <w:rFonts w:hint="eastAsia" w:cs="仿宋_GB2312" w:asciiTheme="minorEastAsia" w:hAnsiTheme="minorEastAsia" w:eastAsiaTheme="minorEastAsia"/>
          <w:b/>
          <w:color w:val="auto"/>
          <w:sz w:val="36"/>
          <w:szCs w:val="36"/>
        </w:rPr>
        <w:br w:type="page"/>
      </w:r>
      <w:bookmarkEnd w:id="2"/>
      <w:bookmarkEnd w:id="3"/>
      <w:bookmarkStart w:id="4" w:name="_Hlt74729822"/>
      <w:bookmarkEnd w:id="4"/>
      <w:bookmarkStart w:id="5" w:name="_Hlt74649545"/>
      <w:bookmarkEnd w:id="5"/>
      <w:bookmarkStart w:id="6" w:name="_Hlt74707423"/>
      <w:bookmarkEnd w:id="6"/>
      <w:bookmarkStart w:id="7" w:name="_Hlt74728647"/>
      <w:bookmarkEnd w:id="7"/>
      <w:bookmarkStart w:id="8" w:name="第二部分"/>
      <w:bookmarkStart w:id="9" w:name="_Toc91899870"/>
      <w:bookmarkStart w:id="10" w:name="_Toc91899871"/>
      <w:r>
        <w:rPr>
          <w:rFonts w:hint="eastAsia" w:cs="仿宋_GB2312" w:asciiTheme="minorEastAsia" w:hAnsiTheme="minorEastAsia" w:eastAsiaTheme="minorEastAsia"/>
          <w:b/>
          <w:color w:val="auto"/>
          <w:sz w:val="36"/>
          <w:szCs w:val="20"/>
        </w:rPr>
        <w:t>北海市</w:t>
      </w:r>
      <w:r>
        <w:rPr>
          <w:rFonts w:hint="eastAsia" w:cs="仿宋_GB2312" w:asciiTheme="minorEastAsia" w:hAnsiTheme="minorEastAsia" w:eastAsiaTheme="minorEastAsia"/>
          <w:b/>
          <w:color w:val="auto"/>
          <w:sz w:val="36"/>
          <w:szCs w:val="20"/>
          <w:lang w:eastAsia="zh-CN"/>
        </w:rPr>
        <w:t>海城区</w:t>
      </w:r>
      <w:r>
        <w:rPr>
          <w:rFonts w:hint="eastAsia" w:cs="仿宋_GB2312" w:asciiTheme="minorEastAsia" w:hAnsiTheme="minorEastAsia" w:eastAsiaTheme="minorEastAsia"/>
          <w:b/>
          <w:color w:val="auto"/>
          <w:sz w:val="36"/>
          <w:szCs w:val="20"/>
        </w:rPr>
        <w:t>政府采购中心关于</w:t>
      </w:r>
      <w:r>
        <w:rPr>
          <w:rFonts w:hint="eastAsia" w:cs="仿宋_GB2312" w:asciiTheme="minorEastAsia" w:hAnsiTheme="minorEastAsia" w:eastAsiaTheme="minorEastAsia"/>
          <w:b/>
          <w:color w:val="auto"/>
          <w:sz w:val="36"/>
          <w:szCs w:val="20"/>
          <w:lang w:eastAsia="zh-CN"/>
        </w:rPr>
        <w:t>北海市海城区卫生健康局</w:t>
      </w:r>
      <w:r>
        <w:rPr>
          <w:rFonts w:hint="eastAsia" w:cs="仿宋_GB2312" w:asciiTheme="minorEastAsia" w:hAnsiTheme="minorEastAsia" w:eastAsiaTheme="minorEastAsia"/>
          <w:b/>
          <w:color w:val="auto"/>
          <w:sz w:val="36"/>
          <w:szCs w:val="20"/>
          <w:lang w:val="en-US" w:eastAsia="zh-CN"/>
        </w:rPr>
        <w:t>2025年海城区</w:t>
      </w:r>
      <w:r>
        <w:rPr>
          <w:rFonts w:hint="eastAsia" w:cs="仿宋_GB2312" w:asciiTheme="minorEastAsia" w:hAnsiTheme="minorEastAsia" w:eastAsiaTheme="minorEastAsia"/>
          <w:b/>
          <w:color w:val="auto"/>
          <w:sz w:val="36"/>
          <w:szCs w:val="20"/>
          <w:lang w:eastAsia="zh-CN"/>
        </w:rPr>
        <w:t>计生家庭关爱保险项目采购</w:t>
      </w:r>
      <w:r>
        <w:rPr>
          <w:rFonts w:hint="eastAsia" w:cs="仿宋_GB2312" w:asciiTheme="minorEastAsia" w:hAnsiTheme="minorEastAsia" w:eastAsiaTheme="minorEastAsia"/>
          <w:b/>
          <w:color w:val="auto"/>
          <w:sz w:val="36"/>
          <w:szCs w:val="20"/>
        </w:rPr>
        <w:t>(</w:t>
      </w:r>
      <w:r>
        <w:rPr>
          <w:rFonts w:hint="eastAsia" w:cs="仿宋_GB2312" w:asciiTheme="minorEastAsia" w:hAnsiTheme="minorEastAsia" w:eastAsiaTheme="minorEastAsia"/>
          <w:b/>
          <w:color w:val="auto"/>
          <w:sz w:val="36"/>
          <w:szCs w:val="20"/>
          <w:highlight w:val="none"/>
          <w:lang w:eastAsia="zh-CN"/>
        </w:rPr>
        <w:t>BHZC2025-C3-020047-BHSH</w:t>
      </w:r>
      <w:r>
        <w:rPr>
          <w:rFonts w:hint="eastAsia" w:cs="仿宋_GB2312" w:asciiTheme="minorEastAsia" w:hAnsiTheme="minorEastAsia" w:eastAsiaTheme="minorEastAsia"/>
          <w:b/>
          <w:color w:val="auto"/>
          <w:sz w:val="36"/>
          <w:szCs w:val="20"/>
        </w:rPr>
        <w:t>)竞争性磋商公告</w:t>
      </w:r>
      <w:r>
        <w:rPr>
          <w:rFonts w:hint="eastAsia" w:cs="仿宋_GB2312" w:asciiTheme="minorEastAsia" w:hAnsiTheme="minorEastAsia" w:eastAsiaTheme="minorEastAsia"/>
          <w:b/>
          <w:color w:val="auto"/>
          <w:sz w:val="36"/>
          <w:szCs w:val="20"/>
          <w:lang w:val="en-US" w:eastAsia="zh-CN"/>
        </w:rPr>
        <w:t>(远程异地评审)</w:t>
      </w:r>
    </w:p>
    <w:p>
      <w:pPr>
        <w:spacing w:line="360" w:lineRule="auto"/>
        <w:rPr>
          <w:rFonts w:asciiTheme="minorEastAsia" w:hAnsiTheme="minorEastAsia" w:eastAsiaTheme="minorEastAsia"/>
          <w:color w:val="auto"/>
          <w:sz w:val="24"/>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2025年海城区</w:t>
      </w:r>
      <w:r>
        <w:rPr>
          <w:rFonts w:hint="eastAsia" w:asciiTheme="minorEastAsia" w:hAnsiTheme="minorEastAsia" w:eastAsiaTheme="minorEastAsia"/>
          <w:color w:val="auto"/>
          <w:szCs w:val="21"/>
          <w:lang w:eastAsia="zh-CN"/>
        </w:rPr>
        <w:t>计生家庭关爱保险项目采购</w:t>
      </w:r>
      <w:r>
        <w:rPr>
          <w:rFonts w:hint="eastAsia" w:asciiTheme="minorEastAsia" w:hAnsiTheme="minorEastAsia" w:eastAsiaTheme="minorEastAsia"/>
          <w:color w:val="auto"/>
          <w:szCs w:val="21"/>
        </w:rPr>
        <w:t>的潜在供应商应在广西政府采购云平台（网址：http://www.gcy.zfcg.gxzf.gov.cn）获取采购文件，并于</w:t>
      </w:r>
      <w:r>
        <w:rPr>
          <w:rFonts w:hint="eastAsia" w:asciiTheme="minorEastAsia" w:hAnsiTheme="minorEastAsia" w:eastAsiaTheme="minorEastAsia"/>
          <w:color w:val="auto"/>
          <w:szCs w:val="21"/>
          <w:lang w:eastAsia="zh-CN"/>
        </w:rPr>
        <w:t>2025年</w:t>
      </w:r>
      <w:r>
        <w:rPr>
          <w:rFonts w:hint="eastAsia" w:asciiTheme="minorEastAsia" w:hAnsiTheme="minorEastAsia" w:eastAsiaTheme="minorEastAsia"/>
          <w:color w:val="auto"/>
          <w:szCs w:val="21"/>
          <w:lang w:val="en-US" w:eastAsia="zh-CN"/>
        </w:rPr>
        <w:t>11</w:t>
      </w:r>
      <w:r>
        <w:rPr>
          <w:rFonts w:hint="eastAsia" w:asciiTheme="minorEastAsia" w:hAnsiTheme="minorEastAsia" w:eastAsiaTheme="minorEastAsia"/>
          <w:color w:val="auto"/>
          <w:szCs w:val="21"/>
          <w:lang w:eastAsia="zh-CN"/>
        </w:rPr>
        <w:t>月</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lang w:eastAsia="zh-CN"/>
        </w:rPr>
        <w:t>日</w:t>
      </w:r>
      <w:r>
        <w:rPr>
          <w:rFonts w:hint="eastAsia" w:asciiTheme="minorEastAsia" w:hAnsiTheme="minorEastAsia" w:eastAsiaTheme="minorEastAsia"/>
          <w:color w:val="auto"/>
          <w:szCs w:val="21"/>
        </w:rPr>
        <w:t>9时（北京时间）前提交响应文件。</w:t>
      </w:r>
    </w:p>
    <w:p>
      <w:pPr>
        <w:spacing w:line="360" w:lineRule="auto"/>
        <w:rPr>
          <w:rFonts w:asciiTheme="minorEastAsia" w:hAnsiTheme="minorEastAsia" w:eastAsiaTheme="minorEastAsia"/>
          <w:color w:val="auto"/>
          <w:sz w:val="24"/>
        </w:rPr>
      </w:pPr>
    </w:p>
    <w:p>
      <w:pPr>
        <w:adjustRightInd/>
        <w:spacing w:line="360" w:lineRule="exact"/>
        <w:rPr>
          <w:rFonts w:ascii="宋体" w:hAnsi="宋体" w:cs="宋体"/>
          <w:b/>
          <w:bCs/>
          <w:color w:val="auto"/>
        </w:rPr>
      </w:pPr>
      <w:r>
        <w:rPr>
          <w:rFonts w:hint="eastAsia" w:ascii="宋体" w:hAnsi="宋体" w:cs="宋体"/>
          <w:b/>
          <w:bCs/>
          <w:color w:val="auto"/>
        </w:rPr>
        <w:t>一、项目基本情况</w:t>
      </w:r>
    </w:p>
    <w:p>
      <w:pPr>
        <w:adjustRightInd/>
        <w:spacing w:line="360" w:lineRule="exact"/>
        <w:ind w:firstLine="420" w:firstLineChars="200"/>
        <w:jc w:val="left"/>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lang w:eastAsia="zh-CN"/>
        </w:rPr>
        <w:t>BHZC2025-C3-020047-BHSH</w:t>
      </w:r>
    </w:p>
    <w:p>
      <w:pPr>
        <w:adjustRightInd/>
        <w:spacing w:line="360" w:lineRule="exact"/>
        <w:ind w:firstLine="420" w:firstLineChars="200"/>
        <w:jc w:val="left"/>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lang w:val="en-US" w:eastAsia="zh-CN"/>
        </w:rPr>
        <w:t>2025年海城区</w:t>
      </w:r>
      <w:r>
        <w:rPr>
          <w:rFonts w:hint="eastAsia" w:ascii="宋体" w:hAnsi="宋体" w:cs="宋体"/>
          <w:color w:val="auto"/>
          <w:szCs w:val="21"/>
          <w:lang w:eastAsia="zh-CN"/>
        </w:rPr>
        <w:t>计生家庭关爱保险项目采购</w:t>
      </w:r>
      <w:r>
        <w:rPr>
          <w:rFonts w:hint="eastAsia" w:ascii="宋体" w:hAnsi="宋体" w:cs="宋体"/>
          <w:color w:val="auto"/>
          <w:szCs w:val="21"/>
        </w:rPr>
        <w:t> </w:t>
      </w:r>
    </w:p>
    <w:p>
      <w:pPr>
        <w:adjustRightInd/>
        <w:spacing w:line="360" w:lineRule="exact"/>
        <w:ind w:firstLine="420" w:firstLineChars="200"/>
        <w:jc w:val="left"/>
        <w:rPr>
          <w:rFonts w:ascii="宋体" w:hAnsi="宋体" w:cs="宋体"/>
          <w:color w:val="auto"/>
          <w:szCs w:val="21"/>
        </w:rPr>
      </w:pPr>
      <w:r>
        <w:rPr>
          <w:rFonts w:hint="eastAsia" w:ascii="宋体" w:hAnsi="宋体" w:cs="宋体"/>
          <w:color w:val="auto"/>
          <w:szCs w:val="21"/>
        </w:rPr>
        <w:t>采购方式：竞争性磋商 </w:t>
      </w:r>
    </w:p>
    <w:p>
      <w:pPr>
        <w:adjustRightInd/>
        <w:spacing w:line="360" w:lineRule="exact"/>
        <w:ind w:firstLine="420" w:firstLineChars="200"/>
        <w:jc w:val="left"/>
        <w:rPr>
          <w:rFonts w:ascii="宋体" w:hAnsi="宋体" w:cs="宋体"/>
          <w:color w:val="auto"/>
          <w:szCs w:val="21"/>
        </w:rPr>
      </w:pPr>
      <w:r>
        <w:rPr>
          <w:rFonts w:hint="eastAsia" w:ascii="宋体" w:hAnsi="宋体" w:cs="宋体"/>
          <w:color w:val="auto"/>
          <w:szCs w:val="21"/>
        </w:rPr>
        <w:t>预算金额（元）：</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lang w:val="en-US" w:eastAsia="zh-CN"/>
        </w:rPr>
        <w:t>12</w:t>
      </w:r>
      <w:r>
        <w:rPr>
          <w:rFonts w:hint="eastAsia" w:ascii="宋体" w:hAnsi="宋体" w:cs="宋体"/>
          <w:color w:val="auto"/>
          <w:szCs w:val="21"/>
          <w:lang w:eastAsia="zh-CN"/>
        </w:rPr>
        <w:t>0,000.00</w:t>
      </w:r>
      <w:r>
        <w:rPr>
          <w:rFonts w:hint="eastAsia" w:ascii="宋体" w:hAnsi="宋体" w:cs="宋体"/>
          <w:color w:val="auto"/>
          <w:szCs w:val="21"/>
        </w:rPr>
        <w:t> </w:t>
      </w:r>
    </w:p>
    <w:p>
      <w:pPr>
        <w:adjustRightInd/>
        <w:spacing w:line="360" w:lineRule="exact"/>
        <w:ind w:firstLine="420" w:firstLineChars="200"/>
        <w:jc w:val="left"/>
        <w:rPr>
          <w:rFonts w:ascii="宋体" w:hAnsi="宋体" w:cs="宋体"/>
          <w:color w:val="auto"/>
          <w:szCs w:val="21"/>
        </w:rPr>
      </w:pPr>
      <w:r>
        <w:rPr>
          <w:rFonts w:hint="eastAsia" w:ascii="宋体" w:hAnsi="宋体" w:cs="宋体"/>
          <w:color w:val="auto"/>
          <w:szCs w:val="21"/>
        </w:rPr>
        <w:t>采购需求： </w:t>
      </w:r>
    </w:p>
    <w:p>
      <w:pPr>
        <w:spacing w:line="340" w:lineRule="exact"/>
        <w:ind w:firstLine="420" w:firstLineChars="200"/>
        <w:rPr>
          <w:rFonts w:hint="eastAsia" w:ascii="宋体" w:hAnsi="宋体" w:eastAsia="宋体" w:cs="宋体"/>
          <w:color w:val="auto"/>
          <w:lang w:eastAsia="zh-CN"/>
        </w:rPr>
      </w:pPr>
      <w:r>
        <w:rPr>
          <w:rFonts w:hint="eastAsia" w:ascii="宋体" w:hAnsi="宋体" w:cs="宋体"/>
          <w:color w:val="auto"/>
        </w:rPr>
        <w:t>标项名称：</w:t>
      </w:r>
      <w:r>
        <w:rPr>
          <w:rFonts w:hint="eastAsia" w:asciiTheme="minorEastAsia" w:hAnsiTheme="minorEastAsia" w:eastAsiaTheme="minorEastAsia"/>
          <w:color w:val="auto"/>
          <w:szCs w:val="21"/>
          <w:lang w:val="en-US" w:eastAsia="zh-CN"/>
        </w:rPr>
        <w:t>海城区2025年</w:t>
      </w:r>
      <w:r>
        <w:rPr>
          <w:rFonts w:hint="eastAsia" w:ascii="宋体" w:hAnsi="宋体" w:cs="宋体"/>
          <w:color w:val="auto"/>
          <w:lang w:eastAsia="zh-CN"/>
        </w:rPr>
        <w:t>计生家庭关爱保险项目采购</w:t>
      </w:r>
    </w:p>
    <w:p>
      <w:pPr>
        <w:spacing w:line="340" w:lineRule="exact"/>
        <w:ind w:firstLine="420" w:firstLineChars="200"/>
        <w:rPr>
          <w:rFonts w:ascii="宋体" w:hAnsi="宋体" w:cs="宋体"/>
          <w:color w:val="auto"/>
        </w:rPr>
      </w:pPr>
      <w:r>
        <w:rPr>
          <w:rFonts w:hint="eastAsia" w:ascii="宋体" w:hAnsi="宋体" w:cs="宋体"/>
          <w:color w:val="auto"/>
        </w:rPr>
        <w:t>数量：1项</w:t>
      </w:r>
    </w:p>
    <w:p>
      <w:pPr>
        <w:spacing w:line="340" w:lineRule="exact"/>
        <w:ind w:firstLine="420" w:firstLineChars="200"/>
        <w:rPr>
          <w:rFonts w:ascii="宋体" w:hAnsi="宋体" w:cs="宋体"/>
          <w:color w:val="auto"/>
        </w:rPr>
      </w:pPr>
      <w:r>
        <w:rPr>
          <w:rFonts w:ascii="仿宋" w:hAnsi="仿宋"/>
          <w:color w:val="auto"/>
        </w:rPr>
        <w:t>简要规格描述或项目基本概况介绍、用途：</w:t>
      </w:r>
      <w:r>
        <w:rPr>
          <w:rFonts w:hint="eastAsia" w:ascii="宋体" w:hAnsi="宋体" w:cs="宋体"/>
          <w:color w:val="auto"/>
          <w:szCs w:val="21"/>
          <w:lang w:val="en-US" w:eastAsia="zh-CN"/>
        </w:rPr>
        <w:t>2025年海城区</w:t>
      </w:r>
      <w:r>
        <w:rPr>
          <w:rFonts w:hint="eastAsia" w:ascii="宋体" w:hAnsi="宋体" w:cs="宋体"/>
          <w:color w:val="auto"/>
          <w:szCs w:val="21"/>
          <w:lang w:eastAsia="zh-CN"/>
        </w:rPr>
        <w:t>计生家庭关爱保险项目采购</w:t>
      </w:r>
      <w:r>
        <w:rPr>
          <w:rFonts w:hint="eastAsia" w:ascii="宋体" w:hAnsi="宋体" w:cs="宋体"/>
          <w:color w:val="auto"/>
          <w:lang w:eastAsia="zh-CN"/>
        </w:rPr>
        <w:t>一项</w:t>
      </w:r>
      <w:r>
        <w:rPr>
          <w:rFonts w:hint="eastAsia" w:ascii="宋体" w:hAnsi="宋体" w:cs="宋体"/>
          <w:color w:val="auto"/>
        </w:rPr>
        <w:t>。详见磋商文件。</w:t>
      </w:r>
    </w:p>
    <w:p>
      <w:pPr>
        <w:spacing w:line="340" w:lineRule="exact"/>
        <w:ind w:firstLine="420" w:firstLineChars="200"/>
        <w:rPr>
          <w:rFonts w:ascii="宋体" w:hAnsi="宋体" w:cs="宋体"/>
          <w:color w:val="auto"/>
        </w:rPr>
      </w:pPr>
      <w:r>
        <w:rPr>
          <w:rFonts w:ascii="宋体" w:hAnsi="宋体" w:cs="宋体"/>
          <w:color w:val="auto"/>
        </w:rPr>
        <w:t>最高限价（如有）：</w:t>
      </w:r>
      <w:r>
        <w:rPr>
          <w:rFonts w:hint="eastAsia" w:ascii="宋体" w:hAnsi="宋体" w:cs="宋体"/>
          <w:color w:val="auto"/>
        </w:rPr>
        <w:t>/。</w:t>
      </w:r>
    </w:p>
    <w:p>
      <w:pPr>
        <w:spacing w:line="340" w:lineRule="exact"/>
        <w:ind w:left="420" w:leftChars="200"/>
        <w:rPr>
          <w:rFonts w:hint="eastAsia" w:ascii="宋体" w:hAnsi="宋体" w:cs="宋体"/>
          <w:color w:val="auto"/>
          <w:kern w:val="0"/>
          <w:szCs w:val="21"/>
        </w:rPr>
      </w:pPr>
      <w:r>
        <w:rPr>
          <w:rFonts w:hint="eastAsia" w:ascii="宋体" w:hAnsi="宋体" w:cs="宋体"/>
          <w:color w:val="auto"/>
        </w:rPr>
        <w:t>合同履约期限：</w:t>
      </w:r>
      <w:r>
        <w:rPr>
          <w:rFonts w:hint="eastAsia" w:ascii="宋体" w:hAnsi="宋体" w:cs="宋体"/>
          <w:color w:val="auto"/>
          <w:kern w:val="0"/>
          <w:szCs w:val="21"/>
        </w:rPr>
        <w:t>采购人与供应商核定参保人员后</w:t>
      </w:r>
      <w:r>
        <w:rPr>
          <w:rFonts w:hint="eastAsia" w:ascii="宋体" w:hAnsi="宋体" w:cs="宋体"/>
          <w:color w:val="auto"/>
          <w:kern w:val="0"/>
          <w:szCs w:val="21"/>
          <w:lang w:val="en-US" w:eastAsia="zh-CN"/>
        </w:rPr>
        <w:t>7</w:t>
      </w:r>
      <w:r>
        <w:rPr>
          <w:rFonts w:hint="eastAsia" w:ascii="宋体" w:hAnsi="宋体" w:cs="宋体"/>
          <w:color w:val="auto"/>
          <w:kern w:val="0"/>
          <w:szCs w:val="21"/>
        </w:rPr>
        <w:t>个日历日内，供应商向采购人交付所有保单。保险期限：一年，追溯生效日为2025年2月1日—2026年1月31日。</w:t>
      </w:r>
    </w:p>
    <w:p>
      <w:pPr>
        <w:spacing w:line="340" w:lineRule="exact"/>
        <w:ind w:firstLine="420" w:firstLineChars="200"/>
        <w:rPr>
          <w:rFonts w:ascii="宋体" w:hAnsi="宋体" w:cs="宋体"/>
          <w:color w:val="auto"/>
        </w:rPr>
      </w:pPr>
      <w:r>
        <w:rPr>
          <w:rFonts w:ascii="仿宋" w:hAnsi="仿宋"/>
          <w:color w:val="auto"/>
        </w:rPr>
        <w:t>本标项</w:t>
      </w:r>
      <w:r>
        <w:rPr>
          <w:rFonts w:hint="eastAsia" w:ascii="仿宋" w:hAnsi="仿宋"/>
          <w:color w:val="auto"/>
        </w:rPr>
        <w:t>不</w:t>
      </w:r>
      <w:r>
        <w:rPr>
          <w:rFonts w:ascii="仿宋" w:hAnsi="仿宋"/>
          <w:color w:val="auto"/>
        </w:rPr>
        <w:t>接受联合体</w:t>
      </w:r>
      <w:r>
        <w:rPr>
          <w:rFonts w:hint="eastAsia" w:ascii="仿宋" w:hAnsi="仿宋"/>
          <w:color w:val="auto"/>
        </w:rPr>
        <w:t>磋商</w:t>
      </w:r>
      <w:r>
        <w:rPr>
          <w:rFonts w:hint="eastAsia" w:ascii="宋体" w:hAnsi="宋体" w:cs="宋体"/>
          <w:color w:val="auto"/>
        </w:rPr>
        <w:t>。 </w:t>
      </w:r>
    </w:p>
    <w:p>
      <w:pPr>
        <w:spacing w:line="340" w:lineRule="exact"/>
        <w:ind w:firstLine="420" w:firstLineChars="200"/>
        <w:rPr>
          <w:rFonts w:ascii="宋体" w:hAnsi="宋体" w:cs="宋体"/>
          <w:color w:val="auto"/>
        </w:rPr>
      </w:pPr>
      <w:r>
        <w:rPr>
          <w:rFonts w:ascii="仿宋" w:hAnsi="仿宋"/>
          <w:color w:val="auto"/>
        </w:rPr>
        <w:t>备注：</w:t>
      </w:r>
      <w:r>
        <w:rPr>
          <w:rFonts w:hint="eastAsia" w:ascii="宋体" w:hAnsi="宋体" w:cs="宋体"/>
          <w:color w:val="auto"/>
        </w:rPr>
        <w:t> </w:t>
      </w:r>
    </w:p>
    <w:p>
      <w:pPr>
        <w:adjustRightInd/>
        <w:spacing w:line="360" w:lineRule="exact"/>
        <w:jc w:val="left"/>
        <w:rPr>
          <w:rFonts w:ascii="宋体" w:hAnsi="宋体" w:cs="宋体"/>
          <w:b/>
          <w:color w:val="auto"/>
          <w:szCs w:val="21"/>
        </w:rPr>
      </w:pPr>
      <w:r>
        <w:rPr>
          <w:rFonts w:hint="eastAsia" w:ascii="宋体" w:hAnsi="宋体" w:cs="宋体"/>
          <w:b/>
          <w:color w:val="auto"/>
          <w:szCs w:val="21"/>
        </w:rPr>
        <w:t>二、申请人的资格要求</w:t>
      </w:r>
    </w:p>
    <w:p>
      <w:pPr>
        <w:adjustRightInd/>
        <w:spacing w:line="360" w:lineRule="exact"/>
        <w:ind w:firstLine="420" w:firstLineChars="200"/>
        <w:jc w:val="left"/>
        <w:rPr>
          <w:rFonts w:ascii="宋体" w:hAnsi="宋体" w:cs="宋体"/>
          <w:color w:val="auto"/>
          <w:szCs w:val="21"/>
        </w:rPr>
      </w:pPr>
      <w:r>
        <w:rPr>
          <w:rFonts w:hint="eastAsia" w:ascii="宋体" w:hAnsi="宋体" w:cs="宋体"/>
          <w:color w:val="auto"/>
          <w:szCs w:val="21"/>
        </w:rPr>
        <w:t>1.满足《中华人民共和国政府采购法》第二十二条规定；</w:t>
      </w:r>
    </w:p>
    <w:p>
      <w:pPr>
        <w:spacing w:line="360" w:lineRule="auto"/>
        <w:ind w:firstLine="420" w:firstLineChars="200"/>
        <w:rPr>
          <w:rFonts w:ascii="宋体" w:hAnsi="宋体" w:cs="宋体"/>
          <w:color w:val="auto"/>
          <w:sz w:val="24"/>
        </w:rPr>
      </w:pPr>
      <w:r>
        <w:rPr>
          <w:rFonts w:hint="eastAsia" w:ascii="宋体" w:hAnsi="宋体" w:cs="宋体"/>
          <w:color w:val="auto"/>
          <w:szCs w:val="21"/>
        </w:rPr>
        <w:t>2.落实政府采购政策需满足的资格要求：</w:t>
      </w:r>
      <w:bookmarkStart w:id="11" w:name="OLE_LINK16"/>
      <w:bookmarkStart w:id="12" w:name="OLE_LINK7"/>
      <w:bookmarkStart w:id="13" w:name="OLE_LINK6"/>
      <w:r>
        <w:rPr>
          <w:rFonts w:hint="eastAsia" w:ascii="宋体" w:hAnsi="宋体" w:cs="宋体"/>
          <w:color w:val="auto"/>
          <w:szCs w:val="21"/>
        </w:rPr>
        <w:t>无。</w:t>
      </w:r>
    </w:p>
    <w:bookmarkEnd w:id="11"/>
    <w:bookmarkEnd w:id="12"/>
    <w:bookmarkEnd w:id="13"/>
    <w:p>
      <w:pPr>
        <w:adjustRightInd/>
        <w:spacing w:line="360" w:lineRule="exact"/>
        <w:ind w:firstLine="420" w:firstLineChars="200"/>
        <w:jc w:val="left"/>
        <w:rPr>
          <w:rFonts w:ascii="宋体" w:hAnsi="宋体" w:cs="宋体"/>
          <w:color w:val="auto"/>
          <w:szCs w:val="21"/>
        </w:rPr>
      </w:pPr>
      <w:r>
        <w:rPr>
          <w:rFonts w:hint="eastAsia" w:ascii="宋体" w:hAnsi="宋体" w:cs="宋体"/>
          <w:color w:val="auto"/>
          <w:szCs w:val="21"/>
        </w:rPr>
        <w:t>3.本项目的特定资格要求：无。</w:t>
      </w:r>
    </w:p>
    <w:p>
      <w:pPr>
        <w:adjustRightInd/>
        <w:spacing w:line="360" w:lineRule="exact"/>
        <w:rPr>
          <w:rFonts w:ascii="宋体" w:hAnsi="宋体" w:cs="宋体"/>
          <w:b/>
          <w:bCs/>
          <w:color w:val="auto"/>
        </w:rPr>
      </w:pPr>
      <w:r>
        <w:rPr>
          <w:rFonts w:hint="eastAsia" w:ascii="宋体" w:hAnsi="宋体" w:cs="宋体"/>
          <w:b/>
          <w:bCs/>
          <w:color w:val="auto"/>
        </w:rPr>
        <w:t>三、获取采购文件</w:t>
      </w:r>
    </w:p>
    <w:p>
      <w:pPr>
        <w:adjustRightInd/>
        <w:spacing w:line="360" w:lineRule="exact"/>
        <w:ind w:firstLine="420" w:firstLineChars="200"/>
        <w:jc w:val="left"/>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eastAsia="zh-CN"/>
        </w:rPr>
        <w:t>2025年</w:t>
      </w:r>
      <w:r>
        <w:rPr>
          <w:rFonts w:hint="eastAsia" w:ascii="宋体" w:hAnsi="宋体" w:cs="宋体"/>
          <w:color w:val="auto"/>
          <w:szCs w:val="21"/>
          <w:lang w:val="en-US" w:eastAsia="zh-CN"/>
        </w:rPr>
        <w:t>10</w:t>
      </w:r>
      <w:r>
        <w:rPr>
          <w:rFonts w:hint="eastAsia" w:ascii="宋体" w:hAnsi="宋体" w:cs="宋体"/>
          <w:color w:val="auto"/>
          <w:szCs w:val="21"/>
          <w:lang w:eastAsia="zh-CN"/>
        </w:rPr>
        <w:t>月</w:t>
      </w:r>
      <w:r>
        <w:rPr>
          <w:rFonts w:hint="eastAsia" w:ascii="宋体" w:hAnsi="宋体" w:cs="宋体"/>
          <w:color w:val="auto"/>
          <w:szCs w:val="21"/>
          <w:lang w:val="en-US" w:eastAsia="zh-CN"/>
        </w:rPr>
        <w:t xml:space="preserve">21 </w:t>
      </w:r>
      <w:r>
        <w:rPr>
          <w:rFonts w:hint="eastAsia" w:ascii="宋体" w:hAnsi="宋体" w:cs="宋体"/>
          <w:color w:val="auto"/>
          <w:szCs w:val="21"/>
          <w:lang w:eastAsia="zh-CN"/>
        </w:rPr>
        <w:t>日</w:t>
      </w:r>
      <w:r>
        <w:rPr>
          <w:rFonts w:hint="eastAsia" w:ascii="宋体" w:hAnsi="宋体" w:cs="宋体"/>
          <w:color w:val="auto"/>
          <w:szCs w:val="21"/>
        </w:rPr>
        <w:t>至202</w:t>
      </w:r>
      <w:r>
        <w:rPr>
          <w:rFonts w:ascii="宋体" w:hAnsi="宋体" w:cs="宋体"/>
          <w:color w:val="auto"/>
          <w:szCs w:val="21"/>
        </w:rPr>
        <w:t>5</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 xml:space="preserve">29 </w:t>
      </w:r>
      <w:r>
        <w:rPr>
          <w:rFonts w:hint="eastAsia" w:ascii="宋体" w:hAnsi="宋体" w:cs="宋体"/>
          <w:color w:val="auto"/>
          <w:szCs w:val="21"/>
        </w:rPr>
        <w:t>日，每天上午00:00至12:00，下午12:00至23:59（北京时间，法定节假日除外）</w:t>
      </w:r>
    </w:p>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地点（网址）：</w:t>
      </w:r>
      <w:r>
        <w:rPr>
          <w:rFonts w:ascii="宋体" w:hAnsi="宋体" w:cs="宋体"/>
          <w:color w:val="auto"/>
          <w:szCs w:val="21"/>
        </w:rPr>
        <w:t>广西政府采购云平台（网址：http://www.gcy.zfcg.gxzf.gov.cn）</w:t>
      </w:r>
    </w:p>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方式：供应商登录</w:t>
      </w:r>
      <w:r>
        <w:rPr>
          <w:rFonts w:ascii="宋体" w:hAnsi="宋体" w:cs="宋体"/>
          <w:color w:val="auto"/>
          <w:szCs w:val="21"/>
        </w:rPr>
        <w:t>广西政府采购云平台</w:t>
      </w:r>
      <w:r>
        <w:rPr>
          <w:rFonts w:hint="eastAsia" w:ascii="宋体" w:hAnsi="宋体" w:cs="宋体"/>
          <w:color w:val="auto"/>
          <w:szCs w:val="21"/>
        </w:rPr>
        <w:t>（</w:t>
      </w:r>
      <w:r>
        <w:rPr>
          <w:rFonts w:ascii="宋体" w:hAnsi="宋体" w:cs="宋体"/>
          <w:color w:val="auto"/>
          <w:szCs w:val="21"/>
        </w:rPr>
        <w:t>网址：http://www.gcy.zfcg.gxzf.gov.cn</w:t>
      </w:r>
      <w:r>
        <w:rPr>
          <w:rFonts w:hint="eastAsia" w:ascii="宋体" w:hAnsi="宋体" w:cs="宋体"/>
          <w:color w:val="auto"/>
          <w:szCs w:val="21"/>
        </w:rPr>
        <w:t>）</w:t>
      </w:r>
      <w:r>
        <w:rPr>
          <w:rFonts w:ascii="宋体" w:hAnsi="宋体" w:cs="宋体"/>
          <w:color w:val="auto"/>
          <w:szCs w:val="21"/>
        </w:rPr>
        <w:t>进行报名并获取采购文件</w:t>
      </w:r>
      <w:r>
        <w:rPr>
          <w:rFonts w:hint="eastAsia" w:ascii="宋体" w:hAnsi="宋体" w:cs="宋体"/>
          <w:color w:val="auto"/>
          <w:szCs w:val="21"/>
        </w:rPr>
        <w:t>；未注册的供应商可在</w:t>
      </w:r>
      <w:r>
        <w:rPr>
          <w:rFonts w:ascii="宋体" w:hAnsi="宋体" w:cs="宋体"/>
          <w:color w:val="auto"/>
          <w:szCs w:val="21"/>
        </w:rPr>
        <w:t>广西政府采购云平台</w:t>
      </w:r>
      <w:r>
        <w:rPr>
          <w:rFonts w:hint="eastAsia" w:ascii="宋体" w:hAnsi="宋体" w:cs="宋体"/>
          <w:color w:val="auto"/>
          <w:szCs w:val="21"/>
        </w:rPr>
        <w:t>完成注册后再进行</w:t>
      </w:r>
      <w:r>
        <w:rPr>
          <w:rFonts w:ascii="宋体" w:hAnsi="宋体" w:cs="宋体"/>
          <w:color w:val="auto"/>
          <w:szCs w:val="21"/>
        </w:rPr>
        <w:t>报名</w:t>
      </w:r>
      <w:r>
        <w:rPr>
          <w:rFonts w:hint="eastAsia" w:ascii="宋体" w:hAnsi="宋体" w:cs="宋体"/>
          <w:color w:val="auto"/>
          <w:szCs w:val="21"/>
        </w:rPr>
        <w:t>。如在操作过程中遇到问题或需技术支持，请致电广西政府采购云平台客服热线：95763。提示：</w:t>
      </w:r>
      <w:r>
        <w:rPr>
          <w:rFonts w:ascii="宋体" w:hAnsi="宋体" w:cs="宋体"/>
          <w:color w:val="auto"/>
          <w:szCs w:val="21"/>
        </w:rPr>
        <w:t>供应商只有在“广西政府采购云平台”完成获取</w:t>
      </w:r>
      <w:r>
        <w:rPr>
          <w:rFonts w:hint="eastAsia" w:ascii="宋体" w:hAnsi="宋体" w:cs="宋体"/>
          <w:color w:val="auto"/>
          <w:szCs w:val="21"/>
        </w:rPr>
        <w:t>竞争性磋商文件</w:t>
      </w:r>
      <w:r>
        <w:rPr>
          <w:rFonts w:ascii="宋体" w:hAnsi="宋体" w:cs="宋体"/>
          <w:color w:val="auto"/>
          <w:szCs w:val="21"/>
        </w:rPr>
        <w:t>申请并下载了</w:t>
      </w:r>
      <w:r>
        <w:rPr>
          <w:rFonts w:hint="eastAsia" w:ascii="宋体" w:hAnsi="宋体" w:cs="宋体"/>
          <w:color w:val="auto"/>
          <w:szCs w:val="21"/>
        </w:rPr>
        <w:t>竞争性磋商文件</w:t>
      </w:r>
      <w:r>
        <w:rPr>
          <w:rFonts w:ascii="宋体" w:hAnsi="宋体" w:cs="宋体"/>
          <w:color w:val="auto"/>
          <w:szCs w:val="21"/>
        </w:rPr>
        <w:t>后才视作依法获取</w:t>
      </w:r>
      <w:r>
        <w:rPr>
          <w:rFonts w:hint="eastAsia" w:ascii="宋体" w:hAnsi="宋体" w:cs="宋体"/>
          <w:color w:val="auto"/>
          <w:szCs w:val="21"/>
        </w:rPr>
        <w:t>竞争性磋商文件</w:t>
      </w:r>
      <w:r>
        <w:rPr>
          <w:rFonts w:ascii="宋体" w:hAnsi="宋体" w:cs="宋体"/>
          <w:color w:val="auto"/>
          <w:szCs w:val="21"/>
        </w:rPr>
        <w:t>（法律法规所指的供应商获取</w:t>
      </w:r>
      <w:r>
        <w:rPr>
          <w:rFonts w:hint="eastAsia" w:ascii="宋体" w:hAnsi="宋体" w:cs="宋体"/>
          <w:color w:val="auto"/>
          <w:szCs w:val="21"/>
        </w:rPr>
        <w:t>竞争性磋商文件</w:t>
      </w:r>
      <w:r>
        <w:rPr>
          <w:rFonts w:ascii="宋体" w:hAnsi="宋体" w:cs="宋体"/>
          <w:color w:val="auto"/>
          <w:szCs w:val="21"/>
        </w:rPr>
        <w:t>时间以供应商完成获取</w:t>
      </w:r>
      <w:r>
        <w:rPr>
          <w:rFonts w:hint="eastAsia" w:ascii="宋体" w:hAnsi="宋体" w:cs="宋体"/>
          <w:color w:val="auto"/>
          <w:szCs w:val="21"/>
        </w:rPr>
        <w:t>竞争性磋商文件</w:t>
      </w:r>
      <w:r>
        <w:rPr>
          <w:rFonts w:ascii="宋体" w:hAnsi="宋体" w:cs="宋体"/>
          <w:color w:val="auto"/>
          <w:szCs w:val="21"/>
        </w:rPr>
        <w:t>申请后下载</w:t>
      </w:r>
      <w:r>
        <w:rPr>
          <w:rFonts w:hint="eastAsia" w:ascii="宋体" w:hAnsi="宋体" w:cs="宋体"/>
          <w:color w:val="auto"/>
          <w:szCs w:val="21"/>
        </w:rPr>
        <w:t>竞争性磋商文件</w:t>
      </w:r>
      <w:r>
        <w:rPr>
          <w:rFonts w:ascii="宋体" w:hAnsi="宋体" w:cs="宋体"/>
          <w:color w:val="auto"/>
          <w:szCs w:val="21"/>
        </w:rPr>
        <w:t>的时间为准）。 </w:t>
      </w:r>
    </w:p>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售价（元）：0</w:t>
      </w:r>
    </w:p>
    <w:p>
      <w:pPr>
        <w:adjustRightInd/>
        <w:spacing w:line="360" w:lineRule="exact"/>
        <w:rPr>
          <w:rFonts w:ascii="宋体" w:hAnsi="宋体" w:cs="宋体"/>
          <w:b/>
          <w:bCs/>
          <w:color w:val="auto"/>
        </w:rPr>
      </w:pPr>
      <w:r>
        <w:rPr>
          <w:rFonts w:hint="eastAsia" w:ascii="宋体" w:hAnsi="宋体" w:cs="宋体"/>
          <w:b/>
          <w:bCs/>
          <w:color w:val="auto"/>
        </w:rPr>
        <w:t>四、</w:t>
      </w:r>
      <w:r>
        <w:rPr>
          <w:rFonts w:hint="eastAsia" w:ascii="宋体" w:hAnsi="宋体" w:cs="宋体"/>
          <w:b/>
          <w:color w:val="auto"/>
          <w:szCs w:val="21"/>
        </w:rPr>
        <w:t>提交响应文件截止时间、开标时间和地点</w:t>
      </w:r>
    </w:p>
    <w:p>
      <w:pPr>
        <w:adjustRightInd/>
        <w:spacing w:line="360" w:lineRule="exact"/>
        <w:ind w:firstLine="420" w:firstLineChars="200"/>
        <w:jc w:val="left"/>
        <w:rPr>
          <w:rFonts w:ascii="宋体" w:hAnsi="宋体" w:cs="宋体"/>
          <w:color w:val="auto"/>
          <w:szCs w:val="21"/>
        </w:rPr>
      </w:pPr>
      <w:r>
        <w:rPr>
          <w:rFonts w:hint="eastAsia" w:ascii="宋体" w:hAnsi="宋体" w:cs="宋体"/>
          <w:color w:val="auto"/>
          <w:szCs w:val="21"/>
        </w:rPr>
        <w:t>提交响应文件截止时间：</w:t>
      </w:r>
      <w:r>
        <w:rPr>
          <w:rFonts w:hint="eastAsia" w:ascii="宋体" w:hAnsi="宋体" w:cs="宋体"/>
          <w:color w:val="auto"/>
          <w:szCs w:val="21"/>
          <w:lang w:eastAsia="zh-CN"/>
        </w:rPr>
        <w:t>2025年</w:t>
      </w:r>
      <w:r>
        <w:rPr>
          <w:rFonts w:hint="eastAsia" w:ascii="宋体" w:hAnsi="宋体" w:cs="宋体"/>
          <w:color w:val="auto"/>
          <w:szCs w:val="21"/>
          <w:highlight w:val="none"/>
          <w:lang w:val="en-US" w:eastAsia="zh-CN"/>
        </w:rPr>
        <w:t>11</w:t>
      </w:r>
      <w:r>
        <w:rPr>
          <w:rFonts w:hint="eastAsia" w:ascii="宋体" w:hAnsi="宋体" w:cs="宋体"/>
          <w:color w:val="auto"/>
          <w:szCs w:val="21"/>
          <w:lang w:eastAsia="zh-CN"/>
        </w:rPr>
        <w:t>月</w:t>
      </w:r>
      <w:r>
        <w:rPr>
          <w:rFonts w:hint="eastAsia" w:ascii="宋体" w:hAnsi="宋体" w:cs="宋体"/>
          <w:color w:val="auto"/>
          <w:szCs w:val="21"/>
          <w:lang w:val="en-US" w:eastAsia="zh-CN"/>
        </w:rPr>
        <w:t xml:space="preserve">5 </w:t>
      </w:r>
      <w:r>
        <w:rPr>
          <w:rFonts w:hint="eastAsia" w:ascii="宋体" w:hAnsi="宋体" w:cs="宋体"/>
          <w:color w:val="auto"/>
          <w:szCs w:val="21"/>
          <w:lang w:eastAsia="zh-CN"/>
        </w:rPr>
        <w:t>日</w:t>
      </w:r>
      <w:r>
        <w:rPr>
          <w:rFonts w:hint="eastAsia" w:ascii="宋体" w:hAnsi="宋体" w:cs="宋体"/>
          <w:color w:val="auto"/>
          <w:szCs w:val="21"/>
        </w:rPr>
        <w:t>9时（北京时间）</w:t>
      </w:r>
    </w:p>
    <w:p>
      <w:pPr>
        <w:adjustRightInd/>
        <w:spacing w:line="360" w:lineRule="exact"/>
        <w:ind w:firstLine="420" w:firstLineChars="200"/>
        <w:jc w:val="left"/>
        <w:rPr>
          <w:rFonts w:ascii="宋体" w:hAnsi="宋体" w:cs="宋体"/>
          <w:color w:val="auto"/>
          <w:szCs w:val="21"/>
        </w:rPr>
      </w:pPr>
      <w:r>
        <w:rPr>
          <w:rFonts w:hint="eastAsia" w:ascii="宋体" w:hAnsi="宋体" w:cs="宋体"/>
          <w:color w:val="auto"/>
          <w:szCs w:val="21"/>
        </w:rPr>
        <w:t>投标地点（网址）：</w:t>
      </w:r>
      <w:bookmarkStart w:id="14" w:name="OLE_LINK8"/>
      <w:bookmarkStart w:id="15" w:name="OLE_LINK9"/>
      <w:r>
        <w:rPr>
          <w:rFonts w:hint="eastAsia" w:ascii="宋体" w:hAnsi="宋体" w:cs="宋体"/>
          <w:color w:val="auto"/>
          <w:szCs w:val="21"/>
        </w:rPr>
        <w:t>通过广西政府采购云平台实行在线投标</w:t>
      </w:r>
    </w:p>
    <w:bookmarkEnd w:id="14"/>
    <w:bookmarkEnd w:id="15"/>
    <w:p>
      <w:pPr>
        <w:adjustRightInd/>
        <w:spacing w:line="360" w:lineRule="exact"/>
        <w:ind w:firstLine="420" w:firstLineChars="200"/>
        <w:jc w:val="left"/>
        <w:rPr>
          <w:rFonts w:ascii="宋体" w:hAnsi="宋体" w:cs="宋体"/>
          <w:color w:val="auto"/>
          <w:szCs w:val="21"/>
        </w:rPr>
      </w:pPr>
      <w:r>
        <w:rPr>
          <w:rFonts w:hint="eastAsia" w:ascii="宋体" w:hAnsi="宋体" w:cs="宋体"/>
          <w:color w:val="auto"/>
          <w:szCs w:val="21"/>
        </w:rPr>
        <w:t>开标时间：</w:t>
      </w:r>
      <w:r>
        <w:rPr>
          <w:rFonts w:hint="eastAsia" w:ascii="宋体" w:hAnsi="宋体" w:cs="宋体"/>
          <w:color w:val="auto"/>
          <w:szCs w:val="21"/>
          <w:lang w:eastAsia="zh-CN"/>
        </w:rPr>
        <w:t>2025年</w:t>
      </w:r>
      <w:r>
        <w:rPr>
          <w:rFonts w:hint="eastAsia" w:ascii="宋体" w:hAnsi="宋体" w:cs="宋体"/>
          <w:color w:val="auto"/>
          <w:szCs w:val="21"/>
          <w:highlight w:val="none"/>
          <w:lang w:val="en-US" w:eastAsia="zh-CN"/>
        </w:rPr>
        <w:t>11</w:t>
      </w:r>
      <w:r>
        <w:rPr>
          <w:rFonts w:hint="eastAsia" w:ascii="宋体" w:hAnsi="宋体" w:cs="宋体"/>
          <w:color w:val="auto"/>
          <w:szCs w:val="21"/>
          <w:lang w:eastAsia="zh-CN"/>
        </w:rPr>
        <w:t>月</w:t>
      </w:r>
      <w:r>
        <w:rPr>
          <w:rFonts w:hint="eastAsia" w:ascii="宋体" w:hAnsi="宋体" w:cs="宋体"/>
          <w:color w:val="auto"/>
          <w:szCs w:val="21"/>
          <w:lang w:val="en-US" w:eastAsia="zh-CN"/>
        </w:rPr>
        <w:t xml:space="preserve"> 5 </w:t>
      </w:r>
      <w:r>
        <w:rPr>
          <w:rFonts w:hint="eastAsia" w:ascii="宋体" w:hAnsi="宋体" w:cs="宋体"/>
          <w:color w:val="auto"/>
          <w:szCs w:val="21"/>
          <w:lang w:eastAsia="zh-CN"/>
        </w:rPr>
        <w:t>日</w:t>
      </w:r>
      <w:r>
        <w:rPr>
          <w:rFonts w:hint="eastAsia" w:ascii="宋体" w:hAnsi="宋体" w:cs="宋体"/>
          <w:color w:val="auto"/>
          <w:szCs w:val="21"/>
        </w:rPr>
        <w:t>9时（北京时间）</w:t>
      </w:r>
    </w:p>
    <w:p>
      <w:pPr>
        <w:adjustRightInd/>
        <w:spacing w:line="360" w:lineRule="exact"/>
        <w:ind w:firstLine="420" w:firstLineChars="200"/>
        <w:rPr>
          <w:rFonts w:ascii="宋体" w:hAnsi="宋体" w:cs="宋体"/>
          <w:color w:val="auto"/>
        </w:rPr>
      </w:pPr>
      <w:r>
        <w:rPr>
          <w:rFonts w:hint="eastAsia" w:ascii="宋体" w:hAnsi="宋体" w:cs="宋体"/>
          <w:color w:val="auto"/>
          <w:szCs w:val="21"/>
        </w:rPr>
        <w:t>开标地点：</w:t>
      </w:r>
      <w:bookmarkStart w:id="16" w:name="_Hlk185604928"/>
      <w:r>
        <w:rPr>
          <w:rFonts w:hint="eastAsia" w:ascii="宋体" w:hAnsi="宋体" w:cs="宋体"/>
          <w:color w:val="auto"/>
          <w:szCs w:val="21"/>
        </w:rPr>
        <w:t>通过广西政府采购云平台实行在线开标</w:t>
      </w:r>
      <w:bookmarkEnd w:id="16"/>
      <w:r>
        <w:rPr>
          <w:rFonts w:hint="eastAsia" w:ascii="宋体" w:hAnsi="宋体" w:cs="宋体"/>
          <w:color w:val="auto"/>
          <w:szCs w:val="21"/>
        </w:rPr>
        <w:t>  </w:t>
      </w:r>
    </w:p>
    <w:p>
      <w:pPr>
        <w:adjustRightInd/>
        <w:spacing w:line="360" w:lineRule="exact"/>
        <w:rPr>
          <w:rFonts w:ascii="宋体" w:hAnsi="宋体" w:cs="宋体"/>
          <w:color w:val="auto"/>
        </w:rPr>
      </w:pPr>
      <w:r>
        <w:rPr>
          <w:rFonts w:hint="eastAsia" w:ascii="宋体" w:hAnsi="宋体" w:cs="宋体"/>
          <w:b/>
          <w:bCs/>
          <w:color w:val="auto"/>
        </w:rPr>
        <w:t>五、响应文件开启</w:t>
      </w:r>
    </w:p>
    <w:p>
      <w:pPr>
        <w:adjustRightInd/>
        <w:spacing w:line="360" w:lineRule="exact"/>
        <w:ind w:firstLine="420" w:firstLineChars="200"/>
        <w:rPr>
          <w:rFonts w:ascii="宋体" w:hAnsi="宋体" w:cs="宋体"/>
          <w:color w:val="auto"/>
        </w:rPr>
      </w:pPr>
      <w:r>
        <w:rPr>
          <w:rFonts w:hint="eastAsia" w:ascii="宋体" w:hAnsi="宋体" w:cs="宋体"/>
          <w:color w:val="auto"/>
        </w:rPr>
        <w:t>开启时间：</w:t>
      </w:r>
      <w:r>
        <w:rPr>
          <w:rFonts w:hint="eastAsia" w:ascii="宋体" w:hAnsi="宋体" w:cs="宋体"/>
          <w:color w:val="auto"/>
          <w:szCs w:val="21"/>
          <w:lang w:eastAsia="zh-CN"/>
        </w:rPr>
        <w:t>2025年</w:t>
      </w:r>
      <w:r>
        <w:rPr>
          <w:rFonts w:hint="eastAsia" w:ascii="宋体" w:hAnsi="宋体" w:cs="宋体"/>
          <w:color w:val="auto"/>
          <w:szCs w:val="21"/>
          <w:highlight w:val="none"/>
          <w:lang w:val="en-US" w:eastAsia="zh-CN"/>
        </w:rPr>
        <w:t>11</w:t>
      </w:r>
      <w:r>
        <w:rPr>
          <w:rFonts w:hint="eastAsia" w:ascii="宋体" w:hAnsi="宋体" w:cs="宋体"/>
          <w:color w:val="auto"/>
          <w:szCs w:val="21"/>
          <w:lang w:eastAsia="zh-CN"/>
        </w:rPr>
        <w:t>月</w:t>
      </w:r>
      <w:r>
        <w:rPr>
          <w:rFonts w:hint="eastAsia" w:ascii="宋体" w:hAnsi="宋体" w:cs="宋体"/>
          <w:color w:val="auto"/>
          <w:szCs w:val="21"/>
          <w:lang w:val="en-US" w:eastAsia="zh-CN"/>
        </w:rPr>
        <w:t>5</w:t>
      </w:r>
      <w:bookmarkStart w:id="169" w:name="_GoBack"/>
      <w:bookmarkEnd w:id="169"/>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rPr>
        <w:t>9时（北京时间）</w:t>
      </w:r>
    </w:p>
    <w:p>
      <w:pPr>
        <w:adjustRightInd/>
        <w:spacing w:line="360" w:lineRule="exact"/>
        <w:ind w:firstLine="420" w:firstLineChars="200"/>
        <w:rPr>
          <w:rFonts w:ascii="宋体" w:hAnsi="宋体" w:cs="宋体"/>
          <w:color w:val="auto"/>
        </w:rPr>
      </w:pPr>
      <w:r>
        <w:rPr>
          <w:rFonts w:hint="eastAsia" w:ascii="宋体" w:hAnsi="宋体" w:cs="宋体"/>
          <w:color w:val="auto"/>
        </w:rPr>
        <w:t>地点：</w:t>
      </w:r>
      <w:r>
        <w:rPr>
          <w:rFonts w:hint="eastAsia" w:hAnsi="宋体" w:cs="宋体"/>
          <w:color w:val="auto"/>
          <w:szCs w:val="21"/>
        </w:rPr>
        <w:t>通过广西政府采购云平台实行在线解密开启</w:t>
      </w:r>
      <w:r>
        <w:rPr>
          <w:rFonts w:hint="eastAsia" w:ascii="宋体" w:hAnsi="宋体" w:cs="宋体"/>
          <w:color w:val="auto"/>
        </w:rPr>
        <w:t> </w:t>
      </w:r>
    </w:p>
    <w:p>
      <w:pPr>
        <w:adjustRightInd/>
        <w:spacing w:line="360" w:lineRule="exact"/>
        <w:rPr>
          <w:rFonts w:ascii="宋体" w:hAnsi="宋体" w:cs="宋体"/>
          <w:b/>
          <w:bCs/>
          <w:color w:val="auto"/>
        </w:rPr>
      </w:pPr>
      <w:r>
        <w:rPr>
          <w:rFonts w:hint="eastAsia" w:ascii="宋体" w:hAnsi="宋体" w:cs="宋体"/>
          <w:b/>
          <w:bCs/>
          <w:color w:val="auto"/>
        </w:rPr>
        <w:t>六、公告期限</w:t>
      </w:r>
    </w:p>
    <w:p>
      <w:pPr>
        <w:adjustRightInd/>
        <w:spacing w:line="360" w:lineRule="exact"/>
        <w:ind w:firstLine="420" w:firstLineChars="200"/>
        <w:rPr>
          <w:rFonts w:ascii="宋体" w:hAnsi="宋体" w:cs="宋体"/>
          <w:color w:val="auto"/>
        </w:rPr>
      </w:pPr>
      <w:r>
        <w:rPr>
          <w:rFonts w:hint="eastAsia" w:ascii="宋体" w:hAnsi="宋体" w:cs="宋体"/>
          <w:color w:val="auto"/>
        </w:rPr>
        <w:t>自本公告发布之日起</w:t>
      </w:r>
      <w:r>
        <w:rPr>
          <w:rFonts w:hint="eastAsia" w:ascii="宋体" w:hAnsi="宋体" w:cs="宋体"/>
          <w:color w:val="auto"/>
          <w:lang w:val="en-US" w:eastAsia="zh-CN"/>
        </w:rPr>
        <w:t>5</w:t>
      </w:r>
      <w:r>
        <w:rPr>
          <w:rFonts w:hint="eastAsia" w:ascii="宋体" w:hAnsi="宋体" w:cs="宋体"/>
          <w:color w:val="auto"/>
        </w:rPr>
        <w:t>个工作日。</w:t>
      </w:r>
    </w:p>
    <w:p>
      <w:pPr>
        <w:adjustRightInd/>
        <w:spacing w:line="360" w:lineRule="exact"/>
        <w:rPr>
          <w:rFonts w:ascii="宋体" w:hAnsi="宋体" w:cs="宋体"/>
          <w:color w:val="auto"/>
        </w:rPr>
      </w:pPr>
      <w:r>
        <w:rPr>
          <w:rFonts w:hint="eastAsia" w:ascii="宋体" w:hAnsi="宋体" w:cs="宋体"/>
          <w:b/>
          <w:bCs/>
          <w:color w:val="auto"/>
        </w:rPr>
        <w:t>七、其他补充事宜</w:t>
      </w:r>
      <w:r>
        <w:rPr>
          <w:rFonts w:hint="eastAsia" w:ascii="宋体" w:hAnsi="宋体" w:cs="宋体"/>
          <w:color w:val="auto"/>
        </w:rPr>
        <w:t> </w:t>
      </w:r>
    </w:p>
    <w:p>
      <w:pPr>
        <w:adjustRightInd/>
        <w:spacing w:line="360" w:lineRule="exact"/>
        <w:ind w:firstLine="420" w:firstLineChars="200"/>
        <w:rPr>
          <w:rFonts w:ascii="宋体" w:hAnsi="宋体" w:cs="宋体"/>
          <w:color w:val="auto"/>
          <w:szCs w:val="21"/>
        </w:rPr>
      </w:pPr>
      <w:r>
        <w:rPr>
          <w:rFonts w:hint="eastAsia" w:ascii="宋体" w:hAnsi="宋体" w:cs="宋体"/>
          <w:color w:val="auto"/>
          <w:szCs w:val="21"/>
        </w:rPr>
        <w:t>1.磋商保证金：不收取。</w:t>
      </w:r>
    </w:p>
    <w:p>
      <w:pPr>
        <w:adjustRightInd/>
        <w:spacing w:line="360" w:lineRule="exact"/>
        <w:ind w:firstLine="420" w:firstLineChars="200"/>
        <w:rPr>
          <w:rFonts w:ascii="宋体" w:hAnsi="宋体" w:cs="宋体"/>
          <w:color w:val="auto"/>
          <w:szCs w:val="21"/>
        </w:rPr>
      </w:pPr>
      <w:r>
        <w:rPr>
          <w:rFonts w:hint="eastAsia" w:ascii="宋体" w:hAnsi="宋体" w:cs="宋体"/>
          <w:color w:val="auto"/>
          <w:szCs w:val="21"/>
        </w:rPr>
        <w:t>2.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adjustRightInd/>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.网上公告媒体查询：中国政府采购网、广西政府采购网、北海市政府采购监管网、北海市人民政府网-北海市政府采购中心网站、全国公共资源交易平台（广西•北海）。</w:t>
      </w:r>
    </w:p>
    <w:p>
      <w:pPr>
        <w:adjustRightInd/>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adjustRightInd/>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adjustRightInd/>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.本项目采用远程异地评标。</w:t>
      </w:r>
    </w:p>
    <w:p>
      <w:pPr>
        <w:adjustRightInd/>
        <w:spacing w:line="360" w:lineRule="exact"/>
        <w:ind w:firstLine="422" w:firstLineChars="200"/>
        <w:rPr>
          <w:rFonts w:ascii="宋体" w:hAnsi="宋体" w:cs="宋体"/>
          <w:b/>
          <w:bCs/>
          <w:color w:val="auto"/>
        </w:rPr>
      </w:pPr>
      <w:r>
        <w:rPr>
          <w:rFonts w:hint="eastAsia" w:ascii="宋体" w:hAnsi="宋体" w:cs="宋体"/>
          <w:b/>
          <w:bCs/>
          <w:color w:val="auto"/>
        </w:rPr>
        <w:t>八、凡对本次磋商提出询问，请按以下方式联系</w:t>
      </w:r>
    </w:p>
    <w:p>
      <w:pPr>
        <w:pStyle w:val="633"/>
        <w:spacing w:line="360" w:lineRule="exact"/>
        <w:rPr>
          <w:rFonts w:hint="eastAsia"/>
          <w:color w:val="auto"/>
          <w:sz w:val="21"/>
          <w:szCs w:val="21"/>
        </w:rPr>
      </w:pPr>
      <w:bookmarkStart w:id="17" w:name="_Toc28359019"/>
      <w:bookmarkStart w:id="18" w:name="_Toc28359096"/>
      <w:bookmarkStart w:id="19" w:name="_Toc35393806"/>
      <w:bookmarkStart w:id="20" w:name="_Toc35393637"/>
      <w:r>
        <w:rPr>
          <w:rFonts w:hint="eastAsia"/>
          <w:color w:val="auto"/>
          <w:sz w:val="21"/>
          <w:szCs w:val="21"/>
        </w:rPr>
        <w:t>1.采购人信息</w:t>
      </w:r>
      <w:bookmarkEnd w:id="17"/>
      <w:bookmarkEnd w:id="18"/>
      <w:bookmarkEnd w:id="19"/>
      <w:bookmarkEnd w:id="20"/>
    </w:p>
    <w:p>
      <w:pPr>
        <w:pStyle w:val="633"/>
        <w:spacing w:line="360" w:lineRule="exact"/>
        <w:rPr>
          <w:rFonts w:hint="eastAsia"/>
          <w:color w:val="auto"/>
          <w:sz w:val="21"/>
          <w:szCs w:val="21"/>
        </w:rPr>
      </w:pPr>
      <w:r>
        <w:rPr>
          <w:rFonts w:hint="eastAsia"/>
          <w:color w:val="auto"/>
          <w:sz w:val="21"/>
          <w:szCs w:val="21"/>
        </w:rPr>
        <w:t>名    称：北海市海城区卫生健康局　　　　　　　　　　　</w:t>
      </w:r>
    </w:p>
    <w:p>
      <w:pPr>
        <w:pStyle w:val="633"/>
        <w:spacing w:line="360" w:lineRule="exact"/>
        <w:rPr>
          <w:rFonts w:hint="eastAsia"/>
          <w:color w:val="auto"/>
          <w:sz w:val="21"/>
          <w:szCs w:val="21"/>
        </w:rPr>
      </w:pPr>
      <w:r>
        <w:rPr>
          <w:rFonts w:hint="eastAsia"/>
          <w:color w:val="auto"/>
          <w:sz w:val="21"/>
          <w:szCs w:val="21"/>
        </w:rPr>
        <w:t>地    址：北海市湖北路8号海城区人民医院医养结合楼16楼　　　　　　　　　　　</w:t>
      </w:r>
    </w:p>
    <w:p>
      <w:pPr>
        <w:pStyle w:val="633"/>
        <w:spacing w:line="360" w:lineRule="exact"/>
        <w:rPr>
          <w:rFonts w:hint="eastAsia"/>
          <w:color w:val="auto"/>
          <w:sz w:val="21"/>
          <w:szCs w:val="21"/>
        </w:rPr>
      </w:pPr>
      <w:r>
        <w:rPr>
          <w:rFonts w:hint="eastAsia"/>
          <w:color w:val="auto"/>
          <w:sz w:val="21"/>
          <w:szCs w:val="21"/>
        </w:rPr>
        <w:t>联系方式：</w:t>
      </w:r>
      <w:r>
        <w:rPr>
          <w:rFonts w:hint="eastAsia"/>
          <w:color w:val="auto"/>
          <w:sz w:val="21"/>
          <w:szCs w:val="21"/>
          <w:lang w:eastAsia="zh-CN"/>
        </w:rPr>
        <w:t>魏春红</w:t>
      </w:r>
      <w:r>
        <w:rPr>
          <w:rFonts w:hint="eastAsia"/>
          <w:color w:val="auto"/>
          <w:sz w:val="21"/>
          <w:szCs w:val="21"/>
        </w:rPr>
        <w:t>，</w:t>
      </w:r>
      <w:r>
        <w:rPr>
          <w:rFonts w:hint="eastAsia"/>
          <w:color w:val="auto"/>
          <w:sz w:val="21"/>
          <w:szCs w:val="21"/>
          <w:lang w:val="en-US" w:eastAsia="zh-CN"/>
        </w:rPr>
        <w:t>0779-3069321</w:t>
      </w:r>
      <w:r>
        <w:rPr>
          <w:rFonts w:hint="eastAsia"/>
          <w:color w:val="auto"/>
          <w:sz w:val="21"/>
          <w:szCs w:val="21"/>
        </w:rPr>
        <w:t xml:space="preserve">　　　　　　　 　　　 </w:t>
      </w:r>
    </w:p>
    <w:p>
      <w:pPr>
        <w:pStyle w:val="633"/>
        <w:spacing w:line="360" w:lineRule="exact"/>
        <w:rPr>
          <w:rFonts w:hint="eastAsia"/>
          <w:color w:val="auto"/>
          <w:sz w:val="21"/>
          <w:szCs w:val="21"/>
        </w:rPr>
      </w:pPr>
      <w:bookmarkStart w:id="21" w:name="_Toc35393807"/>
      <w:bookmarkStart w:id="22" w:name="_Toc28359020"/>
      <w:bookmarkStart w:id="23" w:name="_Toc28359097"/>
      <w:bookmarkStart w:id="24" w:name="_Toc35393638"/>
      <w:r>
        <w:rPr>
          <w:rFonts w:hint="eastAsia"/>
          <w:color w:val="auto"/>
          <w:sz w:val="21"/>
          <w:szCs w:val="21"/>
        </w:rPr>
        <w:t>2.采购代理机构信息</w:t>
      </w:r>
      <w:bookmarkEnd w:id="21"/>
      <w:bookmarkEnd w:id="22"/>
      <w:bookmarkEnd w:id="23"/>
      <w:bookmarkEnd w:id="24"/>
    </w:p>
    <w:p>
      <w:pPr>
        <w:pStyle w:val="633"/>
        <w:spacing w:line="360" w:lineRule="exact"/>
        <w:rPr>
          <w:rFonts w:hint="eastAsia"/>
          <w:color w:val="auto"/>
          <w:sz w:val="21"/>
          <w:szCs w:val="21"/>
        </w:rPr>
      </w:pPr>
      <w:r>
        <w:rPr>
          <w:rFonts w:hint="eastAsia"/>
          <w:color w:val="auto"/>
          <w:sz w:val="21"/>
          <w:szCs w:val="21"/>
        </w:rPr>
        <w:t>名    称：北海市海城区政府采购中心　　　　　　　　　　　　</w:t>
      </w:r>
    </w:p>
    <w:p>
      <w:pPr>
        <w:pStyle w:val="633"/>
        <w:spacing w:line="360" w:lineRule="exact"/>
        <w:rPr>
          <w:rFonts w:hint="eastAsia"/>
          <w:color w:val="auto"/>
          <w:sz w:val="21"/>
          <w:szCs w:val="21"/>
        </w:rPr>
      </w:pPr>
      <w:r>
        <w:rPr>
          <w:rFonts w:hint="eastAsia"/>
          <w:color w:val="auto"/>
          <w:sz w:val="21"/>
          <w:szCs w:val="21"/>
        </w:rPr>
        <w:t>地　　址：北海市贵州路52号　　　　　　　　　　　　</w:t>
      </w:r>
    </w:p>
    <w:p>
      <w:pPr>
        <w:pStyle w:val="633"/>
        <w:spacing w:line="360" w:lineRule="exact"/>
        <w:rPr>
          <w:rFonts w:hint="eastAsia"/>
          <w:color w:val="auto"/>
          <w:sz w:val="21"/>
          <w:szCs w:val="21"/>
        </w:rPr>
      </w:pPr>
      <w:r>
        <w:rPr>
          <w:rFonts w:hint="eastAsia"/>
          <w:color w:val="auto"/>
          <w:sz w:val="21"/>
          <w:szCs w:val="21"/>
        </w:rPr>
        <w:t>联系方式：杜伽，0779-3058219　　　　　　　　　　　　</w:t>
      </w:r>
    </w:p>
    <w:p>
      <w:pPr>
        <w:pStyle w:val="633"/>
        <w:spacing w:line="360" w:lineRule="exact"/>
        <w:rPr>
          <w:rFonts w:hint="eastAsia"/>
          <w:color w:val="auto"/>
          <w:sz w:val="21"/>
          <w:szCs w:val="21"/>
        </w:rPr>
      </w:pPr>
      <w:r>
        <w:rPr>
          <w:rFonts w:hint="eastAsia"/>
          <w:color w:val="auto"/>
          <w:sz w:val="21"/>
          <w:szCs w:val="21"/>
        </w:rPr>
        <w:t>政府采购监督管理部门：</w:t>
      </w:r>
    </w:p>
    <w:p>
      <w:pPr>
        <w:pStyle w:val="633"/>
        <w:spacing w:line="360" w:lineRule="exact"/>
        <w:rPr>
          <w:rFonts w:hint="eastAsia"/>
          <w:color w:val="auto"/>
          <w:sz w:val="21"/>
          <w:szCs w:val="21"/>
        </w:rPr>
      </w:pPr>
      <w:r>
        <w:rPr>
          <w:rFonts w:hint="eastAsia"/>
          <w:color w:val="auto"/>
          <w:sz w:val="21"/>
          <w:szCs w:val="21"/>
        </w:rPr>
        <w:t>名    称：北海市海城区财政局</w:t>
      </w:r>
    </w:p>
    <w:p>
      <w:pPr>
        <w:pStyle w:val="633"/>
        <w:spacing w:line="360" w:lineRule="exact"/>
        <w:rPr>
          <w:rFonts w:hint="eastAsia"/>
          <w:color w:val="auto"/>
          <w:sz w:val="21"/>
          <w:szCs w:val="21"/>
        </w:rPr>
      </w:pPr>
      <w:r>
        <w:rPr>
          <w:rFonts w:hint="eastAsia"/>
          <w:color w:val="auto"/>
          <w:sz w:val="21"/>
          <w:szCs w:val="21"/>
        </w:rPr>
        <w:t>地    址：北海市长青北路13号</w:t>
      </w:r>
    </w:p>
    <w:p>
      <w:pPr>
        <w:pStyle w:val="633"/>
        <w:spacing w:line="360" w:lineRule="exact"/>
        <w:rPr>
          <w:color w:val="auto"/>
          <w:sz w:val="21"/>
          <w:szCs w:val="21"/>
        </w:rPr>
      </w:pPr>
      <w:r>
        <w:rPr>
          <w:rFonts w:hint="eastAsia"/>
          <w:color w:val="auto"/>
          <w:sz w:val="21"/>
          <w:szCs w:val="21"/>
        </w:rPr>
        <w:t>联系方式：0779-3</w:t>
      </w:r>
      <w:r>
        <w:rPr>
          <w:rFonts w:hint="eastAsia"/>
          <w:color w:val="auto"/>
          <w:sz w:val="21"/>
          <w:szCs w:val="21"/>
          <w:lang w:val="en-US" w:eastAsia="zh-CN"/>
        </w:rPr>
        <w:t>0</w:t>
      </w:r>
      <w:r>
        <w:rPr>
          <w:rFonts w:hint="eastAsia"/>
          <w:color w:val="auto"/>
          <w:sz w:val="21"/>
          <w:szCs w:val="21"/>
        </w:rPr>
        <w:t>32655　　</w:t>
      </w:r>
    </w:p>
    <w:p>
      <w:pPr>
        <w:spacing w:line="360" w:lineRule="exact"/>
        <w:ind w:firstLine="420" w:firstLineChars="200"/>
        <w:rPr>
          <w:rFonts w:ascii="宋体" w:hAnsi="宋体" w:cs="宋体"/>
          <w:color w:val="auto"/>
          <w:sz w:val="24"/>
        </w:rPr>
      </w:pPr>
      <w:r>
        <w:rPr>
          <w:rFonts w:hint="eastAsia" w:ascii="宋体" w:hAnsi="宋体" w:cs="宋体"/>
          <w:color w:val="auto"/>
          <w:szCs w:val="21"/>
        </w:rPr>
        <w:t>若对项目采购电子交易系统操作有疑问，可登录广西政府采购云平台（https://www.gcy.zfcg.gxzf.gov.cn/），点击右侧咨询小采，获取采小蜜智能服务管家帮助，或拨打广西政府采购云平台服务热线95763获取热线服务帮助。</w:t>
      </w:r>
    </w:p>
    <w:p>
      <w:pPr>
        <w:spacing w:line="360" w:lineRule="auto"/>
        <w:rPr>
          <w:rFonts w:cs="仿宋_GB2312" w:asciiTheme="minorEastAsia" w:hAnsiTheme="minorEastAsia" w:eastAsiaTheme="minorEastAsia"/>
          <w:color w:val="auto"/>
          <w:sz w:val="24"/>
        </w:rPr>
      </w:pPr>
    </w:p>
    <w:p>
      <w:pPr>
        <w:pStyle w:val="33"/>
        <w:spacing w:line="360" w:lineRule="auto"/>
        <w:ind w:firstLine="480" w:firstLineChars="200"/>
        <w:rPr>
          <w:rFonts w:cs="仿宋_GB2312" w:asciiTheme="minorEastAsia" w:hAnsiTheme="minorEastAsia" w:eastAsiaTheme="minorEastAsia"/>
          <w:color w:val="auto"/>
          <w:sz w:val="24"/>
          <w:szCs w:val="24"/>
        </w:rPr>
      </w:pPr>
    </w:p>
    <w:p>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pPr>
        <w:adjustRightInd/>
        <w:spacing w:line="360" w:lineRule="auto"/>
        <w:jc w:val="center"/>
        <w:outlineLvl w:val="0"/>
        <w:rPr>
          <w:rFonts w:cs="仿宋_GB2312" w:asciiTheme="minorEastAsia" w:hAnsiTheme="minorEastAsia" w:eastAsiaTheme="minorEastAsia"/>
          <w:b/>
          <w:color w:val="auto"/>
          <w:sz w:val="32"/>
          <w:szCs w:val="20"/>
        </w:rPr>
      </w:pPr>
      <w:bookmarkStart w:id="25" w:name="_Toc181203095"/>
      <w:r>
        <w:rPr>
          <w:rFonts w:hint="eastAsia" w:cs="仿宋_GB2312" w:asciiTheme="minorEastAsia" w:hAnsiTheme="minorEastAsia" w:eastAsiaTheme="minorEastAsia"/>
          <w:b/>
          <w:color w:val="auto"/>
          <w:sz w:val="36"/>
          <w:szCs w:val="20"/>
        </w:rPr>
        <w:t>第二部分  竞争性磋商流程</w:t>
      </w:r>
      <w:bookmarkEnd w:id="25"/>
    </w:p>
    <w:p>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pPr>
        <w:pStyle w:val="394"/>
        <w:spacing w:before="0"/>
        <w:ind w:firstLine="480"/>
        <w:rPr>
          <w:rFonts w:asciiTheme="minorEastAsia" w:hAnsiTheme="minorEastAsia" w:eastAsiaTheme="minorEastAsia"/>
          <w:color w:val="auto"/>
          <w:szCs w:val="24"/>
        </w:rPr>
      </w:pPr>
      <w:r>
        <w:rPr>
          <w:rFonts w:hint="eastAsia" w:ascii="宋体" w:hAnsi="宋体" w:cs="宋体"/>
          <w:color w:val="auto"/>
          <w:kern w:val="0"/>
        </w:rPr>
        <w:sym w:font="Wingdings" w:char="F0FE"/>
      </w: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由采购人、采购代理机构在省级以上人民政府财政部门指定的政府采购信息发布媒体上发布磋商公告，邀请符合相应资格条件的供应商参与竞争性磋商采购活动。</w:t>
      </w:r>
    </w:p>
    <w:p>
      <w:pPr>
        <w:pStyle w:val="394"/>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由采购人、采购代理机构从省级以上财政部门建立的供应商库中随机抽取不少于3家符合相应资格条件的供应商参与竞争性磋商采购活动。</w:t>
      </w:r>
    </w:p>
    <w:p>
      <w:pPr>
        <w:pStyle w:val="394"/>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2.1供应商依据“提交响应文件的截止时间与地点”通过广西政府采购云平台在线提交响应文件。供应商在提交响应文件的截止时间前，可以补充、修改或撤回响应文件。</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rPr>
        <w:t>采购人或者采购代理机构将通过“信用中国”网站(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9"/>
          <w:rFonts w:hint="eastAsia" w:asciiTheme="minorEastAsia" w:hAnsiTheme="minorEastAsia" w:eastAsiaTheme="minorEastAsia"/>
          <w:snapToGrid/>
          <w:color w:val="auto"/>
          <w:sz w:val="24"/>
          <w:szCs w:val="24"/>
        </w:rPr>
        <w:t>www.creditchina.gov.cn</w:t>
      </w:r>
      <w:r>
        <w:rPr>
          <w:rStyle w:val="69"/>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3.2采购代理机构宣布有关纪律以及磋商、评审工作程序。</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3.3磋商小组审查确认磋商文件。磋商文件内容违反国家有关强制性规定的，磋商小组应当停止评审并向采购代理机构说明情况。</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3.14磋商小组应当根据综合评分情况，按照评审得分由高到低顺序推荐3名以上成交候选供应商，并编写评审报告。</w:t>
      </w:r>
    </w:p>
    <w:p>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rPr>
        <w:t>采购代理机构应当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4"/>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5.2成交供应商按照政策要求及合同约定缴纳履约保证金（如有）。</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pPr>
        <w:pStyle w:val="394"/>
        <w:spacing w:before="0"/>
        <w:ind w:firstLine="0" w:firstLineChars="0"/>
        <w:rPr>
          <w:rFonts w:asciiTheme="minorEastAsia" w:hAnsiTheme="minorEastAsia" w:eastAsiaTheme="minorEastAsia"/>
          <w:b/>
          <w:color w:val="auto"/>
        </w:rPr>
      </w:pPr>
    </w:p>
    <w:p>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4864"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4864;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1792;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8720;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9744"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9744;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3840"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3840;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82816"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2816;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7696;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80768;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pPr>
        <w:adjustRightInd/>
        <w:spacing w:line="360" w:lineRule="auto"/>
        <w:jc w:val="center"/>
        <w:outlineLvl w:val="0"/>
        <w:rPr>
          <w:rFonts w:cs="仿宋_GB2312" w:asciiTheme="minorEastAsia" w:hAnsiTheme="minorEastAsia" w:eastAsiaTheme="minorEastAsia"/>
          <w:b/>
          <w:color w:val="auto"/>
          <w:sz w:val="36"/>
          <w:szCs w:val="20"/>
        </w:rPr>
      </w:pPr>
      <w:bookmarkStart w:id="26" w:name="_Toc181203096"/>
      <w:r>
        <w:rPr>
          <w:rFonts w:hint="eastAsia" w:cs="仿宋_GB2312" w:asciiTheme="minorEastAsia" w:hAnsiTheme="minorEastAsia" w:eastAsiaTheme="minorEastAsia"/>
          <w:b/>
          <w:color w:val="auto"/>
          <w:sz w:val="36"/>
          <w:szCs w:val="20"/>
        </w:rPr>
        <w:t>第三部分</w:t>
      </w:r>
      <w:bookmarkEnd w:id="8"/>
      <w:r>
        <w:rPr>
          <w:rFonts w:hint="eastAsia" w:cs="仿宋_GB2312" w:asciiTheme="minorEastAsia" w:hAnsiTheme="minorEastAsia" w:eastAsiaTheme="minorEastAsia"/>
          <w:b/>
          <w:color w:val="auto"/>
          <w:sz w:val="36"/>
          <w:szCs w:val="20"/>
        </w:rPr>
        <w:t xml:space="preserve">  供应商须知</w:t>
      </w:r>
      <w:bookmarkEnd w:id="9"/>
      <w:bookmarkEnd w:id="26"/>
    </w:p>
    <w:p>
      <w:pPr>
        <w:adjustRightInd/>
        <w:spacing w:line="360" w:lineRule="auto"/>
        <w:jc w:val="center"/>
        <w:outlineLvl w:val="1"/>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一、前附表</w:t>
      </w:r>
    </w:p>
    <w:tbl>
      <w:tblPr>
        <w:tblStyle w:val="61"/>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（1）标的：</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val="en-US" w:eastAsia="zh-CN"/>
              </w:rPr>
              <w:t>2025年海城区</w:t>
            </w:r>
            <w:r>
              <w:rPr>
                <w:rFonts w:hint="eastAsia" w:cs="宋体" w:asciiTheme="minorEastAsia" w:hAnsiTheme="minorEastAsia" w:eastAsiaTheme="minorEastAsia"/>
                <w:color w:val="auto"/>
                <w:kern w:val="0"/>
                <w:sz w:val="24"/>
                <w:u w:val="single"/>
                <w:lang w:eastAsia="zh-CN"/>
              </w:rPr>
              <w:t>计生家庭关爱保险项目采购</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 xml:space="preserve">，属于 </w:t>
            </w:r>
            <w:r>
              <w:rPr>
                <w:rFonts w:hint="eastAsia" w:cs="宋体" w:asciiTheme="minorEastAsia" w:hAnsiTheme="minorEastAsia" w:eastAsiaTheme="minorEastAsia"/>
                <w:color w:val="auto"/>
                <w:kern w:val="0"/>
                <w:sz w:val="24"/>
                <w:u w:val="single"/>
              </w:rPr>
              <w:t>其他未列明行业。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本项目不允许采购进口产品。</w:t>
            </w:r>
          </w:p>
          <w:p>
            <w:pPr>
              <w:spacing w:line="360" w:lineRule="auto"/>
              <w:rPr>
                <w:rFonts w:cs="宋体" w:asciiTheme="minorEastAsia" w:hAnsiTheme="minorEastAsia" w:eastAsiaTheme="minorEastAsia"/>
                <w:color w:val="auto"/>
              </w:rPr>
            </w:pPr>
            <w:sdt>
              <w:sdtPr>
                <w:rPr>
                  <w:rFonts w:hint="eastAsia" w:cs="宋体" w:asciiTheme="minorEastAsia" w:hAnsiTheme="minorEastAsia" w:eastAsiaTheme="minorEastAsia"/>
                  <w:color w:val="auto"/>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728692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同意将非主体、非关键性的工作分包（特殊情况下允许分包，须经采购人同意）。</w:t>
            </w:r>
            <w:sdt>
              <w:sdtPr>
                <w:rPr>
                  <w:rFonts w:hint="eastAsia" w:cs="宋体" w:asciiTheme="minorEastAsia" w:hAnsiTheme="minorEastAsia" w:eastAsiaTheme="minorEastAsia"/>
                  <w:color w:val="auto"/>
                  <w:kern w:val="0"/>
                  <w:sz w:val="24"/>
                </w:rPr>
                <w:id w:val="-127633135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MS Gothic" w:hAnsi="MS Gothic" w:eastAsia="MS Mincho" w:cs="MS Mincho"/>
                    <w:color w:val="auto"/>
                    <w:kern w:val="0"/>
                    <w:sz w:val="24"/>
                  </w:rPr>
                  <w:t>☐</w:t>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pPr>
              <w:spacing w:line="360" w:lineRule="auto"/>
              <w:rPr>
                <w:rFonts w:cs="宋体" w:asciiTheme="minorEastAsia" w:hAnsiTheme="minorEastAsia" w:eastAsiaTheme="minorEastAsia"/>
                <w:color w:val="auto"/>
                <w:sz w:val="24"/>
                <w:szCs w:val="20"/>
              </w:rPr>
            </w:pPr>
            <w:sdt>
              <w:sdtPr>
                <w:rPr>
                  <w:rFonts w:hint="eastAsia" w:cs="宋体" w:asciiTheme="minorEastAsia" w:hAnsiTheme="minorEastAsia" w:eastAsiaTheme="minorEastAsia"/>
                  <w:color w:val="auto"/>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p>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B要求提供，</w:t>
            </w:r>
          </w:p>
          <w:p>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snapToGrid w:val="0"/>
                <w:color w:val="auto"/>
                <w:kern w:val="28"/>
                <w:sz w:val="24"/>
              </w:rPr>
              <w:t>样品：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snapToGrid w:val="0"/>
                <w:color w:val="auto"/>
                <w:kern w:val="28"/>
                <w:sz w:val="24"/>
              </w:rPr>
              <w:t>样品制作的标准和要求：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评审标准</w:t>
            </w:r>
            <w:r>
              <w:rPr>
                <w:rFonts w:hint="eastAsia" w:cs="宋体" w:asciiTheme="minorEastAsia" w:hAnsiTheme="minorEastAsia" w:eastAsiaTheme="minorEastAsia"/>
                <w:color w:val="auto"/>
                <w:kern w:val="0"/>
                <w:sz w:val="24"/>
              </w:rPr>
              <w:t>；</w:t>
            </w:r>
          </w:p>
          <w:p>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。请供应商在上述时间内提供样品并按规定位置安装完毕。超过截止时间的，采购人或采购代理机构将不予接收，并将清场并封闭样品现场。</w:t>
            </w:r>
          </w:p>
          <w:p>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p>
          <w:p>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（1）在评审时安排每个供应商进行方案讲解演示。每个供应商时间不超过</w:t>
            </w:r>
            <w:r>
              <w:rPr>
                <w:rFonts w:hint="eastAsia" w:cs="宋体" w:asciiTheme="minorEastAsia" w:hAnsiTheme="minorEastAsia" w:eastAsiaTheme="minorEastAsia"/>
                <w:color w:val="auto"/>
                <w:kern w:val="0"/>
                <w:sz w:val="24"/>
                <w:u w:val="single"/>
              </w:rPr>
              <w:t>20</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分钟，讲解次序以响应文件解密时间先后次序为准，讲解演示人员不超过</w:t>
            </w:r>
            <w:r>
              <w:rPr>
                <w:rFonts w:hint="eastAsia" w:cs="宋体" w:asciiTheme="minorEastAsia" w:hAnsiTheme="minorEastAsia" w:eastAsiaTheme="minorEastAsia"/>
                <w:color w:val="auto"/>
                <w:kern w:val="0"/>
                <w:sz w:val="24"/>
                <w:u w:val="single"/>
              </w:rPr>
              <w:t>3</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人。讲解演示结束后按要求解答评标委员会提问。</w:t>
            </w:r>
          </w:p>
          <w:p>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（2）方案讲解演示可选择以下其中一种方式：</w:t>
            </w:r>
          </w:p>
          <w:p>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方式二：交易中心现场讲解演示。现场讲解地点为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，讲解演示所用电脑等设备由供应商自备。现场讲解演示人员进场时提供讲解人员名单（加盖公章或授权代表签名）及身份证明，否则不得讲解演示。</w:t>
            </w:r>
          </w:p>
          <w:p>
            <w:pPr>
              <w:snapToGrid w:val="0"/>
              <w:spacing w:line="360" w:lineRule="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（1）资格证明文件：见磋商文件第三部分。</w:t>
            </w:r>
          </w:p>
          <w:p>
            <w:pPr>
              <w:spacing w:line="360" w:lineRule="auto"/>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（2）资信证明文件：根据磋商文件采购需求和评审标准要求提供。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有关本项目实施所需的所有费用（含税费）均计入最后报价。《最后报价</w:t>
            </w:r>
            <w:r>
              <w:rPr>
                <w:rFonts w:hint="eastAsia" w:cs="宋体" w:asciiTheme="minorEastAsia" w:hAnsiTheme="minorEastAsia" w:eastAsiaTheme="minorEastAsia"/>
                <w:color w:val="auto"/>
                <w:sz w:val="24"/>
              </w:rPr>
              <w:t>一览表（报价表）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是最后报价的唯一载体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p>
          <w:p>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最后报价出现下列情形的，响应无效：</w:t>
            </w:r>
          </w:p>
          <w:p>
            <w:pPr>
              <w:snapToGrid w:val="0"/>
              <w:spacing w:line="360" w:lineRule="auto"/>
              <w:ind w:firstLine="241" w:firstLineChars="100"/>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响应文件出现不是唯一的、有选择性的最后报价的；</w:t>
            </w:r>
          </w:p>
          <w:p>
            <w:pPr>
              <w:snapToGrid w:val="0"/>
              <w:spacing w:line="360" w:lineRule="auto"/>
              <w:ind w:firstLine="241" w:firstLineChars="1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b/>
                <w:color w:val="auto"/>
                <w:kern w:val="0"/>
                <w:sz w:val="24"/>
                <w:lang w:val="zh-CN"/>
              </w:rPr>
              <w:t>最后报价超过磋商文件中规定的预算金额或者最高限价的;</w:t>
            </w:r>
          </w:p>
          <w:p>
            <w:pPr>
              <w:spacing w:line="360" w:lineRule="auto"/>
              <w:ind w:firstLine="241" w:firstLineChars="100"/>
              <w:rPr>
                <w:rFonts w:cs="宋体"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129772492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不接受。</w:t>
            </w:r>
          </w:p>
          <w:p>
            <w:pPr>
              <w:pStyle w:val="33"/>
              <w:spacing w:line="360" w:lineRule="auto"/>
              <w:rPr>
                <w:rFonts w:hAnsi="宋体" w:cs="宋体"/>
                <w:color w:val="auto"/>
                <w:kern w:val="28"/>
                <w:sz w:val="24"/>
              </w:rPr>
            </w:pPr>
            <w:sdt>
              <w:sdtPr>
                <w:rPr>
                  <w:rFonts w:hint="eastAsia" w:hAnsi="宋体" w:cs="宋体"/>
                  <w:color w:val="auto"/>
                  <w:kern w:val="0"/>
                  <w:sz w:val="24"/>
                </w:rPr>
                <w:id w:val="1206604863"/>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hAnsi="宋体" w:cs="宋体"/>
                <w:color w:val="auto"/>
                <w:kern w:val="0"/>
                <w:sz w:val="24"/>
              </w:rPr>
              <w:t>B</w:t>
            </w:r>
            <w:r>
              <w:rPr>
                <w:rFonts w:hint="eastAsia" w:hAnsi="宋体" w:cs="宋体"/>
                <w:color w:val="auto"/>
                <w:sz w:val="24"/>
              </w:rPr>
              <w:t>接受</w:t>
            </w:r>
            <w:r>
              <w:rPr>
                <w:rFonts w:hint="eastAsia" w:hAnsi="宋体" w:cs="宋体"/>
                <w:color w:val="auto"/>
                <w:kern w:val="0"/>
                <w:sz w:val="24"/>
              </w:rPr>
              <w:t>：</w:t>
            </w:r>
            <w:r>
              <w:rPr>
                <w:rFonts w:hint="eastAsia" w:hAnsi="宋体" w:cs="宋体"/>
                <w:color w:val="auto"/>
                <w:kern w:val="28"/>
                <w:sz w:val="24"/>
              </w:rPr>
              <w:t>备份响应文件送达地点：</w:t>
            </w:r>
            <w:r>
              <w:rPr>
                <w:rFonts w:hint="eastAsia" w:hAnsi="宋体" w:cs="宋体"/>
                <w:color w:val="auto"/>
                <w:sz w:val="24"/>
                <w:u w:val="single"/>
              </w:rPr>
              <w:t xml:space="preserve">         </w:t>
            </w:r>
            <w:r>
              <w:rPr>
                <w:rFonts w:hint="eastAsia" w:hAnsi="宋体" w:cs="宋体"/>
                <w:color w:val="auto"/>
                <w:kern w:val="28"/>
                <w:sz w:val="24"/>
              </w:rPr>
              <w:t>；备份响应文件签收人员联系电话：</w:t>
            </w:r>
            <w:r>
              <w:rPr>
                <w:rFonts w:hint="eastAsia" w:hAnsi="宋体" w:cs="宋体"/>
                <w:color w:val="auto"/>
                <w:sz w:val="24"/>
                <w:u w:val="single"/>
              </w:rPr>
              <w:t xml:space="preserve">        </w:t>
            </w:r>
            <w:r>
              <w:rPr>
                <w:rFonts w:hint="eastAsia" w:hAnsi="宋体" w:cs="宋体"/>
                <w:color w:val="auto"/>
                <w:sz w:val="24"/>
              </w:rPr>
              <w:t>。</w:t>
            </w:r>
            <w:r>
              <w:rPr>
                <w:rFonts w:hint="eastAsia" w:hAnsi="宋体" w:cs="宋体"/>
                <w:b/>
                <w:color w:val="auto"/>
                <w:sz w:val="24"/>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Gothic" w:hAnsi="MS Gothic" w:eastAsia="MS Gothic" w:cs="Arial"/>
                    <w:color w:val="auto"/>
                    <w:kern w:val="0"/>
                    <w:sz w:val="24"/>
                  </w:rPr>
                  <w:t>☐</w:t>
                </w:r>
              </w:sdtContent>
            </w:sdt>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本磋商文件解释权属采购人及代理机构。</w:t>
            </w:r>
          </w:p>
        </w:tc>
      </w:tr>
    </w:tbl>
    <w:p>
      <w:pPr>
        <w:snapToGrid w:val="0"/>
        <w:jc w:val="center"/>
        <w:rPr>
          <w:rFonts w:cs="仿宋_GB2312" w:asciiTheme="minorEastAsia" w:hAnsiTheme="minorEastAsia" w:eastAsiaTheme="minorEastAsia"/>
          <w:b/>
          <w:color w:val="auto"/>
          <w:sz w:val="32"/>
          <w:szCs w:val="20"/>
        </w:rPr>
      </w:pPr>
    </w:p>
    <w:p>
      <w:pPr>
        <w:adjustRightInd/>
        <w:spacing w:line="360" w:lineRule="auto"/>
        <w:ind w:firstLine="3845" w:firstLineChars="1197"/>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二、总则</w:t>
      </w:r>
    </w:p>
    <w:p>
      <w:pPr>
        <w:snapToGrid w:val="0"/>
        <w:spacing w:line="360" w:lineRule="auto"/>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“采购人”系指磋商邀请公告中载明的本项目的采购人。</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“采购代理机构”系指磋商邀请公告中载明的本项目的采购代理机构。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“供应商”系指响应磋商、参加本次竞争的法人、其他组织或自然人。</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w:t>
      </w:r>
      <w:r>
        <w:rPr>
          <w:rFonts w:hint="eastAsia" w:ascii="宋体" w:hAnsi="宋体" w:cs="宋体"/>
          <w:color w:val="auto"/>
          <w:sz w:val="24"/>
        </w:rPr>
        <w:t>法定代表人（负责人）</w:t>
      </w:r>
      <w:r>
        <w:rPr>
          <w:rFonts w:hint="eastAsia" w:asciiTheme="minorEastAsia" w:hAnsiTheme="minorEastAsia" w:eastAsiaTheme="minorEastAsia"/>
          <w:color w:val="auto"/>
          <w:sz w:val="24"/>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2.7“电子交易平台”系指本项目政府采购活动所依托的</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2.9 “书面形式”包括数据电文形式与纸质形式。数据电文形式与纸质形式的采购活动具有同等法律效力。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 “※”系指磋商过程中可能实质性变动的内容，</w:t>
      </w:r>
      <w:r>
        <w:rPr>
          <w:rFonts w:asciiTheme="minorEastAsia" w:hAnsiTheme="minorEastAsia" w:eastAsiaTheme="minorEastAsia"/>
          <w:color w:val="auto"/>
          <w:sz w:val="24"/>
        </w:rPr>
        <w:t xml:space="preserve"> </w:t>
      </w:r>
      <w:r>
        <w:rPr>
          <w:rFonts w:hint="eastAsia" w:ascii="宋体" w:hAnsi="宋体" w:cs="宋体"/>
          <w:color w:val="auto"/>
          <w:kern w:val="0"/>
          <w:sz w:val="24"/>
        </w:rPr>
        <w:t>“</w:t>
      </w:r>
      <w:r>
        <w:rPr>
          <w:rFonts w:hint="eastAsia" w:ascii="宋体" w:hAnsi="宋体" w:cs="宋体"/>
          <w:color w:val="auto"/>
          <w:kern w:val="0"/>
          <w:sz w:val="24"/>
        </w:rPr>
        <w:sym w:font="Wingdings" w:char="F0FE"/>
      </w:r>
      <w:r>
        <w:rPr>
          <w:rFonts w:hint="eastAsia" w:ascii="宋体" w:hAnsi="宋体" w:cs="宋体"/>
          <w:color w:val="auto"/>
          <w:kern w:val="0"/>
          <w:sz w:val="24"/>
        </w:rPr>
        <w:t>”</w:t>
      </w:r>
      <w:r>
        <w:rPr>
          <w:rFonts w:hint="eastAsia" w:cs="宋体" w:asciiTheme="minorEastAsia" w:hAnsiTheme="minorEastAsia" w:eastAsiaTheme="minorEastAsia"/>
          <w:color w:val="auto"/>
          <w:sz w:val="24"/>
        </w:rPr>
        <w:t>系指适用本项目的要求，“□”系指不适用本项目的要求。</w:t>
      </w:r>
    </w:p>
    <w:p>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响应有效期为从提交响应文件的截止之日起60天。供应商的响应文件中承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pPr>
        <w:pStyle w:val="394"/>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pPr>
        <w:pStyle w:val="394"/>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pPr>
        <w:pStyle w:val="33"/>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pPr>
        <w:spacing w:line="360" w:lineRule="auto"/>
        <w:jc w:val="center"/>
        <w:rPr>
          <w:rFonts w:cs="仿宋_GB2312" w:asciiTheme="minorEastAsia" w:hAnsiTheme="minorEastAsia" w:eastAsiaTheme="minorEastAsia"/>
          <w:b/>
          <w:color w:val="auto"/>
          <w:sz w:val="24"/>
        </w:rPr>
      </w:pP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pPr>
        <w:pStyle w:val="394"/>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2.支持绿色发展</w:t>
      </w:r>
    </w:p>
    <w:p>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rPr>
      </w:pPr>
      <w:r>
        <w:rPr>
          <w:rFonts w:ascii="宋体" w:hAnsi="宋体" w:cs="宋体"/>
          <w:color w:val="auto"/>
          <w:sz w:val="24"/>
        </w:rPr>
        <w:t xml:space="preserve">2.4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3"/>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3.支持中小企业发展。</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color w:val="auto"/>
          <w:kern w:val="0"/>
          <w:sz w:val="24"/>
        </w:rPr>
      </w:pPr>
      <w:r>
        <w:rPr>
          <w:rFonts w:cs="宋体" w:asciiTheme="minorEastAsia" w:hAnsiTheme="minorEastAsia" w:eastAsiaTheme="minorEastAsia"/>
          <w:bCs/>
          <w:color w:val="auto"/>
          <w:sz w:val="24"/>
        </w:rPr>
        <w:t>3.2</w:t>
      </w:r>
      <w:r>
        <w:rPr>
          <w:rFonts w:hint="eastAsia" w:cs="宋体" w:asciiTheme="minorEastAsia" w:hAnsiTheme="minorEastAsia" w:eastAsiaTheme="minorEastAsia"/>
          <w:color w:val="auto"/>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rPr>
        <w:t>享受中小企业扶持政策。</w:t>
      </w:r>
    </w:p>
    <w:p>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4.</w:t>
      </w:r>
      <w:r>
        <w:rPr>
          <w:rFonts w:hint="eastAsia" w:cs="宋体" w:asciiTheme="minorEastAsia" w:hAnsiTheme="minorEastAsia" w:eastAsiaTheme="minorEastAsia"/>
          <w:b/>
          <w:bCs/>
          <w:color w:val="auto"/>
          <w:sz w:val="24"/>
        </w:rPr>
        <w:t>支持创新发展</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 采购人优先采购被认定为首台套产品和“制造精品”的自主创新产品。</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360" w:lineRule="auto"/>
        <w:rPr>
          <w:rFonts w:ascii="宋体" w:hAnsi="宋体" w:cs="宋体"/>
          <w:b/>
          <w:color w:val="auto"/>
          <w:sz w:val="24"/>
        </w:rPr>
      </w:pPr>
      <w:r>
        <w:rPr>
          <w:rFonts w:hint="eastAsia" w:cs="宋体" w:asciiTheme="minorEastAsia" w:hAnsiTheme="minorEastAsia" w:eastAsiaTheme="minorEastAsia"/>
          <w:b/>
          <w:color w:val="auto"/>
          <w:sz w:val="24"/>
        </w:rPr>
        <w:t>5.</w:t>
      </w:r>
      <w:r>
        <w:rPr>
          <w:rFonts w:hint="eastAsia" w:ascii="宋体" w:hAnsi="宋体" w:cs="宋体"/>
          <w:b/>
          <w:color w:val="auto"/>
          <w:sz w:val="24"/>
        </w:rPr>
        <w:t>平等对待内外资企业</w:t>
      </w:r>
    </w:p>
    <w:p>
      <w:pPr>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3"/>
        <w:ind w:firstLine="0"/>
        <w:rPr>
          <w:b/>
          <w:bCs/>
          <w:color w:val="auto"/>
        </w:rPr>
      </w:pPr>
      <w:r>
        <w:rPr>
          <w:rFonts w:hint="eastAsia" w:cs="宋体" w:asciiTheme="minorEastAsia" w:hAnsiTheme="minorEastAsia" w:eastAsiaTheme="minorEastAsia"/>
          <w:b/>
          <w:color w:val="auto"/>
        </w:rPr>
        <w:t>6.</w:t>
      </w:r>
      <w:r>
        <w:rPr>
          <w:rFonts w:hint="eastAsia"/>
          <w:b/>
          <w:color w:val="auto"/>
        </w:rPr>
        <w:t>平等对待符合条件的破产重整企业</w:t>
      </w:r>
    </w:p>
    <w:p>
      <w:pPr>
        <w:pStyle w:val="633"/>
        <w:rPr>
          <w:color w:val="auto"/>
        </w:rPr>
      </w:pPr>
      <w:r>
        <w:rPr>
          <w:rFonts w:hint="eastAsia" w:cs="宋体"/>
          <w:color w:val="auto"/>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color w:val="auto"/>
          <w:sz w:val="24"/>
        </w:rPr>
      </w:pP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四、询问、质疑与投诉</w:t>
      </w:r>
    </w:p>
    <w:p>
      <w:pPr>
        <w:pStyle w:val="33"/>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633"/>
        <w:spacing w:line="500" w:lineRule="exact"/>
      </w:pPr>
      <w:r>
        <w:rPr>
          <w:rFonts w:hint="eastAsia"/>
          <w:color w:val="000000"/>
        </w:rPr>
        <w:t>询问联系部门：北海市海城区卫生健康局</w:t>
      </w:r>
      <w:r>
        <w:rPr>
          <w:rFonts w:hint="eastAsia"/>
        </w:rPr>
        <w:t>。  联系电话：</w:t>
      </w:r>
      <w:r>
        <w:rPr>
          <w:rFonts w:hint="eastAsia"/>
          <w:lang w:val="en-US" w:eastAsia="zh-CN"/>
        </w:rPr>
        <w:t>0779-3069321</w:t>
      </w:r>
      <w:r>
        <w:rPr>
          <w:rFonts w:hint="eastAsia" w:cs="宋体"/>
          <w:szCs w:val="24"/>
        </w:rPr>
        <w:t xml:space="preserve"> </w:t>
      </w:r>
      <w:r>
        <w:rPr>
          <w:rFonts w:hint="eastAsia"/>
        </w:rPr>
        <w:t xml:space="preserve"> 联系人：</w:t>
      </w:r>
      <w:r>
        <w:rPr>
          <w:rFonts w:hint="eastAsia"/>
          <w:lang w:eastAsia="zh-CN"/>
        </w:rPr>
        <w:t>魏春红</w:t>
      </w:r>
      <w:r>
        <w:rPr>
          <w:rFonts w:hint="eastAsia"/>
        </w:rPr>
        <w:t xml:space="preserve">  地址：北海市湖北路8号海城区人民医院医养结合楼16楼。</w:t>
      </w:r>
    </w:p>
    <w:p>
      <w:pPr>
        <w:pStyle w:val="633"/>
        <w:spacing w:line="500" w:lineRule="exact"/>
      </w:pPr>
      <w:r>
        <w:rPr>
          <w:rFonts w:hint="eastAsia"/>
        </w:rPr>
        <w:t xml:space="preserve">质疑联系部门：北海市海城区政府采购中心。 联系电话：0779-3058219  联系人：杜伽  地址：北海市海城区贵州路52号。 </w:t>
      </w:r>
    </w:p>
    <w:p>
      <w:pPr>
        <w:pStyle w:val="633"/>
        <w:spacing w:line="500" w:lineRule="exact"/>
      </w:pPr>
      <w:r>
        <w:rPr>
          <w:rFonts w:hint="eastAsia"/>
        </w:rPr>
        <w:t>投诉联系部门：北海市海城区财政局。     联系电话：0779-3038022  地址：北海市海城区长青北路15号。</w:t>
      </w:r>
    </w:p>
    <w:p>
      <w:pPr>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pPr>
        <w:pStyle w:val="33"/>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pPr>
        <w:pStyle w:val="33"/>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6"/>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pPr>
        <w:pStyle w:val="33"/>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3.2.1根据采购人与采购代理机构签订采购委托协议的规定，质疑答复责任主体如下：</w:t>
      </w:r>
    </w:p>
    <w:p>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3"/>
              <w:spacing w:line="360" w:lineRule="auto"/>
              <w:jc w:val="center"/>
              <w:rPr>
                <w:rFonts w:asciiTheme="minorEastAsia" w:hAnsiTheme="minorEastAsia" w:eastAsiaTheme="minorEastAsia"/>
                <w:color w:val="auto"/>
                <w:sz w:val="24"/>
              </w:rPr>
            </w:pPr>
          </w:p>
        </w:tc>
        <w:tc>
          <w:tcPr>
            <w:tcW w:w="4536" w:type="dxa"/>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3"/>
              <w:spacing w:line="360" w:lineRule="auto"/>
              <w:jc w:val="center"/>
              <w:rPr>
                <w:rFonts w:asciiTheme="minorEastAsia" w:hAnsiTheme="minorEastAsia" w:eastAsiaTheme="minorEastAsia"/>
                <w:color w:val="auto"/>
                <w:sz w:val="24"/>
              </w:rPr>
            </w:pPr>
          </w:p>
        </w:tc>
        <w:tc>
          <w:tcPr>
            <w:tcW w:w="4536" w:type="dxa"/>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bl>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注：采购人或代理机构应当协助质疑答复责任主体及时答复供应商的书面质疑。</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pPr>
        <w:pStyle w:val="33"/>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3.3.1.1</w:t>
      </w:r>
      <w:r>
        <w:rPr>
          <w:rFonts w:hint="eastAsia" w:asciiTheme="minorEastAsia" w:hAnsiTheme="minorEastAsia" w:eastAsiaTheme="minorEastAsia"/>
          <w:color w:val="auto"/>
          <w:sz w:val="24"/>
          <w:szCs w:val="24"/>
        </w:rPr>
        <w:t>供应商的姓名或者名称、地址、邮编、联系人及联系电话；</w:t>
      </w:r>
    </w:p>
    <w:p>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3.3.1.2</w:t>
      </w:r>
      <w:r>
        <w:rPr>
          <w:rFonts w:hint="eastAsia" w:asciiTheme="minorEastAsia" w:hAnsiTheme="minorEastAsia" w:eastAsiaTheme="minorEastAsia"/>
          <w:color w:val="auto"/>
          <w:sz w:val="24"/>
          <w:szCs w:val="24"/>
        </w:rPr>
        <w:t>质疑项目的名称、编号；</w:t>
      </w:r>
    </w:p>
    <w:p>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3.3.1.3</w:t>
      </w:r>
      <w:r>
        <w:rPr>
          <w:rFonts w:hint="eastAsia" w:asciiTheme="minorEastAsia" w:hAnsiTheme="minorEastAsia" w:eastAsiaTheme="minorEastAsia"/>
          <w:color w:val="auto"/>
          <w:sz w:val="24"/>
          <w:szCs w:val="24"/>
        </w:rPr>
        <w:t>具体、明确的质疑事项和与质疑事项相关的请求；</w:t>
      </w:r>
    </w:p>
    <w:p>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3.3.1.4</w:t>
      </w:r>
      <w:r>
        <w:rPr>
          <w:rFonts w:hint="eastAsia" w:asciiTheme="minorEastAsia" w:hAnsiTheme="minorEastAsia" w:eastAsiaTheme="minorEastAsia"/>
          <w:color w:val="auto"/>
          <w:sz w:val="24"/>
          <w:szCs w:val="24"/>
        </w:rPr>
        <w:t>事实依据；</w:t>
      </w:r>
    </w:p>
    <w:p>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3.3.1.5</w:t>
      </w:r>
      <w:r>
        <w:rPr>
          <w:rFonts w:hint="eastAsia" w:asciiTheme="minorEastAsia" w:hAnsiTheme="minorEastAsia" w:eastAsiaTheme="minorEastAsia"/>
          <w:color w:val="auto"/>
          <w:sz w:val="24"/>
          <w:szCs w:val="24"/>
        </w:rPr>
        <w:t>必要的法律依据；</w:t>
      </w:r>
    </w:p>
    <w:p>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3.3.1.6</w:t>
      </w:r>
      <w:r>
        <w:rPr>
          <w:rFonts w:hint="eastAsia" w:asciiTheme="minorEastAsia" w:hAnsiTheme="minorEastAsia" w:eastAsiaTheme="minorEastAsia"/>
          <w:color w:val="auto"/>
          <w:sz w:val="24"/>
          <w:szCs w:val="24"/>
        </w:rPr>
        <w:t>提出质疑的日期。</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3.3.1.7供应商提交的质疑函需一式三份。供应商为自然人的，应当由本人签字；供应商为法人或者其他组织的，应当由法定代表人、主要负责人，或者其授权代表签字或者盖章，并加盖公章。</w:t>
      </w:r>
    </w:p>
    <w:p>
      <w:pPr>
        <w:pStyle w:val="33"/>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pPr>
        <w:pStyle w:val="33"/>
        <w:spacing w:line="360" w:lineRule="auto"/>
        <w:ind w:firstLine="482" w:firstLineChars="200"/>
        <w:rPr>
          <w:rFonts w:asciiTheme="minorEastAsia" w:hAnsiTheme="minorEastAsia" w:eastAsiaTheme="minorEastAsia"/>
          <w:b/>
          <w:color w:val="auto"/>
          <w:sz w:val="24"/>
        </w:rPr>
      </w:pPr>
    </w:p>
    <w:p>
      <w:pPr>
        <w:adjustRightInd/>
        <w:spacing w:line="360" w:lineRule="auto"/>
        <w:jc w:val="center"/>
        <w:rPr>
          <w:rFonts w:cs="仿宋_GB2312" w:asciiTheme="minorEastAsia" w:hAnsiTheme="minorEastAsia" w:eastAsiaTheme="minorEastAsia"/>
          <w:b/>
          <w:color w:val="auto"/>
          <w:sz w:val="32"/>
          <w:szCs w:val="20"/>
        </w:rPr>
      </w:pP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五、磋商文件构成、修改、解释</w:t>
      </w:r>
    </w:p>
    <w:p>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pPr>
        <w:pStyle w:val="3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邀请供应商</w:t>
      </w:r>
    </w:p>
    <w:p>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pPr>
        <w:pStyle w:val="3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磋商文件的</w:t>
      </w:r>
      <w:r>
        <w:rPr>
          <w:rFonts w:hint="eastAsia" w:cs="仿宋_GB2312" w:asciiTheme="minorEastAsia" w:hAnsiTheme="minorEastAsia" w:eastAsiaTheme="minorEastAsia"/>
          <w:b/>
          <w:color w:val="auto"/>
          <w:sz w:val="24"/>
          <w:szCs w:val="24"/>
        </w:rPr>
        <w:t>澄清、修改</w:t>
      </w:r>
    </w:p>
    <w:p>
      <w:pPr>
        <w:pStyle w:val="394"/>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2.1已获取磋商文件的潜在供应商，若有问题需要澄清，应于提交首次响应文件截止时间前，以书面形式向采购代理机构提出。</w:t>
      </w:r>
    </w:p>
    <w:p>
      <w:pPr>
        <w:pStyle w:val="394"/>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pPr>
        <w:pStyle w:val="394"/>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通知所有获取磋商文件的供应商；不足5日的，采购人、采购代理机构应当顺延提交首次响应文件截止时间。</w:t>
      </w:r>
    </w:p>
    <w:p>
      <w:pPr>
        <w:pStyle w:val="394"/>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pPr>
        <w:pStyle w:val="23"/>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pPr>
        <w:adjustRightInd/>
        <w:spacing w:line="360" w:lineRule="auto"/>
        <w:jc w:val="center"/>
        <w:outlineLvl w:val="1"/>
        <w:rPr>
          <w:rFonts w:hint="eastAsia" w:cs="仿宋_GB2312" w:asciiTheme="minorEastAsia" w:hAnsiTheme="minorEastAsia" w:eastAsiaTheme="minorEastAsia"/>
          <w:b/>
          <w:color w:val="auto"/>
          <w:sz w:val="32"/>
          <w:szCs w:val="20"/>
        </w:rPr>
      </w:pP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响应文件应当包括以下主要内容（标注“▲”为实质性要求，供应商必须提供，否则磋商无效。相关格式见磋商文件第七部分）：</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▲（1）响应函</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pPr>
        <w:pStyle w:val="33"/>
        <w:spacing w:line="360" w:lineRule="auto"/>
        <w:ind w:firstLine="480" w:firstLineChars="200"/>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落实政府采购政策需满足的资格要求:无</w:t>
      </w:r>
      <w:r>
        <w:rPr>
          <w:rFonts w:hint="eastAsia" w:cs="宋体" w:asciiTheme="minorEastAsia" w:hAnsiTheme="minorEastAsia" w:eastAsiaTheme="minorEastAsia"/>
          <w:snapToGrid w:val="0"/>
          <w:color w:val="auto"/>
          <w:kern w:val="28"/>
          <w:sz w:val="24"/>
        </w:rPr>
        <w:t>；</w:t>
      </w:r>
    </w:p>
    <w:p>
      <w:pPr>
        <w:pStyle w:val="33"/>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D、符合特定资格条件的有关证明材料:无。</w:t>
      </w:r>
      <w:r>
        <w:rPr>
          <w:rFonts w:hint="eastAsia" w:cs="仿宋_GB2312" w:asciiTheme="minorEastAsia" w:hAnsiTheme="minorEastAsia" w:eastAsiaTheme="minorEastAsia"/>
          <w:color w:val="auto"/>
          <w:sz w:val="24"/>
        </w:rPr>
        <w:tab/>
      </w:r>
      <w:r>
        <w:rPr>
          <w:rFonts w:cs="仿宋_GB2312" w:asciiTheme="minorEastAsia" w:hAnsiTheme="minorEastAsia" w:eastAsiaTheme="minorEastAsia"/>
          <w:color w:val="auto"/>
          <w:sz w:val="24"/>
        </w:rPr>
        <w:t xml:space="preserve"> </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（6）</w:t>
      </w:r>
      <w:r>
        <w:rPr>
          <w:rFonts w:hint="eastAsia" w:asciiTheme="minorEastAsia" w:hAnsiTheme="minorEastAsia" w:eastAsiaTheme="minorEastAsia"/>
          <w:color w:val="auto"/>
          <w:sz w:val="24"/>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服务方案。针对本项目的完整服务方案和实施方案；详细阐述项目方案的实现思路及关键技术；符合本项目对当前和未来发展的要求；以及对功能设计和实施计划的建议；</w:t>
      </w:r>
    </w:p>
    <w:p>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（10）组织实施方案。本项目详细工作实施组织方案，包括(但不限于)以下内容：组织机构、工作时间进度表、工作程序和步骤、管理和协调方法、关键步骤的思路和要点；</w:t>
      </w:r>
    </w:p>
    <w:p>
      <w:pPr>
        <w:pStyle w:val="33"/>
        <w:spacing w:line="360" w:lineRule="auto"/>
        <w:ind w:firstLine="420"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rPr>
        <w:t>▲</w:t>
      </w:r>
      <w:r>
        <w:rPr>
          <w:rFonts w:hint="eastAsia" w:asciiTheme="minorEastAsia" w:hAnsiTheme="minorEastAsia" w:eastAsiaTheme="minorEastAsia"/>
          <w:color w:val="auto"/>
          <w:kern w:val="0"/>
          <w:sz w:val="24"/>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12）项目实施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lang w:val="zh-CN"/>
        </w:rPr>
        <w:t>资质情况等</w:t>
      </w:r>
      <w:r>
        <w:rPr>
          <w:rFonts w:hint="eastAsia" w:asciiTheme="minorEastAsia" w:hAnsiTheme="minorEastAsia" w:eastAsiaTheme="minorEastAsia"/>
          <w:color w:val="auto"/>
          <w:kern w:val="0"/>
          <w:sz w:val="24"/>
          <w:lang w:val="zh-CN"/>
        </w:rPr>
        <w:t>；</w:t>
      </w:r>
    </w:p>
    <w:p>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（13）优惠条件及特殊承诺；</w:t>
      </w:r>
    </w:p>
    <w:p>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（14）</w:t>
      </w:r>
      <w:r>
        <w:rPr>
          <w:rFonts w:hint="eastAsia" w:cs="仿宋_GB2312" w:asciiTheme="minorEastAsia" w:hAnsiTheme="minorEastAsia" w:eastAsiaTheme="minorEastAsia"/>
          <w:color w:val="auto"/>
          <w:kern w:val="0"/>
          <w:sz w:val="24"/>
          <w:lang w:val="zh-CN"/>
        </w:rPr>
        <w:t>培训计划（如果有）；</w:t>
      </w:r>
    </w:p>
    <w:p>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rPr>
        <w:t>（15）随机特殊工具和</w:t>
      </w:r>
      <w:r>
        <w:rPr>
          <w:rFonts w:hint="eastAsia" w:asciiTheme="minorEastAsia" w:hAnsiTheme="minorEastAsia" w:eastAsiaTheme="minorEastAsia"/>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3"/>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hint="eastAsia" w:cs="仿宋_GB2312" w:asciiTheme="minorEastAsia" w:hAnsiTheme="minorEastAsia" w:eastAsiaTheme="minorEastAsia"/>
          <w:color w:val="auto"/>
          <w:kern w:val="0"/>
          <w:sz w:val="24"/>
          <w:szCs w:val="24"/>
          <w:lang w:val="zh-CN"/>
        </w:rPr>
        <w:t>供应商认为需要的其他技术文件或说明（如果有）；</w:t>
      </w:r>
    </w:p>
    <w:p>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8）</w:t>
      </w:r>
      <w:r>
        <w:rPr>
          <w:rFonts w:hint="eastAsia" w:cs="仿宋_GB2312" w:asciiTheme="minorEastAsia" w:hAnsiTheme="minorEastAsia" w:eastAsiaTheme="minorEastAsia"/>
          <w:color w:val="auto"/>
          <w:kern w:val="0"/>
          <w:sz w:val="24"/>
          <w:lang w:val="zh-CN"/>
        </w:rPr>
        <w:t>承诺函；</w:t>
      </w:r>
    </w:p>
    <w:p>
      <w:pPr>
        <w:pStyle w:val="33"/>
        <w:spacing w:line="360" w:lineRule="auto"/>
        <w:ind w:firstLine="480" w:firstLineChars="200"/>
        <w:rPr>
          <w:rFonts w:cs="仿宋_GB2312" w:asciiTheme="minorEastAsia" w:hAnsiTheme="minorEastAsia" w:eastAsiaTheme="minorEastAsia"/>
          <w:color w:val="auto"/>
          <w:szCs w:val="24"/>
          <w:lang w:val="zh-CN"/>
        </w:rPr>
      </w:pPr>
      <w:r>
        <w:rPr>
          <w:rFonts w:hint="eastAsia"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（19）商务、服务（技术）响应、偏离情况说明表；</w:t>
      </w:r>
    </w:p>
    <w:p>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▲（20）初始报价表。</w:t>
      </w:r>
    </w:p>
    <w:p>
      <w:pPr>
        <w:pStyle w:val="33"/>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3.3使用“广西政府采购云平台电子交易客户端”需要提前申领CA数字证书，申领流程请自行前往“</w:t>
      </w:r>
      <w:r>
        <w:rPr>
          <w:rFonts w:hint="eastAsia" w:ascii="宋体" w:hAnsi="宋体" w:cs="宋体"/>
          <w:color w:val="auto"/>
          <w:sz w:val="24"/>
        </w:rPr>
        <w:t>广西政府采购网（http://zfcg.gxzf.gov.cn/）—办事服务—下载专区</w:t>
      </w:r>
      <w:r>
        <w:rPr>
          <w:rFonts w:hint="eastAsia" w:ascii="宋体" w:hAnsi="宋体" w:cs="宋体"/>
          <w:color w:val="auto"/>
          <w:kern w:val="0"/>
          <w:sz w:val="24"/>
          <w:lang w:val="zh-CN"/>
        </w:rPr>
        <w:t>”进行查阅</w:t>
      </w:r>
    </w:p>
    <w:p>
      <w:pPr>
        <w:pStyle w:val="394"/>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pPr>
        <w:pStyle w:val="394"/>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3.5为确保网上操作合法、有效和安全，供应商应当在响应截止时间前完成在“广西政府采购云平台”的身份认证，确保在电子交易过程中能够对相关数据电文进行加密和使用电子签名。</w:t>
      </w:r>
    </w:p>
    <w:p>
      <w:pPr>
        <w:pStyle w:val="394"/>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3.6磋商文件对响应文件签</w:t>
      </w:r>
      <w:r>
        <w:rPr>
          <w:rFonts w:hint="eastAsia" w:ascii="宋体" w:hAnsi="宋体" w:cs="宋体"/>
          <w:color w:val="auto"/>
        </w:rPr>
        <w:t>署、盖章的要求适用于电子签名、CA签章以及</w:t>
      </w:r>
      <w:r>
        <w:rPr>
          <w:rFonts w:hint="eastAsia" w:cs="宋体" w:asciiTheme="minorEastAsia" w:hAnsiTheme="minorEastAsia" w:eastAsiaTheme="minorEastAsia"/>
          <w:color w:val="auto"/>
        </w:rPr>
        <w:t>磋商</w:t>
      </w:r>
      <w:r>
        <w:rPr>
          <w:rFonts w:hint="eastAsia" w:ascii="宋体" w:hAnsi="宋体" w:cs="宋体"/>
          <w:color w:val="auto"/>
        </w:rPr>
        <w:t>文件明确允许的其他方式。</w:t>
      </w:r>
    </w:p>
    <w:p>
      <w:pPr>
        <w:pStyle w:val="33"/>
        <w:spacing w:line="360" w:lineRule="auto"/>
        <w:ind w:firstLine="480" w:firstLineChars="200"/>
        <w:rPr>
          <w:rFonts w:cs="仿宋_GB2312" w:asciiTheme="minorEastAsia" w:hAnsiTheme="minorEastAsia" w:eastAsiaTheme="minorEastAsia"/>
          <w:color w:val="auto"/>
          <w:sz w:val="24"/>
          <w:szCs w:val="24"/>
        </w:rPr>
      </w:pP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pPr>
        <w:pStyle w:val="394"/>
        <w:spacing w:before="0"/>
        <w:ind w:firstLine="0" w:firstLineChars="0"/>
        <w:rPr>
          <w:rFonts w:cs="仿宋_GB2312" w:asciiTheme="minorEastAsia" w:hAnsiTheme="minorEastAsia" w:eastAsiaTheme="minorEastAsia"/>
          <w:b/>
          <w:color w:val="auto"/>
          <w:szCs w:val="24"/>
        </w:rPr>
      </w:pPr>
    </w:p>
    <w:p>
      <w:pPr>
        <w:pStyle w:val="394"/>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pPr>
        <w:pStyle w:val="394"/>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1.5 采购代理机构可以视情况延长提交响应文件的截止时间。在上述情况下，采购代理机构与供应商以前在响应截止期方面的全部权利、责任和义务，将适用于延长至新的响应截止期。</w:t>
      </w:r>
    </w:p>
    <w:p>
      <w:pPr>
        <w:pStyle w:val="33"/>
        <w:spacing w:line="360" w:lineRule="auto"/>
        <w:ind w:firstLine="360" w:firstLineChars="150"/>
        <w:rPr>
          <w:rFonts w:cs="仿宋_GB2312" w:asciiTheme="minorEastAsia" w:hAnsiTheme="minorEastAsia" w:eastAsiaTheme="minorEastAsia"/>
          <w:color w:val="auto"/>
          <w:sz w:val="24"/>
          <w:szCs w:val="24"/>
        </w:rPr>
      </w:pPr>
    </w:p>
    <w:p>
      <w:pPr>
        <w:adjustRightInd/>
        <w:spacing w:line="360" w:lineRule="auto"/>
        <w:jc w:val="center"/>
        <w:rPr>
          <w:rFonts w:cs="仿宋_GB2312" w:asciiTheme="minorEastAsia" w:hAnsiTheme="minorEastAsia" w:eastAsiaTheme="minorEastAsia"/>
          <w:b/>
          <w:color w:val="auto"/>
          <w:sz w:val="32"/>
          <w:szCs w:val="20"/>
        </w:rPr>
      </w:pP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pPr>
        <w:pStyle w:val="33"/>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pPr>
        <w:pStyle w:val="33"/>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pPr>
        <w:pStyle w:val="33"/>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3"/>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1.3响应文件未在规定时间内成功解密的供应商，视为响应文件撤回。</w:t>
      </w:r>
    </w:p>
    <w:p>
      <w:pPr>
        <w:pStyle w:val="394"/>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pPr>
        <w:pStyle w:val="394"/>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2.1信用信息查询渠道及截止时间：采购人或采购代理机构将通过“信用中国”网站(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9"/>
          <w:rFonts w:hint="eastAsia" w:asciiTheme="minorEastAsia" w:hAnsiTheme="minorEastAsia" w:eastAsiaTheme="minorEastAsia"/>
          <w:snapToGrid/>
          <w:color w:val="auto"/>
          <w:sz w:val="24"/>
          <w:szCs w:val="24"/>
        </w:rPr>
        <w:t>www.creditchina.gov.cn</w:t>
      </w:r>
      <w:r>
        <w:rPr>
          <w:rStyle w:val="69"/>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pPr>
        <w:pStyle w:val="394"/>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pPr>
        <w:pStyle w:val="394"/>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pPr>
        <w:pStyle w:val="394"/>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3"/>
        <w:spacing w:line="360" w:lineRule="auto"/>
        <w:rPr>
          <w:rFonts w:cs="仿宋_GB2312" w:asciiTheme="minorEastAsia" w:hAnsiTheme="minorEastAsia" w:eastAsiaTheme="minorEastAsia"/>
          <w:b/>
          <w:color w:val="auto"/>
          <w:sz w:val="24"/>
          <w:szCs w:val="24"/>
        </w:rPr>
      </w:pPr>
    </w:p>
    <w:p>
      <w:pPr>
        <w:adjustRightInd/>
        <w:spacing w:line="360" w:lineRule="auto"/>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w:t>
      </w:r>
    </w:p>
    <w:p>
      <w:pPr>
        <w:pStyle w:val="33"/>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▲1.1最后报价一览表；</w:t>
      </w:r>
    </w:p>
    <w:p>
      <w:pPr>
        <w:adjustRightInd/>
        <w:spacing w:line="360" w:lineRule="auto"/>
        <w:jc w:val="center"/>
        <w:rPr>
          <w:rFonts w:cs="仿宋_GB2312" w:asciiTheme="minorEastAsia" w:hAnsiTheme="minorEastAsia" w:eastAsiaTheme="minorEastAsia"/>
          <w:b/>
          <w:color w:val="auto"/>
          <w:sz w:val="32"/>
          <w:szCs w:val="20"/>
        </w:rPr>
      </w:pPr>
    </w:p>
    <w:p>
      <w:pPr>
        <w:adjustRightInd/>
        <w:spacing w:line="360" w:lineRule="auto"/>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pPr>
        <w:pStyle w:val="394"/>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pPr>
        <w:pStyle w:val="394"/>
        <w:spacing w:before="0"/>
        <w:ind w:firstLine="0" w:firstLineChars="0"/>
        <w:rPr>
          <w:rFonts w:cs="仿宋_GB2312" w:asciiTheme="minorEastAsia" w:hAnsiTheme="minorEastAsia" w:eastAsiaTheme="minorEastAsia"/>
          <w:b/>
          <w:color w:val="auto"/>
          <w:highlight w:val="yellow"/>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highlight w:val="none"/>
        </w:rPr>
        <w:t>低价优先法。</w:t>
      </w:r>
    </w:p>
    <w:p>
      <w:pPr>
        <w:pStyle w:val="394"/>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pPr>
        <w:adjustRightInd/>
        <w:spacing w:line="360" w:lineRule="auto"/>
        <w:jc w:val="center"/>
        <w:rPr>
          <w:rFonts w:cs="仿宋_GB2312" w:asciiTheme="minorEastAsia" w:hAnsiTheme="minorEastAsia" w:eastAsiaTheme="minorEastAsia"/>
          <w:color w:val="auto"/>
          <w:sz w:val="24"/>
        </w:rPr>
      </w:pP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3"/>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pPr>
        <w:spacing w:line="360" w:lineRule="auto"/>
        <w:ind w:firstLine="480" w:firstLineChars="20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p>
    <w:p>
      <w:pPr>
        <w:spacing w:line="360" w:lineRule="auto"/>
        <w:ind w:firstLine="480" w:firstLineChars="20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采购人及其委托的采购代理机构的名称、地址、联系方式，项目名称和项目编号，成交人名称、地址和成交金额，主要成交标的的名称、规格型号、数量、单价、服务要求，</w:t>
      </w:r>
      <w:bookmarkStart w:id="27" w:name="_Hlk101184471"/>
      <w:r>
        <w:rPr>
          <w:rFonts w:hint="eastAsia" w:cs="宋体" w:asciiTheme="minorEastAsia" w:hAnsiTheme="minorEastAsia" w:eastAsiaTheme="minorEastAsia"/>
          <w:color w:val="auto"/>
          <w:sz w:val="24"/>
        </w:rPr>
        <w:t>评审专家抽取规则、</w:t>
      </w:r>
      <w:bookmarkEnd w:id="27"/>
      <w:r>
        <w:rPr>
          <w:rFonts w:hint="eastAsia" w:cs="宋体" w:asciiTheme="minorEastAsia" w:hAnsiTheme="minorEastAsia" w:eastAsiaTheme="minorEastAsia"/>
          <w:color w:val="auto"/>
          <w:sz w:val="24"/>
        </w:rPr>
        <w:t>未成交情况说明、成交公告期限以及评审专家名单、成交供应商和未成交供应商的评审总得分及排名。</w:t>
      </w:r>
    </w:p>
    <w:p>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pPr>
        <w:snapToGrid w:val="0"/>
        <w:spacing w:line="360" w:lineRule="auto"/>
        <w:jc w:val="center"/>
        <w:rPr>
          <w:rFonts w:cs="仿宋_GB2312" w:asciiTheme="minorEastAsia" w:hAnsiTheme="minorEastAsia" w:eastAsiaTheme="minorEastAsia"/>
          <w:b/>
          <w:color w:val="auto"/>
          <w:sz w:val="36"/>
          <w:szCs w:val="36"/>
        </w:rPr>
      </w:pPr>
    </w:p>
    <w:p>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 w:val="24"/>
        </w:rPr>
        <w:t>2.1</w:t>
      </w:r>
      <w:r>
        <w:rPr>
          <w:rFonts w:hint="eastAsia" w:ascii="宋体" w:hAnsi="宋体" w:cs="宋体"/>
          <w:color w:val="auto"/>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4"/>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pPr>
        <w:pStyle w:val="394"/>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磋商文件、响应文件等内容通过政府采购电子交易平台在线签订，自动备案。</w:t>
      </w:r>
    </w:p>
    <w:p>
      <w:pPr>
        <w:pStyle w:val="394"/>
        <w:snapToGrid w:val="0"/>
        <w:spacing w:before="0"/>
        <w:ind w:firstLine="480"/>
        <w:rPr>
          <w:rFonts w:ascii="宋体" w:hAnsi="宋体" w:cs="宋体"/>
          <w:color w:val="auto"/>
        </w:rPr>
      </w:pPr>
      <w:r>
        <w:rPr>
          <w:rFonts w:hint="eastAsia" w:ascii="宋体" w:hAnsi="宋体" w:cs="宋体"/>
          <w:color w:val="auto"/>
        </w:rPr>
        <w:t>2.7政采贷</w:t>
      </w:r>
    </w:p>
    <w:p>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240" w:firstLineChars="1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240" w:firstLineChars="1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240" w:firstLineChars="1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240" w:firstLineChars="1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pPr>
        <w:snapToGrid w:val="0"/>
        <w:spacing w:line="360" w:lineRule="auto"/>
        <w:ind w:firstLine="240" w:firstLineChars="1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240" w:firstLineChars="1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pPr>
        <w:pStyle w:val="633"/>
        <w:rPr>
          <w:color w:val="auto"/>
        </w:rPr>
      </w:pPr>
      <w:r>
        <w:rPr>
          <w:rFonts w:hint="eastAsia"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63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vAlign w:val="center"/>
          </w:tcPr>
          <w:p>
            <w:pPr>
              <w:snapToGrid w:val="0"/>
              <w:spacing w:line="360" w:lineRule="auto"/>
              <w:jc w:val="left"/>
              <w:rPr>
                <w:rFonts w:ascii="宋体" w:hAnsi="宋体"/>
                <w:color w:val="auto"/>
                <w:kern w:val="0"/>
                <w:sz w:val="24"/>
                <w:szCs w:val="20"/>
              </w:rPr>
            </w:pPr>
          </w:p>
        </w:tc>
        <w:tc>
          <w:tcPr>
            <w:tcW w:w="993" w:type="dxa"/>
            <w:vAlign w:val="center"/>
          </w:tcPr>
          <w:p>
            <w:pPr>
              <w:snapToGrid w:val="0"/>
              <w:spacing w:line="360" w:lineRule="auto"/>
              <w:jc w:val="center"/>
              <w:rPr>
                <w:rFonts w:ascii="宋体" w:hAnsi="宋体"/>
                <w:color w:val="auto"/>
                <w:kern w:val="0"/>
                <w:sz w:val="24"/>
                <w:szCs w:val="20"/>
              </w:rPr>
            </w:pPr>
          </w:p>
        </w:tc>
        <w:tc>
          <w:tcPr>
            <w:tcW w:w="850" w:type="dxa"/>
            <w:vAlign w:val="center"/>
          </w:tcPr>
          <w:p>
            <w:pPr>
              <w:snapToGrid w:val="0"/>
              <w:spacing w:line="360" w:lineRule="auto"/>
              <w:jc w:val="center"/>
              <w:rPr>
                <w:rFonts w:ascii="宋体" w:hAnsi="宋体"/>
                <w:color w:val="auto"/>
                <w:kern w:val="0"/>
                <w:sz w:val="24"/>
                <w:szCs w:val="20"/>
              </w:rPr>
            </w:pP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pPr>
        <w:pStyle w:val="633"/>
        <w:rPr>
          <w:color w:val="auto"/>
        </w:rPr>
      </w:pPr>
      <w:r>
        <w:rPr>
          <w:rFonts w:hint="eastAsia"/>
          <w:color w:val="auto"/>
        </w:rPr>
        <w:t>注：表中联系电话、授信金额、授信期限、最低利率等信息可能动态更新，仅供参考，具体以办理时相关银行公布的为准。</w:t>
      </w:r>
    </w:p>
    <w:p>
      <w:pPr>
        <w:tabs>
          <w:tab w:val="left" w:pos="0"/>
        </w:tabs>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3．履约保证金（注</w:t>
      </w:r>
      <w:r>
        <w:rPr>
          <w:rFonts w:asciiTheme="minorEastAsia" w:hAnsiTheme="minorEastAsia" w:eastAsiaTheme="minorEastAsia"/>
          <w:b/>
          <w:color w:val="auto"/>
          <w:sz w:val="24"/>
        </w:rPr>
        <w:t>：本项目不收履约保证金</w:t>
      </w:r>
      <w:r>
        <w:rPr>
          <w:rFonts w:hint="eastAsia" w:asciiTheme="minorEastAsia" w:hAnsiTheme="minorEastAsia" w:eastAsiaTheme="minorEastAsia"/>
          <w:b/>
          <w:color w:val="auto"/>
          <w:sz w:val="24"/>
        </w:rPr>
        <w:t>）</w:t>
      </w:r>
    </w:p>
    <w:p>
      <w:pPr>
        <w:pStyle w:val="633"/>
        <w:rPr>
          <w:color w:val="auto"/>
        </w:rPr>
      </w:pPr>
      <w:r>
        <w:rPr>
          <w:color w:val="auto"/>
        </w:rPr>
        <w:t>4.</w:t>
      </w:r>
      <w:r>
        <w:rPr>
          <w:rFonts w:hint="eastAsia"/>
          <w:color w:val="auto"/>
        </w:rPr>
        <w:t>预付款</w:t>
      </w:r>
      <w:r>
        <w:rPr>
          <w:rFonts w:hint="eastAsia"/>
          <w:b/>
          <w:bCs/>
          <w:color w:val="auto"/>
        </w:rPr>
        <w:t>（详见</w:t>
      </w:r>
      <w:r>
        <w:rPr>
          <w:b/>
          <w:bCs/>
          <w:color w:val="auto"/>
        </w:rPr>
        <w:t>第四部分</w:t>
      </w:r>
      <w:r>
        <w:rPr>
          <w:rFonts w:hint="eastAsia"/>
          <w:b/>
          <w:bCs/>
          <w:color w:val="auto"/>
        </w:rPr>
        <w:t>）</w:t>
      </w:r>
    </w:p>
    <w:p>
      <w:pPr>
        <w:adjustRightInd/>
        <w:spacing w:line="360" w:lineRule="auto"/>
        <w:ind w:firstLine="480" w:firstLineChars="200"/>
        <w:rPr>
          <w:rFonts w:ascii="宋体" w:hAnsi="宋体"/>
          <w:color w:val="auto"/>
          <w:sz w:val="24"/>
        </w:rPr>
      </w:pPr>
      <w:r>
        <w:rPr>
          <w:rFonts w:hint="eastAsia" w:ascii="宋体" w:hAnsi="宋体"/>
          <w:color w:val="auto"/>
          <w:sz w:val="24"/>
        </w:rPr>
        <w:t>采购单位应当在政府采购合同中约定预付款，对中小企业合同预付款比例原则上不低于合同金额的3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0%；项目分年安排预算的，每年预付款比例</w:t>
      </w:r>
      <w:r>
        <w:rPr>
          <w:rFonts w:hint="eastAsia" w:ascii="宋体" w:hAnsi="宋体"/>
          <w:color w:val="auto"/>
          <w:sz w:val="24"/>
        </w:rPr>
        <w:t>不低于</w:t>
      </w:r>
      <w:r>
        <w:rPr>
          <w:rFonts w:ascii="宋体" w:hAnsi="宋体"/>
          <w:color w:val="auto"/>
          <w:sz w:val="24"/>
        </w:rPr>
        <w:t>项目年度计划支付资金额的</w:t>
      </w:r>
      <w:r>
        <w:rPr>
          <w:rFonts w:hint="eastAsia" w:ascii="宋体" w:hAnsi="宋体"/>
          <w:color w:val="auto"/>
          <w:sz w:val="24"/>
        </w:rPr>
        <w:t>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0%；采购项目实施以人工投入为主的，</w:t>
      </w:r>
      <w:r>
        <w:rPr>
          <w:rFonts w:hint="eastAsia" w:ascii="宋体" w:hAnsi="宋体"/>
          <w:color w:val="auto"/>
          <w:sz w:val="24"/>
        </w:rPr>
        <w:t>可适当降低预付款比例，但不得低于1</w:t>
      </w:r>
      <w:r>
        <w:rPr>
          <w:rFonts w:ascii="宋体" w:hAnsi="宋体"/>
          <w:color w:val="auto"/>
          <w:sz w:val="24"/>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rPr>
        <w:t>供应商</w:t>
      </w:r>
      <w:r>
        <w:rPr>
          <w:rFonts w:ascii="宋体" w:hAnsi="宋体"/>
          <w:color w:val="auto"/>
          <w:sz w:val="24"/>
        </w:rPr>
        <w:t>明确表示无需预付款或者主动要求降低预付款比例的，</w:t>
      </w:r>
      <w:r>
        <w:rPr>
          <w:rFonts w:hint="eastAsia" w:ascii="宋体" w:hAnsi="宋体"/>
          <w:color w:val="auto"/>
          <w:sz w:val="24"/>
        </w:rPr>
        <w:t>采购单位</w:t>
      </w:r>
      <w:r>
        <w:rPr>
          <w:rFonts w:ascii="宋体" w:hAnsi="宋体"/>
          <w:color w:val="auto"/>
          <w:sz w:val="24"/>
        </w:rPr>
        <w:t>可不适用前述规定。</w:t>
      </w:r>
      <w:r>
        <w:rPr>
          <w:rFonts w:hint="eastAsia" w:ascii="宋体" w:hAnsi="宋体"/>
          <w:color w:val="auto"/>
          <w:sz w:val="24"/>
        </w:rPr>
        <w:t>采购单位</w:t>
      </w:r>
      <w:r>
        <w:rPr>
          <w:rFonts w:ascii="宋体" w:hAnsi="宋体"/>
          <w:color w:val="auto"/>
          <w:sz w:val="24"/>
        </w:rPr>
        <w:t>根据项目特点、供应商诚信等因素，可以要求</w:t>
      </w:r>
      <w:r>
        <w:rPr>
          <w:rFonts w:hint="eastAsia" w:ascii="宋体" w:hAnsi="宋体"/>
          <w:color w:val="auto"/>
          <w:sz w:val="24"/>
        </w:rPr>
        <w:t>供应商</w:t>
      </w:r>
      <w:r>
        <w:rPr>
          <w:rFonts w:ascii="宋体" w:hAnsi="宋体"/>
          <w:color w:val="auto"/>
          <w:sz w:val="24"/>
        </w:rPr>
        <w:t>提交银行、保险公司等金融机构出具的预付款保函或其他担保措施。政府采购预付款应在合同生效以及具备实施条件后</w:t>
      </w:r>
      <w:r>
        <w:rPr>
          <w:rFonts w:hint="eastAsia" w:ascii="宋体" w:hAnsi="宋体"/>
          <w:color w:val="auto"/>
          <w:sz w:val="24"/>
        </w:rPr>
        <w:t>5</w:t>
      </w:r>
      <w:r>
        <w:rPr>
          <w:rFonts w:ascii="宋体" w:hAnsi="宋体"/>
          <w:color w:val="auto"/>
          <w:sz w:val="24"/>
        </w:rPr>
        <w:t>个工作日内支付。</w:t>
      </w:r>
      <w:r>
        <w:rPr>
          <w:rFonts w:hint="eastAsia" w:ascii="宋体" w:hAnsi="宋体"/>
          <w:color w:val="auto"/>
          <w:sz w:val="24"/>
        </w:rPr>
        <w:t>政府采购工程以及与工程建设有关的货物、服务，采用招标方式采购的，预付款从其相关规定。</w:t>
      </w:r>
    </w:p>
    <w:p>
      <w:pPr>
        <w:tabs>
          <w:tab w:val="left" w:pos="0"/>
        </w:tabs>
        <w:spacing w:line="360" w:lineRule="auto"/>
        <w:ind w:firstLine="480" w:firstLineChars="200"/>
        <w:rPr>
          <w:rFonts w:cs="宋体" w:asciiTheme="minorEastAsia" w:hAnsiTheme="minorEastAsia" w:eastAsiaTheme="minorEastAsia"/>
          <w:snapToGrid w:val="0"/>
          <w:color w:val="auto"/>
          <w:kern w:val="28"/>
          <w:sz w:val="24"/>
        </w:rPr>
      </w:pPr>
      <w:r>
        <w:rPr>
          <w:rFonts w:hint="eastAsia" w:ascii="宋体" w:hAnsi="宋体"/>
          <w:color w:val="auto"/>
          <w:sz w:val="24"/>
        </w:rPr>
        <w:t>供应商可登录广西政府采购云平台前台大厅选择金融服务</w:t>
      </w:r>
      <w:r>
        <w:rPr>
          <w:rFonts w:ascii="宋体" w:hAnsi="宋体"/>
          <w:color w:val="auto"/>
          <w:sz w:val="24"/>
        </w:rPr>
        <w:t xml:space="preserve"> - </w:t>
      </w:r>
      <w:r>
        <w:rPr>
          <w:rFonts w:hint="eastAsia" w:ascii="宋体" w:hAnsi="宋体"/>
          <w:color w:val="auto"/>
          <w:sz w:val="24"/>
        </w:rPr>
        <w:t>【保函保险服务】出具预付款保函，具体步骤：选择产品—填写供应商信息—选择中标项目—确认信息—等待保险</w:t>
      </w:r>
      <w:r>
        <w:rPr>
          <w:rFonts w:ascii="宋体" w:hAnsi="宋体"/>
          <w:color w:val="auto"/>
          <w:sz w:val="24"/>
        </w:rPr>
        <w:t>/保函受理—确认保单—支付保费—成功出单。广西政府采购云平台</w:t>
      </w:r>
      <w:r>
        <w:rPr>
          <w:rFonts w:hint="eastAsia" w:ascii="宋体" w:hAnsi="宋体"/>
          <w:color w:val="auto"/>
          <w:sz w:val="24"/>
        </w:rPr>
        <w:t>金融专线</w:t>
      </w:r>
      <w:r>
        <w:rPr>
          <w:rFonts w:ascii="宋体" w:hAnsi="宋体"/>
          <w:color w:val="auto"/>
          <w:sz w:val="24"/>
        </w:rPr>
        <w:t>400-903-9583。</w:t>
      </w:r>
    </w:p>
    <w:p>
      <w:pPr>
        <w:snapToGrid w:val="0"/>
        <w:spacing w:line="360" w:lineRule="auto"/>
        <w:jc w:val="center"/>
        <w:rPr>
          <w:rFonts w:cs="仿宋_GB2312" w:asciiTheme="minorEastAsia" w:hAnsiTheme="minorEastAsia" w:eastAsiaTheme="minorEastAsia"/>
          <w:b/>
          <w:color w:val="auto"/>
          <w:sz w:val="36"/>
          <w:szCs w:val="36"/>
        </w:rPr>
      </w:pPr>
    </w:p>
    <w:p>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pPr>
        <w:pStyle w:val="25"/>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color w:val="auto"/>
          <w:sz w:val="36"/>
          <w:szCs w:val="36"/>
        </w:rPr>
      </w:pPr>
    </w:p>
    <w:p>
      <w:pPr>
        <w:snapToGrid w:val="0"/>
        <w:spacing w:line="360" w:lineRule="auto"/>
        <w:jc w:val="center"/>
        <w:outlineLvl w:val="1"/>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pPr>
        <w:tabs>
          <w:tab w:val="left" w:pos="0"/>
        </w:tabs>
        <w:spacing w:line="360" w:lineRule="auto"/>
        <w:rPr>
          <w:rFonts w:cs="Helvetica" w:asciiTheme="minorEastAsia" w:hAnsiTheme="minorEastAsia" w:eastAsiaTheme="minorEastAsia"/>
          <w:color w:val="auto"/>
          <w:kern w:val="0"/>
          <w:sz w:val="24"/>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28" w:name="_Hlt75236101"/>
      <w:bookmarkEnd w:id="28"/>
      <w:bookmarkStart w:id="29" w:name="_Hlt75236290"/>
      <w:bookmarkEnd w:id="29"/>
      <w:bookmarkStart w:id="30" w:name="_Hlt74729768"/>
      <w:bookmarkEnd w:id="30"/>
      <w:bookmarkStart w:id="31" w:name="_Hlt74730295"/>
      <w:bookmarkEnd w:id="31"/>
      <w:bookmarkStart w:id="32" w:name="_Hlt68072990"/>
      <w:bookmarkEnd w:id="32"/>
      <w:bookmarkStart w:id="33" w:name="_Hlt74714665"/>
      <w:bookmarkEnd w:id="33"/>
      <w:bookmarkStart w:id="34" w:name="_Hlt74707468"/>
      <w:bookmarkEnd w:id="34"/>
      <w:bookmarkStart w:id="35" w:name="_Hlt68057669"/>
      <w:bookmarkEnd w:id="35"/>
      <w:bookmarkStart w:id="36" w:name="_Hlt75236011"/>
      <w:bookmarkEnd w:id="36"/>
      <w:bookmarkStart w:id="37" w:name="_Toc164416483"/>
      <w:bookmarkStart w:id="38" w:name="第三部分"/>
    </w:p>
    <w:p>
      <w:pPr>
        <w:snapToGrid w:val="0"/>
        <w:spacing w:line="360" w:lineRule="auto"/>
        <w:ind w:firstLine="723" w:firstLineChars="200"/>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pPr>
        <w:adjustRightInd/>
        <w:spacing w:line="360" w:lineRule="auto"/>
        <w:jc w:val="center"/>
        <w:outlineLvl w:val="0"/>
        <w:rPr>
          <w:rFonts w:cs="仿宋_GB2312" w:asciiTheme="minorEastAsia" w:hAnsiTheme="minorEastAsia" w:eastAsiaTheme="minorEastAsia"/>
          <w:b/>
          <w:color w:val="auto"/>
          <w:sz w:val="36"/>
          <w:szCs w:val="36"/>
        </w:rPr>
      </w:pPr>
      <w:bookmarkStart w:id="39" w:name="_Toc181203097"/>
      <w:r>
        <w:rPr>
          <w:rFonts w:hint="eastAsia" w:cs="仿宋_GB2312" w:asciiTheme="minorEastAsia" w:hAnsiTheme="minorEastAsia" w:eastAsiaTheme="minorEastAsia"/>
          <w:b/>
          <w:color w:val="auto"/>
          <w:sz w:val="36"/>
          <w:szCs w:val="36"/>
        </w:rPr>
        <w:t>第四部分  采购需求</w:t>
      </w:r>
      <w:bookmarkEnd w:id="39"/>
    </w:p>
    <w:p>
      <w:pPr>
        <w:pBdr>
          <w:bottom w:val="single" w:color="auto" w:sz="6" w:space="1"/>
        </w:pBdr>
        <w:tabs>
          <w:tab w:val="center" w:pos="4153"/>
          <w:tab w:val="right" w:pos="8306"/>
        </w:tabs>
        <w:adjustRightInd/>
        <w:snapToGrid w:val="0"/>
        <w:rPr>
          <w:color w:val="auto"/>
          <w:sz w:val="18"/>
          <w:szCs w:val="18"/>
        </w:rPr>
      </w:pPr>
    </w:p>
    <w:p>
      <w:pPr>
        <w:adjustRightInd/>
        <w:spacing w:line="360" w:lineRule="auto"/>
        <w:jc w:val="left"/>
        <w:rPr>
          <w:rFonts w:cs="仿宋_GB2312" w:asciiTheme="minorEastAsia" w:hAnsiTheme="minorEastAsia" w:eastAsiaTheme="minorEastAsia"/>
          <w:b/>
          <w:color w:val="auto"/>
          <w:sz w:val="36"/>
          <w:szCs w:val="36"/>
          <w:u w:val="single"/>
        </w:rPr>
      </w:pPr>
      <w:r>
        <w:rPr>
          <w:rFonts w:hint="eastAsia" w:asciiTheme="minorEastAsia" w:hAnsiTheme="minorEastAsia" w:eastAsiaTheme="minorEastAsia"/>
          <w:b/>
          <w:bCs/>
          <w:color w:val="auto"/>
          <w:sz w:val="24"/>
          <w:u w:val="single"/>
        </w:rPr>
        <w:t>注：“▲” 系指实质性要求条款， “※”系指磋商过程中可能实质性变动的内容（如有请提供）。采购需求中标注“</w:t>
      </w:r>
      <w:bookmarkStart w:id="40" w:name="OLE_LINK2"/>
      <w:bookmarkStart w:id="41" w:name="OLE_LINK3"/>
      <w:r>
        <w:rPr>
          <w:rFonts w:hint="eastAsia" w:asciiTheme="minorEastAsia" w:hAnsiTheme="minorEastAsia" w:eastAsiaTheme="minorEastAsia"/>
          <w:b/>
          <w:bCs/>
          <w:color w:val="auto"/>
          <w:sz w:val="24"/>
          <w:u w:val="single"/>
        </w:rPr>
        <w:t>▲</w:t>
      </w:r>
      <w:bookmarkEnd w:id="40"/>
      <w:bookmarkEnd w:id="41"/>
      <w:r>
        <w:rPr>
          <w:rFonts w:hint="eastAsia" w:asciiTheme="minorEastAsia" w:hAnsiTheme="minorEastAsia" w:eastAsiaTheme="minorEastAsia"/>
          <w:b/>
          <w:bCs/>
          <w:color w:val="auto"/>
          <w:sz w:val="24"/>
          <w:u w:val="single"/>
        </w:rPr>
        <w:t>”的内容必须响应满足，否则磋商无效。</w:t>
      </w:r>
    </w:p>
    <w:tbl>
      <w:tblPr>
        <w:tblStyle w:val="61"/>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65"/>
        <w:gridCol w:w="675"/>
        <w:gridCol w:w="720"/>
        <w:gridCol w:w="5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951"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Calibri" w:eastAsia="宋体" w:cs="Arial"/>
                <w:color w:val="auto"/>
                <w:szCs w:val="21"/>
                <w:lang w:eastAsia="zh-CN"/>
              </w:rPr>
            </w:pPr>
            <w:r>
              <w:rPr>
                <w:rFonts w:hint="eastAsia" w:ascii="宋体" w:hAnsi="Calibri" w:cs="Arial"/>
                <w:b/>
                <w:bCs/>
                <w:color w:val="auto"/>
                <w:sz w:val="24"/>
                <w:szCs w:val="24"/>
                <w:lang w:eastAsia="zh-CN"/>
              </w:rPr>
              <w:t>一、技术要求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Calibri" w:cs="Arial"/>
                <w:color w:val="auto"/>
                <w:szCs w:val="21"/>
              </w:rPr>
            </w:pPr>
            <w:r>
              <w:rPr>
                <w:rFonts w:hint="eastAsia" w:ascii="宋体" w:hAnsi="Calibri" w:cs="Arial"/>
                <w:color w:val="auto"/>
                <w:szCs w:val="21"/>
              </w:rPr>
              <w:t>序号</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Calibri" w:cs="Arial"/>
                <w:color w:val="auto"/>
                <w:szCs w:val="21"/>
              </w:rPr>
            </w:pPr>
            <w:r>
              <w:rPr>
                <w:rFonts w:hint="eastAsia" w:ascii="宋体" w:hAnsi="Calibri" w:cs="Arial"/>
                <w:color w:val="auto"/>
                <w:szCs w:val="21"/>
              </w:rPr>
              <w:t>项目</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Calibri" w:cs="Arial"/>
                <w:color w:val="auto"/>
                <w:szCs w:val="21"/>
              </w:rPr>
            </w:pPr>
            <w:r>
              <w:rPr>
                <w:rFonts w:hint="eastAsia" w:ascii="宋体" w:hAnsi="Calibri" w:cs="Arial"/>
                <w:color w:val="auto"/>
                <w:szCs w:val="21"/>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Calibri" w:cs="Arial"/>
                <w:color w:val="auto"/>
                <w:szCs w:val="21"/>
              </w:rPr>
            </w:pPr>
            <w:r>
              <w:rPr>
                <w:rFonts w:hint="eastAsia" w:ascii="宋体" w:hAnsi="Calibri" w:cs="Arial"/>
                <w:color w:val="auto"/>
                <w:szCs w:val="21"/>
              </w:rPr>
              <w:t>单位</w:t>
            </w:r>
          </w:p>
        </w:tc>
        <w:tc>
          <w:tcPr>
            <w:tcW w:w="58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Calibri" w:cs="Arial"/>
                <w:color w:val="auto"/>
                <w:szCs w:val="21"/>
              </w:rPr>
            </w:pPr>
            <w:r>
              <w:rPr>
                <w:rFonts w:hint="eastAsia" w:ascii="宋体" w:hAnsi="Calibri" w:cs="Arial"/>
                <w:color w:val="auto"/>
                <w:szCs w:val="21"/>
              </w:rPr>
              <w:t>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Calibri" w:cs="Arial"/>
                <w:color w:val="auto"/>
                <w:szCs w:val="21"/>
              </w:rPr>
            </w:pPr>
            <w:r>
              <w:rPr>
                <w:rFonts w:ascii="宋体" w:hAnsi="Calibri" w:cs="Arial"/>
                <w:color w:val="auto"/>
                <w:szCs w:val="21"/>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Calibri" w:cs="Arial"/>
                <w:color w:val="auto"/>
                <w:szCs w:val="21"/>
              </w:rPr>
            </w:pPr>
            <w:r>
              <w:rPr>
                <w:rFonts w:hint="eastAsia" w:ascii="宋体" w:cs="宋体"/>
                <w:b/>
                <w:bCs/>
                <w:color w:val="auto"/>
                <w:kern w:val="0"/>
                <w:szCs w:val="21"/>
                <w:shd w:val="clear" w:color="auto" w:fill="FFFFFF"/>
              </w:rPr>
              <w:t>202</w:t>
            </w:r>
            <w:r>
              <w:rPr>
                <w:rFonts w:hint="eastAsia" w:ascii="宋体" w:cs="宋体"/>
                <w:b/>
                <w:bCs/>
                <w:color w:val="auto"/>
                <w:kern w:val="0"/>
                <w:szCs w:val="21"/>
                <w:shd w:val="clear" w:color="auto" w:fill="FFFFFF"/>
                <w:lang w:val="en-US" w:eastAsia="zh-CN"/>
              </w:rPr>
              <w:t>5</w:t>
            </w:r>
            <w:r>
              <w:rPr>
                <w:rFonts w:ascii="宋体" w:cs="宋体"/>
                <w:b/>
                <w:bCs/>
                <w:color w:val="auto"/>
                <w:kern w:val="0"/>
                <w:szCs w:val="21"/>
                <w:shd w:val="clear" w:color="auto" w:fill="FFFFFF"/>
              </w:rPr>
              <w:t>年</w:t>
            </w:r>
            <w:r>
              <w:rPr>
                <w:rFonts w:hint="eastAsia" w:ascii="宋体" w:cs="宋体"/>
                <w:b/>
                <w:bCs/>
                <w:color w:val="auto"/>
                <w:kern w:val="0"/>
                <w:szCs w:val="21"/>
                <w:shd w:val="clear" w:color="auto" w:fill="FFFFFF"/>
                <w:lang w:eastAsia="zh-CN"/>
              </w:rPr>
              <w:t>海城区</w:t>
            </w:r>
            <w:r>
              <w:rPr>
                <w:rFonts w:ascii="宋体" w:cs="宋体"/>
                <w:b/>
                <w:bCs/>
                <w:color w:val="auto"/>
                <w:kern w:val="0"/>
                <w:szCs w:val="21"/>
                <w:shd w:val="clear" w:color="auto" w:fill="FFFFFF"/>
              </w:rPr>
              <w:t>计划生育家庭关爱保险</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Calibri" w:cs="宋体"/>
                <w:color w:val="auto"/>
                <w:szCs w:val="21"/>
              </w:rPr>
            </w:pPr>
            <w:r>
              <w:rPr>
                <w:rFonts w:hint="eastAsia" w:ascii="宋体" w:hAnsi="Calibri" w:cs="宋体"/>
                <w:color w:val="auto"/>
                <w:szCs w:val="21"/>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Calibri" w:cs="宋体"/>
                <w:color w:val="auto"/>
                <w:szCs w:val="21"/>
              </w:rPr>
            </w:pPr>
            <w:r>
              <w:rPr>
                <w:rFonts w:hint="eastAsia" w:ascii="宋体" w:hAnsi="Calibri" w:cs="宋体"/>
                <w:color w:val="auto"/>
                <w:szCs w:val="21"/>
              </w:rPr>
              <w:t>项</w:t>
            </w:r>
          </w:p>
        </w:tc>
        <w:tc>
          <w:tcPr>
            <w:tcW w:w="58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firstLine="482" w:firstLineChars="200"/>
              <w:rPr>
                <w:rFonts w:hint="eastAsia" w:ascii="宋体"/>
                <w:b w:val="0"/>
                <w:bCs/>
                <w:color w:val="auto"/>
                <w:lang w:val="en-US" w:eastAsia="zh-CN"/>
              </w:rPr>
            </w:pPr>
            <w:r>
              <w:rPr>
                <w:rFonts w:hint="eastAsia" w:asciiTheme="minorEastAsia" w:hAnsiTheme="minorEastAsia" w:eastAsiaTheme="minorEastAsia"/>
                <w:b/>
                <w:bCs/>
                <w:color w:val="auto"/>
                <w:sz w:val="24"/>
                <w:u w:val="none"/>
              </w:rPr>
              <w:t>▲</w:t>
            </w:r>
            <w:r>
              <w:rPr>
                <w:rFonts w:hint="eastAsia" w:ascii="宋体"/>
                <w:b/>
                <w:color w:val="auto"/>
                <w:lang w:val="en-US" w:eastAsia="zh-CN"/>
              </w:rPr>
              <w:t>1.</w:t>
            </w:r>
            <w:r>
              <w:rPr>
                <w:rFonts w:hint="eastAsia" w:ascii="宋体"/>
                <w:b/>
                <w:color w:val="auto"/>
              </w:rPr>
              <w:t>保险对象：</w:t>
            </w:r>
            <w:r>
              <w:rPr>
                <w:rFonts w:hint="eastAsia" w:ascii="宋体"/>
                <w:b w:val="0"/>
                <w:bCs/>
                <w:color w:val="auto"/>
              </w:rPr>
              <w:t>生育政策调整前（即2015年12月31日中共中央、国务院颁布《关于实施全面两孩政策改革完善计划生育服务管理的决定》前），且户籍为北海市海城区行政区域内的居民，生育行为未违反当时的计划生育法律、法规、规章或政策规定的且领取《独生子女父母光荣证》的独生子女户家庭成员和农村双女结扎户家庭成员（已购买爱心保险和已生育或收养二孩三孩的除外）。</w:t>
            </w:r>
          </w:p>
          <w:p>
            <w:pPr>
              <w:numPr>
                <w:ilvl w:val="0"/>
                <w:numId w:val="0"/>
              </w:numPr>
              <w:ind w:firstLine="482" w:firstLineChars="200"/>
              <w:rPr>
                <w:rFonts w:ascii="宋体"/>
                <w:color w:val="auto"/>
                <w:szCs w:val="21"/>
              </w:rPr>
            </w:pPr>
            <w:r>
              <w:rPr>
                <w:rFonts w:hint="eastAsia" w:asciiTheme="minorEastAsia" w:hAnsiTheme="minorEastAsia" w:eastAsiaTheme="minorEastAsia"/>
                <w:b/>
                <w:bCs/>
                <w:color w:val="auto"/>
                <w:sz w:val="24"/>
                <w:u w:val="none"/>
              </w:rPr>
              <w:t>▲</w:t>
            </w:r>
            <w:r>
              <w:rPr>
                <w:rFonts w:hint="eastAsia" w:ascii="宋体"/>
                <w:b/>
                <w:color w:val="auto"/>
                <w:szCs w:val="21"/>
              </w:rPr>
              <w:t>2. 保险期限：</w:t>
            </w:r>
            <w:r>
              <w:rPr>
                <w:rFonts w:hint="eastAsia" w:ascii="宋体"/>
                <w:b w:val="0"/>
                <w:bCs/>
                <w:color w:val="auto"/>
                <w:szCs w:val="21"/>
              </w:rPr>
              <w:t>一年，追溯生效日为202</w:t>
            </w:r>
            <w:r>
              <w:rPr>
                <w:rFonts w:hint="eastAsia" w:ascii="宋体"/>
                <w:b w:val="0"/>
                <w:bCs/>
                <w:color w:val="auto"/>
                <w:szCs w:val="21"/>
                <w:lang w:val="en-US" w:eastAsia="zh-CN"/>
              </w:rPr>
              <w:t>5</w:t>
            </w:r>
            <w:r>
              <w:rPr>
                <w:rFonts w:hint="eastAsia" w:ascii="宋体"/>
                <w:b w:val="0"/>
                <w:bCs/>
                <w:color w:val="auto"/>
                <w:szCs w:val="21"/>
              </w:rPr>
              <w:t>年2月1日—202</w:t>
            </w:r>
            <w:r>
              <w:rPr>
                <w:rFonts w:hint="eastAsia" w:ascii="宋体"/>
                <w:b w:val="0"/>
                <w:bCs/>
                <w:color w:val="auto"/>
                <w:szCs w:val="21"/>
                <w:lang w:val="en-US" w:eastAsia="zh-CN"/>
              </w:rPr>
              <w:t>6</w:t>
            </w:r>
            <w:r>
              <w:rPr>
                <w:rFonts w:hint="eastAsia" w:ascii="宋体"/>
                <w:b w:val="0"/>
                <w:bCs/>
                <w:color w:val="auto"/>
                <w:szCs w:val="21"/>
              </w:rPr>
              <w:t>年1月31日。</w:t>
            </w:r>
          </w:p>
          <w:p>
            <w:pPr>
              <w:pStyle w:val="390"/>
              <w:spacing w:line="360" w:lineRule="auto"/>
              <w:ind w:firstLine="482" w:firstLineChars="200"/>
              <w:rPr>
                <w:rFonts w:hint="eastAsia" w:ascii="宋体"/>
                <w:b/>
                <w:color w:val="auto"/>
                <w:lang w:eastAsia="zh-CN"/>
              </w:rPr>
            </w:pPr>
            <w:r>
              <w:rPr>
                <w:rFonts w:hint="eastAsia" w:asciiTheme="minorEastAsia" w:hAnsiTheme="minorEastAsia" w:eastAsiaTheme="minorEastAsia"/>
                <w:b/>
                <w:bCs/>
                <w:color w:val="auto"/>
                <w:sz w:val="24"/>
                <w:u w:val="none"/>
              </w:rPr>
              <w:t>▲</w:t>
            </w:r>
            <w:r>
              <w:rPr>
                <w:rFonts w:hint="eastAsia" w:ascii="宋体"/>
                <w:b/>
                <w:color w:val="auto"/>
              </w:rPr>
              <w:t>3.保险费、保险责任及保险金额</w:t>
            </w:r>
            <w:r>
              <w:rPr>
                <w:rFonts w:hint="eastAsia" w:ascii="宋体"/>
                <w:b/>
                <w:color w:val="auto"/>
                <w:lang w:eastAsia="zh-CN"/>
              </w:rPr>
              <w:t>：</w:t>
            </w:r>
          </w:p>
          <w:p>
            <w:pPr>
              <w:pStyle w:val="390"/>
              <w:spacing w:line="360" w:lineRule="auto"/>
              <w:ind w:firstLine="420" w:firstLineChars="200"/>
              <w:rPr>
                <w:rFonts w:ascii="宋体" w:hAnsi="Calibri" w:cs="Arial"/>
                <w:szCs w:val="21"/>
              </w:rPr>
            </w:pPr>
            <w:r>
              <w:rPr>
                <w:rFonts w:hint="eastAsia" w:ascii="宋体" w:hAnsi="Calibri" w:cs="Arial"/>
                <w:szCs w:val="21"/>
              </w:rPr>
              <w:t>（一）保险费：计划生育家庭项目保险费标准是20元/份，本次共采购</w:t>
            </w:r>
            <w:r>
              <w:rPr>
                <w:rFonts w:hint="eastAsia" w:ascii="宋体" w:hAnsi="Calibri" w:cs="Arial"/>
                <w:szCs w:val="21"/>
                <w:lang w:val="en-US" w:eastAsia="zh-CN"/>
              </w:rPr>
              <w:t>56</w:t>
            </w:r>
            <w:r>
              <w:rPr>
                <w:rFonts w:hint="eastAsia" w:ascii="宋体" w:hAnsi="Calibri" w:cs="Arial"/>
                <w:szCs w:val="21"/>
              </w:rPr>
              <w:t>000份。保险费总价计算公式为：项目保费总价=每份保险费单价×采购总份数。采购人将一次性支付保费给中标人，中标人按保险期限承担保险赔偿责任。具体采购份数以实际出单发生为准。</w:t>
            </w:r>
          </w:p>
          <w:p>
            <w:pPr>
              <w:spacing w:line="400" w:lineRule="exact"/>
              <w:ind w:firstLine="420" w:firstLineChars="200"/>
              <w:rPr>
                <w:rFonts w:ascii="宋体" w:hAnsi="Calibri" w:cs="Arial"/>
                <w:szCs w:val="21"/>
              </w:rPr>
            </w:pPr>
            <w:r>
              <w:rPr>
                <w:rFonts w:hint="eastAsia" w:ascii="宋体" w:hAnsi="Calibri" w:cs="Arial"/>
                <w:szCs w:val="21"/>
              </w:rPr>
              <w:t>（二）保险责任及保险金额</w:t>
            </w:r>
          </w:p>
          <w:p>
            <w:pPr>
              <w:spacing w:line="400" w:lineRule="exact"/>
              <w:ind w:firstLine="420" w:firstLineChars="200"/>
              <w:rPr>
                <w:rFonts w:ascii="宋体" w:hAnsi="Calibri" w:cs="Arial"/>
                <w:szCs w:val="21"/>
              </w:rPr>
            </w:pPr>
            <w:r>
              <w:rPr>
                <w:rFonts w:hint="eastAsia" w:ascii="宋体" w:hAnsi="Calibri" w:cs="Arial"/>
                <w:color w:val="000000"/>
                <w:szCs w:val="21"/>
              </w:rPr>
              <w:t>本项目为政策性保险，不设立等待期，磋商供应商不得设立任何拒保、拒赔条款</w:t>
            </w:r>
            <w:r>
              <w:rPr>
                <w:rFonts w:hint="eastAsia" w:ascii="宋体" w:hAnsi="Calibri" w:cs="Arial"/>
                <w:szCs w:val="21"/>
              </w:rPr>
              <w:t>。磋商供应商必须提供的保险责任及保险金额包括但不限于：</w:t>
            </w:r>
          </w:p>
          <w:p>
            <w:pPr>
              <w:spacing w:line="400" w:lineRule="exact"/>
              <w:ind w:firstLine="420" w:firstLineChars="200"/>
              <w:rPr>
                <w:rFonts w:ascii="宋体" w:hAnsi="Calibri" w:cs="Arial"/>
                <w:szCs w:val="21"/>
              </w:rPr>
            </w:pPr>
            <w:r>
              <w:rPr>
                <w:rFonts w:hint="eastAsia" w:ascii="宋体" w:hAnsi="Calibri" w:cs="Arial"/>
                <w:szCs w:val="21"/>
              </w:rPr>
              <w:t>1.计划生育家庭关爱保险的保险责任及给付限额为：</w:t>
            </w:r>
          </w:p>
          <w:p>
            <w:pPr>
              <w:spacing w:line="400" w:lineRule="exact"/>
              <w:ind w:firstLine="420" w:firstLineChars="200"/>
              <w:rPr>
                <w:rFonts w:ascii="宋体" w:hAnsi="Calibri" w:cs="Arial"/>
                <w:szCs w:val="21"/>
              </w:rPr>
            </w:pPr>
            <w:r>
              <w:rPr>
                <w:rFonts w:hint="eastAsia" w:ascii="宋体" w:hAnsi="Calibri" w:cs="Arial"/>
                <w:szCs w:val="21"/>
              </w:rPr>
              <w:t>（1）意外身故、意外残疾报销：①被保险人遭受意外伤害，并自该意外伤害发生之日起一百八十日内因该意外伤害导致身故的，保险公司按26000元保险金额扣除已给付伤残保险金后的余额给付身故保险金；②被保险人遭受意外伤害，并自该意外伤害发生之日起一百八十日内因该意外伤害导致身体伤残的（投保前的残疾不在责任范围内），保险公司根据《人身保险伤残评定标准（行业标准）》（以下简称《标准》，见附表）的规定，按26000元保险金额乘以该处伤残的伤残等级所对应的保险金给付比例给付伤残保险金。</w:t>
            </w:r>
          </w:p>
          <w:p>
            <w:pPr>
              <w:spacing w:line="400" w:lineRule="exact"/>
              <w:ind w:firstLine="420" w:firstLineChars="200"/>
              <w:rPr>
                <w:rFonts w:ascii="宋体" w:hAnsi="Calibri" w:cs="Arial"/>
                <w:szCs w:val="21"/>
              </w:rPr>
            </w:pPr>
            <w:r>
              <w:rPr>
                <w:rFonts w:hint="eastAsia" w:ascii="宋体" w:hAnsi="Calibri" w:cs="Arial"/>
                <w:szCs w:val="21"/>
              </w:rPr>
              <w:t>保险公司对每一被保险人所给付的上述各项保险金之和以保险合同约定的意外伤害保险金额26000元为限，一次或者累计给付的上述各项保险金达到意外伤害保险金额26000元时，保险合同对该被保险人的意外伤害保险责任终止。</w:t>
            </w:r>
          </w:p>
          <w:p>
            <w:pPr>
              <w:spacing w:line="400" w:lineRule="exact"/>
              <w:ind w:firstLine="420" w:firstLineChars="200"/>
              <w:rPr>
                <w:rFonts w:ascii="宋体" w:hAnsi="Calibri" w:cs="Arial"/>
                <w:szCs w:val="21"/>
              </w:rPr>
            </w:pPr>
            <w:r>
              <w:rPr>
                <w:rFonts w:hint="eastAsia" w:ascii="宋体" w:hAnsi="Calibri" w:cs="Arial"/>
                <w:szCs w:val="21"/>
              </w:rPr>
              <w:t>（2）疾病身故保险：在合同保险期间内，被保险人因疾病身故，保险公司按2000元保险金额给付保险金。</w:t>
            </w:r>
          </w:p>
          <w:p>
            <w:pPr>
              <w:spacing w:line="400" w:lineRule="exact"/>
              <w:ind w:firstLine="420" w:firstLineChars="200"/>
              <w:rPr>
                <w:rFonts w:ascii="宋体" w:hAnsi="Calibri" w:cs="Arial"/>
                <w:szCs w:val="21"/>
              </w:rPr>
            </w:pPr>
            <w:r>
              <w:rPr>
                <w:rFonts w:hint="eastAsia" w:ascii="宋体" w:hAnsi="Calibri" w:cs="Arial"/>
                <w:szCs w:val="21"/>
              </w:rPr>
              <w:t>（3）意外伤害医疗：被保险人遭受意外伤害，并因该意外伤害在乡级（含乡级）以上医院或认可的其他医疗机构住院诊疗，符合当地社会基本医疗保险支出范围的住院医疗费用，如补保险人已参加社会基本医疗保险的，保险公司在扣除从当地社会基本医疗保险、公费医疗或其它途径获得补偿或给付的部分，对其余额按100%予以赔付；若被保险人未参加社会基本医疗保险的，保险公司扣除免赔额为100元，对其余额按80%给付意外伤害医疗保险金。因意外医疗所负给付意外医疗保险金的责任最高限额不得小于3000元人民币。</w:t>
            </w:r>
          </w:p>
          <w:p>
            <w:pPr>
              <w:spacing w:line="400" w:lineRule="exact"/>
              <w:rPr>
                <w:rFonts w:ascii="宋体" w:hAnsi="Calibri" w:cs="Arial"/>
                <w:szCs w:val="21"/>
              </w:rPr>
            </w:pPr>
            <w:r>
              <w:rPr>
                <w:rFonts w:hint="eastAsia" w:ascii="宋体" w:hAnsi="Calibri" w:cs="Arial"/>
                <w:szCs w:val="21"/>
              </w:rPr>
              <w:t>（4）疾病住院津贴：在保险期间内，被保险人因疾病在乡级（含乡级）以上医院或保险公司认可的其他医疗机构住院治疗，保险公司按疾病住院日定额给付金额25元/天乘以实际住院日数给付保险金，广西区内三级（含）以上医院每年最高补贴40天；广西区内二级（含）以下医院每年最高补贴20天。</w:t>
            </w:r>
          </w:p>
          <w:tbl>
            <w:tblPr>
              <w:tblStyle w:val="61"/>
              <w:tblpPr w:leftFromText="180" w:rightFromText="180" w:vertAnchor="text" w:horzAnchor="margin" w:tblpX="534" w:tblpY="59"/>
              <w:tblW w:w="0" w:type="auto"/>
              <w:tblInd w:w="0" w:type="dxa"/>
              <w:tblLayout w:type="fixed"/>
              <w:tblCellMar>
                <w:top w:w="0" w:type="dxa"/>
                <w:left w:w="108" w:type="dxa"/>
                <w:bottom w:w="0" w:type="dxa"/>
                <w:right w:w="108" w:type="dxa"/>
              </w:tblCellMar>
            </w:tblPr>
            <w:tblGrid>
              <w:gridCol w:w="1971"/>
              <w:gridCol w:w="2800"/>
            </w:tblGrid>
            <w:tr>
              <w:tblPrEx>
                <w:tblCellMar>
                  <w:top w:w="0" w:type="dxa"/>
                  <w:left w:w="108" w:type="dxa"/>
                  <w:bottom w:w="0" w:type="dxa"/>
                  <w:right w:w="108" w:type="dxa"/>
                </w:tblCellMar>
              </w:tblPrEx>
              <w:trPr>
                <w:cantSplit/>
                <w:trHeight w:val="439" w:hRule="atLeast"/>
              </w:trPr>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Calibri" w:cs="Arial"/>
                      <w:szCs w:val="21"/>
                    </w:rPr>
                  </w:pPr>
                  <w:r>
                    <w:rPr>
                      <w:rFonts w:hint="eastAsia" w:ascii="宋体" w:hAnsi="Calibri" w:cs="Arial"/>
                      <w:szCs w:val="21"/>
                    </w:rPr>
                    <w:t>保险责任</w:t>
                  </w:r>
                </w:p>
              </w:tc>
              <w:tc>
                <w:tcPr>
                  <w:tcW w:w="28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Calibri" w:cs="Arial"/>
                      <w:szCs w:val="21"/>
                    </w:rPr>
                  </w:pPr>
                  <w:r>
                    <w:rPr>
                      <w:rFonts w:hint="eastAsia" w:ascii="宋体" w:hAnsi="Calibri" w:cs="Arial"/>
                      <w:szCs w:val="21"/>
                    </w:rPr>
                    <w:t>保额</w:t>
                  </w:r>
                </w:p>
              </w:tc>
            </w:tr>
            <w:tr>
              <w:tblPrEx>
                <w:tblCellMar>
                  <w:top w:w="0" w:type="dxa"/>
                  <w:left w:w="108" w:type="dxa"/>
                  <w:bottom w:w="0" w:type="dxa"/>
                  <w:right w:w="108" w:type="dxa"/>
                </w:tblCellMar>
              </w:tblPrEx>
              <w:trPr>
                <w:cantSplit/>
                <w:trHeight w:val="461" w:hRule="atLeast"/>
              </w:trPr>
              <w:tc>
                <w:tcPr>
                  <w:tcW w:w="1971"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ascii="宋体" w:hAnsi="Calibri" w:cs="Arial"/>
                      <w:szCs w:val="21"/>
                    </w:rPr>
                  </w:pPr>
                  <w:r>
                    <w:rPr>
                      <w:rFonts w:hint="eastAsia" w:ascii="宋体" w:hAnsi="Calibri" w:cs="Arial"/>
                      <w:szCs w:val="21"/>
                    </w:rPr>
                    <w:t>意外身故或残疾</w:t>
                  </w:r>
                </w:p>
              </w:tc>
              <w:tc>
                <w:tcPr>
                  <w:tcW w:w="2800" w:type="dxa"/>
                  <w:tcBorders>
                    <w:top w:val="nil"/>
                    <w:left w:val="nil"/>
                    <w:bottom w:val="single" w:color="auto" w:sz="4" w:space="0"/>
                    <w:right w:val="single" w:color="auto" w:sz="4" w:space="0"/>
                  </w:tcBorders>
                  <w:noWrap w:val="0"/>
                  <w:vAlign w:val="center"/>
                </w:tcPr>
                <w:p>
                  <w:pPr>
                    <w:spacing w:line="400" w:lineRule="exact"/>
                    <w:jc w:val="center"/>
                    <w:rPr>
                      <w:rFonts w:ascii="宋体" w:hAnsi="Calibri" w:cs="Arial"/>
                      <w:szCs w:val="21"/>
                    </w:rPr>
                  </w:pPr>
                  <w:r>
                    <w:rPr>
                      <w:rFonts w:hint="eastAsia" w:ascii="宋体" w:hAnsi="Calibri" w:cs="Arial"/>
                      <w:szCs w:val="21"/>
                    </w:rPr>
                    <w:t>26000元</w:t>
                  </w:r>
                </w:p>
              </w:tc>
            </w:tr>
            <w:tr>
              <w:tblPrEx>
                <w:tblCellMar>
                  <w:top w:w="0" w:type="dxa"/>
                  <w:left w:w="108" w:type="dxa"/>
                  <w:bottom w:w="0" w:type="dxa"/>
                  <w:right w:w="108" w:type="dxa"/>
                </w:tblCellMar>
              </w:tblPrEx>
              <w:trPr>
                <w:cantSplit/>
                <w:trHeight w:val="489" w:hRule="atLeast"/>
              </w:trPr>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Calibri" w:cs="Arial"/>
                      <w:szCs w:val="21"/>
                    </w:rPr>
                  </w:pPr>
                  <w:r>
                    <w:rPr>
                      <w:rFonts w:hint="eastAsia" w:ascii="宋体" w:hAnsi="Calibri" w:cs="Arial"/>
                      <w:szCs w:val="21"/>
                    </w:rPr>
                    <w:t>疾病身故</w:t>
                  </w:r>
                </w:p>
              </w:tc>
              <w:tc>
                <w:tcPr>
                  <w:tcW w:w="28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Calibri" w:cs="Arial"/>
                      <w:szCs w:val="21"/>
                    </w:rPr>
                  </w:pPr>
                  <w:r>
                    <w:rPr>
                      <w:rFonts w:hint="eastAsia" w:ascii="宋体" w:hAnsi="Calibri" w:cs="Arial"/>
                      <w:szCs w:val="21"/>
                    </w:rPr>
                    <w:t>2000元</w:t>
                  </w:r>
                </w:p>
              </w:tc>
            </w:tr>
            <w:tr>
              <w:tblPrEx>
                <w:tblCellMar>
                  <w:top w:w="0" w:type="dxa"/>
                  <w:left w:w="108" w:type="dxa"/>
                  <w:bottom w:w="0" w:type="dxa"/>
                  <w:right w:w="108" w:type="dxa"/>
                </w:tblCellMar>
              </w:tblPrEx>
              <w:trPr>
                <w:cantSplit/>
                <w:trHeight w:val="565" w:hRule="atLeast"/>
              </w:trPr>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Calibri" w:cs="Arial"/>
                      <w:szCs w:val="21"/>
                    </w:rPr>
                  </w:pPr>
                  <w:r>
                    <w:rPr>
                      <w:rFonts w:hint="eastAsia" w:ascii="宋体" w:hAnsi="Calibri" w:cs="Arial"/>
                      <w:szCs w:val="21"/>
                    </w:rPr>
                    <w:t>意外医疗费用</w:t>
                  </w:r>
                </w:p>
              </w:tc>
              <w:tc>
                <w:tcPr>
                  <w:tcW w:w="28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Calibri" w:cs="Arial"/>
                      <w:szCs w:val="21"/>
                    </w:rPr>
                  </w:pPr>
                  <w:r>
                    <w:rPr>
                      <w:rFonts w:hint="eastAsia" w:ascii="宋体" w:hAnsi="Calibri" w:cs="Arial"/>
                      <w:szCs w:val="21"/>
                    </w:rPr>
                    <w:t>3000元</w:t>
                  </w:r>
                </w:p>
              </w:tc>
            </w:tr>
            <w:tr>
              <w:tblPrEx>
                <w:tblCellMar>
                  <w:top w:w="0" w:type="dxa"/>
                  <w:left w:w="108" w:type="dxa"/>
                  <w:bottom w:w="0" w:type="dxa"/>
                  <w:right w:w="108" w:type="dxa"/>
                </w:tblCellMar>
              </w:tblPrEx>
              <w:trPr>
                <w:cantSplit/>
                <w:trHeight w:val="412" w:hRule="atLeast"/>
              </w:trPr>
              <w:tc>
                <w:tcPr>
                  <w:tcW w:w="1971"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Calibri" w:cs="Arial"/>
                      <w:szCs w:val="21"/>
                    </w:rPr>
                  </w:pPr>
                  <w:r>
                    <w:rPr>
                      <w:rFonts w:hint="eastAsia" w:ascii="宋体" w:hAnsi="Calibri" w:cs="Arial"/>
                      <w:szCs w:val="21"/>
                    </w:rPr>
                    <w:t>疾病住院津贴</w:t>
                  </w:r>
                </w:p>
              </w:tc>
              <w:tc>
                <w:tcPr>
                  <w:tcW w:w="2800" w:type="dxa"/>
                  <w:tcBorders>
                    <w:top w:val="single" w:color="auto" w:sz="4" w:space="0"/>
                    <w:left w:val="nil"/>
                    <w:right w:val="single" w:color="auto" w:sz="4" w:space="0"/>
                  </w:tcBorders>
                  <w:noWrap w:val="0"/>
                  <w:vAlign w:val="center"/>
                </w:tcPr>
                <w:p>
                  <w:pPr>
                    <w:spacing w:line="400" w:lineRule="exact"/>
                    <w:jc w:val="center"/>
                    <w:rPr>
                      <w:rFonts w:ascii="宋体" w:hAnsi="Calibri" w:cs="Arial"/>
                      <w:szCs w:val="21"/>
                    </w:rPr>
                  </w:pPr>
                  <w:r>
                    <w:rPr>
                      <w:rFonts w:hint="eastAsia" w:ascii="宋体" w:hAnsi="Calibri" w:cs="Arial"/>
                      <w:szCs w:val="21"/>
                    </w:rPr>
                    <w:t>1000元</w:t>
                  </w:r>
                </w:p>
              </w:tc>
            </w:tr>
            <w:tr>
              <w:tblPrEx>
                <w:tblCellMar>
                  <w:top w:w="0" w:type="dxa"/>
                  <w:left w:w="108" w:type="dxa"/>
                  <w:bottom w:w="0" w:type="dxa"/>
                  <w:right w:w="108" w:type="dxa"/>
                </w:tblCellMar>
              </w:tblPrEx>
              <w:trPr>
                <w:cantSplit/>
                <w:trHeight w:val="501" w:hRule="atLeast"/>
              </w:trPr>
              <w:tc>
                <w:tcPr>
                  <w:tcW w:w="19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Calibri" w:cs="Arial"/>
                      <w:szCs w:val="21"/>
                    </w:rPr>
                  </w:pPr>
                  <w:r>
                    <w:rPr>
                      <w:rFonts w:ascii="宋体" w:hAnsi="Calibri" w:cs="Arial"/>
                      <w:szCs w:val="21"/>
                    </w:rPr>
                    <w:t>合计</w:t>
                  </w:r>
                </w:p>
              </w:tc>
              <w:tc>
                <w:tcPr>
                  <w:tcW w:w="28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Calibri" w:cs="Arial"/>
                      <w:szCs w:val="21"/>
                    </w:rPr>
                  </w:pPr>
                  <w:r>
                    <w:rPr>
                      <w:rFonts w:hint="eastAsia" w:ascii="宋体" w:hAnsi="Calibri" w:cs="Arial"/>
                      <w:szCs w:val="21"/>
                    </w:rPr>
                    <w:t>32000元</w:t>
                  </w:r>
                </w:p>
              </w:tc>
            </w:tr>
          </w:tbl>
          <w:p>
            <w:pPr>
              <w:spacing w:line="400" w:lineRule="exact"/>
              <w:rPr>
                <w:rFonts w:ascii="宋体" w:hAnsi="Calibri" w:cs="Arial"/>
                <w:szCs w:val="21"/>
              </w:rPr>
            </w:pPr>
            <w:r>
              <w:rPr>
                <w:rFonts w:hint="eastAsia" w:ascii="宋体" w:hAnsi="Calibri" w:cs="Arial"/>
                <w:szCs w:val="21"/>
              </w:rPr>
              <w:t>2. 报价要求：</w:t>
            </w:r>
            <w:r>
              <w:rPr>
                <w:rFonts w:hint="eastAsia" w:ascii="宋体" w:hAnsi="宋体" w:cs="宋体"/>
                <w:color w:val="auto"/>
                <w:szCs w:val="21"/>
                <w:lang w:val="en-US" w:eastAsia="zh-CN"/>
              </w:rPr>
              <w:t>2025年海城区</w:t>
            </w:r>
            <w:r>
              <w:rPr>
                <w:rFonts w:hint="eastAsia" w:ascii="宋体" w:hAnsi="宋体" w:cs="宋体"/>
                <w:color w:val="auto"/>
                <w:szCs w:val="21"/>
                <w:lang w:eastAsia="zh-CN"/>
              </w:rPr>
              <w:t>计生家庭关爱保险</w:t>
            </w:r>
            <w:r>
              <w:rPr>
                <w:rFonts w:hint="eastAsia" w:ascii="宋体" w:hAnsi="Calibri" w:cs="Arial"/>
                <w:szCs w:val="21"/>
              </w:rPr>
              <w:t>费总价=每人保险费20元×</w:t>
            </w:r>
            <w:r>
              <w:rPr>
                <w:rFonts w:hint="eastAsia" w:ascii="宋体" w:hAnsi="Calibri" w:cs="Arial"/>
                <w:szCs w:val="21"/>
                <w:lang w:val="en-US" w:eastAsia="zh-CN"/>
              </w:rPr>
              <w:t>56</w:t>
            </w:r>
            <w:r>
              <w:rPr>
                <w:rFonts w:hint="eastAsia" w:ascii="宋体" w:hAnsi="Calibri" w:cs="Arial"/>
                <w:szCs w:val="21"/>
              </w:rPr>
              <w:t>000人=</w:t>
            </w:r>
            <w:r>
              <w:rPr>
                <w:rFonts w:hint="eastAsia" w:ascii="宋体" w:hAnsi="Calibri" w:cs="Arial"/>
                <w:szCs w:val="21"/>
                <w:lang w:val="en-US" w:eastAsia="zh-CN"/>
              </w:rPr>
              <w:t>112</w:t>
            </w:r>
            <w:r>
              <w:rPr>
                <w:rFonts w:hint="eastAsia" w:ascii="宋体" w:hAnsi="Calibri" w:cs="Arial"/>
                <w:szCs w:val="21"/>
              </w:rPr>
              <w:t>0000元。本项目每人的保费额度为固定金额：20元人民币，磋商供应商的报价需统一按保费额度报价，否则报价无效。</w:t>
            </w:r>
          </w:p>
          <w:p>
            <w:pPr>
              <w:spacing w:line="400" w:lineRule="exact"/>
              <w:rPr>
                <w:rFonts w:ascii="宋体" w:hAnsi="Calibri" w:cs="Arial"/>
                <w:szCs w:val="21"/>
              </w:rPr>
            </w:pPr>
            <w:r>
              <w:rPr>
                <w:rFonts w:hint="eastAsia" w:ascii="宋体" w:hAnsi="Calibri" w:cs="Arial"/>
                <w:szCs w:val="21"/>
              </w:rPr>
              <w:t>（三）本项目为政策性保险，除了以下规定的情形，本项目保险责任可免除外，投标人不得以任何理由或条件设立保险责任免除条款：</w:t>
            </w:r>
          </w:p>
          <w:p>
            <w:pPr>
              <w:spacing w:line="400" w:lineRule="exact"/>
              <w:rPr>
                <w:rFonts w:ascii="宋体" w:hAnsi="Calibri" w:cs="Arial"/>
                <w:szCs w:val="21"/>
              </w:rPr>
            </w:pPr>
            <w:r>
              <w:rPr>
                <w:rFonts w:hint="eastAsia" w:ascii="宋体" w:hAnsi="Calibri" w:cs="Arial"/>
                <w:szCs w:val="21"/>
              </w:rPr>
              <w:t>1.因下列情形之一，造成被保险</w:t>
            </w:r>
            <w:r>
              <w:rPr>
                <w:rFonts w:hint="eastAsia" w:ascii="宋体" w:hAnsi="Calibri" w:cs="Arial"/>
                <w:szCs w:val="21"/>
                <w:lang w:val="en-US" w:eastAsia="zh-CN"/>
              </w:rPr>
              <w:t>人身故或伤残</w:t>
            </w:r>
            <w:r>
              <w:rPr>
                <w:rFonts w:hint="eastAsia" w:ascii="宋体" w:hAnsi="Calibri" w:cs="Arial"/>
                <w:szCs w:val="21"/>
              </w:rPr>
              <w:t>的，保险机构不</w:t>
            </w:r>
            <w:r>
              <w:rPr>
                <w:rFonts w:hint="eastAsia" w:ascii="宋体" w:hAnsi="Calibri" w:cs="Arial"/>
                <w:szCs w:val="21"/>
                <w:lang w:val="en-US" w:eastAsia="zh-CN"/>
              </w:rPr>
              <w:t>承担给付意外身故或意外伤残保险金的</w:t>
            </w:r>
            <w:r>
              <w:rPr>
                <w:rFonts w:hint="eastAsia" w:ascii="宋体" w:hAnsi="Calibri" w:cs="Arial"/>
                <w:szCs w:val="21"/>
              </w:rPr>
              <w:t>责任：</w:t>
            </w:r>
          </w:p>
          <w:p>
            <w:pPr>
              <w:spacing w:line="400" w:lineRule="exact"/>
              <w:rPr>
                <w:rFonts w:hint="eastAsia" w:ascii="宋体" w:hAnsi="Calibri" w:eastAsia="宋体" w:cs="Arial"/>
                <w:szCs w:val="21"/>
                <w:lang w:eastAsia="zh-CN"/>
              </w:rPr>
            </w:pPr>
            <w:r>
              <w:rPr>
                <w:rFonts w:hint="eastAsia" w:ascii="宋体" w:hAnsi="Calibri" w:cs="Arial"/>
                <w:szCs w:val="21"/>
              </w:rPr>
              <w:t>（1）被保险人故意犯罪或抗拒依法采取的刑事强制措施；</w:t>
            </w:r>
          </w:p>
          <w:p>
            <w:pPr>
              <w:spacing w:line="400" w:lineRule="exact"/>
              <w:rPr>
                <w:rFonts w:ascii="宋体" w:hAnsi="Calibri" w:cs="Arial"/>
                <w:szCs w:val="21"/>
              </w:rPr>
            </w:pPr>
            <w:r>
              <w:rPr>
                <w:rFonts w:hint="eastAsia" w:ascii="宋体" w:hAnsi="Calibri" w:cs="Arial"/>
                <w:szCs w:val="21"/>
              </w:rPr>
              <w:t>（2）被保险人自杀</w:t>
            </w:r>
            <w:r>
              <w:rPr>
                <w:rFonts w:hint="eastAsia" w:ascii="宋体" w:hAnsi="Calibri" w:cs="Arial"/>
                <w:szCs w:val="21"/>
                <w:lang w:val="en-US" w:eastAsia="zh-CN"/>
              </w:rPr>
              <w:t>或</w:t>
            </w:r>
            <w:r>
              <w:rPr>
                <w:rFonts w:hint="eastAsia" w:ascii="宋体" w:hAnsi="Calibri" w:cs="Arial"/>
                <w:szCs w:val="21"/>
              </w:rPr>
              <w:t>故意自伤</w:t>
            </w:r>
            <w:r>
              <w:rPr>
                <w:rFonts w:hint="eastAsia" w:ascii="宋体" w:hAnsi="Calibri" w:cs="Arial"/>
                <w:szCs w:val="21"/>
                <w:lang w:eastAsia="zh-CN"/>
              </w:rPr>
              <w:t>，</w:t>
            </w:r>
            <w:r>
              <w:rPr>
                <w:rFonts w:hint="eastAsia" w:ascii="宋体" w:hAnsi="Calibri" w:cs="Arial"/>
                <w:szCs w:val="21"/>
              </w:rPr>
              <w:t>但被保险人自杀或故意自伤时为无民事行为能力人的除外；</w:t>
            </w:r>
          </w:p>
          <w:p>
            <w:pPr>
              <w:spacing w:line="400" w:lineRule="exact"/>
              <w:rPr>
                <w:rFonts w:hint="eastAsia" w:ascii="宋体" w:hAnsi="Calibri" w:eastAsia="宋体" w:cs="Arial"/>
                <w:szCs w:val="21"/>
                <w:lang w:eastAsia="zh-CN"/>
              </w:rPr>
            </w:pPr>
            <w:r>
              <w:rPr>
                <w:rFonts w:hint="eastAsia" w:ascii="宋体" w:hAnsi="Calibri" w:cs="Arial"/>
                <w:szCs w:val="21"/>
              </w:rPr>
              <w:t>（3）被保险人斗殴、醉酒，服用、吸食或注射毒品</w:t>
            </w:r>
            <w:r>
              <w:rPr>
                <w:rFonts w:hint="eastAsia" w:ascii="宋体" w:hAnsi="Calibri" w:cs="Arial"/>
                <w:szCs w:val="21"/>
                <w:lang w:val="en-US" w:eastAsia="zh-CN"/>
              </w:rPr>
              <w:t>；</w:t>
            </w:r>
          </w:p>
          <w:p>
            <w:pPr>
              <w:spacing w:line="400" w:lineRule="exact"/>
              <w:rPr>
                <w:rFonts w:hint="eastAsia" w:ascii="宋体" w:hAnsi="Calibri" w:cs="Arial"/>
                <w:szCs w:val="21"/>
                <w:lang w:eastAsia="zh-CN"/>
              </w:rPr>
            </w:pPr>
            <w:r>
              <w:rPr>
                <w:rFonts w:hint="eastAsia" w:ascii="宋体" w:hAnsi="Calibri" w:cs="Arial"/>
                <w:szCs w:val="21"/>
                <w:lang w:eastAsia="zh-CN"/>
              </w:rPr>
              <w:t>（</w:t>
            </w:r>
            <w:r>
              <w:rPr>
                <w:rFonts w:hint="eastAsia" w:ascii="宋体" w:hAnsi="Calibri" w:cs="Arial"/>
                <w:szCs w:val="21"/>
                <w:lang w:val="en-US" w:eastAsia="zh-CN"/>
              </w:rPr>
              <w:t>4</w:t>
            </w:r>
            <w:r>
              <w:rPr>
                <w:rFonts w:hint="eastAsia" w:ascii="宋体" w:hAnsi="Calibri" w:cs="Arial"/>
                <w:szCs w:val="21"/>
                <w:lang w:eastAsia="zh-CN"/>
              </w:rPr>
              <w:t>）被保险人酒后驾驶、无合法有效驾驶证驾驶，或驾驶无合法有效行驶证的机动车</w:t>
            </w:r>
            <w:r>
              <w:rPr>
                <w:rFonts w:hint="eastAsia" w:ascii="宋体" w:hAnsi="Calibri" w:cs="Arial"/>
                <w:szCs w:val="21"/>
                <w:lang w:val="en-US" w:eastAsia="zh-CN"/>
              </w:rPr>
              <w:t>；</w:t>
            </w:r>
          </w:p>
          <w:p>
            <w:pPr>
              <w:spacing w:line="400" w:lineRule="exact"/>
              <w:rPr>
                <w:rFonts w:hint="eastAsia" w:ascii="宋体" w:hAnsi="Calibri" w:cs="Arial"/>
                <w:szCs w:val="21"/>
                <w:lang w:eastAsia="zh-CN"/>
              </w:rPr>
            </w:pPr>
            <w:r>
              <w:rPr>
                <w:rFonts w:hint="eastAsia" w:ascii="宋体" w:hAnsi="Calibri" w:cs="Arial"/>
                <w:szCs w:val="21"/>
                <w:lang w:eastAsia="zh-CN"/>
              </w:rPr>
              <w:t>（</w:t>
            </w:r>
            <w:r>
              <w:rPr>
                <w:rFonts w:hint="eastAsia" w:ascii="宋体" w:hAnsi="Calibri" w:cs="Arial"/>
                <w:szCs w:val="21"/>
                <w:lang w:val="en-US" w:eastAsia="zh-CN"/>
              </w:rPr>
              <w:t>5</w:t>
            </w:r>
            <w:r>
              <w:rPr>
                <w:rFonts w:hint="eastAsia" w:ascii="宋体" w:hAnsi="Calibri" w:cs="Arial"/>
                <w:szCs w:val="21"/>
                <w:lang w:eastAsia="zh-CN"/>
              </w:rPr>
              <w:t>）被保险人未遵医嘱，私自使用或服用药物，但按使用说明的规定使用非处方药不在此限</w:t>
            </w:r>
            <w:r>
              <w:rPr>
                <w:rFonts w:hint="eastAsia" w:ascii="宋体" w:hAnsi="Calibri" w:cs="Arial"/>
                <w:szCs w:val="21"/>
                <w:lang w:val="en-US" w:eastAsia="zh-CN"/>
              </w:rPr>
              <w:t>；</w:t>
            </w:r>
          </w:p>
          <w:p>
            <w:pPr>
              <w:spacing w:line="400" w:lineRule="exact"/>
              <w:rPr>
                <w:rFonts w:hint="eastAsia" w:ascii="宋体" w:hAnsi="Calibri" w:cs="Arial"/>
                <w:szCs w:val="21"/>
                <w:lang w:eastAsia="zh-CN"/>
              </w:rPr>
            </w:pPr>
            <w:r>
              <w:rPr>
                <w:rFonts w:hint="eastAsia" w:ascii="宋体" w:hAnsi="Calibri" w:cs="Arial"/>
                <w:szCs w:val="21"/>
                <w:lang w:eastAsia="zh-CN"/>
              </w:rPr>
              <w:t>（</w:t>
            </w:r>
            <w:r>
              <w:rPr>
                <w:rFonts w:hint="eastAsia" w:ascii="宋体" w:hAnsi="Calibri" w:cs="Arial"/>
                <w:szCs w:val="21"/>
                <w:lang w:val="en-US" w:eastAsia="zh-CN"/>
              </w:rPr>
              <w:t>6</w:t>
            </w:r>
            <w:r>
              <w:rPr>
                <w:rFonts w:hint="eastAsia" w:ascii="宋体" w:hAnsi="Calibri" w:cs="Arial"/>
                <w:szCs w:val="21"/>
                <w:lang w:eastAsia="zh-CN"/>
              </w:rPr>
              <w:t>）被保险人参加潜水、跳伞、攀岩、驾乘滑翔机或滑翔伞、探险、摔跤、武术比赛特技表演、赛马、赛车等高风险运动</w:t>
            </w:r>
            <w:r>
              <w:rPr>
                <w:rFonts w:hint="eastAsia" w:ascii="宋体" w:hAnsi="Calibri" w:cs="Arial"/>
                <w:szCs w:val="21"/>
                <w:lang w:val="en-US" w:eastAsia="zh-CN"/>
              </w:rPr>
              <w:t>；</w:t>
            </w:r>
          </w:p>
          <w:p>
            <w:pPr>
              <w:spacing w:line="400" w:lineRule="exact"/>
              <w:rPr>
                <w:rFonts w:hint="eastAsia" w:ascii="宋体" w:hAnsi="Calibri" w:cs="Arial"/>
                <w:szCs w:val="21"/>
                <w:lang w:eastAsia="zh-CN"/>
              </w:rPr>
            </w:pPr>
            <w:r>
              <w:rPr>
                <w:rFonts w:hint="eastAsia" w:ascii="宋体" w:hAnsi="Calibri" w:cs="Arial"/>
                <w:szCs w:val="21"/>
                <w:lang w:eastAsia="zh-CN"/>
              </w:rPr>
              <w:t>（</w:t>
            </w:r>
            <w:r>
              <w:rPr>
                <w:rFonts w:hint="eastAsia" w:ascii="宋体" w:hAnsi="Calibri" w:cs="Arial"/>
                <w:szCs w:val="21"/>
                <w:lang w:val="en-US" w:eastAsia="zh-CN"/>
              </w:rPr>
              <w:t>7</w:t>
            </w:r>
            <w:r>
              <w:rPr>
                <w:rFonts w:hint="eastAsia" w:ascii="宋体" w:hAnsi="Calibri" w:cs="Arial"/>
                <w:szCs w:val="21"/>
                <w:lang w:eastAsia="zh-CN"/>
              </w:rPr>
              <w:t>）被保险人的产前产后检查、妊娠(含宫外孕)、流产(含人工流产)、分娩(含剖腹产)、避孕、绝育手术、治疗不孕不育症以及上述原因引起的并发症</w:t>
            </w:r>
            <w:r>
              <w:rPr>
                <w:rFonts w:hint="eastAsia" w:ascii="宋体" w:hAnsi="Calibri" w:cs="Arial"/>
                <w:szCs w:val="21"/>
                <w:lang w:val="en-US" w:eastAsia="zh-CN"/>
              </w:rPr>
              <w:t>；</w:t>
            </w:r>
          </w:p>
          <w:p>
            <w:pPr>
              <w:spacing w:line="400" w:lineRule="exact"/>
              <w:rPr>
                <w:rFonts w:hint="eastAsia" w:ascii="宋体" w:hAnsi="Calibri" w:cs="Arial"/>
                <w:szCs w:val="21"/>
                <w:lang w:val="en-US" w:eastAsia="zh-CN"/>
              </w:rPr>
            </w:pPr>
            <w:r>
              <w:rPr>
                <w:rFonts w:hint="eastAsia" w:ascii="宋体" w:hAnsi="Calibri" w:cs="Arial"/>
                <w:szCs w:val="21"/>
                <w:lang w:eastAsia="zh-CN"/>
              </w:rPr>
              <w:t>（</w:t>
            </w:r>
            <w:r>
              <w:rPr>
                <w:rFonts w:hint="eastAsia" w:ascii="宋体" w:hAnsi="Calibri" w:cs="Arial"/>
                <w:szCs w:val="21"/>
                <w:lang w:val="en-US" w:eastAsia="zh-CN"/>
              </w:rPr>
              <w:t>8</w:t>
            </w:r>
            <w:r>
              <w:rPr>
                <w:rFonts w:hint="eastAsia" w:ascii="宋体" w:hAnsi="Calibri" w:cs="Arial"/>
                <w:szCs w:val="21"/>
                <w:lang w:eastAsia="zh-CN"/>
              </w:rPr>
              <w:t>）被保险人的精神和行为障碍</w:t>
            </w:r>
            <w:r>
              <w:rPr>
                <w:rFonts w:hint="eastAsia" w:ascii="宋体" w:hAnsi="Calibri" w:cs="Arial"/>
                <w:szCs w:val="21"/>
                <w:lang w:val="en-US" w:eastAsia="zh-CN"/>
              </w:rPr>
              <w:t>；</w:t>
            </w:r>
          </w:p>
          <w:p>
            <w:pPr>
              <w:spacing w:line="400" w:lineRule="exact"/>
              <w:rPr>
                <w:rFonts w:hint="eastAsia" w:ascii="宋体" w:hAnsi="Calibri" w:cs="Arial"/>
                <w:szCs w:val="21"/>
                <w:lang w:eastAsia="zh-CN"/>
              </w:rPr>
            </w:pPr>
            <w:r>
              <w:rPr>
                <w:rFonts w:hint="eastAsia" w:ascii="宋体" w:hAnsi="Calibri" w:cs="Arial"/>
                <w:szCs w:val="21"/>
                <w:lang w:eastAsia="zh-CN"/>
              </w:rPr>
              <w:t>（</w:t>
            </w:r>
            <w:r>
              <w:rPr>
                <w:rFonts w:hint="eastAsia" w:ascii="宋体" w:hAnsi="Calibri" w:cs="Arial"/>
                <w:szCs w:val="21"/>
                <w:lang w:val="en-US" w:eastAsia="zh-CN"/>
              </w:rPr>
              <w:t>9</w:t>
            </w:r>
            <w:r>
              <w:rPr>
                <w:rFonts w:hint="eastAsia" w:ascii="宋体" w:hAnsi="Calibri" w:cs="Arial"/>
                <w:szCs w:val="21"/>
                <w:lang w:eastAsia="zh-CN"/>
              </w:rPr>
              <w:t>）</w:t>
            </w:r>
            <w:r>
              <w:rPr>
                <w:rFonts w:hint="eastAsia" w:ascii="宋体" w:hAnsi="Calibri" w:cs="Arial"/>
                <w:szCs w:val="21"/>
              </w:rPr>
              <w:t>战争、军事冲突、暴乱或武装叛乱导致身故；</w:t>
            </w:r>
          </w:p>
          <w:p>
            <w:pPr>
              <w:spacing w:line="400" w:lineRule="exact"/>
              <w:rPr>
                <w:rFonts w:ascii="宋体" w:hAnsi="Calibri" w:cs="Arial"/>
                <w:szCs w:val="21"/>
              </w:rPr>
            </w:pPr>
            <w:r>
              <w:rPr>
                <w:rFonts w:hint="eastAsia" w:ascii="宋体" w:hAnsi="Calibri" w:cs="Arial"/>
                <w:szCs w:val="21"/>
              </w:rPr>
              <w:t>（</w:t>
            </w:r>
            <w:r>
              <w:rPr>
                <w:rFonts w:hint="eastAsia" w:ascii="宋体" w:hAnsi="Calibri" w:cs="Arial"/>
                <w:szCs w:val="21"/>
                <w:lang w:val="en-US" w:eastAsia="zh-CN"/>
              </w:rPr>
              <w:t>10</w:t>
            </w:r>
            <w:r>
              <w:rPr>
                <w:rFonts w:hint="eastAsia" w:ascii="宋体" w:hAnsi="Calibri" w:cs="Arial"/>
                <w:szCs w:val="21"/>
              </w:rPr>
              <w:t>）核爆炸、核辐射或核污染导致身故。</w:t>
            </w:r>
          </w:p>
          <w:p>
            <w:pPr>
              <w:spacing w:line="400" w:lineRule="exact"/>
              <w:rPr>
                <w:rFonts w:ascii="宋体" w:hAnsi="Calibri" w:cs="Arial"/>
                <w:szCs w:val="21"/>
              </w:rPr>
            </w:pPr>
            <w:r>
              <w:rPr>
                <w:rFonts w:hint="eastAsia" w:ascii="宋体" w:hAnsi="Calibri" w:cs="Arial"/>
                <w:szCs w:val="21"/>
              </w:rPr>
              <w:t>2.因下列情形之一，造成被保险人支出医疗费用</w:t>
            </w:r>
            <w:r>
              <w:rPr>
                <w:rFonts w:hint="eastAsia" w:ascii="宋体" w:hAnsi="Calibri" w:cs="Arial"/>
                <w:szCs w:val="21"/>
                <w:lang w:val="en-US" w:eastAsia="zh-CN"/>
              </w:rPr>
              <w:t>或住院津贴</w:t>
            </w:r>
            <w:r>
              <w:rPr>
                <w:rFonts w:hint="eastAsia" w:ascii="宋体" w:hAnsi="Calibri" w:cs="Arial"/>
                <w:szCs w:val="21"/>
              </w:rPr>
              <w:t>的，保险机构不负给付医疗保险金</w:t>
            </w:r>
            <w:r>
              <w:rPr>
                <w:rFonts w:hint="eastAsia" w:ascii="宋体" w:hAnsi="Calibri" w:cs="Arial"/>
                <w:szCs w:val="21"/>
                <w:lang w:val="en-US" w:eastAsia="zh-CN"/>
              </w:rPr>
              <w:t>和住院津贴</w:t>
            </w:r>
            <w:r>
              <w:rPr>
                <w:rFonts w:hint="eastAsia" w:ascii="宋体" w:hAnsi="Calibri" w:cs="Arial"/>
                <w:szCs w:val="21"/>
              </w:rPr>
              <w:t>责任：</w:t>
            </w:r>
          </w:p>
          <w:p>
            <w:pPr>
              <w:spacing w:line="400" w:lineRule="exact"/>
              <w:rPr>
                <w:rFonts w:ascii="宋体" w:hAnsi="Calibri" w:cs="Arial"/>
                <w:szCs w:val="21"/>
              </w:rPr>
            </w:pPr>
            <w:r>
              <w:rPr>
                <w:rFonts w:hint="eastAsia" w:ascii="宋体" w:hAnsi="Calibri" w:cs="Arial"/>
                <w:szCs w:val="21"/>
              </w:rPr>
              <w:t>（1）上述责任免除条款所列情形；</w:t>
            </w:r>
          </w:p>
          <w:p>
            <w:pPr>
              <w:spacing w:line="400" w:lineRule="exact"/>
              <w:rPr>
                <w:rFonts w:ascii="宋体" w:hAnsi="Calibri" w:cs="Arial"/>
                <w:szCs w:val="21"/>
              </w:rPr>
            </w:pPr>
            <w:r>
              <w:rPr>
                <w:rFonts w:hint="eastAsia" w:ascii="宋体" w:hAnsi="Calibri" w:cs="Arial"/>
                <w:szCs w:val="21"/>
              </w:rPr>
              <w:t>（2）被保险人健康护理等非治疗性行为；</w:t>
            </w:r>
          </w:p>
          <w:p>
            <w:pPr>
              <w:spacing w:line="400" w:lineRule="exact"/>
              <w:rPr>
                <w:rFonts w:ascii="宋体" w:hAnsi="Calibri" w:cs="Arial"/>
                <w:szCs w:val="21"/>
              </w:rPr>
            </w:pPr>
            <w:r>
              <w:rPr>
                <w:rFonts w:hint="eastAsia" w:ascii="宋体" w:hAnsi="Calibri" w:cs="Arial"/>
                <w:szCs w:val="21"/>
              </w:rPr>
              <w:t>（3）被保险人以家庭病床、挂床治疗等；</w:t>
            </w:r>
          </w:p>
          <w:p>
            <w:pPr>
              <w:spacing w:line="400" w:lineRule="exact"/>
              <w:rPr>
                <w:rFonts w:ascii="宋体" w:hAnsi="Calibri" w:cs="Arial"/>
                <w:szCs w:val="21"/>
              </w:rPr>
            </w:pPr>
            <w:r>
              <w:rPr>
                <w:rFonts w:hint="eastAsia" w:ascii="宋体" w:hAnsi="Calibri" w:cs="Arial"/>
                <w:szCs w:val="21"/>
              </w:rPr>
              <w:t>（4）被保险人洗牙、洁齿、验光、装配假眼、假牙、假肢或助听器等；</w:t>
            </w:r>
          </w:p>
          <w:p>
            <w:pPr>
              <w:spacing w:line="400" w:lineRule="exact"/>
              <w:rPr>
                <w:rFonts w:ascii="宋体" w:hAnsi="Calibri" w:cs="Arial"/>
                <w:color w:val="auto"/>
                <w:szCs w:val="21"/>
              </w:rPr>
            </w:pPr>
            <w:r>
              <w:rPr>
                <w:rFonts w:hint="eastAsia" w:ascii="宋体" w:hAnsi="Calibri" w:cs="Arial"/>
                <w:szCs w:val="21"/>
              </w:rPr>
              <w:t>（5）被保险人投保前已有</w:t>
            </w:r>
            <w:r>
              <w:rPr>
                <w:rFonts w:hint="eastAsia" w:ascii="宋体" w:hAnsi="Calibri" w:cs="Arial"/>
                <w:szCs w:val="21"/>
                <w:lang w:val="en-US" w:eastAsia="zh-CN"/>
              </w:rPr>
              <w:t>疾病或</w:t>
            </w:r>
            <w:r>
              <w:rPr>
                <w:rFonts w:hint="eastAsia" w:ascii="宋体" w:hAnsi="Calibri" w:cs="Arial"/>
                <w:szCs w:val="21"/>
              </w:rPr>
              <w:t>残疾的治疗和康复。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951"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Calibri" w:cs="Arial"/>
                <w:color w:val="auto"/>
                <w:szCs w:val="21"/>
              </w:rPr>
            </w:pPr>
            <w:r>
              <w:rPr>
                <w:rFonts w:hint="eastAsia" w:asciiTheme="minorEastAsia" w:hAnsiTheme="minorEastAsia" w:eastAsiaTheme="minorEastAsia"/>
                <w:b/>
                <w:bCs/>
                <w:color w:val="auto"/>
                <w:sz w:val="24"/>
                <w:u w:val="none"/>
              </w:rPr>
              <w:t>▲</w:t>
            </w:r>
            <w:r>
              <w:rPr>
                <w:rFonts w:hint="eastAsia" w:asciiTheme="minorEastAsia" w:hAnsiTheme="minorEastAsia" w:eastAsiaTheme="minorEastAsia"/>
                <w:b/>
                <w:bCs/>
                <w:color w:val="auto"/>
                <w:sz w:val="24"/>
                <w:u w:val="none"/>
                <w:lang w:val="en-US" w:eastAsia="zh-CN"/>
              </w:rPr>
              <w:t xml:space="preserve"> </w:t>
            </w:r>
            <w:r>
              <w:rPr>
                <w:rFonts w:hint="eastAsia" w:asciiTheme="minorEastAsia" w:hAnsiTheme="minorEastAsia" w:eastAsiaTheme="minorEastAsia"/>
                <w:b/>
                <w:bCs/>
                <w:color w:val="auto"/>
                <w:sz w:val="24"/>
                <w:u w:val="none"/>
                <w:lang w:eastAsia="zh-CN"/>
              </w:rPr>
              <w:t>二、</w:t>
            </w:r>
            <w:r>
              <w:rPr>
                <w:rFonts w:hint="eastAsia" w:ascii="宋体" w:hAnsi="Calibri" w:cs="Arial"/>
                <w:b/>
                <w:color w:val="auto"/>
                <w:szCs w:val="21"/>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8951"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firstLine="420" w:firstLineChars="200"/>
              <w:rPr>
                <w:rFonts w:ascii="宋体"/>
                <w:szCs w:val="21"/>
              </w:rPr>
            </w:pPr>
            <w:r>
              <w:rPr>
                <w:rFonts w:hint="eastAsia" w:ascii="宋体"/>
                <w:szCs w:val="21"/>
              </w:rPr>
              <w:t>1.磋商供应商文件中必须提供针对本项目的服务计划、</w:t>
            </w:r>
            <w:r>
              <w:rPr>
                <w:rFonts w:hint="eastAsia" w:ascii="宋体" w:cs="Courier New"/>
                <w:bCs/>
                <w:szCs w:val="21"/>
              </w:rPr>
              <w:t>业务管理内容及规章制度、分支机构情况表等</w:t>
            </w:r>
            <w:r>
              <w:rPr>
                <w:rFonts w:hint="eastAsia" w:ascii="宋体"/>
                <w:szCs w:val="21"/>
              </w:rPr>
              <w:t>；磋商供应商必须根据采购内容要求制定方案，方案须响应公开磋商文件采购要求但不限于公开磋商文件要求</w:t>
            </w:r>
            <w:r>
              <w:rPr>
                <w:rFonts w:hint="eastAsia" w:ascii="宋体"/>
                <w:szCs w:val="21"/>
                <w:lang w:val="en-US" w:eastAsia="zh-CN"/>
              </w:rPr>
              <w:t>内容</w:t>
            </w:r>
            <w:r>
              <w:rPr>
                <w:rFonts w:hint="eastAsia" w:ascii="宋体"/>
                <w:szCs w:val="21"/>
              </w:rPr>
              <w:t>；</w:t>
            </w:r>
          </w:p>
          <w:p>
            <w:pPr>
              <w:adjustRightInd w:val="0"/>
              <w:snapToGrid w:val="0"/>
              <w:spacing w:line="340" w:lineRule="exact"/>
              <w:ind w:firstLine="420" w:firstLineChars="200"/>
              <w:rPr>
                <w:rFonts w:ascii="宋体"/>
                <w:szCs w:val="21"/>
              </w:rPr>
            </w:pPr>
            <w:r>
              <w:rPr>
                <w:rFonts w:hint="eastAsia" w:ascii="宋体"/>
                <w:szCs w:val="21"/>
              </w:rPr>
              <w:t>2、磋商供应商的报价应符合国家对意外伤害保险的有关规定。</w:t>
            </w:r>
          </w:p>
          <w:p>
            <w:pPr>
              <w:adjustRightInd w:val="0"/>
              <w:snapToGrid w:val="0"/>
              <w:spacing w:line="340" w:lineRule="exact"/>
              <w:ind w:firstLine="420" w:firstLineChars="200"/>
              <w:rPr>
                <w:rFonts w:hint="eastAsia" w:ascii="宋体"/>
                <w:szCs w:val="21"/>
              </w:rPr>
            </w:pPr>
            <w:r>
              <w:rPr>
                <w:rFonts w:hint="eastAsia" w:ascii="宋体"/>
                <w:szCs w:val="21"/>
              </w:rPr>
              <w:t>3、本项目每份的保费额度为固定金额：20元人民币，磋商供应商的报价需统一按磋商</w:t>
            </w:r>
            <w:r>
              <w:rPr>
                <w:rFonts w:hint="eastAsia" w:ascii="宋体"/>
                <w:szCs w:val="21"/>
                <w:lang w:val="en-US" w:eastAsia="zh-CN"/>
              </w:rPr>
              <w:t>文件要求</w:t>
            </w:r>
            <w:r>
              <w:rPr>
                <w:rFonts w:hint="eastAsia" w:ascii="宋体"/>
                <w:szCs w:val="21"/>
              </w:rPr>
              <w:t>报价，否则无效。</w:t>
            </w:r>
          </w:p>
          <w:p>
            <w:pPr>
              <w:adjustRightInd w:val="0"/>
              <w:snapToGrid w:val="0"/>
              <w:spacing w:line="340" w:lineRule="exact"/>
              <w:ind w:firstLine="420" w:firstLineChars="200"/>
              <w:rPr>
                <w:rFonts w:hint="eastAsia" w:ascii="宋体"/>
                <w:szCs w:val="21"/>
              </w:rPr>
            </w:pPr>
            <w:r>
              <w:rPr>
                <w:rFonts w:hint="eastAsia" w:ascii="宋体"/>
                <w:szCs w:val="21"/>
              </w:rPr>
              <w:t>4、交货（交付）时间：</w:t>
            </w:r>
            <w:r>
              <w:rPr>
                <w:rFonts w:hint="eastAsia" w:ascii="宋体"/>
                <w:szCs w:val="21"/>
                <w:lang w:val="en-US" w:eastAsia="zh-CN"/>
              </w:rPr>
              <w:t>供应商收到款项后，30天内提供保险合同</w:t>
            </w:r>
            <w:r>
              <w:rPr>
                <w:rFonts w:hint="eastAsia" w:ascii="宋体"/>
                <w:szCs w:val="21"/>
              </w:rPr>
              <w:t>。</w:t>
            </w:r>
          </w:p>
          <w:p>
            <w:pPr>
              <w:adjustRightInd w:val="0"/>
              <w:snapToGrid w:val="0"/>
              <w:spacing w:line="340" w:lineRule="exact"/>
              <w:ind w:firstLine="420" w:firstLineChars="200"/>
              <w:rPr>
                <w:rFonts w:hint="eastAsia" w:ascii="宋体"/>
                <w:szCs w:val="21"/>
              </w:rPr>
            </w:pPr>
            <w:r>
              <w:rPr>
                <w:rFonts w:hint="eastAsia" w:ascii="宋体"/>
                <w:szCs w:val="21"/>
              </w:rPr>
              <w:t>5、交货地点：北海市湖北路8号海城区人民医院医养结合楼16楼</w:t>
            </w:r>
          </w:p>
          <w:p>
            <w:pPr>
              <w:adjustRightInd w:val="0"/>
              <w:snapToGrid w:val="0"/>
              <w:spacing w:line="340" w:lineRule="exact"/>
              <w:rPr>
                <w:rFonts w:ascii="宋体" w:hAnsi="Calibri" w:cs="Arial"/>
                <w:color w:val="auto"/>
                <w:szCs w:val="21"/>
              </w:rPr>
            </w:pPr>
            <w:r>
              <w:rPr>
                <w:rFonts w:hint="eastAsia" w:ascii="宋体"/>
                <w:szCs w:val="21"/>
              </w:rPr>
              <w:t>6、付款时间和方式：</w:t>
            </w:r>
            <w:r>
              <w:rPr>
                <w:rFonts w:hint="eastAsia" w:ascii="宋体"/>
                <w:szCs w:val="21"/>
                <w:lang w:val="en-US" w:eastAsia="zh-CN"/>
              </w:rPr>
              <w:t>签订合同后，供应商提供发票后，采购人</w:t>
            </w:r>
            <w:r>
              <w:rPr>
                <w:rFonts w:hint="eastAsia" w:ascii="宋体"/>
                <w:color w:val="000000"/>
                <w:szCs w:val="21"/>
              </w:rPr>
              <w:t>一次付清</w:t>
            </w:r>
            <w:r>
              <w:rPr>
                <w:rFonts w:hint="eastAsia" w:ascii="宋体"/>
                <w:color w:val="000000"/>
                <w:szCs w:val="21"/>
                <w:lang w:val="en-US" w:eastAsia="zh-CN"/>
              </w:rPr>
              <w:t>款项</w:t>
            </w:r>
            <w:r>
              <w:rPr>
                <w:rFonts w:hint="eastAsia" w:ascii="宋体"/>
                <w:szCs w:val="21"/>
              </w:rPr>
              <w:t>。</w:t>
            </w:r>
          </w:p>
        </w:tc>
      </w:tr>
    </w:tbl>
    <w:p>
      <w:pPr>
        <w:widowControl/>
        <w:adjustRightInd/>
        <w:jc w:val="left"/>
        <w:rPr>
          <w:rFonts w:cs="仿宋_GB2312" w:asciiTheme="minorEastAsia" w:hAnsiTheme="minorEastAsia" w:eastAsiaTheme="minorEastAsia"/>
          <w:b/>
          <w:color w:val="auto"/>
          <w:sz w:val="36"/>
          <w:szCs w:val="36"/>
        </w:rPr>
      </w:pPr>
    </w:p>
    <w:p>
      <w:pPr>
        <w:widowControl/>
        <w:adjustRightInd/>
        <w:jc w:val="left"/>
        <w:rPr>
          <w:rFonts w:cs="仿宋_GB2312" w:asciiTheme="minorEastAsia" w:hAnsiTheme="minorEastAsia" w:eastAsiaTheme="minorEastAsia"/>
          <w:b/>
          <w:color w:val="auto"/>
          <w:sz w:val="36"/>
          <w:szCs w:val="36"/>
        </w:rPr>
      </w:pPr>
    </w:p>
    <w:p>
      <w:pPr>
        <w:widowControl/>
        <w:adjustRightInd/>
        <w:jc w:val="left"/>
        <w:rPr>
          <w:rFonts w:cs="仿宋_GB2312" w:asciiTheme="minorEastAsia" w:hAnsiTheme="minorEastAsia" w:eastAsiaTheme="minorEastAsia"/>
          <w:b/>
          <w:color w:val="auto"/>
          <w:sz w:val="36"/>
          <w:szCs w:val="36"/>
        </w:rPr>
      </w:pPr>
    </w:p>
    <w:p>
      <w:pPr>
        <w:widowControl/>
        <w:adjustRightInd/>
        <w:jc w:val="left"/>
        <w:rPr>
          <w:rFonts w:cs="仿宋_GB2312" w:asciiTheme="minorEastAsia" w:hAnsiTheme="minorEastAsia" w:eastAsiaTheme="minorEastAsia"/>
          <w:b/>
          <w:color w:val="auto"/>
          <w:sz w:val="36"/>
          <w:szCs w:val="36"/>
        </w:rPr>
      </w:pPr>
    </w:p>
    <w:p>
      <w:pPr>
        <w:widowControl/>
        <w:adjustRightInd/>
        <w:jc w:val="left"/>
        <w:rPr>
          <w:rFonts w:cs="仿宋_GB2312" w:asciiTheme="minorEastAsia" w:hAnsiTheme="minorEastAsia" w:eastAsiaTheme="minorEastAsia"/>
          <w:b/>
          <w:color w:val="auto"/>
          <w:sz w:val="36"/>
          <w:szCs w:val="36"/>
        </w:rPr>
      </w:pPr>
    </w:p>
    <w:p>
      <w:pPr>
        <w:widowControl/>
        <w:adjustRightInd/>
        <w:ind w:firstLine="1988" w:firstLineChars="550"/>
        <w:jc w:val="left"/>
        <w:rPr>
          <w:rFonts w:cs="仿宋_GB2312" w:asciiTheme="minorEastAsia" w:hAnsiTheme="minorEastAsia" w:eastAsiaTheme="minorEastAsia"/>
          <w:b/>
          <w:color w:val="auto"/>
          <w:sz w:val="36"/>
          <w:szCs w:val="36"/>
        </w:rPr>
      </w:pPr>
      <w:bookmarkStart w:id="42" w:name="_Toc181203098"/>
      <w:r>
        <w:rPr>
          <w:rFonts w:hint="eastAsia" w:cs="仿宋_GB2312" w:asciiTheme="minorEastAsia" w:hAnsiTheme="minorEastAsia" w:eastAsiaTheme="minorEastAsia"/>
          <w:b/>
          <w:color w:val="auto"/>
          <w:sz w:val="36"/>
          <w:szCs w:val="36"/>
        </w:rPr>
        <w:t xml:space="preserve">第五部分  </w:t>
      </w:r>
      <w:bookmarkEnd w:id="37"/>
      <w:bookmarkEnd w:id="38"/>
      <w:bookmarkStart w:id="43" w:name="第四部分"/>
      <w:r>
        <w:rPr>
          <w:rFonts w:hint="eastAsia" w:cs="仿宋_GB2312" w:asciiTheme="minorEastAsia" w:hAnsiTheme="minorEastAsia" w:eastAsiaTheme="minorEastAsia"/>
          <w:b/>
          <w:color w:val="auto"/>
          <w:sz w:val="36"/>
          <w:szCs w:val="36"/>
        </w:rPr>
        <w:t>评审方法及评审标准</w:t>
      </w:r>
      <w:bookmarkEnd w:id="42"/>
    </w:p>
    <w:p>
      <w:pPr>
        <w:pStyle w:val="394"/>
        <w:spacing w:before="0"/>
        <w:ind w:firstLine="0" w:firstLineChars="0"/>
        <w:outlineLvl w:val="1"/>
        <w:rPr>
          <w:rFonts w:cs="仿宋_GB2312" w:asciiTheme="minorEastAsia" w:hAnsiTheme="minorEastAsia" w:eastAsiaTheme="minorEastAsia"/>
          <w:b/>
          <w:color w:val="auto"/>
          <w:sz w:val="32"/>
        </w:rPr>
      </w:pPr>
    </w:p>
    <w:p>
      <w:pPr>
        <w:pStyle w:val="394"/>
        <w:spacing w:before="0"/>
        <w:ind w:firstLine="643"/>
        <w:jc w:val="center"/>
        <w:outlineLvl w:val="1"/>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pPr>
        <w:snapToGrid w:val="0"/>
        <w:spacing w:line="420" w:lineRule="exact"/>
        <w:ind w:firstLine="422" w:firstLineChars="200"/>
        <w:rPr>
          <w:rFonts w:ascii="宋体" w:hAnsi="Calibri" w:cs="宋体"/>
          <w:b/>
          <w:bCs/>
          <w:color w:val="auto"/>
          <w:szCs w:val="21"/>
        </w:rPr>
      </w:pPr>
    </w:p>
    <w:p>
      <w:pPr>
        <w:pStyle w:val="394"/>
        <w:spacing w:before="0"/>
        <w:ind w:firstLine="482"/>
        <w:jc w:val="center"/>
        <w:rPr>
          <w:rFonts w:asciiTheme="minorEastAsia" w:hAnsiTheme="minorEastAsia" w:eastAsiaTheme="minorEastAsia"/>
          <w:b/>
          <w:bCs/>
          <w:color w:val="auto"/>
          <w:sz w:val="28"/>
          <w:szCs w:val="21"/>
        </w:rPr>
      </w:pPr>
      <w:r>
        <w:rPr>
          <w:rFonts w:hint="eastAsia" w:asciiTheme="minorEastAsia" w:hAnsiTheme="minorEastAsia" w:eastAsiaTheme="minorEastAsia"/>
          <w:b/>
          <w:bCs/>
          <w:color w:val="auto"/>
          <w:sz w:val="28"/>
          <w:szCs w:val="21"/>
        </w:rPr>
        <w:t>评审办法及评分标准</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一、磋商原则</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(一)磋商小组构成：本采购项目的磋商小组由采购人代表和有关技术标、经济标等方面的专家组成，成员人数应当为三人以上单数。其中，技术标、经济标等方面的专家不得少于成员总数的三分之二。</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（二)磋商依据：评委将以磋商文件、磋商响应文件为磋商依据，对磋商供应商的服务方案、业务管理等方面内容按百分制打分。</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(三)磋商方式：以封闭方式进行。</w:t>
      </w:r>
    </w:p>
    <w:p>
      <w:pPr>
        <w:pStyle w:val="394"/>
        <w:spacing w:before="0"/>
        <w:ind w:firstLine="480"/>
        <w:rPr>
          <w:rFonts w:hint="eastAsia" w:asciiTheme="minorEastAsia" w:hAnsiTheme="minorEastAsia" w:eastAsiaTheme="minorEastAsia"/>
          <w:b/>
          <w:bCs/>
          <w:color w:val="auto"/>
        </w:rPr>
      </w:pPr>
      <w:r>
        <w:rPr>
          <w:rFonts w:hint="eastAsia" w:asciiTheme="minorEastAsia" w:hAnsiTheme="minorEastAsia" w:eastAsiaTheme="minorEastAsia"/>
          <w:b/>
          <w:bCs/>
          <w:color w:val="auto"/>
        </w:rPr>
        <w:t>(四)本项目执行统一价格标准，根据《政府采购竞争性磋商采购方式管理暂行办法》其价格不列为评分因素。</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    二、评标方法</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（一）对进入详评的，采用百分制综合评分法。</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（二）计分办法（按四舍五入取至百分位）：</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1</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承保</w:t>
      </w:r>
      <w:r>
        <w:rPr>
          <w:rFonts w:hint="eastAsia" w:asciiTheme="minorEastAsia" w:hAnsiTheme="minorEastAsia" w:eastAsiaTheme="minorEastAsia"/>
          <w:color w:val="auto"/>
        </w:rPr>
        <w:t>方案</w:t>
      </w:r>
      <w:r>
        <w:rPr>
          <w:rFonts w:hint="eastAsia" w:asciiTheme="minorEastAsia" w:hAnsiTheme="minorEastAsia" w:eastAsiaTheme="minorEastAsia"/>
          <w:color w:val="auto"/>
          <w:lang w:val="en-US" w:eastAsia="zh-CN"/>
        </w:rPr>
        <w:t>及培训服务</w:t>
      </w:r>
      <w:r>
        <w:rPr>
          <w:rFonts w:hint="eastAsia" w:asciiTheme="minorEastAsia" w:hAnsiTheme="minorEastAsia" w:eastAsiaTheme="minorEastAsia"/>
          <w:color w:val="auto"/>
        </w:rPr>
        <w:t>分…………………………………………………（满分</w:t>
      </w:r>
      <w:r>
        <w:rPr>
          <w:rFonts w:hint="eastAsia" w:asciiTheme="minorEastAsia" w:hAnsiTheme="minorEastAsia" w:eastAsiaTheme="minorEastAsia"/>
          <w:color w:val="auto"/>
          <w:lang w:val="en-US" w:eastAsia="zh-CN"/>
        </w:rPr>
        <w:t>1</w:t>
      </w:r>
      <w:r>
        <w:rPr>
          <w:rFonts w:hint="eastAsia" w:asciiTheme="minorEastAsia" w:hAnsiTheme="minorEastAsia" w:eastAsiaTheme="minorEastAsia"/>
          <w:color w:val="auto"/>
        </w:rPr>
        <w:t>0分）</w:t>
      </w:r>
    </w:p>
    <w:p>
      <w:pPr>
        <w:pStyle w:val="394"/>
        <w:spacing w:before="0"/>
        <w:ind w:firstLine="480"/>
        <w:rPr>
          <w:rFonts w:hint="eastAsia" w:asciiTheme="minorEastAsia" w:hAnsiTheme="minorEastAsia" w:eastAsiaTheme="minorEastAsia"/>
          <w:color w:val="auto"/>
          <w:lang w:eastAsia="zh-CN"/>
        </w:rPr>
      </w:pPr>
      <w:r>
        <w:rPr>
          <w:rFonts w:hint="eastAsia" w:asciiTheme="minorEastAsia" w:hAnsiTheme="minorEastAsia" w:eastAsiaTheme="minorEastAsia"/>
          <w:color w:val="auto"/>
        </w:rPr>
        <w:t>（1）基本分（满分</w:t>
      </w: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分）：完全满足磋商文件所要求响应的赔付条件和标准要求的得基本分</w:t>
      </w: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分</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需提供国家金融监管总局报备的保险条款</w:t>
      </w:r>
      <w:r>
        <w:rPr>
          <w:rFonts w:hint="eastAsia" w:asciiTheme="minorEastAsia" w:hAnsiTheme="minorEastAsia" w:eastAsiaTheme="minorEastAsia"/>
          <w:color w:val="auto"/>
          <w:lang w:eastAsia="zh-CN"/>
        </w:rPr>
        <w:t>。</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（2）赔付条件和标准要求分（满分</w:t>
      </w:r>
      <w:r>
        <w:rPr>
          <w:rFonts w:hint="eastAsia" w:asciiTheme="minorEastAsia" w:hAnsiTheme="minorEastAsia" w:eastAsiaTheme="minorEastAsia"/>
          <w:color w:val="auto"/>
          <w:lang w:val="en-US" w:eastAsia="zh-CN"/>
        </w:rPr>
        <w:t>4</w:t>
      </w:r>
      <w:r>
        <w:rPr>
          <w:rFonts w:hint="eastAsia" w:asciiTheme="minorEastAsia" w:hAnsiTheme="minorEastAsia" w:eastAsiaTheme="minorEastAsia"/>
          <w:color w:val="auto"/>
        </w:rPr>
        <w:t>分）</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一档（</w:t>
      </w:r>
      <w:r>
        <w:rPr>
          <w:rFonts w:hint="eastAsia" w:asciiTheme="minorEastAsia" w:hAnsiTheme="minorEastAsia" w:eastAsiaTheme="minorEastAsia"/>
          <w:color w:val="auto"/>
          <w:lang w:val="en-US" w:eastAsia="zh-CN"/>
        </w:rPr>
        <w:t>1</w:t>
      </w:r>
      <w:r>
        <w:rPr>
          <w:rFonts w:hint="eastAsia" w:asciiTheme="minorEastAsia" w:hAnsiTheme="minorEastAsia" w:eastAsiaTheme="minorEastAsia"/>
          <w:color w:val="auto"/>
        </w:rPr>
        <w:t>分）：满足磋商文件要求，承保设计、保险条款对本项目的针对性不强，条款不清晰；</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二档（</w:t>
      </w: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分）：满足磋商文件要求，承保设计、保险条款合理，对本项目有一定的针对性；</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三档（</w:t>
      </w:r>
      <w:r>
        <w:rPr>
          <w:rFonts w:hint="eastAsia" w:asciiTheme="minorEastAsia" w:hAnsiTheme="minorEastAsia" w:eastAsiaTheme="minorEastAsia"/>
          <w:color w:val="auto"/>
          <w:lang w:val="en-US" w:eastAsia="zh-CN"/>
        </w:rPr>
        <w:t>4</w:t>
      </w:r>
      <w:r>
        <w:rPr>
          <w:rFonts w:hint="eastAsia" w:asciiTheme="minorEastAsia" w:hAnsiTheme="minorEastAsia" w:eastAsiaTheme="minorEastAsia"/>
          <w:color w:val="auto"/>
        </w:rPr>
        <w:t>分）：满足磋商文件要求，承保设计、保险条款内容合理、可行性强，针对本项目的设计针对性强。</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3</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保险培训服务分（满分</w:t>
      </w:r>
      <w:r>
        <w:rPr>
          <w:rFonts w:hint="eastAsia" w:asciiTheme="minorEastAsia" w:hAnsiTheme="minorEastAsia" w:eastAsiaTheme="minorEastAsia"/>
          <w:color w:val="auto"/>
          <w:lang w:val="en-US" w:eastAsia="zh-CN"/>
        </w:rPr>
        <w:t>4</w:t>
      </w:r>
      <w:r>
        <w:rPr>
          <w:rFonts w:hint="eastAsia" w:asciiTheme="minorEastAsia" w:hAnsiTheme="minorEastAsia" w:eastAsiaTheme="minorEastAsia"/>
          <w:color w:val="auto"/>
        </w:rPr>
        <w:t>分）</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一档：保险培训服务项目满足基本要求的，得2分；</w:t>
      </w:r>
    </w:p>
    <w:p>
      <w:pPr>
        <w:pStyle w:val="394"/>
        <w:spacing w:before="0"/>
        <w:ind w:firstLine="480"/>
        <w:rPr>
          <w:rFonts w:hint="eastAsia" w:asciiTheme="minorEastAsia" w:hAnsiTheme="minorEastAsia" w:eastAsiaTheme="minorEastAsia"/>
          <w:color w:val="auto"/>
        </w:rPr>
      </w:pPr>
      <w:bookmarkStart w:id="44" w:name="_Toc38809812"/>
      <w:r>
        <w:rPr>
          <w:rFonts w:hint="eastAsia" w:asciiTheme="minorEastAsia" w:hAnsiTheme="minorEastAsia" w:eastAsiaTheme="minorEastAsia"/>
          <w:color w:val="auto"/>
        </w:rPr>
        <w:t>二档：保险培训服务项目满足基本要求，项目丰富、可行性强，针对性强，培训师资较为雄厚，得</w:t>
      </w:r>
      <w:r>
        <w:rPr>
          <w:rFonts w:hint="eastAsia" w:asciiTheme="minorEastAsia" w:hAnsiTheme="minorEastAsia" w:eastAsiaTheme="minorEastAsia"/>
          <w:color w:val="auto"/>
          <w:lang w:val="en-US" w:eastAsia="zh-CN"/>
        </w:rPr>
        <w:t>4</w:t>
      </w:r>
      <w:r>
        <w:rPr>
          <w:rFonts w:hint="eastAsia" w:asciiTheme="minorEastAsia" w:hAnsiTheme="minorEastAsia" w:eastAsiaTheme="minorEastAsia"/>
          <w:color w:val="auto"/>
        </w:rPr>
        <w:t>分。</w:t>
      </w:r>
      <w:bookmarkEnd w:id="44"/>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lang w:val="en-US" w:eastAsia="zh-CN"/>
        </w:rPr>
        <w:t>2.理赔服务方案</w:t>
      </w:r>
      <w:r>
        <w:rPr>
          <w:rFonts w:hint="eastAsia" w:asciiTheme="minorEastAsia" w:hAnsiTheme="minorEastAsia" w:eastAsiaTheme="minorEastAsia"/>
          <w:color w:val="auto"/>
        </w:rPr>
        <w:t>分…………………………………………………（满分</w:t>
      </w:r>
      <w:r>
        <w:rPr>
          <w:rFonts w:hint="eastAsia" w:asciiTheme="minorEastAsia" w:hAnsiTheme="minorEastAsia" w:eastAsiaTheme="minorEastAsia"/>
          <w:color w:val="auto"/>
          <w:lang w:val="en-US" w:eastAsia="zh-CN"/>
        </w:rPr>
        <w:t>20</w:t>
      </w:r>
      <w:r>
        <w:rPr>
          <w:rFonts w:hint="eastAsia" w:asciiTheme="minorEastAsia" w:hAnsiTheme="minorEastAsia" w:eastAsiaTheme="minorEastAsia"/>
          <w:color w:val="auto"/>
        </w:rPr>
        <w:t>分）</w:t>
      </w:r>
    </w:p>
    <w:p>
      <w:pPr>
        <w:pStyle w:val="394"/>
        <w:spacing w:before="0"/>
        <w:ind w:firstLine="480"/>
        <w:rPr>
          <w:rFonts w:hint="eastAsia" w:asciiTheme="minorEastAsia" w:hAnsiTheme="minorEastAsia" w:eastAsiaTheme="minorEastAsia"/>
          <w:color w:val="auto"/>
          <w:lang w:val="en-US" w:eastAsia="zh-CN"/>
        </w:rPr>
      </w:pPr>
      <w:bookmarkStart w:id="45" w:name="_Toc38809806"/>
      <w:bookmarkStart w:id="46" w:name="_Toc8096"/>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1</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理赔服务（14分）</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一档（4分）：投标人仅响应招标文件要求，</w:t>
      </w:r>
      <w:r>
        <w:rPr>
          <w:rFonts w:hint="eastAsia" w:asciiTheme="minorEastAsia" w:hAnsiTheme="minorEastAsia" w:eastAsiaTheme="minorEastAsia"/>
          <w:color w:val="auto"/>
          <w:lang w:val="en-US" w:eastAsia="zh-CN"/>
        </w:rPr>
        <w:t>理赔服务方案设计一般，但针对性不强</w:t>
      </w:r>
      <w:r>
        <w:rPr>
          <w:rFonts w:hint="eastAsia" w:asciiTheme="minorEastAsia" w:hAnsiTheme="minorEastAsia" w:eastAsiaTheme="minorEastAsia"/>
          <w:color w:val="auto"/>
        </w:rPr>
        <w:t>；</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二档（9分）：投标人响应招标文件要求，</w:t>
      </w:r>
      <w:r>
        <w:rPr>
          <w:rFonts w:hint="eastAsia" w:asciiTheme="minorEastAsia" w:hAnsiTheme="minorEastAsia" w:eastAsiaTheme="minorEastAsia"/>
          <w:color w:val="auto"/>
          <w:lang w:val="en-US" w:eastAsia="zh-CN"/>
        </w:rPr>
        <w:t>理赔服务方案设计丰富、针对性较强</w:t>
      </w:r>
      <w:r>
        <w:rPr>
          <w:rFonts w:hint="eastAsia" w:asciiTheme="minorEastAsia" w:hAnsiTheme="minorEastAsia" w:eastAsiaTheme="minorEastAsia"/>
          <w:color w:val="auto"/>
        </w:rPr>
        <w:t>；</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三档（14分）：投标人响应招标文件要求，</w:t>
      </w:r>
      <w:r>
        <w:rPr>
          <w:rFonts w:hint="eastAsia" w:asciiTheme="minorEastAsia" w:hAnsiTheme="minorEastAsia" w:eastAsiaTheme="minorEastAsia"/>
          <w:color w:val="auto"/>
          <w:lang w:val="en-US" w:eastAsia="zh-CN"/>
        </w:rPr>
        <w:t>理赔服务方案设计非常丰富、针对性强</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制定</w:t>
      </w:r>
      <w:r>
        <w:rPr>
          <w:rFonts w:hint="eastAsia" w:asciiTheme="minorEastAsia" w:hAnsiTheme="minorEastAsia" w:eastAsiaTheme="minorEastAsia"/>
          <w:color w:val="auto"/>
          <w:lang w:val="en-US" w:eastAsia="zh-CN"/>
        </w:rPr>
        <w:t>有</w:t>
      </w:r>
      <w:r>
        <w:rPr>
          <w:rFonts w:hint="eastAsia" w:asciiTheme="minorEastAsia" w:hAnsiTheme="minorEastAsia" w:eastAsiaTheme="minorEastAsia"/>
          <w:color w:val="auto"/>
        </w:rPr>
        <w:t>《理赔服务指南》，明确报案电话、理赔的时效性等内容。</w:t>
      </w:r>
    </w:p>
    <w:bookmarkEnd w:id="45"/>
    <w:bookmarkEnd w:id="46"/>
    <w:p>
      <w:pPr>
        <w:pStyle w:val="394"/>
        <w:spacing w:before="0"/>
        <w:ind w:firstLine="48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rPr>
        <w:t>（2）</w:t>
      </w:r>
      <w:r>
        <w:rPr>
          <w:rFonts w:hint="eastAsia" w:asciiTheme="minorEastAsia" w:hAnsiTheme="minorEastAsia" w:eastAsiaTheme="minorEastAsia"/>
          <w:color w:val="auto"/>
          <w:lang w:val="en-US" w:eastAsia="zh-CN"/>
        </w:rPr>
        <w:t>提供服务方式(满分6分）</w:t>
      </w:r>
    </w:p>
    <w:p>
      <w:pPr>
        <w:pStyle w:val="394"/>
        <w:spacing w:before="0"/>
        <w:ind w:firstLine="480"/>
        <w:rPr>
          <w:rFonts w:hint="eastAsia" w:asciiTheme="minorEastAsia" w:hAnsiTheme="minorEastAsia" w:eastAsiaTheme="minorEastAsia"/>
          <w:color w:val="auto"/>
          <w:lang w:eastAsia="zh-CN"/>
        </w:rPr>
      </w:pPr>
      <w:r>
        <w:rPr>
          <w:rFonts w:hint="eastAsia" w:asciiTheme="minorEastAsia" w:hAnsiTheme="minorEastAsia" w:eastAsiaTheme="minorEastAsia"/>
          <w:color w:val="auto"/>
          <w:lang w:eastAsia="zh-CN"/>
        </w:rPr>
        <w:t>①线上</w:t>
      </w:r>
      <w:r>
        <w:rPr>
          <w:rFonts w:hint="eastAsia" w:asciiTheme="minorEastAsia" w:hAnsiTheme="minorEastAsia" w:eastAsiaTheme="minorEastAsia"/>
          <w:color w:val="auto"/>
          <w:lang w:val="en-US" w:eastAsia="zh-CN"/>
        </w:rPr>
        <w:t>理赔服务</w:t>
      </w:r>
      <w:r>
        <w:rPr>
          <w:rFonts w:hint="eastAsia" w:asciiTheme="minorEastAsia" w:hAnsiTheme="minorEastAsia" w:eastAsiaTheme="minorEastAsia"/>
          <w:color w:val="auto"/>
          <w:lang w:eastAsia="zh-CN"/>
        </w:rPr>
        <w:t>模式（</w:t>
      </w:r>
      <w:r>
        <w:rPr>
          <w:rFonts w:hint="eastAsia" w:asciiTheme="minorEastAsia" w:hAnsiTheme="minorEastAsia" w:eastAsiaTheme="minorEastAsia"/>
          <w:color w:val="auto"/>
          <w:lang w:val="en-US" w:eastAsia="zh-CN"/>
        </w:rPr>
        <w:t>满分3分</w:t>
      </w:r>
      <w:r>
        <w:rPr>
          <w:rFonts w:hint="eastAsia" w:asciiTheme="minorEastAsia" w:hAnsiTheme="minorEastAsia" w:eastAsiaTheme="minorEastAsia"/>
          <w:color w:val="auto"/>
          <w:lang w:eastAsia="zh-CN"/>
        </w:rPr>
        <w:t>）：提供移动网络平台进行自助理赔服务以及查询进度。(提供截图及操作说明)。</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lang w:eastAsia="zh-CN"/>
        </w:rPr>
        <w:t>②线下</w:t>
      </w:r>
      <w:r>
        <w:rPr>
          <w:rFonts w:hint="eastAsia" w:asciiTheme="minorEastAsia" w:hAnsiTheme="minorEastAsia" w:eastAsiaTheme="minorEastAsia"/>
          <w:color w:val="auto"/>
          <w:lang w:val="en-US" w:eastAsia="zh-CN"/>
        </w:rPr>
        <w:t>理赔服务</w:t>
      </w:r>
      <w:r>
        <w:rPr>
          <w:rFonts w:hint="eastAsia" w:asciiTheme="minorEastAsia" w:hAnsiTheme="minorEastAsia" w:eastAsiaTheme="minorEastAsia"/>
          <w:color w:val="auto"/>
          <w:lang w:eastAsia="zh-CN"/>
        </w:rPr>
        <w:t>模式（</w:t>
      </w:r>
      <w:r>
        <w:rPr>
          <w:rFonts w:hint="eastAsia" w:asciiTheme="minorEastAsia" w:hAnsiTheme="minorEastAsia" w:eastAsiaTheme="minorEastAsia"/>
          <w:color w:val="auto"/>
          <w:lang w:val="en-US" w:eastAsia="zh-CN"/>
        </w:rPr>
        <w:t>满分3分</w:t>
      </w:r>
      <w:r>
        <w:rPr>
          <w:rFonts w:hint="eastAsia" w:asciiTheme="minorEastAsia" w:hAnsiTheme="minorEastAsia" w:eastAsiaTheme="minorEastAsia"/>
          <w:color w:val="auto"/>
          <w:lang w:eastAsia="zh-CN"/>
        </w:rPr>
        <w:t>）：提供传统人工</w:t>
      </w:r>
      <w:r>
        <w:rPr>
          <w:rFonts w:hint="eastAsia" w:asciiTheme="minorEastAsia" w:hAnsiTheme="minorEastAsia" w:eastAsiaTheme="minorEastAsia"/>
          <w:color w:val="auto"/>
          <w:lang w:val="en-US" w:eastAsia="zh-CN"/>
        </w:rPr>
        <w:t>上门</w:t>
      </w:r>
      <w:r>
        <w:rPr>
          <w:rFonts w:hint="eastAsia" w:asciiTheme="minorEastAsia" w:hAnsiTheme="minorEastAsia" w:eastAsiaTheme="minorEastAsia"/>
          <w:color w:val="auto"/>
          <w:lang w:eastAsia="zh-CN"/>
        </w:rPr>
        <w:t>收单理赔服务模式，开通理赔案件绿色通道</w:t>
      </w:r>
      <w:r>
        <w:rPr>
          <w:rFonts w:hint="eastAsia" w:asciiTheme="minorEastAsia" w:hAnsiTheme="minorEastAsia" w:eastAsiaTheme="minorEastAsia"/>
          <w:color w:val="auto"/>
          <w:lang w:val="en-US" w:eastAsia="zh-CN"/>
        </w:rPr>
        <w:t>等</w:t>
      </w:r>
      <w:r>
        <w:rPr>
          <w:rFonts w:hint="eastAsia" w:asciiTheme="minorEastAsia" w:hAnsiTheme="minorEastAsia" w:eastAsiaTheme="minorEastAsia"/>
          <w:color w:val="auto"/>
          <w:lang w:eastAsia="zh-CN"/>
        </w:rPr>
        <w:t>(提供系统截图及操作说</w:t>
      </w:r>
      <w:r>
        <w:rPr>
          <w:rFonts w:hint="eastAsia" w:asciiTheme="minorEastAsia" w:hAnsiTheme="minorEastAsia" w:eastAsiaTheme="minorEastAsia"/>
          <w:color w:val="auto"/>
          <w:lang w:val="en-US" w:eastAsia="zh-CN"/>
        </w:rPr>
        <w:t>明</w:t>
      </w:r>
      <w:r>
        <w:rPr>
          <w:rFonts w:hint="eastAsia" w:asciiTheme="minorEastAsia" w:hAnsiTheme="minorEastAsia" w:eastAsiaTheme="minorEastAsia"/>
          <w:color w:val="auto"/>
          <w:lang w:eastAsia="zh-CN"/>
        </w:rPr>
        <w:t>)。</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lang w:val="en-US" w:eastAsia="zh-CN"/>
        </w:rPr>
        <w:t>3</w:t>
      </w:r>
      <w:r>
        <w:rPr>
          <w:rFonts w:hint="eastAsia" w:asciiTheme="minorEastAsia" w:hAnsiTheme="minorEastAsia" w:eastAsiaTheme="minorEastAsia"/>
          <w:color w:val="auto"/>
        </w:rPr>
        <w:t>.业务管理内容及规章制度分…………………………………………（满分</w:t>
      </w:r>
      <w:r>
        <w:rPr>
          <w:rFonts w:hint="eastAsia" w:asciiTheme="minorEastAsia" w:hAnsiTheme="minorEastAsia" w:eastAsiaTheme="minorEastAsia"/>
          <w:color w:val="auto"/>
          <w:lang w:val="en-US" w:eastAsia="zh-CN"/>
        </w:rPr>
        <w:t>15</w:t>
      </w:r>
      <w:r>
        <w:rPr>
          <w:rFonts w:hint="eastAsia" w:asciiTheme="minorEastAsia" w:hAnsiTheme="minorEastAsia" w:eastAsiaTheme="minorEastAsia"/>
          <w:color w:val="auto"/>
        </w:rPr>
        <w:t>分）</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一档（5分）：供应商提供的业务管理内容及规章制度，内容简单</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针对性本项目的内容不强；</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二档（10分）：供应商提供的业务管理内容及规章制度完备可行，内容齐全，对本项目的内容有一定的针对性；</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三档（</w:t>
      </w:r>
      <w:r>
        <w:rPr>
          <w:rFonts w:hint="eastAsia" w:asciiTheme="minorEastAsia" w:hAnsiTheme="minorEastAsia" w:eastAsiaTheme="minorEastAsia"/>
          <w:color w:val="auto"/>
          <w:lang w:val="en-US" w:eastAsia="zh-CN"/>
        </w:rPr>
        <w:t>15</w:t>
      </w:r>
      <w:r>
        <w:rPr>
          <w:rFonts w:hint="eastAsia" w:asciiTheme="minorEastAsia" w:hAnsiTheme="minorEastAsia" w:eastAsiaTheme="minorEastAsia"/>
          <w:color w:val="auto"/>
        </w:rPr>
        <w:t>分）：供应商提供的业务管理内容及规章制度完备可行，</w:t>
      </w:r>
      <w:r>
        <w:rPr>
          <w:rFonts w:hint="eastAsia" w:asciiTheme="minorEastAsia" w:hAnsiTheme="minorEastAsia" w:eastAsiaTheme="minorEastAsia"/>
          <w:color w:val="auto"/>
          <w:lang w:eastAsia="zh-CN"/>
        </w:rPr>
        <w:t>内容更加细致全面，更</w:t>
      </w:r>
      <w:r>
        <w:rPr>
          <w:rFonts w:hint="eastAsia" w:asciiTheme="minorEastAsia" w:hAnsiTheme="minorEastAsia" w:eastAsiaTheme="minorEastAsia"/>
          <w:color w:val="auto"/>
        </w:rPr>
        <w:t>具有针对性，符合本项目的特点。</w:t>
      </w:r>
    </w:p>
    <w:p>
      <w:pPr>
        <w:pStyle w:val="394"/>
        <w:spacing w:before="0"/>
        <w:ind w:firstLine="48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4</w:t>
      </w:r>
      <w:r>
        <w:rPr>
          <w:rFonts w:hint="eastAsia" w:asciiTheme="minorEastAsia" w:hAnsiTheme="minorEastAsia" w:eastAsiaTheme="minorEastAsia"/>
          <w:color w:val="auto"/>
        </w:rPr>
        <w:t>.分支机构设置分…………………………………………………………（满分</w:t>
      </w:r>
      <w:r>
        <w:rPr>
          <w:rFonts w:hint="eastAsia" w:asciiTheme="minorEastAsia" w:hAnsiTheme="minorEastAsia" w:eastAsiaTheme="minorEastAsia"/>
          <w:color w:val="auto"/>
          <w:lang w:val="en-US" w:eastAsia="zh-CN"/>
        </w:rPr>
        <w:t>15</w:t>
      </w:r>
      <w:r>
        <w:rPr>
          <w:rFonts w:hint="eastAsia" w:asciiTheme="minorEastAsia" w:hAnsiTheme="minorEastAsia" w:eastAsiaTheme="minorEastAsia"/>
          <w:color w:val="auto"/>
        </w:rPr>
        <w:t>分）</w:t>
      </w:r>
    </w:p>
    <w:p>
      <w:pPr>
        <w:pStyle w:val="394"/>
        <w:spacing w:before="0"/>
        <w:ind w:firstLine="48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rPr>
        <w:t>为了</w:t>
      </w:r>
      <w:r>
        <w:rPr>
          <w:rFonts w:hint="eastAsia" w:asciiTheme="minorEastAsia" w:hAnsiTheme="minorEastAsia" w:eastAsiaTheme="minorEastAsia"/>
          <w:color w:val="auto"/>
          <w:lang w:val="en-US" w:eastAsia="zh-CN"/>
        </w:rPr>
        <w:t>方便</w:t>
      </w:r>
      <w:r>
        <w:rPr>
          <w:rFonts w:hint="eastAsia" w:asciiTheme="minorEastAsia" w:hAnsiTheme="minorEastAsia" w:eastAsiaTheme="minorEastAsia"/>
          <w:color w:val="auto"/>
        </w:rPr>
        <w:t>理赔，根据磋商供应商在北海市</w:t>
      </w:r>
      <w:r>
        <w:rPr>
          <w:rFonts w:hint="eastAsia" w:asciiTheme="minorEastAsia" w:hAnsiTheme="minorEastAsia" w:eastAsiaTheme="minorEastAsia"/>
          <w:color w:val="auto"/>
          <w:lang w:val="en-US" w:eastAsia="zh-CN"/>
        </w:rPr>
        <w:t>辖区</w:t>
      </w:r>
      <w:r>
        <w:rPr>
          <w:rFonts w:hint="eastAsia" w:asciiTheme="minorEastAsia" w:hAnsiTheme="minorEastAsia" w:eastAsiaTheme="minorEastAsia"/>
          <w:color w:val="auto"/>
        </w:rPr>
        <w:t>内设有分支机构的情况进行评分</w:t>
      </w:r>
      <w:r>
        <w:rPr>
          <w:rFonts w:hint="eastAsia" w:asciiTheme="minorEastAsia" w:hAnsiTheme="minorEastAsia" w:eastAsiaTheme="minorEastAsia"/>
          <w:color w:val="auto"/>
          <w:lang w:val="en-US" w:eastAsia="zh-CN"/>
        </w:rPr>
        <w:t>；</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供应商具有县/区级设分支机构（满分</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分）</w:t>
      </w:r>
    </w:p>
    <w:p>
      <w:pPr>
        <w:pStyle w:val="394"/>
        <w:spacing w:before="0"/>
        <w:ind w:firstLine="48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rPr>
        <w:t>磋商供应商</w:t>
      </w:r>
      <w:r>
        <w:rPr>
          <w:rFonts w:hint="eastAsia" w:asciiTheme="minorEastAsia" w:hAnsiTheme="minorEastAsia" w:eastAsiaTheme="minorEastAsia"/>
          <w:color w:val="auto"/>
          <w:lang w:val="en-US" w:eastAsia="zh-CN"/>
        </w:rPr>
        <w:t>在</w:t>
      </w:r>
      <w:r>
        <w:rPr>
          <w:rFonts w:hint="eastAsia" w:asciiTheme="minorEastAsia" w:hAnsiTheme="minorEastAsia" w:eastAsiaTheme="minorEastAsia"/>
          <w:color w:val="auto"/>
        </w:rPr>
        <w:t>北海市</w:t>
      </w:r>
      <w:r>
        <w:rPr>
          <w:rFonts w:hint="eastAsia" w:asciiTheme="minorEastAsia" w:hAnsiTheme="minorEastAsia" w:eastAsiaTheme="minorEastAsia"/>
          <w:color w:val="auto"/>
          <w:lang w:val="en-US" w:eastAsia="zh-CN"/>
        </w:rPr>
        <w:t>县/区</w:t>
      </w:r>
      <w:r>
        <w:rPr>
          <w:rFonts w:hint="eastAsia" w:asciiTheme="minorEastAsia" w:hAnsiTheme="minorEastAsia" w:eastAsiaTheme="minorEastAsia"/>
          <w:color w:val="auto"/>
        </w:rPr>
        <w:t>设分支机构</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每个得</w:t>
      </w:r>
      <w:r>
        <w:rPr>
          <w:rFonts w:hint="eastAsia" w:asciiTheme="minorEastAsia" w:hAnsiTheme="minorEastAsia" w:eastAsiaTheme="minorEastAsia"/>
          <w:color w:val="auto"/>
          <w:lang w:val="en-US" w:eastAsia="zh-CN"/>
        </w:rPr>
        <w:t>1</w:t>
      </w:r>
      <w:r>
        <w:rPr>
          <w:rFonts w:hint="eastAsia" w:asciiTheme="minorEastAsia" w:hAnsiTheme="minorEastAsia" w:eastAsiaTheme="minorEastAsia"/>
          <w:color w:val="auto"/>
        </w:rPr>
        <w:t>分，满分</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分。</w:t>
      </w:r>
      <w:r>
        <w:rPr>
          <w:rFonts w:hint="eastAsia" w:asciiTheme="minorEastAsia" w:hAnsiTheme="minorEastAsia" w:eastAsiaTheme="minorEastAsia"/>
          <w:color w:val="auto"/>
          <w:lang w:val="en-US" w:eastAsia="zh-CN"/>
        </w:rPr>
        <w:t>注：需提供</w:t>
      </w:r>
      <w:r>
        <w:rPr>
          <w:rFonts w:hint="eastAsia" w:asciiTheme="minorEastAsia" w:hAnsiTheme="minorEastAsia" w:eastAsiaTheme="minorEastAsia"/>
          <w:color w:val="auto"/>
        </w:rPr>
        <w:t>《营业执照》和《保险许可证》</w:t>
      </w:r>
      <w:r>
        <w:rPr>
          <w:rFonts w:hint="eastAsia" w:asciiTheme="minorEastAsia" w:hAnsiTheme="minorEastAsia" w:eastAsiaTheme="minorEastAsia"/>
          <w:color w:val="auto"/>
          <w:lang w:val="en-US" w:eastAsia="zh-CN"/>
        </w:rPr>
        <w:t>复印件。</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.综合能力分……………………………………………………………（满分</w:t>
      </w:r>
      <w:r>
        <w:rPr>
          <w:rFonts w:hint="eastAsia" w:asciiTheme="minorEastAsia" w:hAnsiTheme="minorEastAsia" w:eastAsiaTheme="minorEastAsia"/>
          <w:color w:val="auto"/>
          <w:lang w:val="en-US" w:eastAsia="zh-CN"/>
        </w:rPr>
        <w:t>20</w:t>
      </w:r>
      <w:r>
        <w:rPr>
          <w:rFonts w:hint="eastAsia" w:asciiTheme="minorEastAsia" w:hAnsiTheme="minorEastAsia" w:eastAsiaTheme="minorEastAsia"/>
          <w:color w:val="auto"/>
        </w:rPr>
        <w:t>分）</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（1）公司偿付能力分（满分</w:t>
      </w:r>
      <w:r>
        <w:rPr>
          <w:rFonts w:hint="eastAsia" w:asciiTheme="minorEastAsia" w:hAnsiTheme="minorEastAsia" w:eastAsiaTheme="minorEastAsia"/>
          <w:color w:val="auto"/>
          <w:lang w:val="en-US" w:eastAsia="zh-CN"/>
        </w:rPr>
        <w:t>10</w:t>
      </w:r>
      <w:r>
        <w:rPr>
          <w:rFonts w:hint="eastAsia" w:asciiTheme="minorEastAsia" w:hAnsiTheme="minorEastAsia" w:eastAsiaTheme="minorEastAsia"/>
          <w:color w:val="auto"/>
        </w:rPr>
        <w:t>分）：供应商法人机构（总公司）202</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年第</w:t>
      </w:r>
      <w:r>
        <w:rPr>
          <w:rFonts w:hint="eastAsia" w:asciiTheme="minorEastAsia" w:hAnsiTheme="minorEastAsia" w:eastAsiaTheme="minorEastAsia"/>
          <w:color w:val="auto"/>
          <w:lang w:val="en-US" w:eastAsia="zh-CN"/>
        </w:rPr>
        <w:t>二</w:t>
      </w:r>
      <w:r>
        <w:rPr>
          <w:rFonts w:hint="eastAsia" w:asciiTheme="minorEastAsia" w:hAnsiTheme="minorEastAsia" w:eastAsiaTheme="minorEastAsia"/>
          <w:color w:val="auto"/>
        </w:rPr>
        <w:t>季度</w:t>
      </w:r>
      <w:r>
        <w:rPr>
          <w:rFonts w:hint="eastAsia" w:asciiTheme="minorEastAsia" w:hAnsiTheme="minorEastAsia" w:eastAsiaTheme="minorEastAsia"/>
          <w:color w:val="auto"/>
          <w:lang w:val="en-US" w:eastAsia="zh-CN"/>
        </w:rPr>
        <w:t>综合</w:t>
      </w:r>
      <w:r>
        <w:rPr>
          <w:rFonts w:hint="eastAsia" w:asciiTheme="minorEastAsia" w:hAnsiTheme="minorEastAsia" w:eastAsiaTheme="minorEastAsia"/>
          <w:color w:val="auto"/>
        </w:rPr>
        <w:t>偿付能力充足率达到监管指标即</w:t>
      </w:r>
      <w:r>
        <w:rPr>
          <w:rFonts w:hint="eastAsia" w:asciiTheme="minorEastAsia" w:hAnsiTheme="minorEastAsia" w:eastAsiaTheme="minorEastAsia"/>
          <w:color w:val="auto"/>
          <w:lang w:val="en-US" w:eastAsia="zh-CN"/>
        </w:rPr>
        <w:t>10</w:t>
      </w:r>
      <w:r>
        <w:rPr>
          <w:rFonts w:hint="eastAsia" w:asciiTheme="minorEastAsia" w:hAnsiTheme="minorEastAsia" w:eastAsiaTheme="minorEastAsia"/>
          <w:color w:val="auto"/>
        </w:rPr>
        <w:t>0%</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含</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以上</w:t>
      </w:r>
      <w:r>
        <w:rPr>
          <w:rFonts w:hint="eastAsia" w:asciiTheme="minorEastAsia" w:hAnsiTheme="minorEastAsia" w:eastAsiaTheme="minorEastAsia"/>
          <w:color w:val="auto"/>
        </w:rPr>
        <w:t>的得</w:t>
      </w:r>
      <w:r>
        <w:rPr>
          <w:rFonts w:hint="eastAsia" w:asciiTheme="minorEastAsia" w:hAnsiTheme="minorEastAsia" w:eastAsiaTheme="minorEastAsia"/>
          <w:color w:val="auto"/>
          <w:lang w:val="en-US" w:eastAsia="zh-CN"/>
        </w:rPr>
        <w:t>10</w:t>
      </w:r>
      <w:r>
        <w:rPr>
          <w:rFonts w:hint="eastAsia" w:asciiTheme="minorEastAsia" w:hAnsiTheme="minorEastAsia" w:eastAsiaTheme="minorEastAsia"/>
          <w:color w:val="auto"/>
        </w:rPr>
        <w:t>分</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202</w:t>
      </w:r>
      <w:r>
        <w:rPr>
          <w:rFonts w:hint="eastAsia" w:asciiTheme="minorEastAsia" w:hAnsiTheme="minorEastAsia" w:eastAsiaTheme="minorEastAsia"/>
          <w:color w:val="auto"/>
          <w:lang w:val="en-US" w:eastAsia="zh-CN"/>
        </w:rPr>
        <w:t>4</w:t>
      </w:r>
      <w:r>
        <w:rPr>
          <w:rFonts w:hint="eastAsia" w:asciiTheme="minorEastAsia" w:hAnsiTheme="minorEastAsia" w:eastAsiaTheme="minorEastAsia"/>
          <w:color w:val="auto"/>
        </w:rPr>
        <w:t>年第</w:t>
      </w:r>
      <w:r>
        <w:rPr>
          <w:rFonts w:hint="eastAsia" w:asciiTheme="minorEastAsia" w:hAnsiTheme="minorEastAsia" w:eastAsiaTheme="minorEastAsia"/>
          <w:color w:val="auto"/>
          <w:lang w:val="en-US" w:eastAsia="zh-CN"/>
        </w:rPr>
        <w:t>四</w:t>
      </w:r>
      <w:r>
        <w:rPr>
          <w:rFonts w:hint="eastAsia" w:asciiTheme="minorEastAsia" w:hAnsiTheme="minorEastAsia" w:eastAsiaTheme="minorEastAsia"/>
          <w:color w:val="auto"/>
        </w:rPr>
        <w:t>季度</w:t>
      </w:r>
      <w:r>
        <w:rPr>
          <w:rFonts w:hint="eastAsia" w:asciiTheme="minorEastAsia" w:hAnsiTheme="minorEastAsia" w:eastAsiaTheme="minorEastAsia"/>
          <w:color w:val="auto"/>
          <w:lang w:val="en-US" w:eastAsia="zh-CN"/>
        </w:rPr>
        <w:t>综合</w:t>
      </w:r>
      <w:r>
        <w:rPr>
          <w:rFonts w:hint="eastAsia" w:asciiTheme="minorEastAsia" w:hAnsiTheme="minorEastAsia" w:eastAsiaTheme="minorEastAsia"/>
          <w:color w:val="auto"/>
        </w:rPr>
        <w:t>偿付能力充足率100%以下的得0分。（提供供应商或其总公司保险公司偿付能力季度报告摘要或证明文件，磋商供应商须对数据的真实性负责。）</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（2）风险综合评级评价结果（满分</w:t>
      </w:r>
      <w:r>
        <w:rPr>
          <w:rFonts w:hint="eastAsia" w:asciiTheme="minorEastAsia" w:hAnsiTheme="minorEastAsia" w:eastAsiaTheme="minorEastAsia"/>
          <w:color w:val="auto"/>
          <w:lang w:val="en-US" w:eastAsia="zh-CN"/>
        </w:rPr>
        <w:t>10</w:t>
      </w:r>
      <w:r>
        <w:rPr>
          <w:rFonts w:hint="eastAsia" w:asciiTheme="minorEastAsia" w:hAnsiTheme="minorEastAsia" w:eastAsiaTheme="minorEastAsia"/>
          <w:color w:val="auto"/>
        </w:rPr>
        <w:t>分）：供应商法人机构（总公司）202</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年第</w:t>
      </w:r>
      <w:r>
        <w:rPr>
          <w:rFonts w:hint="eastAsia" w:asciiTheme="minorEastAsia" w:hAnsiTheme="minorEastAsia" w:eastAsiaTheme="minorEastAsia"/>
          <w:color w:val="auto"/>
          <w:lang w:val="en-US" w:eastAsia="zh-CN"/>
        </w:rPr>
        <w:t>一</w:t>
      </w:r>
      <w:r>
        <w:rPr>
          <w:rFonts w:hint="eastAsia" w:asciiTheme="minorEastAsia" w:hAnsiTheme="minorEastAsia" w:eastAsiaTheme="minorEastAsia"/>
          <w:color w:val="auto"/>
        </w:rPr>
        <w:t>季度评价结果为AA</w:t>
      </w:r>
      <w:r>
        <w:rPr>
          <w:rFonts w:hint="eastAsia" w:asciiTheme="minorEastAsia" w:hAnsiTheme="minorEastAsia" w:eastAsiaTheme="minorEastAsia"/>
          <w:color w:val="auto"/>
          <w:lang w:val="en-US" w:eastAsia="zh-CN"/>
        </w:rPr>
        <w:t>A</w:t>
      </w:r>
      <w:r>
        <w:rPr>
          <w:rFonts w:hint="eastAsia" w:asciiTheme="minorEastAsia" w:hAnsiTheme="minorEastAsia" w:eastAsiaTheme="minorEastAsia"/>
          <w:color w:val="auto"/>
        </w:rPr>
        <w:t>（含）以上的得</w:t>
      </w:r>
      <w:r>
        <w:rPr>
          <w:rFonts w:hint="eastAsia" w:asciiTheme="minorEastAsia" w:hAnsiTheme="minorEastAsia" w:eastAsiaTheme="minorEastAsia"/>
          <w:color w:val="auto"/>
          <w:lang w:val="en-US" w:eastAsia="zh-CN"/>
        </w:rPr>
        <w:t>10</w:t>
      </w:r>
      <w:r>
        <w:rPr>
          <w:rFonts w:hint="eastAsia" w:asciiTheme="minorEastAsia" w:hAnsiTheme="minorEastAsia" w:eastAsiaTheme="minorEastAsia"/>
          <w:color w:val="auto"/>
        </w:rPr>
        <w:t>分；评价结果为</w:t>
      </w:r>
      <w:r>
        <w:rPr>
          <w:rFonts w:hint="eastAsia" w:asciiTheme="minorEastAsia" w:hAnsiTheme="minorEastAsia" w:eastAsiaTheme="minorEastAsia"/>
          <w:color w:val="auto"/>
          <w:lang w:val="en-US" w:eastAsia="zh-CN"/>
        </w:rPr>
        <w:t>A</w:t>
      </w:r>
      <w:r>
        <w:rPr>
          <w:rFonts w:hint="eastAsia" w:asciiTheme="minorEastAsia" w:hAnsiTheme="minorEastAsia" w:eastAsiaTheme="minorEastAsia"/>
          <w:color w:val="auto"/>
        </w:rPr>
        <w:t>（含）以上的得4分；评价结果为</w:t>
      </w:r>
      <w:r>
        <w:rPr>
          <w:rFonts w:hint="eastAsia" w:asciiTheme="minorEastAsia" w:hAnsiTheme="minorEastAsia" w:eastAsiaTheme="minorEastAsia"/>
          <w:color w:val="auto"/>
          <w:lang w:val="en-US" w:eastAsia="zh-CN"/>
        </w:rPr>
        <w:t>B</w:t>
      </w:r>
      <w:r>
        <w:rPr>
          <w:rFonts w:hint="eastAsia" w:asciiTheme="minorEastAsia" w:hAnsiTheme="minorEastAsia" w:eastAsiaTheme="minorEastAsia"/>
          <w:color w:val="auto"/>
        </w:rPr>
        <w:t>BB（含）以上的得2分。（提供供应商或其总公司保险公司偿付能力季度报告摘要或证明文件，供应商须对数据的真实性负责。）</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lang w:val="en-US" w:eastAsia="zh-CN"/>
        </w:rPr>
        <w:t>6</w:t>
      </w:r>
      <w:r>
        <w:rPr>
          <w:rFonts w:hint="eastAsia" w:asciiTheme="minorEastAsia" w:hAnsiTheme="minorEastAsia" w:eastAsiaTheme="minorEastAsia"/>
          <w:color w:val="auto"/>
        </w:rPr>
        <w:t>.承保业绩分……………………………………………………………（满分</w:t>
      </w:r>
      <w:r>
        <w:rPr>
          <w:rFonts w:hint="eastAsia" w:asciiTheme="minorEastAsia" w:hAnsiTheme="minorEastAsia" w:eastAsiaTheme="minorEastAsia"/>
          <w:color w:val="auto"/>
          <w:lang w:val="en-US" w:eastAsia="zh-CN"/>
        </w:rPr>
        <w:t>10</w:t>
      </w:r>
      <w:r>
        <w:rPr>
          <w:rFonts w:hint="eastAsia" w:asciiTheme="minorEastAsia" w:hAnsiTheme="minorEastAsia" w:eastAsiaTheme="minorEastAsia"/>
          <w:color w:val="auto"/>
        </w:rPr>
        <w:t>分）</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202</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年1月</w:t>
      </w:r>
      <w:r>
        <w:rPr>
          <w:rFonts w:hint="eastAsia" w:asciiTheme="minorEastAsia" w:hAnsiTheme="minorEastAsia" w:eastAsiaTheme="minorEastAsia"/>
          <w:color w:val="auto"/>
          <w:lang w:val="en-US" w:eastAsia="zh-CN"/>
        </w:rPr>
        <w:t>1日</w:t>
      </w:r>
      <w:r>
        <w:rPr>
          <w:rFonts w:hint="eastAsia" w:asciiTheme="minorEastAsia" w:hAnsiTheme="minorEastAsia" w:eastAsiaTheme="minorEastAsia"/>
          <w:color w:val="auto"/>
        </w:rPr>
        <w:t>起，磋商供应商</w:t>
      </w:r>
      <w:r>
        <w:rPr>
          <w:rFonts w:hint="eastAsia" w:asciiTheme="minorEastAsia" w:hAnsiTheme="minorEastAsia" w:eastAsiaTheme="minorEastAsia"/>
          <w:color w:val="auto"/>
          <w:lang w:val="en-US" w:eastAsia="zh-CN"/>
        </w:rPr>
        <w:t>具</w:t>
      </w:r>
      <w:r>
        <w:rPr>
          <w:rFonts w:hint="eastAsia" w:asciiTheme="minorEastAsia" w:hAnsiTheme="minorEastAsia" w:eastAsiaTheme="minorEastAsia"/>
          <w:color w:val="auto"/>
        </w:rPr>
        <w:t>有同类团体保险服务项目业绩的（财产险除外）</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以提供保险合同为准，每有1个得1分，满分1</w:t>
      </w:r>
      <w:r>
        <w:rPr>
          <w:rFonts w:hint="eastAsia" w:asciiTheme="minorEastAsia" w:hAnsiTheme="minorEastAsia" w:eastAsiaTheme="minorEastAsia"/>
          <w:color w:val="auto"/>
          <w:lang w:val="en-US" w:eastAsia="zh-CN"/>
        </w:rPr>
        <w:t>0</w:t>
      </w:r>
      <w:r>
        <w:rPr>
          <w:rFonts w:hint="eastAsia" w:asciiTheme="minorEastAsia" w:hAnsiTheme="minorEastAsia" w:eastAsiaTheme="minorEastAsia"/>
          <w:color w:val="auto"/>
        </w:rPr>
        <w:t>分。</w:t>
      </w:r>
    </w:p>
    <w:p>
      <w:pPr>
        <w:pStyle w:val="394"/>
        <w:spacing w:before="0"/>
        <w:ind w:firstLine="48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7.增值</w:t>
      </w:r>
      <w:r>
        <w:rPr>
          <w:rFonts w:hint="eastAsia" w:asciiTheme="minorEastAsia" w:hAnsiTheme="minorEastAsia" w:eastAsiaTheme="minorEastAsia"/>
          <w:color w:val="auto"/>
        </w:rPr>
        <w:t>服务分……………………………………………………………（满分</w:t>
      </w:r>
      <w:r>
        <w:rPr>
          <w:rFonts w:hint="eastAsia" w:asciiTheme="minorEastAsia" w:hAnsiTheme="minorEastAsia" w:eastAsiaTheme="minorEastAsia"/>
          <w:color w:val="auto"/>
          <w:lang w:val="en-US" w:eastAsia="zh-CN"/>
        </w:rPr>
        <w:t>10</w:t>
      </w:r>
      <w:r>
        <w:rPr>
          <w:rFonts w:hint="eastAsia" w:asciiTheme="minorEastAsia" w:hAnsiTheme="minorEastAsia" w:eastAsiaTheme="minorEastAsia"/>
          <w:color w:val="auto"/>
        </w:rPr>
        <w:t>分）</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一档：</w:t>
      </w:r>
      <w:r>
        <w:rPr>
          <w:rFonts w:hint="eastAsia" w:asciiTheme="minorEastAsia" w:hAnsiTheme="minorEastAsia" w:eastAsiaTheme="minorEastAsia"/>
          <w:color w:val="auto"/>
          <w:lang w:val="en-US" w:eastAsia="zh-CN"/>
        </w:rPr>
        <w:t>供应商提供</w:t>
      </w:r>
      <w:r>
        <w:rPr>
          <w:rFonts w:hint="eastAsia" w:asciiTheme="minorEastAsia" w:hAnsiTheme="minorEastAsia" w:eastAsiaTheme="minorEastAsia"/>
          <w:color w:val="auto"/>
        </w:rPr>
        <w:t>增值服务方案</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合理且可行性</w:t>
      </w:r>
      <w:r>
        <w:rPr>
          <w:rFonts w:hint="eastAsia" w:asciiTheme="minorEastAsia" w:hAnsiTheme="minorEastAsia" w:eastAsiaTheme="minorEastAsia"/>
          <w:color w:val="auto"/>
        </w:rPr>
        <w:t>一般</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增值服务</w:t>
      </w:r>
      <w:r>
        <w:rPr>
          <w:rFonts w:hint="eastAsia" w:asciiTheme="minorEastAsia" w:hAnsiTheme="minorEastAsia" w:eastAsiaTheme="minorEastAsia"/>
          <w:color w:val="auto"/>
          <w:lang w:val="en-US" w:eastAsia="zh-CN"/>
        </w:rPr>
        <w:t>内容</w:t>
      </w:r>
      <w:r>
        <w:rPr>
          <w:rFonts w:hint="eastAsia" w:asciiTheme="minorEastAsia" w:hAnsiTheme="minorEastAsia" w:eastAsiaTheme="minorEastAsia"/>
          <w:color w:val="auto"/>
        </w:rPr>
        <w:t>在</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项以内的，得</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分；</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二档：</w:t>
      </w:r>
      <w:r>
        <w:rPr>
          <w:rFonts w:hint="eastAsia" w:asciiTheme="minorEastAsia" w:hAnsiTheme="minorEastAsia" w:eastAsiaTheme="minorEastAsia"/>
          <w:color w:val="auto"/>
          <w:lang w:val="en-US" w:eastAsia="zh-CN"/>
        </w:rPr>
        <w:t>供应商提供</w:t>
      </w:r>
      <w:r>
        <w:rPr>
          <w:rFonts w:hint="eastAsia" w:asciiTheme="minorEastAsia" w:hAnsiTheme="minorEastAsia" w:eastAsiaTheme="minorEastAsia"/>
          <w:color w:val="auto"/>
        </w:rPr>
        <w:t>增值服务方案</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合理且可行性强，</w:t>
      </w:r>
      <w:r>
        <w:rPr>
          <w:rFonts w:hint="eastAsia" w:asciiTheme="minorEastAsia" w:hAnsiTheme="minorEastAsia" w:eastAsiaTheme="minorEastAsia"/>
          <w:color w:val="auto"/>
        </w:rPr>
        <w:t>针对性一般</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增值服务</w:t>
      </w:r>
      <w:r>
        <w:rPr>
          <w:rFonts w:hint="eastAsia" w:asciiTheme="minorEastAsia" w:hAnsiTheme="minorEastAsia" w:eastAsiaTheme="minorEastAsia"/>
          <w:color w:val="auto"/>
          <w:lang w:val="en-US" w:eastAsia="zh-CN"/>
        </w:rPr>
        <w:t>内容</w:t>
      </w:r>
      <w:r>
        <w:rPr>
          <w:rFonts w:hint="eastAsia" w:asciiTheme="minorEastAsia" w:hAnsiTheme="minorEastAsia" w:eastAsiaTheme="minorEastAsia"/>
          <w:color w:val="auto"/>
        </w:rPr>
        <w:t>达到</w:t>
      </w:r>
      <w:r>
        <w:rPr>
          <w:rFonts w:hint="eastAsia" w:asciiTheme="minorEastAsia" w:hAnsiTheme="minorEastAsia" w:eastAsiaTheme="minorEastAsia"/>
          <w:color w:val="auto"/>
          <w:lang w:val="en-US" w:eastAsia="zh-CN"/>
        </w:rPr>
        <w:t>8</w:t>
      </w:r>
      <w:r>
        <w:rPr>
          <w:rFonts w:hint="eastAsia" w:asciiTheme="minorEastAsia" w:hAnsiTheme="minorEastAsia" w:eastAsiaTheme="minorEastAsia"/>
          <w:color w:val="auto"/>
        </w:rPr>
        <w:t>项的，得</w:t>
      </w:r>
      <w:r>
        <w:rPr>
          <w:rFonts w:hint="eastAsia" w:asciiTheme="minorEastAsia" w:hAnsiTheme="minorEastAsia" w:eastAsiaTheme="minorEastAsia"/>
          <w:color w:val="auto"/>
          <w:lang w:val="en-US" w:eastAsia="zh-CN"/>
        </w:rPr>
        <w:t>7</w:t>
      </w:r>
      <w:r>
        <w:rPr>
          <w:rFonts w:hint="eastAsia" w:asciiTheme="minorEastAsia" w:hAnsiTheme="minorEastAsia" w:eastAsiaTheme="minorEastAsia"/>
          <w:color w:val="auto"/>
        </w:rPr>
        <w:t>分；</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三档：</w:t>
      </w:r>
      <w:r>
        <w:rPr>
          <w:rFonts w:hint="eastAsia" w:asciiTheme="minorEastAsia" w:hAnsiTheme="minorEastAsia" w:eastAsiaTheme="minorEastAsia"/>
          <w:color w:val="auto"/>
          <w:lang w:val="en-US" w:eastAsia="zh-CN"/>
        </w:rPr>
        <w:t>供应商提供</w:t>
      </w:r>
      <w:r>
        <w:rPr>
          <w:rFonts w:hint="eastAsia" w:asciiTheme="minorEastAsia" w:hAnsiTheme="minorEastAsia" w:eastAsiaTheme="minorEastAsia"/>
          <w:color w:val="auto"/>
        </w:rPr>
        <w:t>增值服务方案内容丰富</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可行性强，针对性强，增值服务</w:t>
      </w:r>
      <w:r>
        <w:rPr>
          <w:rFonts w:hint="eastAsia" w:asciiTheme="minorEastAsia" w:hAnsiTheme="minorEastAsia" w:eastAsiaTheme="minorEastAsia"/>
          <w:color w:val="auto"/>
          <w:lang w:val="en-US" w:eastAsia="zh-CN"/>
        </w:rPr>
        <w:t>内容</w:t>
      </w:r>
      <w:r>
        <w:rPr>
          <w:rFonts w:hint="eastAsia" w:asciiTheme="minorEastAsia" w:hAnsiTheme="minorEastAsia" w:eastAsiaTheme="minorEastAsia"/>
          <w:color w:val="auto"/>
        </w:rPr>
        <w:t>达到</w:t>
      </w:r>
      <w:r>
        <w:rPr>
          <w:rFonts w:hint="eastAsia" w:asciiTheme="minorEastAsia" w:hAnsiTheme="minorEastAsia" w:eastAsiaTheme="minorEastAsia"/>
          <w:color w:val="auto"/>
          <w:lang w:val="en-US" w:eastAsia="zh-CN"/>
        </w:rPr>
        <w:t>10</w:t>
      </w:r>
      <w:r>
        <w:rPr>
          <w:rFonts w:hint="eastAsia" w:asciiTheme="minorEastAsia" w:hAnsiTheme="minorEastAsia" w:eastAsiaTheme="minorEastAsia"/>
          <w:color w:val="auto"/>
        </w:rPr>
        <w:t>项</w:t>
      </w:r>
      <w:r>
        <w:rPr>
          <w:rFonts w:hint="eastAsia" w:asciiTheme="minorEastAsia" w:hAnsiTheme="minorEastAsia" w:eastAsiaTheme="minorEastAsia"/>
          <w:color w:val="auto"/>
          <w:lang w:val="en-US" w:eastAsia="zh-CN"/>
        </w:rPr>
        <w:t>及以上</w:t>
      </w:r>
      <w:r>
        <w:rPr>
          <w:rFonts w:hint="eastAsia" w:asciiTheme="minorEastAsia" w:hAnsiTheme="minorEastAsia" w:eastAsiaTheme="minorEastAsia"/>
          <w:color w:val="auto"/>
        </w:rPr>
        <w:t>的，得</w:t>
      </w:r>
      <w:r>
        <w:rPr>
          <w:rFonts w:hint="eastAsia" w:asciiTheme="minorEastAsia" w:hAnsiTheme="minorEastAsia" w:eastAsiaTheme="minorEastAsia"/>
          <w:color w:val="auto"/>
          <w:lang w:val="en-US" w:eastAsia="zh-CN"/>
        </w:rPr>
        <w:t>15</w:t>
      </w:r>
      <w:r>
        <w:rPr>
          <w:rFonts w:hint="eastAsia" w:asciiTheme="minorEastAsia" w:hAnsiTheme="minorEastAsia" w:eastAsiaTheme="minorEastAsia"/>
          <w:color w:val="auto"/>
        </w:rPr>
        <w:t>分。</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lang w:val="en-US" w:eastAsia="zh-CN"/>
        </w:rPr>
        <w:t>说明：</w:t>
      </w:r>
      <w:r>
        <w:rPr>
          <w:rFonts w:hint="eastAsia" w:asciiTheme="minorEastAsia" w:hAnsiTheme="minorEastAsia" w:eastAsiaTheme="minorEastAsia"/>
          <w:color w:val="auto"/>
        </w:rPr>
        <w:t>总得分 = 1+2+3+4+5</w:t>
      </w:r>
      <w:r>
        <w:rPr>
          <w:rFonts w:hint="eastAsia" w:asciiTheme="minorEastAsia" w:hAnsiTheme="minorEastAsia" w:eastAsiaTheme="minorEastAsia"/>
          <w:color w:val="auto"/>
          <w:lang w:val="en-US" w:eastAsia="zh-CN"/>
        </w:rPr>
        <w:t>+6+7</w:t>
      </w:r>
      <w:r>
        <w:rPr>
          <w:rFonts w:hint="eastAsia" w:asciiTheme="minorEastAsia" w:hAnsiTheme="minorEastAsia" w:eastAsiaTheme="minorEastAsia"/>
          <w:color w:val="auto"/>
        </w:rPr>
        <w:t>。</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   三、成交候选人推荐原则</w:t>
      </w:r>
    </w:p>
    <w:p>
      <w:pPr>
        <w:pStyle w:val="394"/>
        <w:spacing w:before="0"/>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磋商小组将根据得分由高到低排列次序（得分相同，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pPr>
        <w:pStyle w:val="394"/>
        <w:spacing w:before="0"/>
        <w:ind w:firstLine="480"/>
        <w:rPr>
          <w:rFonts w:asciiTheme="minorEastAsia" w:hAnsiTheme="minorEastAsia" w:eastAsiaTheme="minorEastAsia"/>
          <w:color w:val="auto"/>
        </w:rPr>
      </w:pPr>
    </w:p>
    <w:p>
      <w:pPr>
        <w:adjustRightInd/>
        <w:spacing w:line="360" w:lineRule="auto"/>
        <w:ind w:firstLine="482" w:firstLineChars="200"/>
        <w:rPr>
          <w:rFonts w:cs="Arial" w:asciiTheme="minorEastAsia" w:hAnsiTheme="minorEastAsia" w:eastAsiaTheme="minorEastAsia"/>
          <w:b/>
          <w:color w:val="auto"/>
          <w:kern w:val="0"/>
          <w:sz w:val="24"/>
        </w:rPr>
        <w:sectPr>
          <w:headerReference r:id="rId4" w:type="first"/>
          <w:footerReference r:id="rId6" w:type="first"/>
          <w:headerReference r:id="rId3" w:type="default"/>
          <w:footerReference r:id="rId5" w:type="default"/>
          <w:pgSz w:w="11906" w:h="16838"/>
          <w:pgMar w:top="1247" w:right="1418" w:bottom="1276" w:left="1418" w:header="851" w:footer="992" w:gutter="0"/>
          <w:cols w:space="720" w:num="1"/>
          <w:titlePg/>
          <w:docGrid w:linePitch="312" w:charSpace="0"/>
        </w:sect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二、磋商小组的组成</w:t>
      </w:r>
    </w:p>
    <w:p>
      <w:pPr>
        <w:pStyle w:val="394"/>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1.磋商小组的组成。</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磋商小组由采购人代表和评审专家共3人以上单数组成，其中评审专家人数不得少于磋商小组成员总数的2/3。</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2.磋商小组的组成人员的回避。</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在政府采购活动中，磋商小组的组成人员与供应商有下列利害关系之一的，应当回避：</w:t>
      </w:r>
    </w:p>
    <w:p>
      <w:pPr>
        <w:pStyle w:val="394"/>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pPr>
        <w:pStyle w:val="394"/>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pPr>
        <w:pStyle w:val="394"/>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pPr>
        <w:pStyle w:val="394"/>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pPr>
        <w:pStyle w:val="394"/>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三、磋商小组的职责</w:t>
      </w:r>
    </w:p>
    <w:p>
      <w:pPr>
        <w:pStyle w:val="394"/>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1.磋商小组负责具体评审事务，并独立履行下列职责：</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1.2审查、评价响应文件是否符合磋商文件的商务、技术等实质性要求；</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1.4磋商小组集中与单一供应商分别进行磋商；</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1.5确定磋商文件的变动情况，并确定提交最后报价的供应商；</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1.6根据磋商文件确定的评审办法及评审标准对提交最后报价的供应商的响应文件和最后报价采用综合评分法进行综合评分；</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1.8向采购人、采购代理机构或者有关部门报告评审中发现的违法行为；</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1.9法律、法规、规章、磋商文件等规定的其它事项。</w:t>
      </w:r>
    </w:p>
    <w:p>
      <w:pPr>
        <w:pStyle w:val="394"/>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2.磋商小组及其成员不得有下列行为：</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2.4对需要专业判断的主观评审因素协商评分；</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2.5在评审过程中擅离职守，影响评审程序正常进行的；</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2.6记录、复制或者带走任何评审资料；</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2.7其他不遵守评审纪律的行为。</w:t>
      </w:r>
    </w:p>
    <w:p>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磋商小组成员有2.1-2.5行为之一的，其评审意见无效，并不得获取评审劳务报酬和报销异地评审差旅费。</w:t>
      </w:r>
    </w:p>
    <w:p>
      <w:pPr>
        <w:pStyle w:val="394"/>
        <w:spacing w:before="0"/>
        <w:ind w:firstLine="0" w:firstLineChars="0"/>
        <w:rPr>
          <w:rFonts w:asciiTheme="minorEastAsia" w:hAnsiTheme="minorEastAsia" w:eastAsiaTheme="minorEastAsia"/>
          <w:b/>
          <w:color w:val="auto"/>
        </w:rPr>
      </w:pPr>
    </w:p>
    <w:p>
      <w:pPr>
        <w:pStyle w:val="394"/>
        <w:spacing w:before="0"/>
        <w:ind w:firstLine="0" w:firstLineChars="0"/>
        <w:rPr>
          <w:rFonts w:asciiTheme="minorEastAsia" w:hAnsiTheme="minorEastAsia" w:eastAsiaTheme="minorEastAsia"/>
          <w:b/>
          <w:color w:val="auto"/>
        </w:rPr>
      </w:pPr>
    </w:p>
    <w:p>
      <w:pPr>
        <w:pStyle w:val="394"/>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pPr>
        <w:pStyle w:val="394"/>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详见磋商文件“第二部分 竞争性磋商流程”。</w:t>
      </w:r>
    </w:p>
    <w:p>
      <w:pPr>
        <w:pStyle w:val="394"/>
        <w:spacing w:before="0"/>
        <w:ind w:firstLine="0" w:firstLineChars="0"/>
        <w:rPr>
          <w:rFonts w:asciiTheme="minorEastAsia" w:hAnsiTheme="minorEastAsia" w:eastAsiaTheme="minorEastAsia"/>
          <w:b/>
          <w:color w:val="auto"/>
        </w:rPr>
      </w:pPr>
    </w:p>
    <w:p>
      <w:pPr>
        <w:pStyle w:val="394"/>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pPr>
        <w:pStyle w:val="394"/>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4"/>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pPr>
        <w:pStyle w:val="394"/>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3.</w:t>
      </w:r>
      <w:r>
        <w:rPr>
          <w:rFonts w:hint="eastAsia" w:asciiTheme="minorEastAsia" w:hAnsiTheme="minorEastAsia" w:eastAsiaTheme="minorEastAsia"/>
          <w:b/>
          <w:color w:val="auto"/>
          <w:spacing w:val="20"/>
        </w:rPr>
        <w:t>响应无效</w:t>
      </w:r>
    </w:p>
    <w:p>
      <w:pPr>
        <w:pStyle w:val="25"/>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3.1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3.3供应商不具备磋商文件中规定的资格要求的（供应商未提供有效的资格证明文件的，视为供应商不具备磋商文件中规定的资格要求）；</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3.4如以联合体形式参加政府采购活动的，联合协议不符合磋商文件规定的联合协议要求的；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3.5响应文件未按磋商文件的澄清、修改的内容编制，又不符合实质性要求的；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3.6响应文件组成漏项，内容不全或内容字迹模糊辨认不清的；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3.7响应文件中法人授权书所载内容与本项目内容有异的；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3.8响应文件未按照磋商文件要求签署、盖章的；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3.10响应文件含有采购人不能接受的附加条件的；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3.11响应文件中承诺的响应有效期少于磋商文件中载明的响应有效期的；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3.12供应商所投内容不符合磋商文件中实质性要求的；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3.13所提交的《最后报价一览表》中出现不是唯一的、有选择性的报价的;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3.14最后报价高于本项目采购预算或者最高限价的;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3.15《最后报价一览表》填写不完整或字迹不能辨认或有漏项的；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3.16供应商对根据修正原则修正后的最后报价不确认的；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3.17供应商提供虚假材料响应的（包括但不限于以下情节）；</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3.17.1使用伪造、变造的许可证件；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3.17.2提供虚假的财务状况或者业绩；</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3.17.3提供虚假的项目负责人或者主要技术人员简历、劳动关系证明；</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3.17.4提供虚假的信用状况；</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3.17.5其他弄虚作假的行为。</w:t>
      </w:r>
    </w:p>
    <w:p>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3.18供应商有恶意串通、妨碍其他供应商的竞争行为、损害采购人或者其他供应商的合法权益情形的。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3.18.2供应商按照采购人或者采购代理机构的授意撤换、修改投标文件或者响应文件；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3.18.3供应商之间协商报价、技术方案等投标文件或者响应文件的实质性内容；</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3.18.5供应商之间事先约定由某一特定供应商中标、成交；</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3.18.6供应商之间商定部分供应商放弃参加政府采购活动或者放弃中标、成交；</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3.18.8不同供应商的响应文件由同一单位或者个人编制；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3.18.9不同供应商委托同一单位或者个人办理响应事宜；</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3.18.10不同供应商的响应文件载明的项目管理成员或者联系人员为同一人；</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3.18.11不同供应商的响应文件异常一致或者最后报价呈规律性差异。</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3.19供应商仅提交备份响应文件，没有在电子交易平台传输提交响应文件的，响应无效；</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3.20法律、法规、规章（适用本市的）及省级以上规范性文件（适用本市的）规定的其他无效情形。</w:t>
      </w:r>
    </w:p>
    <w:p>
      <w:pPr>
        <w:pStyle w:val="394"/>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4. 重新开展采购活动</w:t>
      </w:r>
    </w:p>
    <w:p>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（1）因情况变化，不再符合规定的竞争性磋商采购方式适用情形的；</w:t>
      </w:r>
    </w:p>
    <w:p>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（3）在采购过程中符合要求的供应商或者最后报价未超过采购预算的供应商不足3家的（有特殊规定的从其规定）。</w:t>
      </w:r>
    </w:p>
    <w:p>
      <w:pPr>
        <w:pStyle w:val="394"/>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5. 终止采购活动</w:t>
      </w:r>
    </w:p>
    <w:p>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color w:val="auto"/>
          <w:sz w:val="24"/>
        </w:rPr>
      </w:pPr>
      <w:r>
        <w:rPr>
          <w:rFonts w:asciiTheme="minorEastAsia" w:hAnsiTheme="minorEastAsia" w:eastAsiaTheme="minorEastAsia"/>
          <w:b/>
          <w:color w:val="auto"/>
          <w:sz w:val="24"/>
        </w:rPr>
        <w:t xml:space="preserve">6. </w:t>
      </w:r>
      <w:r>
        <w:rPr>
          <w:rFonts w:hint="eastAsia" w:cs="仿宋_GB2312" w:asciiTheme="minorEastAsia" w:hAnsiTheme="minorEastAsia" w:eastAsiaTheme="minorEastAsia"/>
          <w:b/>
          <w:color w:val="auto"/>
          <w:sz w:val="24"/>
        </w:rPr>
        <w:t>采购代理机构有权对磋商小组各成员的评分情况和评审意见进行合理性和合规性审查</w:t>
      </w:r>
      <w:r>
        <w:rPr>
          <w:rFonts w:hint="eastAsia" w:cs="仿宋_GB2312" w:asciiTheme="minorEastAsia" w:hAnsiTheme="minorEastAsia" w:eastAsiaTheme="minorEastAsia"/>
          <w:color w:val="auto"/>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pStyle w:val="394"/>
        <w:spacing w:before="0"/>
        <w:ind w:firstLine="0" w:firstLineChars="0"/>
        <w:rPr>
          <w:rFonts w:cs="仿宋_GB2312" w:asciiTheme="minorEastAsia" w:hAnsiTheme="minorEastAsia" w:eastAsiaTheme="minorEastAsia"/>
          <w:b/>
          <w:color w:val="auto"/>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pPr>
        <w:spacing w:line="360" w:lineRule="auto"/>
        <w:jc w:val="center"/>
        <w:outlineLvl w:val="0"/>
        <w:rPr>
          <w:rFonts w:cs="仿宋_GB2312" w:asciiTheme="minorEastAsia" w:hAnsiTheme="minorEastAsia" w:eastAsiaTheme="minorEastAsia"/>
          <w:b/>
          <w:color w:val="auto"/>
          <w:sz w:val="36"/>
          <w:szCs w:val="36"/>
        </w:rPr>
      </w:pPr>
      <w:bookmarkStart w:id="47" w:name="_Toc181203099"/>
      <w:r>
        <w:rPr>
          <w:rFonts w:hint="eastAsia" w:cs="仿宋_GB2312" w:asciiTheme="minorEastAsia" w:hAnsiTheme="minorEastAsia" w:eastAsiaTheme="minorEastAsia"/>
          <w:b/>
          <w:color w:val="auto"/>
          <w:sz w:val="36"/>
          <w:szCs w:val="36"/>
        </w:rPr>
        <w:t>第六部分</w:t>
      </w:r>
      <w:bookmarkEnd w:id="43"/>
      <w:r>
        <w:rPr>
          <w:rFonts w:hint="eastAsia" w:cs="仿宋_GB2312" w:asciiTheme="minorEastAsia" w:hAnsiTheme="minorEastAsia" w:eastAsiaTheme="minorEastAsia"/>
          <w:b/>
          <w:color w:val="auto"/>
          <w:sz w:val="36"/>
          <w:szCs w:val="36"/>
        </w:rPr>
        <w:t xml:space="preserve">  拟签订的合同文本</w:t>
      </w:r>
      <w:bookmarkEnd w:id="47"/>
    </w:p>
    <w:p>
      <w:pPr>
        <w:spacing w:line="480" w:lineRule="auto"/>
        <w:jc w:val="center"/>
        <w:rPr>
          <w:rFonts w:ascii="宋体" w:hAnsi="宋体" w:cs="宋体"/>
          <w:b/>
          <w:color w:val="auto"/>
          <w:sz w:val="36"/>
          <w:szCs w:val="36"/>
        </w:rPr>
      </w:pPr>
      <w:bookmarkStart w:id="48" w:name="第五部分"/>
      <w:bookmarkStart w:id="49" w:name="_Toc86217003"/>
    </w:p>
    <w:p>
      <w:pPr>
        <w:spacing w:line="480" w:lineRule="auto"/>
        <w:jc w:val="center"/>
        <w:rPr>
          <w:rFonts w:ascii="宋体" w:hAnsi="宋体" w:cs="宋体"/>
          <w:b/>
          <w:color w:val="auto"/>
          <w:sz w:val="36"/>
          <w:szCs w:val="36"/>
        </w:rPr>
      </w:pPr>
    </w:p>
    <w:p>
      <w:pPr>
        <w:spacing w:line="480" w:lineRule="auto"/>
        <w:jc w:val="center"/>
        <w:rPr>
          <w:rFonts w:ascii="宋体" w:hAnsi="宋体" w:cs="宋体"/>
          <w:b/>
          <w:color w:val="auto"/>
          <w:sz w:val="36"/>
          <w:szCs w:val="36"/>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政府采购合同参考范本</w:t>
      </w:r>
    </w:p>
    <w:p>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w:t>
      </w:r>
    </w:p>
    <w:p>
      <w:pPr>
        <w:pStyle w:val="283"/>
        <w:ind w:firstLine="2843" w:firstLineChars="1180"/>
        <w:rPr>
          <w:rFonts w:ascii="宋体" w:hAnsi="宋体" w:cs="宋体"/>
          <w:b/>
          <w:color w:val="auto"/>
          <w:szCs w:val="24"/>
        </w:rPr>
      </w:pPr>
    </w:p>
    <w:p>
      <w:pPr>
        <w:pStyle w:val="25"/>
        <w:spacing w:after="120"/>
        <w:rPr>
          <w:color w:val="auto"/>
        </w:rPr>
      </w:pPr>
    </w:p>
    <w:p>
      <w:pPr>
        <w:pStyle w:val="25"/>
        <w:spacing w:after="120"/>
        <w:rPr>
          <w:color w:val="auto"/>
        </w:rPr>
      </w:pPr>
    </w:p>
    <w:p>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pPr>
        <w:adjustRightInd/>
        <w:spacing w:line="360" w:lineRule="auto"/>
        <w:ind w:left="1680" w:leftChars="800"/>
        <w:rPr>
          <w:color w:val="auto"/>
          <w:sz w:val="32"/>
          <w:szCs w:val="32"/>
          <w:u w:val="single"/>
        </w:rPr>
      </w:pPr>
      <w:r>
        <w:rPr>
          <w:rFonts w:hint="eastAsia"/>
          <w:color w:val="auto"/>
          <w:sz w:val="32"/>
          <w:szCs w:val="32"/>
        </w:rPr>
        <w:t>合同编号：</w:t>
      </w:r>
      <w:r>
        <w:rPr>
          <w:color w:val="auto"/>
          <w:sz w:val="32"/>
          <w:szCs w:val="32"/>
          <w:u w:val="single"/>
        </w:rPr>
        <w:t xml:space="preserve">                             </w:t>
      </w:r>
    </w:p>
    <w:p>
      <w:pPr>
        <w:adjustRightInd/>
        <w:spacing w:line="360" w:lineRule="auto"/>
        <w:ind w:left="1680" w:leftChars="800"/>
        <w:rPr>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pPr>
        <w:adjustRightInd/>
        <w:spacing w:line="360" w:lineRule="auto"/>
        <w:ind w:left="1680" w:leftChars="800"/>
        <w:rPr>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pPr>
        <w:pStyle w:val="633"/>
        <w:rPr>
          <w:color w:val="auto"/>
        </w:rPr>
      </w:pPr>
    </w:p>
    <w:p>
      <w:pPr>
        <w:pStyle w:val="633"/>
        <w:rPr>
          <w:color w:val="auto"/>
        </w:rPr>
      </w:pPr>
    </w:p>
    <w:p>
      <w:pPr>
        <w:pStyle w:val="633"/>
        <w:rPr>
          <w:color w:val="auto"/>
        </w:rPr>
      </w:pPr>
    </w:p>
    <w:p>
      <w:pPr>
        <w:pStyle w:val="633"/>
        <w:rPr>
          <w:color w:val="auto"/>
        </w:rPr>
      </w:pPr>
    </w:p>
    <w:p>
      <w:pPr>
        <w:pStyle w:val="633"/>
        <w:rPr>
          <w:color w:val="auto"/>
        </w:rPr>
      </w:pPr>
    </w:p>
    <w:p>
      <w:pPr>
        <w:pStyle w:val="633"/>
        <w:rPr>
          <w:color w:val="auto"/>
        </w:rPr>
      </w:pPr>
    </w:p>
    <w:p>
      <w:pPr>
        <w:pStyle w:val="633"/>
        <w:rPr>
          <w:color w:val="auto"/>
        </w:rPr>
      </w:pPr>
    </w:p>
    <w:p>
      <w:pPr>
        <w:pStyle w:val="633"/>
        <w:rPr>
          <w:color w:val="auto"/>
        </w:rPr>
      </w:pPr>
    </w:p>
    <w:p>
      <w:pPr>
        <w:pStyle w:val="633"/>
        <w:rPr>
          <w:color w:val="auto"/>
        </w:rPr>
      </w:pPr>
    </w:p>
    <w:p>
      <w:pPr>
        <w:pStyle w:val="633"/>
        <w:rPr>
          <w:color w:val="auto"/>
        </w:rPr>
      </w:pPr>
    </w:p>
    <w:p>
      <w:pPr>
        <w:spacing w:line="360" w:lineRule="auto"/>
        <w:jc w:val="center"/>
        <w:outlineLvl w:val="1"/>
        <w:rPr>
          <w:rFonts w:ascii="宋体" w:hAnsi="宋体" w:cs="宋体"/>
          <w:b/>
          <w:color w:val="auto"/>
          <w:sz w:val="24"/>
        </w:rPr>
      </w:pPr>
      <w:bookmarkStart w:id="50" w:name="_Toc22209"/>
      <w:r>
        <w:rPr>
          <w:rFonts w:hint="eastAsia" w:ascii="宋体" w:hAnsi="宋体"/>
          <w:b/>
          <w:color w:val="auto"/>
          <w:sz w:val="24"/>
        </w:rPr>
        <w:t>第一节 政府采购合同协议书</w:t>
      </w:r>
      <w:bookmarkEnd w:id="50"/>
    </w:p>
    <w:p>
      <w:pPr>
        <w:spacing w:line="360" w:lineRule="auto"/>
        <w:ind w:firstLine="480" w:firstLineChars="200"/>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s="宋体"/>
          <w:color w:val="auto"/>
          <w:sz w:val="24"/>
          <w:u w:val="single"/>
        </w:rPr>
        <w:t>（采购人）</w:t>
      </w:r>
      <w:r>
        <w:rPr>
          <w:rFonts w:ascii="宋体" w:hAnsi="宋体"/>
          <w:color w:val="auto"/>
          <w:sz w:val="24"/>
          <w:u w:val="single"/>
        </w:rPr>
        <w:t xml:space="preserve">   </w:t>
      </w:r>
      <w:r>
        <w:rPr>
          <w:rFonts w:hint="eastAsia" w:ascii="宋体" w:hAnsi="宋体"/>
          <w:color w:val="auto"/>
          <w:sz w:val="24"/>
        </w:rPr>
        <w:t>以</w:t>
      </w:r>
      <w:r>
        <w:rPr>
          <w:rFonts w:ascii="宋体" w:hAnsi="宋体"/>
          <w:color w:val="auto"/>
          <w:sz w:val="24"/>
          <w:u w:val="single"/>
        </w:rPr>
        <w:t xml:space="preserve">   （政府采购方式）  </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rPr>
        <w:t xml:space="preserve">（项目名称）  </w:t>
      </w:r>
      <w:r>
        <w:rPr>
          <w:rFonts w:ascii="宋体" w:hAnsi="宋体"/>
          <w:color w:val="auto"/>
          <w:sz w:val="24"/>
          <w:u w:val="single"/>
        </w:rPr>
        <w:t xml:space="preserve">  </w:t>
      </w:r>
      <w:r>
        <w:rPr>
          <w:rFonts w:hint="eastAsia" w:ascii="宋体" w:hAnsi="宋体"/>
          <w:color w:val="auto"/>
          <w:sz w:val="24"/>
        </w:rPr>
        <w:t>项目进行了采购。经</w:t>
      </w:r>
      <w:r>
        <w:rPr>
          <w:rFonts w:ascii="宋体" w:hAnsi="宋体"/>
          <w:color w:val="auto"/>
          <w:sz w:val="24"/>
          <w:u w:val="single"/>
        </w:rPr>
        <w:t xml:space="preserve">   （相关评定主体名称）   </w:t>
      </w:r>
      <w:r>
        <w:rPr>
          <w:rFonts w:hint="eastAsia" w:ascii="宋体" w:hAnsi="宋体"/>
          <w:color w:val="auto"/>
          <w:sz w:val="24"/>
        </w:rPr>
        <w:t>评定，</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成交供应商</w:t>
      </w:r>
      <w:r>
        <w:rPr>
          <w:rFonts w:hint="eastAsia" w:ascii="宋体" w:hAnsi="宋体"/>
          <w:color w:val="auto"/>
          <w:sz w:val="24"/>
        </w:rPr>
        <w:t>。现于</w:t>
      </w:r>
      <w:r>
        <w:rPr>
          <w:rFonts w:hint="eastAsia" w:ascii="宋体" w:hAnsi="宋体" w:cs="宋体"/>
          <w:color w:val="auto"/>
          <w:sz w:val="24"/>
        </w:rPr>
        <w:t>成交通知书</w:t>
      </w:r>
      <w:r>
        <w:rPr>
          <w:rFonts w:hint="eastAsia" w:ascii="宋体" w:hAnsi="宋体"/>
          <w:color w:val="auto"/>
          <w:sz w:val="24"/>
        </w:rPr>
        <w:t>发出之日起</w:t>
      </w:r>
      <w:r>
        <w:rPr>
          <w:rFonts w:hint="eastAsia" w:ascii="宋体" w:hAnsi="宋体"/>
          <w:color w:val="auto"/>
          <w:sz w:val="24"/>
          <w:u w:val="single"/>
        </w:rPr>
        <w:t>5</w:t>
      </w:r>
      <w:r>
        <w:rPr>
          <w:rFonts w:hint="eastAsia" w:ascii="宋体" w:hAnsi="宋体"/>
          <w:color w:val="auto"/>
          <w:sz w:val="24"/>
        </w:rPr>
        <w:t>个工作日内，按照采购文件确定的事项签订本合同。</w:t>
      </w:r>
    </w:p>
    <w:p>
      <w:pPr>
        <w:spacing w:line="360" w:lineRule="auto"/>
        <w:ind w:firstLine="480" w:firstLineChars="200"/>
        <w:rPr>
          <w:rFonts w:ascii="宋体" w:hAnsi="宋体"/>
          <w:color w:val="auto"/>
          <w:sz w:val="24"/>
        </w:rPr>
      </w:pPr>
      <w:r>
        <w:rPr>
          <w:rFonts w:hint="eastAsia" w:ascii="宋体" w:hAnsi="宋体"/>
          <w:color w:val="auto"/>
          <w:sz w:val="24"/>
          <w:lang w:val="zh-CN"/>
        </w:rPr>
        <w:t>根据《中华人民共和国民法典》《中华人民共和国政府采购法》等相关法律法规之规定，按照平等、自愿、公平和诚实信用的原则，经</w:t>
      </w:r>
      <w:r>
        <w:rPr>
          <w:rFonts w:ascii="宋体" w:hAnsi="宋体"/>
          <w:color w:val="auto"/>
          <w:sz w:val="24"/>
          <w:u w:val="single"/>
        </w:rPr>
        <w:t xml:space="preserve">   （采购人）   </w:t>
      </w:r>
      <w:r>
        <w:rPr>
          <w:rFonts w:ascii="宋体" w:hAnsi="宋体"/>
          <w:color w:val="auto"/>
          <w:sz w:val="24"/>
          <w:lang w:val="zh-CN"/>
        </w:rPr>
        <w:t>(以下简称：甲方)和</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pPr>
        <w:spacing w:line="360" w:lineRule="auto"/>
        <w:ind w:firstLine="482" w:firstLineChars="200"/>
        <w:rPr>
          <w:rFonts w:ascii="宋体" w:hAnsi="宋体"/>
          <w:color w:val="auto"/>
          <w:sz w:val="24"/>
        </w:rPr>
      </w:pPr>
      <w:bookmarkStart w:id="51" w:name="_Toc15367"/>
      <w:bookmarkStart w:id="52" w:name="_Toc19273"/>
      <w:bookmarkStart w:id="53" w:name="_Toc28855"/>
      <w:bookmarkStart w:id="54" w:name="_Toc22967"/>
      <w:bookmarkStart w:id="55" w:name="_Toc20421"/>
      <w:r>
        <w:rPr>
          <w:rFonts w:ascii="宋体" w:hAnsi="宋体"/>
          <w:b/>
          <w:color w:val="auto"/>
          <w:sz w:val="24"/>
        </w:rPr>
        <w:t xml:space="preserve">1.1 </w:t>
      </w:r>
      <w:r>
        <w:rPr>
          <w:rFonts w:hint="eastAsia" w:ascii="宋体" w:hAnsi="宋体"/>
          <w:b/>
          <w:color w:val="auto"/>
          <w:sz w:val="24"/>
        </w:rPr>
        <w:t>合同组成部分</w:t>
      </w:r>
      <w:bookmarkEnd w:id="51"/>
      <w:bookmarkEnd w:id="52"/>
      <w:bookmarkEnd w:id="53"/>
      <w:bookmarkEnd w:id="54"/>
      <w:bookmarkEnd w:id="55"/>
    </w:p>
    <w:p>
      <w:pPr>
        <w:spacing w:line="360" w:lineRule="auto"/>
        <w:ind w:firstLine="480" w:firstLineChars="200"/>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olor w:val="auto"/>
          <w:sz w:val="24"/>
        </w:rPr>
      </w:pPr>
      <w:r>
        <w:rPr>
          <w:rFonts w:ascii="宋体" w:hAnsi="宋体"/>
          <w:color w:val="auto"/>
          <w:sz w:val="24"/>
        </w:rPr>
        <w:t xml:space="preserve">1.1.1 </w:t>
      </w:r>
      <w:r>
        <w:rPr>
          <w:rFonts w:hint="eastAsia" w:ascii="宋体" w:hAnsi="宋体"/>
          <w:color w:val="auto"/>
          <w:sz w:val="24"/>
        </w:rPr>
        <w:t>本合同及其补充合同、变更协议；</w:t>
      </w:r>
    </w:p>
    <w:p>
      <w:pPr>
        <w:spacing w:line="360" w:lineRule="auto"/>
        <w:ind w:firstLine="480" w:firstLineChars="200"/>
        <w:rPr>
          <w:rFonts w:ascii="宋体" w:hAnsi="宋体"/>
          <w:color w:val="auto"/>
          <w:sz w:val="24"/>
        </w:rPr>
      </w:pPr>
      <w:r>
        <w:rPr>
          <w:rFonts w:ascii="宋体" w:hAnsi="宋体"/>
          <w:color w:val="auto"/>
          <w:sz w:val="24"/>
        </w:rPr>
        <w:t xml:space="preserve">1.1.2 </w:t>
      </w:r>
      <w:r>
        <w:rPr>
          <w:rFonts w:hint="eastAsia" w:ascii="宋体" w:hAnsi="宋体"/>
          <w:color w:val="auto"/>
          <w:sz w:val="24"/>
        </w:rPr>
        <w:t>中标或者成交通知书；</w:t>
      </w:r>
    </w:p>
    <w:p>
      <w:pPr>
        <w:spacing w:line="360" w:lineRule="auto"/>
        <w:ind w:firstLine="480" w:firstLineChars="200"/>
        <w:rPr>
          <w:rFonts w:ascii="宋体" w:hAnsi="宋体"/>
          <w:color w:val="auto"/>
          <w:sz w:val="24"/>
        </w:rPr>
      </w:pPr>
      <w:r>
        <w:rPr>
          <w:rFonts w:ascii="宋体" w:hAnsi="宋体"/>
          <w:color w:val="auto"/>
          <w:sz w:val="24"/>
        </w:rPr>
        <w:t xml:space="preserve">1.1.3 </w:t>
      </w:r>
      <w:r>
        <w:rPr>
          <w:rFonts w:hint="eastAsia" w:ascii="宋体" w:hAnsi="宋体"/>
          <w:color w:val="auto"/>
          <w:sz w:val="24"/>
        </w:rPr>
        <w:t>投标或者响应文件（含澄清或者说明文件）；</w:t>
      </w:r>
    </w:p>
    <w:p>
      <w:pPr>
        <w:spacing w:line="360" w:lineRule="auto"/>
        <w:ind w:firstLine="480" w:firstLineChars="200"/>
        <w:rPr>
          <w:rFonts w:ascii="宋体" w:hAnsi="宋体"/>
          <w:color w:val="auto"/>
          <w:sz w:val="24"/>
        </w:rPr>
      </w:pPr>
      <w:r>
        <w:rPr>
          <w:rFonts w:ascii="宋体" w:hAnsi="宋体"/>
          <w:color w:val="auto"/>
          <w:sz w:val="24"/>
        </w:rPr>
        <w:t xml:space="preserve">1.1.4 </w:t>
      </w:r>
      <w:r>
        <w:rPr>
          <w:rFonts w:hint="eastAsia" w:ascii="宋体" w:hAnsi="宋体"/>
          <w:color w:val="auto"/>
          <w:sz w:val="24"/>
        </w:rPr>
        <w:t>采购文件（含澄清或者修改文件）；</w:t>
      </w:r>
    </w:p>
    <w:p>
      <w:pPr>
        <w:spacing w:line="360" w:lineRule="auto"/>
        <w:ind w:firstLine="480" w:firstLineChars="200"/>
        <w:rPr>
          <w:rFonts w:ascii="宋体" w:hAnsi="宋体"/>
          <w:color w:val="auto"/>
          <w:sz w:val="24"/>
        </w:rPr>
      </w:pPr>
      <w:r>
        <w:rPr>
          <w:rFonts w:ascii="宋体" w:hAnsi="宋体"/>
          <w:color w:val="auto"/>
          <w:sz w:val="24"/>
        </w:rPr>
        <w:t xml:space="preserve">1.1.5 </w:t>
      </w:r>
      <w:r>
        <w:rPr>
          <w:rFonts w:hint="eastAsia" w:ascii="宋体" w:hAnsi="宋体"/>
          <w:color w:val="auto"/>
          <w:sz w:val="24"/>
        </w:rPr>
        <w:t>其他相关采购文件。</w:t>
      </w:r>
    </w:p>
    <w:p>
      <w:pPr>
        <w:spacing w:line="360" w:lineRule="auto"/>
        <w:ind w:firstLine="482" w:firstLineChars="200"/>
        <w:rPr>
          <w:rFonts w:ascii="宋体" w:hAnsi="宋体"/>
          <w:b/>
          <w:color w:val="auto"/>
          <w:sz w:val="24"/>
        </w:rPr>
      </w:pPr>
      <w:bookmarkStart w:id="56" w:name="_Toc18585"/>
      <w:bookmarkStart w:id="57" w:name="_Toc22185"/>
      <w:bookmarkStart w:id="58" w:name="_Toc6311"/>
      <w:bookmarkStart w:id="59" w:name="_Toc6773"/>
      <w:bookmarkStart w:id="60" w:name="_Toc2918"/>
      <w:r>
        <w:rPr>
          <w:rFonts w:ascii="宋体" w:hAnsi="宋体"/>
          <w:b/>
          <w:color w:val="auto"/>
          <w:sz w:val="24"/>
        </w:rPr>
        <w:t xml:space="preserve">1.2 </w:t>
      </w:r>
      <w:r>
        <w:rPr>
          <w:rFonts w:hint="eastAsia" w:ascii="宋体" w:hAnsi="宋体"/>
          <w:b/>
          <w:color w:val="auto"/>
          <w:sz w:val="24"/>
        </w:rPr>
        <w:t>标的</w:t>
      </w:r>
      <w:bookmarkEnd w:id="56"/>
      <w:bookmarkEnd w:id="57"/>
      <w:bookmarkEnd w:id="58"/>
      <w:bookmarkEnd w:id="59"/>
      <w:bookmarkEnd w:id="60"/>
    </w:p>
    <w:p>
      <w:pPr>
        <w:spacing w:line="360" w:lineRule="auto"/>
        <w:ind w:firstLine="480" w:firstLineChars="200"/>
        <w:rPr>
          <w:rFonts w:ascii="宋体" w:hAnsi="宋体"/>
          <w:color w:val="auto"/>
          <w:sz w:val="24"/>
          <w:u w:val="single"/>
        </w:rPr>
      </w:pPr>
      <w:r>
        <w:rPr>
          <w:rFonts w:ascii="宋体" w:hAnsi="宋体"/>
          <w:color w:val="auto"/>
          <w:sz w:val="24"/>
        </w:rPr>
        <w:t xml:space="preserve">1.2.1 </w:t>
      </w:r>
      <w:r>
        <w:rPr>
          <w:rFonts w:hint="eastAsia" w:ascii="宋体" w:hAnsi="宋体"/>
          <w:color w:val="auto"/>
          <w:sz w:val="24"/>
        </w:rPr>
        <w:t>服务内容</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pPr>
        <w:spacing w:line="360" w:lineRule="auto"/>
        <w:ind w:firstLine="480" w:firstLineChars="200"/>
        <w:rPr>
          <w:rFonts w:ascii="宋体" w:hAnsi="宋体"/>
          <w:color w:val="auto"/>
          <w:sz w:val="24"/>
          <w:u w:val="single"/>
        </w:rPr>
      </w:pPr>
      <w:r>
        <w:rPr>
          <w:rFonts w:ascii="宋体" w:hAnsi="宋体"/>
          <w:color w:val="auto"/>
          <w:sz w:val="24"/>
        </w:rPr>
        <w:t xml:space="preserve">1.2.2 </w:t>
      </w:r>
      <w:r>
        <w:rPr>
          <w:rFonts w:hint="eastAsia" w:ascii="宋体" w:hAnsi="宋体"/>
          <w:color w:val="auto"/>
          <w:sz w:val="24"/>
        </w:rPr>
        <w:t>服务标准</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pPr>
        <w:spacing w:line="360" w:lineRule="auto"/>
        <w:ind w:firstLine="480" w:firstLineChars="200"/>
        <w:rPr>
          <w:rFonts w:ascii="宋体" w:hAnsi="宋体"/>
          <w:color w:val="auto"/>
          <w:sz w:val="24"/>
          <w:u w:val="single"/>
        </w:rPr>
      </w:pPr>
      <w:r>
        <w:rPr>
          <w:rFonts w:ascii="宋体" w:hAnsi="宋体"/>
          <w:color w:val="auto"/>
          <w:sz w:val="24"/>
        </w:rPr>
        <w:t xml:space="preserve">1.2.3 </w:t>
      </w:r>
      <w:r>
        <w:rPr>
          <w:rFonts w:hint="eastAsia" w:ascii="宋体" w:hAnsi="宋体"/>
          <w:color w:val="auto"/>
          <w:sz w:val="24"/>
        </w:rPr>
        <w:t>技术保障：</w:t>
      </w:r>
      <w:r>
        <w:rPr>
          <w:rFonts w:ascii="宋体" w:hAnsi="宋体"/>
          <w:color w:val="auto"/>
          <w:sz w:val="24"/>
          <w:u w:val="single"/>
        </w:rPr>
        <w:t xml:space="preserve">　　　　　　　　　                      　      </w:t>
      </w:r>
      <w:r>
        <w:rPr>
          <w:rFonts w:hint="eastAsia" w:ascii="宋体" w:hAnsi="宋体"/>
          <w:color w:val="auto"/>
          <w:sz w:val="24"/>
          <w:u w:val="single"/>
        </w:rPr>
        <w:t>；</w:t>
      </w:r>
    </w:p>
    <w:p>
      <w:pPr>
        <w:spacing w:line="360" w:lineRule="auto"/>
        <w:ind w:firstLine="480" w:firstLineChars="200"/>
        <w:jc w:val="left"/>
        <w:rPr>
          <w:rFonts w:ascii="宋体" w:hAnsi="宋体"/>
          <w:color w:val="auto"/>
          <w:sz w:val="24"/>
        </w:rPr>
      </w:pPr>
      <w:r>
        <w:rPr>
          <w:rFonts w:hint="eastAsia" w:ascii="宋体" w:hAnsi="宋体"/>
          <w:color w:val="auto"/>
          <w:sz w:val="24"/>
        </w:rPr>
        <w:t>1.2.4 服务人员组成：</w:t>
      </w:r>
      <w:r>
        <w:rPr>
          <w:rFonts w:ascii="宋体" w:hAnsi="宋体"/>
          <w:color w:val="auto"/>
          <w:sz w:val="24"/>
          <w:u w:val="single"/>
        </w:rPr>
        <w:t xml:space="preserve">　　             　      </w:t>
      </w:r>
      <w:r>
        <w:rPr>
          <w:rFonts w:hint="eastAsia" w:ascii="宋体" w:hAnsi="宋体"/>
          <w:color w:val="auto"/>
          <w:sz w:val="24"/>
        </w:rPr>
        <w:t>；</w:t>
      </w:r>
    </w:p>
    <w:p>
      <w:pPr>
        <w:pStyle w:val="631"/>
        <w:spacing w:before="0" w:beforeAutospacing="0" w:after="0" w:afterAutospacing="0" w:line="360" w:lineRule="auto"/>
        <w:ind w:firstLine="480"/>
        <w:rPr>
          <w:color w:val="auto"/>
        </w:rPr>
      </w:pPr>
      <w:r>
        <w:rPr>
          <w:rFonts w:hint="eastAsia"/>
          <w:color w:val="auto"/>
        </w:rPr>
        <w:t>1.2.5合同</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否）涉及货物。若涉及货物的，则：</w:t>
      </w:r>
    </w:p>
    <w:p>
      <w:pPr>
        <w:spacing w:line="360" w:lineRule="auto"/>
        <w:ind w:firstLine="480" w:firstLineChars="200"/>
        <w:rPr>
          <w:rFonts w:ascii="宋体" w:hAnsi="宋体" w:cs="宋体"/>
          <w:color w:val="auto"/>
          <w:sz w:val="24"/>
          <w:u w:val="single"/>
        </w:rPr>
      </w:pPr>
      <w:bookmarkStart w:id="61" w:name="_Toc13918"/>
      <w:bookmarkStart w:id="62" w:name="_Toc4929"/>
      <w:bookmarkStart w:id="63" w:name="_Toc21124"/>
      <w:bookmarkStart w:id="64" w:name="_Toc5635"/>
      <w:bookmarkStart w:id="65" w:name="_Toc1386"/>
      <w:r>
        <w:rPr>
          <w:rFonts w:hint="eastAsia" w:ascii="宋体" w:hAnsi="宋体" w:cs="宋体"/>
          <w:color w:val="auto"/>
          <w:sz w:val="24"/>
        </w:rPr>
        <w:t>1.2.5.1 货物名称、品牌、规格型号、花色：</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1.2.5.2 货物数量：</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1.2.5.3 货物质量：</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2" w:firstLineChars="200"/>
        <w:rPr>
          <w:rFonts w:ascii="宋体" w:hAnsi="宋体"/>
          <w:b/>
          <w:color w:val="auto"/>
          <w:sz w:val="24"/>
        </w:rPr>
      </w:pPr>
      <w:r>
        <w:rPr>
          <w:rFonts w:ascii="宋体" w:hAnsi="宋体"/>
          <w:b/>
          <w:color w:val="auto"/>
          <w:sz w:val="24"/>
        </w:rPr>
        <w:t>1.3 价款</w:t>
      </w:r>
      <w:bookmarkEnd w:id="61"/>
      <w:bookmarkEnd w:id="62"/>
      <w:bookmarkEnd w:id="63"/>
      <w:bookmarkEnd w:id="64"/>
      <w:bookmarkEnd w:id="65"/>
    </w:p>
    <w:p>
      <w:pPr>
        <w:spacing w:line="360" w:lineRule="auto"/>
        <w:ind w:firstLine="480" w:firstLineChars="200"/>
        <w:rPr>
          <w:rFonts w:ascii="宋体" w:hAnsi="宋体"/>
          <w:color w:val="auto"/>
          <w:sz w:val="24"/>
        </w:rPr>
      </w:pPr>
      <w:r>
        <w:rPr>
          <w:rFonts w:hint="eastAsia" w:ascii="宋体" w:hAnsi="宋体" w:cs="宋体"/>
          <w:color w:val="auto"/>
          <w:sz w:val="24"/>
        </w:rPr>
        <w:t>本项目采用以下第</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pPr>
        <w:spacing w:line="360" w:lineRule="auto"/>
        <w:ind w:firstLine="480" w:firstLineChars="200"/>
        <w:rPr>
          <w:rFonts w:ascii="宋体" w:hAnsi="宋体"/>
          <w:color w:val="auto"/>
          <w:sz w:val="24"/>
        </w:rPr>
      </w:pPr>
      <w:r>
        <w:rPr>
          <w:rFonts w:hint="eastAsia" w:ascii="宋体" w:hAnsi="宋体"/>
          <w:color w:val="auto"/>
          <w:sz w:val="24"/>
        </w:rPr>
        <w:t>1.3.1总价合同，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ascii="宋体" w:hAnsi="宋体"/>
          <w:color w:val="auto"/>
          <w:sz w:val="24"/>
        </w:rPr>
        <w:t>。</w:t>
      </w:r>
    </w:p>
    <w:p>
      <w:pPr>
        <w:spacing w:line="360" w:lineRule="auto"/>
        <w:ind w:firstLine="480" w:firstLineChars="200"/>
        <w:rPr>
          <w:rFonts w:ascii="宋体" w:hAnsi="宋体"/>
          <w:color w:val="auto"/>
          <w:sz w:val="24"/>
          <w:u w:val="single"/>
        </w:rPr>
      </w:pPr>
      <w:r>
        <w:rPr>
          <w:rFonts w:ascii="宋体" w:hAnsi="宋体"/>
          <w:color w:val="auto"/>
          <w:sz w:val="24"/>
        </w:rPr>
        <w:t>分项价格：</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3"/>
              <w:spacing w:line="360" w:lineRule="auto"/>
              <w:jc w:val="center"/>
              <w:rPr>
                <w:rFonts w:hAnsi="宋体"/>
                <w:color w:val="auto"/>
                <w:sz w:val="24"/>
                <w:szCs w:val="24"/>
              </w:rPr>
            </w:pPr>
            <w:r>
              <w:rPr>
                <w:rFonts w:hAnsi="宋体"/>
                <w:color w:val="auto"/>
                <w:sz w:val="24"/>
                <w:szCs w:val="24"/>
              </w:rPr>
              <w:t>序号</w:t>
            </w:r>
          </w:p>
        </w:tc>
        <w:tc>
          <w:tcPr>
            <w:tcW w:w="3402" w:type="dxa"/>
            <w:vAlign w:val="center"/>
          </w:tcPr>
          <w:p>
            <w:pPr>
              <w:pStyle w:val="623"/>
              <w:spacing w:line="360" w:lineRule="auto"/>
              <w:ind w:firstLine="200"/>
              <w:jc w:val="center"/>
              <w:rPr>
                <w:rFonts w:hAnsi="宋体"/>
                <w:color w:val="auto"/>
                <w:sz w:val="24"/>
                <w:szCs w:val="24"/>
              </w:rPr>
            </w:pPr>
            <w:r>
              <w:rPr>
                <w:rFonts w:hint="eastAsia" w:hAnsi="宋体"/>
                <w:color w:val="auto"/>
                <w:sz w:val="24"/>
                <w:szCs w:val="24"/>
              </w:rPr>
              <w:t>分项名称</w:t>
            </w:r>
          </w:p>
        </w:tc>
        <w:tc>
          <w:tcPr>
            <w:tcW w:w="2552" w:type="dxa"/>
            <w:vAlign w:val="center"/>
          </w:tcPr>
          <w:p>
            <w:pPr>
              <w:pStyle w:val="623"/>
              <w:spacing w:line="360" w:lineRule="auto"/>
              <w:jc w:val="center"/>
              <w:rPr>
                <w:rFonts w:hAnsi="宋体"/>
                <w:color w:val="auto"/>
                <w:sz w:val="24"/>
                <w:szCs w:val="24"/>
              </w:rPr>
            </w:pPr>
            <w:r>
              <w:rPr>
                <w:rFonts w:hAnsi="宋体"/>
                <w:color w:val="auto"/>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3"/>
              <w:spacing w:line="360" w:lineRule="auto"/>
              <w:ind w:firstLine="200"/>
              <w:jc w:val="center"/>
              <w:rPr>
                <w:rFonts w:hAnsi="宋体"/>
                <w:color w:val="auto"/>
                <w:sz w:val="24"/>
                <w:szCs w:val="24"/>
              </w:rPr>
            </w:pPr>
          </w:p>
        </w:tc>
        <w:tc>
          <w:tcPr>
            <w:tcW w:w="3402" w:type="dxa"/>
            <w:vAlign w:val="center"/>
          </w:tcPr>
          <w:p>
            <w:pPr>
              <w:pStyle w:val="623"/>
              <w:spacing w:line="360" w:lineRule="auto"/>
              <w:ind w:firstLine="200"/>
              <w:jc w:val="center"/>
              <w:rPr>
                <w:rFonts w:hAnsi="宋体"/>
                <w:color w:val="auto"/>
                <w:sz w:val="24"/>
                <w:szCs w:val="24"/>
              </w:rPr>
            </w:pPr>
          </w:p>
        </w:tc>
        <w:tc>
          <w:tcPr>
            <w:tcW w:w="2552" w:type="dxa"/>
            <w:vAlign w:val="center"/>
          </w:tcPr>
          <w:p>
            <w:pPr>
              <w:pStyle w:val="623"/>
              <w:spacing w:line="360" w:lineRule="auto"/>
              <w:ind w:firstLine="200"/>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3"/>
              <w:spacing w:line="360" w:lineRule="auto"/>
              <w:ind w:firstLine="200"/>
              <w:jc w:val="center"/>
              <w:rPr>
                <w:rFonts w:hAnsi="宋体"/>
                <w:color w:val="auto"/>
                <w:sz w:val="24"/>
                <w:szCs w:val="24"/>
              </w:rPr>
            </w:pPr>
          </w:p>
        </w:tc>
        <w:tc>
          <w:tcPr>
            <w:tcW w:w="3402" w:type="dxa"/>
            <w:vAlign w:val="center"/>
          </w:tcPr>
          <w:p>
            <w:pPr>
              <w:pStyle w:val="623"/>
              <w:spacing w:line="360" w:lineRule="auto"/>
              <w:ind w:firstLine="200"/>
              <w:jc w:val="center"/>
              <w:rPr>
                <w:rFonts w:hAnsi="宋体"/>
                <w:color w:val="auto"/>
                <w:sz w:val="24"/>
                <w:szCs w:val="24"/>
              </w:rPr>
            </w:pPr>
          </w:p>
        </w:tc>
        <w:tc>
          <w:tcPr>
            <w:tcW w:w="2552" w:type="dxa"/>
            <w:vAlign w:val="center"/>
          </w:tcPr>
          <w:p>
            <w:pPr>
              <w:pStyle w:val="623"/>
              <w:spacing w:line="360" w:lineRule="auto"/>
              <w:ind w:firstLine="200"/>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3"/>
              <w:spacing w:line="360" w:lineRule="auto"/>
              <w:ind w:firstLine="200"/>
              <w:jc w:val="center"/>
              <w:rPr>
                <w:rFonts w:hAnsi="宋体"/>
                <w:color w:val="auto"/>
                <w:sz w:val="24"/>
                <w:szCs w:val="24"/>
              </w:rPr>
            </w:pPr>
          </w:p>
        </w:tc>
        <w:tc>
          <w:tcPr>
            <w:tcW w:w="3402" w:type="dxa"/>
            <w:vAlign w:val="center"/>
          </w:tcPr>
          <w:p>
            <w:pPr>
              <w:pStyle w:val="623"/>
              <w:spacing w:line="360" w:lineRule="auto"/>
              <w:ind w:firstLine="200"/>
              <w:jc w:val="center"/>
              <w:rPr>
                <w:rFonts w:hAnsi="宋体"/>
                <w:color w:val="auto"/>
                <w:sz w:val="24"/>
                <w:szCs w:val="24"/>
              </w:rPr>
            </w:pPr>
          </w:p>
        </w:tc>
        <w:tc>
          <w:tcPr>
            <w:tcW w:w="2552" w:type="dxa"/>
            <w:vAlign w:val="center"/>
          </w:tcPr>
          <w:p>
            <w:pPr>
              <w:pStyle w:val="623"/>
              <w:spacing w:line="360" w:lineRule="auto"/>
              <w:ind w:firstLine="200"/>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3"/>
              <w:spacing w:line="360" w:lineRule="auto"/>
              <w:ind w:firstLine="200"/>
              <w:jc w:val="center"/>
              <w:rPr>
                <w:rFonts w:hAnsi="宋体"/>
                <w:color w:val="auto"/>
                <w:sz w:val="24"/>
                <w:szCs w:val="24"/>
              </w:rPr>
            </w:pPr>
          </w:p>
        </w:tc>
        <w:tc>
          <w:tcPr>
            <w:tcW w:w="3402" w:type="dxa"/>
            <w:vAlign w:val="center"/>
          </w:tcPr>
          <w:p>
            <w:pPr>
              <w:pStyle w:val="623"/>
              <w:spacing w:line="360" w:lineRule="auto"/>
              <w:ind w:firstLine="200"/>
              <w:jc w:val="center"/>
              <w:rPr>
                <w:rFonts w:hAnsi="宋体"/>
                <w:color w:val="auto"/>
                <w:sz w:val="24"/>
                <w:szCs w:val="24"/>
              </w:rPr>
            </w:pPr>
          </w:p>
        </w:tc>
        <w:tc>
          <w:tcPr>
            <w:tcW w:w="2552" w:type="dxa"/>
            <w:vAlign w:val="center"/>
          </w:tcPr>
          <w:p>
            <w:pPr>
              <w:pStyle w:val="623"/>
              <w:spacing w:line="360" w:lineRule="auto"/>
              <w:ind w:firstLine="200"/>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23"/>
              <w:spacing w:line="360" w:lineRule="auto"/>
              <w:ind w:firstLine="200"/>
              <w:jc w:val="center"/>
              <w:rPr>
                <w:rFonts w:hAnsi="宋体"/>
                <w:color w:val="auto"/>
                <w:sz w:val="24"/>
                <w:szCs w:val="24"/>
              </w:rPr>
            </w:pPr>
            <w:r>
              <w:rPr>
                <w:rFonts w:hint="eastAsia" w:hAnsi="宋体"/>
                <w:color w:val="auto"/>
                <w:sz w:val="24"/>
                <w:szCs w:val="24"/>
              </w:rPr>
              <w:t>总价</w:t>
            </w:r>
          </w:p>
        </w:tc>
        <w:tc>
          <w:tcPr>
            <w:tcW w:w="2552" w:type="dxa"/>
            <w:vAlign w:val="center"/>
          </w:tcPr>
          <w:p>
            <w:pPr>
              <w:pStyle w:val="623"/>
              <w:spacing w:line="360" w:lineRule="auto"/>
              <w:ind w:firstLine="200"/>
              <w:jc w:val="center"/>
              <w:rPr>
                <w:rFonts w:hAnsi="宋体"/>
                <w:color w:val="auto"/>
                <w:sz w:val="24"/>
                <w:szCs w:val="24"/>
              </w:rPr>
            </w:pPr>
          </w:p>
        </w:tc>
      </w:tr>
    </w:tbl>
    <w:p>
      <w:pPr>
        <w:spacing w:line="360" w:lineRule="auto"/>
        <w:ind w:firstLine="480" w:firstLineChars="200"/>
        <w:rPr>
          <w:rFonts w:ascii="宋体" w:hAnsi="宋体"/>
          <w:color w:val="auto"/>
          <w:sz w:val="24"/>
        </w:rPr>
      </w:pPr>
      <w:bookmarkStart w:id="66" w:name="_Toc14993"/>
      <w:bookmarkStart w:id="67" w:name="_Toc26916"/>
      <w:bookmarkStart w:id="68" w:name="_Toc30158"/>
      <w:bookmarkStart w:id="69" w:name="_Toc30506"/>
      <w:bookmarkStart w:id="70" w:name="_Toc3654"/>
      <w:r>
        <w:rPr>
          <w:rFonts w:hint="eastAsia" w:ascii="宋体" w:hAnsi="宋体"/>
          <w:bCs/>
          <w:color w:val="auto"/>
          <w:sz w:val="24"/>
        </w:rPr>
        <w:t>1.3.2单价合同，本合同单价（含税）标准为：</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服务工作量的计量方式为：</w:t>
      </w:r>
      <w:r>
        <w:rPr>
          <w:rFonts w:hint="eastAsia" w:ascii="宋体" w:hAnsi="宋体"/>
          <w:bCs/>
          <w:color w:val="auto"/>
          <w:sz w:val="24"/>
          <w:u w:val="single"/>
        </w:rPr>
        <w:t xml:space="preserve">       </w:t>
      </w:r>
      <w:r>
        <w:rPr>
          <w:rFonts w:hint="eastAsia" w:ascii="宋体" w:hAnsi="宋体" w:cs="宋体"/>
          <w:b/>
          <w:color w:val="auto"/>
          <w:sz w:val="24"/>
          <w:u w:val="single"/>
        </w:rPr>
        <w:t>合同专用条款</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单价合同，在合同履行期间内，根据实际完成的工作量据实结算，但结算总价上限不得超过预算金额或者双方确定的金额￥</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p>
    <w:p>
      <w:pPr>
        <w:pStyle w:val="633"/>
        <w:rPr>
          <w:color w:val="auto"/>
        </w:rPr>
      </w:pPr>
      <w:r>
        <w:rPr>
          <w:rFonts w:hint="eastAsia"/>
          <w:color w:val="auto"/>
        </w:rPr>
        <w:t>1.3.3其他计价方式：                   。</w:t>
      </w:r>
    </w:p>
    <w:bookmarkEnd w:id="66"/>
    <w:bookmarkEnd w:id="67"/>
    <w:bookmarkEnd w:id="68"/>
    <w:bookmarkEnd w:id="69"/>
    <w:bookmarkEnd w:id="70"/>
    <w:p>
      <w:pPr>
        <w:pStyle w:val="631"/>
        <w:spacing w:before="0" w:beforeAutospacing="0" w:after="0" w:afterAutospacing="0" w:line="360" w:lineRule="auto"/>
        <w:ind w:firstLine="480"/>
        <w:rPr>
          <w:b/>
          <w:color w:val="auto"/>
        </w:rPr>
      </w:pPr>
      <w:bookmarkStart w:id="71" w:name="_Toc10340"/>
      <w:bookmarkStart w:id="72" w:name="_Toc22618"/>
      <w:bookmarkStart w:id="73" w:name="_Toc1814"/>
      <w:bookmarkStart w:id="74" w:name="_Toc11108"/>
      <w:bookmarkStart w:id="75" w:name="_Toc3625"/>
      <w:bookmarkStart w:id="76" w:name="_Toc8772"/>
      <w:bookmarkStart w:id="77" w:name="_Toc31421"/>
      <w:bookmarkStart w:id="78" w:name="_Toc4760"/>
      <w:r>
        <w:rPr>
          <w:rFonts w:hint="eastAsia"/>
          <w:b/>
          <w:color w:val="auto"/>
        </w:rPr>
        <w:t>1.4履约保证金</w:t>
      </w:r>
    </w:p>
    <w:p>
      <w:pPr>
        <w:pStyle w:val="631"/>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否）需要支付履约保证金。若需要支付履约保证金的，则：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1.4.2履约保证金支付方式详见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33"/>
        <w:rPr>
          <w:color w:val="auto"/>
        </w:rPr>
      </w:pPr>
      <w:r>
        <w:rPr>
          <w:rFonts w:hint="eastAsia"/>
          <w:color w:val="auto"/>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1.4.4甲方在项目验收结束后及时退还履约保证金。甲方在项目通过验收之日起</w:t>
      </w:r>
      <w:r>
        <w:rPr>
          <w:rFonts w:hint="eastAsia" w:ascii="宋体" w:hAnsi="宋体" w:cs="宋体"/>
          <w:color w:val="auto"/>
          <w:kern w:val="0"/>
          <w:sz w:val="24"/>
          <w:u w:val="single"/>
        </w:rPr>
        <w:t xml:space="preserve">       </w:t>
      </w:r>
      <w:r>
        <w:rPr>
          <w:rFonts w:hint="eastAsia" w:ascii="宋体" w:hAnsi="宋体" w:cs="宋体"/>
          <w:color w:val="auto"/>
          <w:kern w:val="0"/>
          <w:sz w:val="24"/>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u w:val="single"/>
        </w:rPr>
        <w:t xml:space="preserve">  0.05%（可根据情况修改）  </w:t>
      </w:r>
      <w:r>
        <w:rPr>
          <w:rFonts w:hint="eastAsia" w:ascii="宋体" w:hAnsi="宋体" w:cs="宋体"/>
          <w:color w:val="auto"/>
          <w:kern w:val="0"/>
          <w:sz w:val="24"/>
        </w:rPr>
        <w:t>计算，最高限额为本合同履约保证金的</w:t>
      </w:r>
      <w:r>
        <w:rPr>
          <w:rFonts w:hint="eastAsia" w:ascii="宋体" w:hAnsi="宋体" w:cs="宋体"/>
          <w:color w:val="auto"/>
          <w:kern w:val="0"/>
          <w:sz w:val="24"/>
          <w:u w:val="single"/>
        </w:rPr>
        <w:t xml:space="preserve">  20  </w:t>
      </w:r>
      <w:r>
        <w:rPr>
          <w:rFonts w:hint="eastAsia" w:ascii="宋体" w:hAnsi="宋体" w:cs="宋体"/>
          <w:color w:val="auto"/>
          <w:kern w:val="0"/>
          <w:sz w:val="24"/>
        </w:rPr>
        <w:t xml:space="preserve"> %。</w:t>
      </w:r>
    </w:p>
    <w:p>
      <w:pPr>
        <w:spacing w:line="360" w:lineRule="auto"/>
        <w:ind w:firstLine="482" w:firstLineChars="200"/>
        <w:rPr>
          <w:rFonts w:ascii="宋体" w:hAnsi="宋体" w:cs="宋体"/>
          <w:b/>
          <w:color w:val="auto"/>
          <w:sz w:val="24"/>
        </w:rPr>
      </w:pPr>
      <w:r>
        <w:rPr>
          <w:rFonts w:hint="eastAsia" w:ascii="宋体" w:hAnsi="宋体" w:cs="宋体"/>
          <w:b/>
          <w:color w:val="auto"/>
          <w:sz w:val="24"/>
        </w:rPr>
        <w:t>1.5</w:t>
      </w:r>
      <w:bookmarkEnd w:id="71"/>
      <w:bookmarkEnd w:id="72"/>
      <w:bookmarkEnd w:id="73"/>
      <w:r>
        <w:rPr>
          <w:rFonts w:hint="eastAsia" w:ascii="宋体" w:hAnsi="宋体" w:cs="宋体"/>
          <w:b/>
          <w:color w:val="auto"/>
          <w:sz w:val="24"/>
        </w:rPr>
        <w:t>预付款</w:t>
      </w:r>
    </w:p>
    <w:p>
      <w:pPr>
        <w:pStyle w:val="631"/>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否）需要支付预付款。若需要支付预付款的，则：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1.5.1预付款比例、支付方式、时间详见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31"/>
        <w:spacing w:before="0" w:beforeAutospacing="0" w:after="0" w:afterAutospacing="0" w:line="360" w:lineRule="auto"/>
        <w:ind w:firstLine="480"/>
        <w:rPr>
          <w:color w:val="auto"/>
        </w:rPr>
      </w:pPr>
      <w:r>
        <w:rPr>
          <w:rFonts w:hint="eastAsia"/>
          <w:color w:val="auto"/>
        </w:rPr>
        <w:t>1.5.2预付款的扣回方式详见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pPr>
        <w:pStyle w:val="631"/>
        <w:spacing w:before="0" w:beforeAutospacing="0" w:after="0" w:afterAutospacing="0" w:line="360" w:lineRule="auto"/>
        <w:ind w:firstLine="480"/>
        <w:rPr>
          <w:color w:val="auto"/>
          <w:u w:val="single"/>
        </w:rPr>
      </w:pPr>
      <w:r>
        <w:rPr>
          <w:rFonts w:hint="eastAsia"/>
          <w:color w:val="auto"/>
        </w:rPr>
        <w:t>1.5.3预付款的担保措施详见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pPr>
        <w:pStyle w:val="631"/>
        <w:spacing w:before="0" w:beforeAutospacing="0" w:after="0" w:afterAutospacing="0" w:line="360" w:lineRule="auto"/>
        <w:ind w:firstLine="480"/>
        <w:rPr>
          <w:b/>
          <w:bCs/>
          <w:color w:val="auto"/>
        </w:rPr>
      </w:pPr>
      <w:r>
        <w:rPr>
          <w:rFonts w:hint="eastAsia"/>
          <w:b/>
          <w:bCs/>
          <w:color w:val="auto"/>
        </w:rPr>
        <w:t>1.6资金支付</w:t>
      </w:r>
    </w:p>
    <w:p>
      <w:pPr>
        <w:pStyle w:val="631"/>
        <w:spacing w:before="0" w:beforeAutospacing="0" w:after="0" w:afterAutospacing="0" w:line="360" w:lineRule="auto"/>
        <w:ind w:firstLine="480"/>
        <w:rPr>
          <w:color w:val="auto"/>
        </w:rPr>
      </w:pPr>
      <w:r>
        <w:rPr>
          <w:rFonts w:hint="eastAsia"/>
          <w:color w:val="auto"/>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color w:val="auto"/>
          <w:sz w:val="24"/>
        </w:rPr>
      </w:pPr>
      <w:r>
        <w:rPr>
          <w:rFonts w:hint="eastAsia" w:ascii="宋体" w:hAnsi="宋体" w:cs="宋体"/>
          <w:color w:val="auto"/>
          <w:sz w:val="24"/>
        </w:rPr>
        <w:t>1.6.2资金支付的方式、时间和条件详见</w:t>
      </w:r>
      <w:r>
        <w:rPr>
          <w:rFonts w:hint="eastAsia" w:ascii="宋体" w:hAnsi="宋体" w:cs="宋体"/>
          <w:b/>
          <w:color w:val="auto"/>
          <w:sz w:val="24"/>
          <w:u w:val="single"/>
        </w:rPr>
        <w:t>合同专用条款</w:t>
      </w:r>
      <w:r>
        <w:rPr>
          <w:rFonts w:hint="eastAsia" w:ascii="宋体" w:hAnsi="宋体" w:cs="宋体"/>
          <w:color w:val="auto"/>
          <w:sz w:val="24"/>
        </w:rPr>
        <w:t>。</w:t>
      </w:r>
    </w:p>
    <w:p>
      <w:pPr>
        <w:spacing w:line="360" w:lineRule="auto"/>
        <w:ind w:firstLine="482" w:firstLineChars="200"/>
        <w:rPr>
          <w:rFonts w:ascii="宋体" w:hAnsi="宋体"/>
          <w:b/>
          <w:color w:val="auto"/>
          <w:sz w:val="24"/>
        </w:rPr>
      </w:pPr>
      <w:r>
        <w:rPr>
          <w:rFonts w:ascii="宋体" w:hAnsi="宋体"/>
          <w:b/>
          <w:color w:val="auto"/>
          <w:sz w:val="24"/>
        </w:rPr>
        <w:t>1.</w:t>
      </w:r>
      <w:r>
        <w:rPr>
          <w:rFonts w:hint="eastAsia" w:ascii="宋体" w:hAnsi="宋体"/>
          <w:b/>
          <w:color w:val="auto"/>
          <w:sz w:val="24"/>
        </w:rPr>
        <w:t>7</w:t>
      </w:r>
      <w:r>
        <w:rPr>
          <w:rFonts w:ascii="宋体" w:hAnsi="宋体"/>
          <w:b/>
          <w:color w:val="auto"/>
          <w:sz w:val="24"/>
        </w:rPr>
        <w:t xml:space="preserve"> 履行期限</w:t>
      </w:r>
      <w:r>
        <w:rPr>
          <w:rFonts w:hint="eastAsia" w:ascii="宋体" w:hAnsi="宋体"/>
          <w:b/>
          <w:color w:val="auto"/>
          <w:sz w:val="24"/>
        </w:rPr>
        <w:t>、地点和方式</w:t>
      </w:r>
      <w:bookmarkEnd w:id="74"/>
      <w:bookmarkEnd w:id="75"/>
      <w:bookmarkEnd w:id="76"/>
      <w:bookmarkEnd w:id="77"/>
      <w:bookmarkEnd w:id="78"/>
    </w:p>
    <w:p>
      <w:pPr>
        <w:spacing w:line="360" w:lineRule="auto"/>
        <w:ind w:firstLine="480" w:firstLineChars="200"/>
        <w:rPr>
          <w:rFonts w:ascii="宋体" w:hAnsi="宋体"/>
          <w:color w:val="auto"/>
          <w:sz w:val="24"/>
          <w:u w:val="single"/>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.1 </w:t>
      </w:r>
      <w:r>
        <w:rPr>
          <w:rFonts w:hint="eastAsia" w:ascii="宋体" w:hAnsi="宋体"/>
          <w:color w:val="auto"/>
          <w:sz w:val="24"/>
        </w:rPr>
        <w:t>服务交付（实施）的时间（期限）</w:t>
      </w:r>
      <w:r>
        <w:rPr>
          <w:rFonts w:ascii="宋体" w:hAnsi="宋体"/>
          <w:color w:val="auto"/>
          <w:sz w:val="24"/>
        </w:rPr>
        <w:t>：</w:t>
      </w:r>
      <w:r>
        <w:rPr>
          <w:rFonts w:hint="eastAsia" w:ascii="宋体" w:hAnsi="宋体"/>
          <w:b/>
          <w:color w:val="auto"/>
          <w:sz w:val="24"/>
          <w:u w:val="single"/>
        </w:rPr>
        <w:t>合同专用条款</w:t>
      </w:r>
      <w:r>
        <w:rPr>
          <w:rFonts w:hint="eastAsia"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color w:val="auto"/>
          <w:sz w:val="24"/>
          <w:u w:val="single"/>
        </w:rPr>
        <w:t>合同专用条款</w:t>
      </w:r>
      <w:r>
        <w:rPr>
          <w:rFonts w:hint="eastAsia"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.3 </w:t>
      </w:r>
      <w:r>
        <w:rPr>
          <w:rFonts w:hint="eastAsia" w:ascii="宋体" w:hAnsi="宋体"/>
          <w:color w:val="auto"/>
          <w:sz w:val="24"/>
        </w:rPr>
        <w:t>服务交付（实施）的方式：</w:t>
      </w:r>
      <w:r>
        <w:rPr>
          <w:rFonts w:hint="eastAsia" w:ascii="宋体" w:hAnsi="宋体"/>
          <w:b/>
          <w:color w:val="auto"/>
          <w:sz w:val="24"/>
          <w:u w:val="single"/>
        </w:rPr>
        <w:t>合同专用条款</w:t>
      </w:r>
      <w:r>
        <w:rPr>
          <w:rFonts w:hint="eastAsia" w:ascii="宋体" w:hAnsi="宋体"/>
          <w:color w:val="auto"/>
          <w:sz w:val="24"/>
        </w:rPr>
        <w:t>。</w:t>
      </w:r>
    </w:p>
    <w:p>
      <w:pPr>
        <w:spacing w:line="360" w:lineRule="auto"/>
        <w:ind w:firstLine="480" w:firstLineChars="200"/>
        <w:rPr>
          <w:rFonts w:ascii="宋体" w:hAnsi="宋体"/>
          <w:bCs/>
          <w:color w:val="auto"/>
          <w:sz w:val="24"/>
        </w:rPr>
      </w:pPr>
      <w:bookmarkStart w:id="79" w:name="_Toc8586"/>
      <w:bookmarkStart w:id="80" w:name="_Toc5698"/>
      <w:bookmarkStart w:id="81" w:name="_Toc3079"/>
      <w:bookmarkStart w:id="82" w:name="_Toc24662"/>
      <w:bookmarkStart w:id="83" w:name="_Toc2375"/>
      <w:r>
        <w:rPr>
          <w:rFonts w:hint="eastAsia" w:ascii="宋体" w:hAnsi="宋体"/>
          <w:bCs/>
          <w:color w:val="auto"/>
          <w:sz w:val="24"/>
        </w:rPr>
        <w:t>1.7.4若服务</w:t>
      </w:r>
      <w:r>
        <w:rPr>
          <w:rFonts w:hint="eastAsia"/>
          <w:bCs/>
          <w:color w:val="auto"/>
          <w:sz w:val="24"/>
        </w:rPr>
        <w:t>涉及货物的，则货物的：</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1.7.4.1 交付期限：详见</w:t>
      </w:r>
      <w:r>
        <w:rPr>
          <w:rFonts w:hint="eastAsia" w:ascii="宋体" w:hAnsi="宋体" w:cs="宋体"/>
          <w:b/>
          <w:color w:val="auto"/>
          <w:sz w:val="24"/>
          <w:u w:val="single"/>
        </w:rPr>
        <w:t>合同专用条款</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1.7.4.2 交付地点：</w:t>
      </w:r>
      <w:r>
        <w:rPr>
          <w:rFonts w:hint="eastAsia" w:ascii="宋体" w:hAnsi="宋体" w:cs="宋体"/>
          <w:b/>
          <w:color w:val="auto"/>
          <w:sz w:val="24"/>
          <w:u w:val="single"/>
        </w:rPr>
        <w:t>合同专用条款</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1.7.4.3 交付方式：</w:t>
      </w:r>
      <w:r>
        <w:rPr>
          <w:rFonts w:hint="eastAsia" w:ascii="宋体" w:hAnsi="宋体" w:cs="宋体"/>
          <w:b/>
          <w:color w:val="auto"/>
          <w:sz w:val="24"/>
          <w:u w:val="single"/>
        </w:rPr>
        <w:t>合同专用条款</w:t>
      </w:r>
      <w:r>
        <w:rPr>
          <w:rFonts w:hint="eastAsia" w:ascii="宋体" w:hAnsi="宋体" w:cs="宋体"/>
          <w:color w:val="auto"/>
          <w:sz w:val="24"/>
        </w:rPr>
        <w:t>。</w:t>
      </w:r>
    </w:p>
    <w:p>
      <w:pPr>
        <w:spacing w:line="360" w:lineRule="auto"/>
        <w:ind w:firstLine="482" w:firstLineChars="200"/>
        <w:rPr>
          <w:rFonts w:ascii="宋体" w:hAnsi="宋体"/>
          <w:color w:val="auto"/>
          <w:sz w:val="24"/>
          <w:u w:val="single"/>
        </w:rPr>
      </w:pPr>
      <w:r>
        <w:rPr>
          <w:rFonts w:ascii="宋体" w:hAnsi="宋体"/>
          <w:b/>
          <w:color w:val="auto"/>
          <w:sz w:val="24"/>
        </w:rPr>
        <w:t>1.</w:t>
      </w:r>
      <w:r>
        <w:rPr>
          <w:rFonts w:hint="eastAsia" w:ascii="宋体" w:hAnsi="宋体"/>
          <w:b/>
          <w:color w:val="auto"/>
          <w:sz w:val="24"/>
        </w:rPr>
        <w:t>8违约责任</w:t>
      </w:r>
      <w:bookmarkEnd w:id="79"/>
      <w:bookmarkEnd w:id="80"/>
      <w:bookmarkEnd w:id="81"/>
      <w:bookmarkEnd w:id="82"/>
      <w:bookmarkEnd w:id="83"/>
    </w:p>
    <w:p>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.1 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违约金按每迟延</w:t>
      </w:r>
      <w:r>
        <w:rPr>
          <w:rFonts w:hint="eastAsia" w:ascii="宋体" w:hAnsi="宋体"/>
          <w:color w:val="auto"/>
          <w:sz w:val="24"/>
        </w:rPr>
        <w:t>履行</w:t>
      </w:r>
      <w:r>
        <w:rPr>
          <w:rFonts w:ascii="宋体" w:hAnsi="宋体"/>
          <w:color w:val="auto"/>
          <w:sz w:val="24"/>
        </w:rPr>
        <w:t>一日的应提供而未</w:t>
      </w:r>
      <w:r>
        <w:rPr>
          <w:rFonts w:hint="eastAsia" w:ascii="宋体" w:hAnsi="宋体"/>
          <w:color w:val="auto"/>
          <w:sz w:val="24"/>
        </w:rPr>
        <w:t>提供</w:t>
      </w:r>
      <w:r>
        <w:rPr>
          <w:rFonts w:ascii="宋体" w:hAnsi="宋体"/>
          <w:color w:val="auto"/>
          <w:sz w:val="24"/>
        </w:rPr>
        <w:t>服务价格的</w:t>
      </w:r>
      <w:r>
        <w:rPr>
          <w:rFonts w:hint="eastAsia" w:ascii="宋体" w:hAnsi="宋体"/>
          <w:color w:val="auto"/>
          <w:sz w:val="24"/>
          <w:u w:val="single"/>
        </w:rPr>
        <w:t>0.05</w:t>
      </w:r>
      <w:r>
        <w:rPr>
          <w:rFonts w:ascii="宋体" w:hAnsi="宋体"/>
          <w:color w:val="auto"/>
          <w:sz w:val="24"/>
          <w:u w:val="single"/>
        </w:rPr>
        <w:t xml:space="preserve"> </w:t>
      </w:r>
      <w:r>
        <w:rPr>
          <w:rFonts w:ascii="宋体" w:hAnsi="宋体"/>
          <w:color w:val="auto"/>
          <w:sz w:val="24"/>
        </w:rPr>
        <w:t>%计算</w:t>
      </w:r>
      <w:r>
        <w:rPr>
          <w:rFonts w:hint="eastAsia" w:ascii="宋体" w:hAnsi="宋体"/>
          <w:color w:val="auto"/>
          <w:sz w:val="24"/>
        </w:rPr>
        <w:t>，</w:t>
      </w:r>
      <w:r>
        <w:rPr>
          <w:rFonts w:ascii="宋体" w:hAnsi="宋体"/>
          <w:color w:val="auto"/>
          <w:sz w:val="24"/>
        </w:rPr>
        <w:t>最高限额为</w:t>
      </w:r>
      <w:r>
        <w:rPr>
          <w:rFonts w:hint="eastAsia" w:ascii="宋体" w:hAnsi="宋体"/>
          <w:color w:val="auto"/>
          <w:sz w:val="24"/>
        </w:rPr>
        <w:t>本</w:t>
      </w:r>
      <w:r>
        <w:rPr>
          <w:rFonts w:ascii="宋体" w:hAnsi="宋体"/>
          <w:color w:val="auto"/>
          <w:sz w:val="24"/>
        </w:rPr>
        <w:t>合同总价的</w:t>
      </w:r>
      <w:r>
        <w:rPr>
          <w:rFonts w:ascii="宋体" w:hAnsi="宋体"/>
          <w:color w:val="auto"/>
          <w:sz w:val="24"/>
          <w:u w:val="single"/>
        </w:rPr>
        <w:t xml:space="preserve">  20   </w:t>
      </w:r>
      <w:r>
        <w:rPr>
          <w:rFonts w:ascii="宋体" w:hAnsi="宋体"/>
          <w:color w:val="auto"/>
          <w:sz w:val="24"/>
        </w:rPr>
        <w:t>%</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w:t>
      </w:r>
      <w:r>
        <w:rPr>
          <w:rFonts w:ascii="宋体" w:hAnsi="宋体"/>
          <w:color w:val="auto"/>
          <w:sz w:val="24"/>
        </w:rPr>
        <w:t>的违约金计算数额达到前述最高限额之日起</w:t>
      </w:r>
      <w:r>
        <w:rPr>
          <w:rFonts w:hint="eastAsia" w:ascii="宋体" w:hAnsi="宋体"/>
          <w:color w:val="auto"/>
          <w:sz w:val="24"/>
        </w:rPr>
        <w:t>，</w:t>
      </w:r>
      <w:r>
        <w:rPr>
          <w:rFonts w:ascii="宋体" w:hAnsi="宋体"/>
          <w:color w:val="auto"/>
          <w:sz w:val="24"/>
        </w:rPr>
        <w:t>甲方有权在要求乙方支付违约金的同时</w:t>
      </w:r>
      <w:r>
        <w:rPr>
          <w:rFonts w:hint="eastAsia" w:ascii="宋体" w:hAnsi="宋体"/>
          <w:color w:val="auto"/>
          <w:sz w:val="24"/>
        </w:rPr>
        <w:t>，书面通知乙方</w:t>
      </w:r>
      <w:r>
        <w:rPr>
          <w:rFonts w:ascii="宋体" w:hAnsi="宋体"/>
          <w:color w:val="auto"/>
          <w:sz w:val="24"/>
        </w:rPr>
        <w:t>解除本合同</w:t>
      </w:r>
      <w:r>
        <w:rPr>
          <w:rFonts w:hint="eastAsia" w:ascii="宋体" w:hAnsi="宋体"/>
          <w:color w:val="auto"/>
          <w:sz w:val="24"/>
        </w:rPr>
        <w:t>；</w:t>
      </w:r>
    </w:p>
    <w:p>
      <w:pPr>
        <w:pStyle w:val="633"/>
        <w:rPr>
          <w:b/>
          <w:bCs/>
          <w:color w:val="auto"/>
        </w:rPr>
      </w:pPr>
      <w:r>
        <w:rPr>
          <w:rFonts w:hint="eastAsia"/>
          <w:color w:val="auto"/>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u w:val="single"/>
        </w:rPr>
        <w:t xml:space="preserve">  0.05%  （可根据情况修改） </w:t>
      </w:r>
      <w:r>
        <w:rPr>
          <w:rFonts w:hint="eastAsia"/>
          <w:color w:val="auto"/>
        </w:rPr>
        <w:t>计算，最高限额为本合同总价的</w:t>
      </w:r>
      <w:r>
        <w:rPr>
          <w:rFonts w:hint="eastAsia"/>
          <w:color w:val="auto"/>
          <w:u w:val="single"/>
        </w:rPr>
        <w:t xml:space="preserve">  20  </w:t>
      </w:r>
      <w:r>
        <w:rPr>
          <w:rFonts w:hint="eastAsia"/>
          <w:color w:val="auto"/>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w:t>
      </w:r>
      <w:r>
        <w:rPr>
          <w:rFonts w:hint="eastAsia" w:ascii="宋体" w:hAnsi="宋体"/>
          <w:color w:val="auto"/>
          <w:sz w:val="24"/>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0.05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20</w:t>
      </w:r>
      <w:r>
        <w:rPr>
          <w:rFonts w:hint="eastAsia" w:ascii="宋体" w:hAnsi="宋体" w:cs="宋体"/>
          <w:color w:val="auto"/>
          <w:kern w:val="0"/>
          <w:sz w:val="24"/>
          <w:u w:val="single"/>
        </w:rPr>
        <w:t>（可根据情况修改）</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pPr>
        <w:spacing w:line="360" w:lineRule="auto"/>
        <w:ind w:firstLine="480" w:firstLineChars="200"/>
        <w:rPr>
          <w:rFonts w:ascii="宋体" w:hAnsi="宋体" w:cs="宋体"/>
          <w:color w:val="auto"/>
          <w:sz w:val="24"/>
        </w:rPr>
      </w:pPr>
      <w:bookmarkStart w:id="84" w:name="_Toc30329"/>
      <w:bookmarkStart w:id="85" w:name="_Toc32454"/>
      <w:bookmarkStart w:id="86" w:name="_Toc26807"/>
      <w:bookmarkStart w:id="87" w:name="_Toc9497"/>
      <w:bookmarkStart w:id="88" w:name="_Toc18683"/>
      <w:r>
        <w:rPr>
          <w:rFonts w:hint="eastAsia" w:ascii="宋体" w:hAnsi="宋体" w:cs="宋体"/>
          <w:color w:val="auto"/>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rPr>
      </w:pPr>
      <w:r>
        <w:rPr>
          <w:rFonts w:hint="eastAsia" w:ascii="宋体" w:hAnsi="宋体" w:cs="宋体"/>
          <w:color w:val="auto"/>
          <w:sz w:val="24"/>
        </w:rPr>
        <w:t>1.8.7违约责任</w:t>
      </w:r>
      <w:r>
        <w:rPr>
          <w:rFonts w:hint="eastAsia" w:ascii="宋体" w:hAnsi="宋体" w:cs="宋体"/>
          <w:b/>
          <w:color w:val="auto"/>
          <w:sz w:val="24"/>
          <w:u w:val="single"/>
        </w:rPr>
        <w:t>合同专用条款</w:t>
      </w:r>
      <w:r>
        <w:rPr>
          <w:rFonts w:hint="eastAsia" w:ascii="宋体" w:hAnsi="宋体" w:cs="宋体"/>
          <w:color w:val="auto"/>
          <w:sz w:val="24"/>
        </w:rPr>
        <w:t>另有约定的，从其约定。</w:t>
      </w:r>
    </w:p>
    <w:bookmarkEnd w:id="84"/>
    <w:bookmarkEnd w:id="85"/>
    <w:bookmarkEnd w:id="86"/>
    <w:bookmarkEnd w:id="87"/>
    <w:bookmarkEnd w:id="88"/>
    <w:p>
      <w:pPr>
        <w:spacing w:line="360" w:lineRule="auto"/>
        <w:ind w:firstLine="482" w:firstLineChars="200"/>
        <w:rPr>
          <w:rFonts w:ascii="宋体" w:hAnsi="宋体" w:cs="宋体"/>
          <w:b/>
          <w:color w:val="auto"/>
          <w:sz w:val="24"/>
        </w:rPr>
      </w:pPr>
      <w:r>
        <w:rPr>
          <w:rFonts w:hint="eastAsia" w:ascii="宋体" w:hAnsi="宋体" w:cs="宋体"/>
          <w:b/>
          <w:color w:val="auto"/>
          <w:sz w:val="24"/>
        </w:rPr>
        <w:t>1.9合同争议的解决</w:t>
      </w:r>
    </w:p>
    <w:p>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u w:val="single"/>
        </w:rPr>
        <w:t xml:space="preserve">      </w:t>
      </w:r>
      <w:r>
        <w:rPr>
          <w:rFonts w:hint="eastAsia" w:ascii="宋体" w:hAnsi="宋体" w:cs="宋体"/>
          <w:color w:val="auto"/>
          <w:sz w:val="24"/>
        </w:rPr>
        <w:t>条款规定的方式解决：</w:t>
      </w:r>
    </w:p>
    <w:p>
      <w:pPr>
        <w:spacing w:line="360" w:lineRule="auto"/>
        <w:ind w:firstLine="600" w:firstLineChars="250"/>
        <w:rPr>
          <w:rFonts w:ascii="宋体" w:hAnsi="宋体" w:cs="宋体"/>
          <w:color w:val="auto"/>
          <w:sz w:val="24"/>
        </w:rPr>
      </w:pPr>
      <w:r>
        <w:rPr>
          <w:rFonts w:hint="eastAsia" w:ascii="宋体" w:hAnsi="宋体" w:cs="宋体"/>
          <w:color w:val="auto"/>
          <w:sz w:val="24"/>
        </w:rPr>
        <w:t>1.9.1 将争议提交</w:t>
      </w:r>
      <w:r>
        <w:rPr>
          <w:rFonts w:hint="eastAsia" w:ascii="宋体" w:hAnsi="宋体" w:cs="宋体"/>
          <w:b/>
          <w:color w:val="auto"/>
          <w:sz w:val="24"/>
          <w:u w:val="single"/>
        </w:rPr>
        <w:t>合同专用条款</w:t>
      </w:r>
      <w:r>
        <w:rPr>
          <w:rFonts w:hint="eastAsia" w:ascii="宋体" w:hAnsi="宋体" w:cs="宋体"/>
          <w:color w:val="auto"/>
          <w:sz w:val="24"/>
        </w:rPr>
        <w:t>仲裁委员会依申请仲裁时其现行有效的仲裁规则裁决；</w:t>
      </w:r>
    </w:p>
    <w:p>
      <w:pPr>
        <w:spacing w:line="360" w:lineRule="auto"/>
        <w:ind w:firstLine="600" w:firstLineChars="250"/>
        <w:rPr>
          <w:rFonts w:ascii="宋体" w:hAnsi="宋体" w:cs="宋体"/>
          <w:color w:val="auto"/>
          <w:sz w:val="24"/>
        </w:rPr>
      </w:pPr>
      <w:r>
        <w:rPr>
          <w:rFonts w:hint="eastAsia" w:ascii="宋体" w:hAnsi="宋体" w:cs="宋体"/>
          <w:color w:val="auto"/>
          <w:sz w:val="24"/>
        </w:rPr>
        <w:t>1.9.2 向</w:t>
      </w:r>
      <w:r>
        <w:rPr>
          <w:rFonts w:hint="eastAsia" w:ascii="宋体" w:hAnsi="宋体" w:cs="宋体"/>
          <w:b/>
          <w:color w:val="auto"/>
          <w:sz w:val="24"/>
          <w:u w:val="single"/>
        </w:rPr>
        <w:t>合同专用条款</w:t>
      </w:r>
      <w:r>
        <w:rPr>
          <w:rFonts w:hint="eastAsia" w:ascii="宋体" w:hAnsi="宋体" w:cs="宋体"/>
          <w:color w:val="auto"/>
          <w:sz w:val="24"/>
        </w:rPr>
        <w:t>人民法院起诉。</w:t>
      </w:r>
    </w:p>
    <w:p>
      <w:pPr>
        <w:spacing w:line="360" w:lineRule="auto"/>
        <w:ind w:firstLine="482" w:firstLineChars="200"/>
        <w:rPr>
          <w:rFonts w:ascii="宋体" w:hAnsi="宋体" w:cs="宋体"/>
          <w:b/>
          <w:color w:val="auto"/>
          <w:sz w:val="24"/>
        </w:rPr>
      </w:pPr>
      <w:r>
        <w:rPr>
          <w:rFonts w:hint="eastAsia" w:ascii="宋体" w:hAnsi="宋体" w:cs="宋体"/>
          <w:b/>
          <w:color w:val="auto"/>
          <w:sz w:val="24"/>
        </w:rPr>
        <w:t>2.0 合同生效</w:t>
      </w:r>
    </w:p>
    <w:p>
      <w:pPr>
        <w:spacing w:line="360" w:lineRule="auto"/>
        <w:ind w:firstLine="480" w:firstLineChars="200"/>
        <w:rPr>
          <w:rFonts w:ascii="宋体" w:hAnsi="宋体" w:cs="宋体"/>
          <w:b/>
          <w:color w:val="auto"/>
          <w:sz w:val="24"/>
        </w:rPr>
      </w:pPr>
      <w:r>
        <w:rPr>
          <w:rFonts w:hint="eastAsia" w:ascii="宋体" w:hAnsi="宋体" w:cs="宋体"/>
          <w:color w:val="auto"/>
          <w:sz w:val="24"/>
        </w:rPr>
        <w:t>本合同自双方当事人盖章签字时生效。</w:t>
      </w:r>
    </w:p>
    <w:p>
      <w:pPr>
        <w:autoSpaceDE w:val="0"/>
        <w:autoSpaceDN w:val="0"/>
        <w:spacing w:line="360" w:lineRule="auto"/>
        <w:rPr>
          <w:rFonts w:ascii="宋体" w:hAnsi="宋体"/>
          <w:color w:val="auto"/>
          <w:sz w:val="24"/>
          <w:lang w:val="zh-CN"/>
        </w:rPr>
      </w:pPr>
    </w:p>
    <w:tbl>
      <w:tblPr>
        <w:tblStyle w:val="6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10"/>
        <w:gridCol w:w="2693"/>
        <w:gridCol w:w="2209"/>
        <w:gridCol w:w="2363"/>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法定代表人</w:t>
            </w:r>
          </w:p>
          <w:p>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法定代表人</w:t>
            </w:r>
          </w:p>
          <w:p>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pPr>
        <w:widowControl/>
        <w:spacing w:line="360" w:lineRule="auto"/>
        <w:jc w:val="left"/>
        <w:rPr>
          <w:rFonts w:ascii="宋体" w:hAnsi="宋体"/>
          <w:b/>
          <w:color w:val="auto"/>
          <w:sz w:val="24"/>
        </w:rPr>
      </w:pPr>
    </w:p>
    <w:p>
      <w:pPr>
        <w:pStyle w:val="283"/>
        <w:spacing w:after="0"/>
        <w:ind w:firstLine="482"/>
        <w:jc w:val="center"/>
        <w:outlineLvl w:val="1"/>
        <w:rPr>
          <w:rFonts w:ascii="宋体" w:hAnsi="宋体"/>
          <w:b/>
          <w:color w:val="auto"/>
          <w:szCs w:val="24"/>
        </w:rPr>
      </w:pPr>
      <w:r>
        <w:rPr>
          <w:rFonts w:hint="eastAsia" w:ascii="宋体" w:hAnsi="宋体"/>
          <w:b/>
          <w:color w:val="auto"/>
          <w:szCs w:val="24"/>
        </w:rPr>
        <w:t>第二节</w:t>
      </w:r>
      <w:r>
        <w:rPr>
          <w:rFonts w:ascii="宋体" w:hAnsi="宋体"/>
          <w:b/>
          <w:color w:val="auto"/>
          <w:szCs w:val="24"/>
        </w:rPr>
        <w:t xml:space="preserve"> </w:t>
      </w:r>
      <w:r>
        <w:rPr>
          <w:rFonts w:hint="eastAsia" w:ascii="宋体" w:hAnsi="宋体"/>
          <w:b/>
          <w:color w:val="auto"/>
          <w:szCs w:val="24"/>
        </w:rPr>
        <w:t>合同一般条款</w:t>
      </w:r>
    </w:p>
    <w:p>
      <w:pPr>
        <w:spacing w:line="360" w:lineRule="auto"/>
        <w:ind w:firstLine="482" w:firstLineChars="200"/>
        <w:rPr>
          <w:rFonts w:ascii="宋体" w:hAnsi="宋体"/>
          <w:b/>
          <w:color w:val="auto"/>
          <w:sz w:val="24"/>
        </w:rPr>
      </w:pPr>
      <w:bookmarkStart w:id="89" w:name="_Toc31297"/>
      <w:bookmarkStart w:id="90" w:name="_Toc25079"/>
      <w:bookmarkStart w:id="91" w:name="_Toc14021"/>
      <w:bookmarkStart w:id="92" w:name="_Toc19680"/>
      <w:bookmarkStart w:id="93" w:name="_Toc5228"/>
      <w:r>
        <w:rPr>
          <w:rFonts w:ascii="宋体" w:hAnsi="宋体"/>
          <w:b/>
          <w:color w:val="auto"/>
          <w:sz w:val="24"/>
        </w:rPr>
        <w:t>2.1 定义</w:t>
      </w:r>
      <w:bookmarkEnd w:id="89"/>
      <w:bookmarkEnd w:id="90"/>
      <w:bookmarkEnd w:id="91"/>
      <w:bookmarkEnd w:id="92"/>
      <w:bookmarkEnd w:id="93"/>
    </w:p>
    <w:p>
      <w:pPr>
        <w:spacing w:line="360" w:lineRule="auto"/>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pPr>
        <w:spacing w:line="360" w:lineRule="auto"/>
        <w:ind w:firstLine="480" w:firstLineChars="200"/>
        <w:rPr>
          <w:rFonts w:ascii="宋体" w:hAnsi="宋体"/>
          <w:color w:val="auto"/>
          <w:sz w:val="24"/>
        </w:rPr>
      </w:pPr>
      <w:r>
        <w:rPr>
          <w:rFonts w:ascii="宋体" w:hAnsi="宋体"/>
          <w:color w:val="auto"/>
          <w:sz w:val="24"/>
        </w:rPr>
        <w:t>2.1.1 “合同”系指采购人和</w:t>
      </w:r>
      <w:r>
        <w:rPr>
          <w:rFonts w:hint="eastAsia" w:ascii="宋体" w:hAnsi="宋体" w:cs="宋体"/>
          <w:color w:val="auto"/>
          <w:sz w:val="24"/>
        </w:rPr>
        <w:t>成交</w:t>
      </w:r>
      <w:r>
        <w:rPr>
          <w:rFonts w:ascii="宋体" w:hAnsi="宋体"/>
          <w:color w:val="auto"/>
          <w:sz w:val="24"/>
        </w:rPr>
        <w:t>供应商签订的载明双方当事人所达成的协议，并包括所有的附件、附录和构成合同的其他文件。</w:t>
      </w:r>
    </w:p>
    <w:p>
      <w:pPr>
        <w:spacing w:line="360" w:lineRule="auto"/>
        <w:ind w:firstLine="480" w:firstLineChars="200"/>
        <w:rPr>
          <w:rFonts w:ascii="宋体" w:hAnsi="宋体"/>
          <w:color w:val="auto"/>
          <w:sz w:val="24"/>
        </w:rPr>
      </w:pPr>
      <w:r>
        <w:rPr>
          <w:rFonts w:ascii="宋体" w:hAnsi="宋体"/>
          <w:color w:val="auto"/>
          <w:sz w:val="24"/>
        </w:rPr>
        <w:t>2.1.2 “合同价”系指根据合同约定，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pPr>
        <w:spacing w:line="360" w:lineRule="auto"/>
        <w:ind w:firstLine="480" w:firstLineChars="200"/>
        <w:rPr>
          <w:rFonts w:ascii="宋体" w:hAnsi="宋体"/>
          <w:color w:val="auto"/>
          <w:sz w:val="24"/>
        </w:rPr>
      </w:pPr>
      <w:r>
        <w:rPr>
          <w:rFonts w:ascii="宋体" w:hAnsi="宋体"/>
          <w:color w:val="auto"/>
          <w:sz w:val="24"/>
        </w:rPr>
        <w:t>2.1.3 “</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pPr>
        <w:spacing w:line="360" w:lineRule="auto"/>
        <w:ind w:firstLine="480" w:firstLineChars="200"/>
        <w:rPr>
          <w:rFonts w:ascii="宋体" w:hAnsi="宋体"/>
          <w:color w:val="auto"/>
          <w:sz w:val="24"/>
        </w:rPr>
      </w:pPr>
      <w:r>
        <w:rPr>
          <w:rFonts w:ascii="宋体" w:hAnsi="宋体"/>
          <w:color w:val="auto"/>
          <w:sz w:val="24"/>
        </w:rPr>
        <w:t>2.1.4 “</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olor w:val="auto"/>
          <w:sz w:val="24"/>
        </w:rPr>
      </w:pPr>
      <w:r>
        <w:rPr>
          <w:rFonts w:ascii="宋体" w:hAnsi="宋体"/>
          <w:color w:val="auto"/>
          <w:sz w:val="24"/>
        </w:rPr>
        <w:t>2.1.5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olor w:val="auto"/>
          <w:sz w:val="24"/>
        </w:rPr>
      </w:pPr>
      <w:r>
        <w:rPr>
          <w:rFonts w:ascii="宋体" w:hAnsi="宋体"/>
          <w:color w:val="auto"/>
          <w:sz w:val="24"/>
        </w:rPr>
        <w:t>2.1.6 “现场”系指合同约定提供服务的地点。</w:t>
      </w:r>
    </w:p>
    <w:p>
      <w:pPr>
        <w:spacing w:line="360" w:lineRule="auto"/>
        <w:ind w:firstLine="482" w:firstLineChars="200"/>
        <w:rPr>
          <w:rFonts w:ascii="宋体" w:hAnsi="宋体"/>
          <w:b/>
          <w:color w:val="auto"/>
          <w:sz w:val="24"/>
        </w:rPr>
      </w:pPr>
      <w:bookmarkStart w:id="94" w:name="_Toc3769"/>
      <w:bookmarkStart w:id="95" w:name="_Toc16752"/>
      <w:bookmarkStart w:id="96" w:name="_Toc19539"/>
      <w:bookmarkStart w:id="97" w:name="_Toc23289"/>
      <w:bookmarkStart w:id="98" w:name="_Toc31402"/>
      <w:r>
        <w:rPr>
          <w:rFonts w:ascii="宋体" w:hAnsi="宋体"/>
          <w:b/>
          <w:color w:val="auto"/>
          <w:sz w:val="24"/>
        </w:rPr>
        <w:t>2.2 技术规范</w:t>
      </w:r>
      <w:bookmarkEnd w:id="94"/>
      <w:bookmarkEnd w:id="95"/>
      <w:bookmarkEnd w:id="96"/>
      <w:bookmarkEnd w:id="97"/>
      <w:bookmarkEnd w:id="98"/>
    </w:p>
    <w:p>
      <w:pPr>
        <w:spacing w:line="360" w:lineRule="auto"/>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所应遵守的技术规范应与采购文件规定的技术规范和技术规范附件(如果有的话)及其技术规范偏差表(如果被甲方接受的话)相一致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pPr>
        <w:spacing w:line="360" w:lineRule="auto"/>
        <w:ind w:firstLine="482" w:firstLineChars="200"/>
        <w:rPr>
          <w:rFonts w:ascii="宋体" w:hAnsi="宋体"/>
          <w:b/>
          <w:color w:val="auto"/>
          <w:sz w:val="24"/>
        </w:rPr>
      </w:pPr>
      <w:bookmarkStart w:id="99" w:name="_Toc13673"/>
      <w:bookmarkStart w:id="100" w:name="_Toc4133"/>
      <w:bookmarkStart w:id="101" w:name="_Toc27945"/>
      <w:bookmarkStart w:id="102" w:name="_Toc12412"/>
      <w:bookmarkStart w:id="103" w:name="_Toc9161"/>
      <w:r>
        <w:rPr>
          <w:rFonts w:ascii="宋体" w:hAnsi="宋体"/>
          <w:b/>
          <w:color w:val="auto"/>
          <w:sz w:val="24"/>
        </w:rPr>
        <w:t>2.3 知识产权</w:t>
      </w:r>
      <w:bookmarkEnd w:id="99"/>
      <w:bookmarkEnd w:id="100"/>
      <w:bookmarkEnd w:id="101"/>
      <w:bookmarkEnd w:id="102"/>
      <w:bookmarkEnd w:id="103"/>
    </w:p>
    <w:p>
      <w:pPr>
        <w:spacing w:line="360" w:lineRule="auto"/>
        <w:ind w:firstLine="480" w:firstLineChars="200"/>
        <w:rPr>
          <w:rFonts w:ascii="宋体" w:hAnsi="宋体"/>
          <w:color w:val="auto"/>
          <w:sz w:val="24"/>
        </w:rPr>
      </w:pPr>
      <w:r>
        <w:rPr>
          <w:rFonts w:ascii="宋体" w:hAnsi="宋体"/>
          <w:color w:val="auto"/>
          <w:sz w:val="24"/>
        </w:rPr>
        <w:t xml:space="preserve">2.3.1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spacing w:line="360" w:lineRule="auto"/>
        <w:ind w:firstLine="480" w:firstLineChars="200"/>
        <w:rPr>
          <w:rFonts w:ascii="宋体" w:hAnsi="宋体"/>
          <w:color w:val="auto"/>
          <w:sz w:val="24"/>
        </w:rPr>
      </w:pPr>
      <w:r>
        <w:rPr>
          <w:rFonts w:ascii="宋体" w:hAnsi="宋体"/>
          <w:color w:val="auto"/>
          <w:sz w:val="24"/>
        </w:rPr>
        <w:t xml:space="preserve">2.3.2 </w:t>
      </w:r>
      <w:r>
        <w:rPr>
          <w:rFonts w:hint="eastAsia" w:ascii="宋体" w:hAnsi="宋体"/>
          <w:color w:val="auto"/>
          <w:sz w:val="24"/>
        </w:rPr>
        <w:t>合同涉及技术成果的归属和收益的分成办法的，</w:t>
      </w: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pPr>
        <w:spacing w:line="360" w:lineRule="auto"/>
        <w:ind w:firstLine="482" w:firstLineChars="200"/>
        <w:rPr>
          <w:rFonts w:ascii="宋体" w:hAnsi="宋体"/>
          <w:b/>
          <w:color w:val="auto"/>
          <w:sz w:val="24"/>
        </w:rPr>
      </w:pPr>
      <w:r>
        <w:rPr>
          <w:rFonts w:ascii="宋体" w:hAnsi="宋体"/>
          <w:b/>
          <w:color w:val="auto"/>
          <w:sz w:val="24"/>
        </w:rPr>
        <w:t xml:space="preserve">2.4 </w:t>
      </w:r>
      <w:r>
        <w:rPr>
          <w:rFonts w:hint="eastAsia" w:ascii="宋体" w:hAnsi="宋体"/>
          <w:b/>
          <w:color w:val="auto"/>
          <w:sz w:val="24"/>
        </w:rPr>
        <w:t>履约检查和问题反馈</w:t>
      </w:r>
    </w:p>
    <w:p>
      <w:pPr>
        <w:spacing w:line="360" w:lineRule="auto"/>
        <w:ind w:firstLine="480" w:firstLineChars="200"/>
        <w:rPr>
          <w:rFonts w:ascii="宋体" w:hAnsi="宋体"/>
          <w:color w:val="auto"/>
          <w:sz w:val="24"/>
        </w:rPr>
      </w:pPr>
      <w:r>
        <w:rPr>
          <w:rFonts w:ascii="宋体" w:hAnsi="宋体"/>
          <w:color w:val="auto"/>
          <w:sz w:val="24"/>
        </w:rPr>
        <w:t>2.4.1甲方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color w:val="auto"/>
          <w:sz w:val="24"/>
        </w:rPr>
      </w:pPr>
      <w:r>
        <w:rPr>
          <w:rFonts w:ascii="宋体" w:hAnsi="宋体"/>
          <w:color w:val="auto"/>
          <w:sz w:val="24"/>
        </w:rPr>
        <w:t xml:space="preserve">2.4.2 </w:t>
      </w:r>
      <w:r>
        <w:rPr>
          <w:rFonts w:hint="eastAsia" w:ascii="宋体" w:hAnsi="宋体"/>
          <w:color w:val="auto"/>
          <w:sz w:val="24"/>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color w:val="auto"/>
          <w:sz w:val="24"/>
        </w:rPr>
      </w:pPr>
      <w:bookmarkStart w:id="104" w:name="_Toc15447"/>
      <w:bookmarkStart w:id="105" w:name="_Toc31233"/>
      <w:bookmarkStart w:id="106" w:name="_Toc26555"/>
      <w:bookmarkStart w:id="107" w:name="_Toc22011"/>
      <w:bookmarkStart w:id="108" w:name="_Toc32670"/>
      <w:r>
        <w:rPr>
          <w:rFonts w:ascii="宋体" w:hAnsi="宋体"/>
          <w:b/>
          <w:color w:val="auto"/>
          <w:sz w:val="24"/>
        </w:rPr>
        <w:t>2.5 结算方式和付款条件</w:t>
      </w:r>
      <w:bookmarkEnd w:id="104"/>
      <w:bookmarkEnd w:id="105"/>
      <w:bookmarkEnd w:id="106"/>
      <w:bookmarkEnd w:id="107"/>
      <w:bookmarkEnd w:id="108"/>
    </w:p>
    <w:p>
      <w:pPr>
        <w:spacing w:line="360" w:lineRule="auto"/>
        <w:ind w:firstLine="480" w:firstLineChars="200"/>
        <w:rPr>
          <w:rFonts w:ascii="宋体" w:hAnsi="宋体"/>
          <w:color w:val="auto"/>
          <w:sz w:val="24"/>
        </w:rPr>
      </w:pP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pPr>
        <w:spacing w:line="360" w:lineRule="auto"/>
        <w:ind w:firstLine="482" w:firstLineChars="200"/>
        <w:rPr>
          <w:rFonts w:ascii="宋体" w:hAnsi="宋体"/>
          <w:b/>
          <w:color w:val="auto"/>
          <w:sz w:val="24"/>
        </w:rPr>
      </w:pPr>
      <w:bookmarkStart w:id="109" w:name="_Toc13467"/>
      <w:bookmarkStart w:id="110" w:name="_Toc16163"/>
      <w:bookmarkStart w:id="111" w:name="_Toc18990"/>
      <w:bookmarkStart w:id="112" w:name="_Toc30507"/>
      <w:bookmarkStart w:id="113" w:name="_Toc13154"/>
      <w:r>
        <w:rPr>
          <w:rFonts w:ascii="宋体" w:hAnsi="宋体"/>
          <w:b/>
          <w:color w:val="auto"/>
          <w:sz w:val="24"/>
        </w:rPr>
        <w:t>2.6 技术资料和保密义务</w:t>
      </w:r>
      <w:bookmarkEnd w:id="109"/>
      <w:bookmarkEnd w:id="110"/>
      <w:bookmarkEnd w:id="111"/>
      <w:bookmarkEnd w:id="112"/>
      <w:bookmarkEnd w:id="113"/>
    </w:p>
    <w:p>
      <w:pPr>
        <w:spacing w:line="360" w:lineRule="auto"/>
        <w:ind w:firstLine="480" w:firstLineChars="200"/>
        <w:rPr>
          <w:rFonts w:ascii="宋体" w:hAnsi="宋体"/>
          <w:color w:val="auto"/>
          <w:sz w:val="24"/>
        </w:rPr>
      </w:pPr>
      <w:r>
        <w:rPr>
          <w:rFonts w:ascii="宋体" w:hAnsi="宋体"/>
          <w:color w:val="auto"/>
          <w:sz w:val="24"/>
        </w:rPr>
        <w:t>2.6.1 乙方有权依据合同约定和项目需要，向甲方了解有关情况，调阅有关资料等，甲方应予积极配合；</w:t>
      </w:r>
    </w:p>
    <w:p>
      <w:pPr>
        <w:spacing w:line="360" w:lineRule="auto"/>
        <w:ind w:firstLine="480" w:firstLineChars="200"/>
        <w:rPr>
          <w:rFonts w:ascii="宋体" w:hAnsi="宋体"/>
          <w:color w:val="auto"/>
          <w:sz w:val="24"/>
        </w:rPr>
      </w:pPr>
      <w:r>
        <w:rPr>
          <w:rFonts w:ascii="宋体" w:hAnsi="宋体"/>
          <w:color w:val="auto"/>
          <w:sz w:val="24"/>
        </w:rPr>
        <w:t xml:space="preserve">2.6.2 </w:t>
      </w:r>
      <w:r>
        <w:rPr>
          <w:rFonts w:hint="eastAsia" w:ascii="宋体" w:hAnsi="宋体"/>
          <w:color w:val="auto"/>
          <w:sz w:val="24"/>
        </w:rPr>
        <w:t>乙方有义务妥善保管和保护由甲方提供的前款信息和资料等；</w:t>
      </w:r>
    </w:p>
    <w:p>
      <w:pPr>
        <w:spacing w:line="360" w:lineRule="auto"/>
        <w:ind w:firstLine="480" w:firstLineChars="200"/>
        <w:rPr>
          <w:rFonts w:ascii="宋体" w:hAnsi="宋体"/>
          <w:color w:val="auto"/>
          <w:sz w:val="24"/>
        </w:rPr>
      </w:pPr>
      <w:r>
        <w:rPr>
          <w:rFonts w:ascii="宋体" w:hAnsi="宋体"/>
          <w:color w:val="auto"/>
          <w:sz w:val="24"/>
        </w:rPr>
        <w:t xml:space="preserve">2.6.3 </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color w:val="auto"/>
          <w:sz w:val="24"/>
        </w:rPr>
      </w:pPr>
      <w:bookmarkStart w:id="114" w:name="_Toc19069"/>
      <w:r>
        <w:rPr>
          <w:rFonts w:ascii="宋体" w:hAnsi="宋体"/>
          <w:b/>
          <w:color w:val="auto"/>
          <w:sz w:val="24"/>
        </w:rPr>
        <w:t xml:space="preserve">2.7 </w:t>
      </w:r>
      <w:r>
        <w:rPr>
          <w:rFonts w:hint="eastAsia" w:ascii="宋体" w:hAnsi="宋体"/>
          <w:b/>
          <w:color w:val="auto"/>
          <w:sz w:val="24"/>
        </w:rPr>
        <w:t>质量保证</w:t>
      </w:r>
      <w:bookmarkEnd w:id="114"/>
    </w:p>
    <w:p>
      <w:pPr>
        <w:spacing w:line="360" w:lineRule="auto"/>
        <w:ind w:firstLine="480" w:firstLineChars="200"/>
        <w:rPr>
          <w:rFonts w:ascii="宋体" w:hAnsi="宋体"/>
          <w:color w:val="auto"/>
          <w:sz w:val="24"/>
        </w:rPr>
      </w:pPr>
      <w:r>
        <w:rPr>
          <w:rFonts w:ascii="宋体" w:hAnsi="宋体"/>
          <w:color w:val="auto"/>
          <w:sz w:val="24"/>
        </w:rPr>
        <w:t xml:space="preserve">2.7.1 </w:t>
      </w:r>
      <w:r>
        <w:rPr>
          <w:rFonts w:hint="eastAsia" w:ascii="宋体" w:hAnsi="宋体"/>
          <w:color w:val="auto"/>
          <w:sz w:val="24"/>
        </w:rPr>
        <w:t>乙方应建立和完善履行合同的内部质量保证体系，并提供相关内部规章制度给甲方，以便甲方进行监督检查；</w:t>
      </w:r>
    </w:p>
    <w:p>
      <w:pPr>
        <w:spacing w:line="360" w:lineRule="auto"/>
        <w:ind w:firstLine="480" w:firstLineChars="200"/>
        <w:rPr>
          <w:rFonts w:ascii="宋体" w:hAnsi="宋体"/>
          <w:color w:val="auto"/>
          <w:sz w:val="24"/>
        </w:rPr>
      </w:pPr>
      <w:r>
        <w:rPr>
          <w:rFonts w:ascii="宋体" w:hAnsi="宋体"/>
          <w:color w:val="auto"/>
          <w:sz w:val="24"/>
        </w:rPr>
        <w:t xml:space="preserve">2.7.2 </w:t>
      </w:r>
      <w:r>
        <w:rPr>
          <w:rFonts w:hint="eastAsia" w:ascii="宋体" w:hAnsi="宋体"/>
          <w:color w:val="auto"/>
          <w:sz w:val="24"/>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color w:val="auto"/>
          <w:sz w:val="24"/>
        </w:rPr>
      </w:pPr>
      <w:bookmarkStart w:id="115" w:name="_Toc22267"/>
      <w:r>
        <w:rPr>
          <w:rFonts w:ascii="宋体" w:hAnsi="宋体"/>
          <w:b/>
          <w:color w:val="auto"/>
          <w:sz w:val="24"/>
        </w:rPr>
        <w:t xml:space="preserve">2.8 </w:t>
      </w:r>
      <w:r>
        <w:rPr>
          <w:rFonts w:hint="eastAsia" w:ascii="宋体" w:hAnsi="宋体"/>
          <w:b/>
          <w:color w:val="auto"/>
          <w:sz w:val="24"/>
        </w:rPr>
        <w:t>延迟履行</w:t>
      </w:r>
      <w:bookmarkEnd w:id="115"/>
    </w:p>
    <w:p>
      <w:pPr>
        <w:spacing w:line="360" w:lineRule="auto"/>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pPr>
        <w:spacing w:line="360" w:lineRule="auto"/>
        <w:ind w:firstLine="482" w:firstLineChars="200"/>
        <w:rPr>
          <w:rFonts w:ascii="宋体" w:hAnsi="宋体"/>
          <w:b/>
          <w:color w:val="auto"/>
          <w:sz w:val="24"/>
        </w:rPr>
      </w:pPr>
      <w:bookmarkStart w:id="116" w:name="_Toc10611"/>
      <w:r>
        <w:rPr>
          <w:rFonts w:ascii="宋体" w:hAnsi="宋体"/>
          <w:b/>
          <w:color w:val="auto"/>
          <w:sz w:val="24"/>
        </w:rPr>
        <w:t xml:space="preserve">2.9 </w:t>
      </w:r>
      <w:r>
        <w:rPr>
          <w:rFonts w:hint="eastAsia" w:ascii="宋体" w:hAnsi="宋体"/>
          <w:b/>
          <w:color w:val="auto"/>
          <w:sz w:val="24"/>
        </w:rPr>
        <w:t>合同变更</w:t>
      </w:r>
      <w:bookmarkEnd w:id="116"/>
    </w:p>
    <w:p>
      <w:pPr>
        <w:spacing w:line="360" w:lineRule="auto"/>
        <w:ind w:firstLine="480" w:firstLineChars="200"/>
        <w:rPr>
          <w:rFonts w:ascii="宋体" w:hAnsi="宋体"/>
          <w:color w:val="auto"/>
          <w:sz w:val="24"/>
        </w:rPr>
      </w:pP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color w:val="auto"/>
          <w:sz w:val="24"/>
        </w:rPr>
      </w:pPr>
      <w:bookmarkStart w:id="117" w:name="_Toc42"/>
      <w:bookmarkStart w:id="118" w:name="_Toc26689"/>
      <w:bookmarkStart w:id="119" w:name="_Toc21830"/>
      <w:bookmarkStart w:id="120" w:name="_Toc10663"/>
      <w:bookmarkStart w:id="121" w:name="_Toc23368"/>
      <w:r>
        <w:rPr>
          <w:rFonts w:ascii="宋体" w:hAnsi="宋体"/>
          <w:b/>
          <w:color w:val="auto"/>
          <w:sz w:val="24"/>
        </w:rPr>
        <w:t>2.10 合同转让和分包</w:t>
      </w:r>
      <w:bookmarkEnd w:id="117"/>
      <w:bookmarkEnd w:id="118"/>
      <w:bookmarkEnd w:id="119"/>
      <w:bookmarkEnd w:id="120"/>
      <w:bookmarkEnd w:id="121"/>
    </w:p>
    <w:p>
      <w:pPr>
        <w:spacing w:line="360" w:lineRule="auto"/>
        <w:ind w:firstLine="480" w:firstLineChars="200"/>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pPr>
        <w:spacing w:line="360" w:lineRule="auto"/>
        <w:ind w:firstLine="482" w:firstLineChars="200"/>
        <w:rPr>
          <w:rFonts w:ascii="宋体" w:hAnsi="宋体"/>
          <w:b/>
          <w:color w:val="auto"/>
          <w:sz w:val="24"/>
        </w:rPr>
      </w:pPr>
      <w:bookmarkStart w:id="122" w:name="_Toc32494"/>
      <w:bookmarkStart w:id="123" w:name="_Toc25571"/>
      <w:bookmarkStart w:id="124" w:name="_Toc14371"/>
      <w:bookmarkStart w:id="125" w:name="_Toc26633"/>
      <w:bookmarkStart w:id="126" w:name="_Toc4720"/>
      <w:r>
        <w:rPr>
          <w:rFonts w:ascii="宋体" w:hAnsi="宋体"/>
          <w:b/>
          <w:color w:val="auto"/>
          <w:sz w:val="24"/>
        </w:rPr>
        <w:t>2.11 不可抗力</w:t>
      </w:r>
      <w:bookmarkEnd w:id="122"/>
      <w:bookmarkEnd w:id="123"/>
      <w:bookmarkEnd w:id="124"/>
      <w:bookmarkEnd w:id="125"/>
      <w:bookmarkEnd w:id="126"/>
    </w:p>
    <w:p>
      <w:pPr>
        <w:spacing w:line="360" w:lineRule="auto"/>
        <w:ind w:firstLine="480" w:firstLineChars="200"/>
        <w:rPr>
          <w:rFonts w:ascii="宋体" w:hAnsi="宋体"/>
          <w:color w:val="auto"/>
          <w:sz w:val="24"/>
        </w:rPr>
      </w:pPr>
      <w:r>
        <w:rPr>
          <w:rFonts w:ascii="宋体" w:hAnsi="宋体"/>
          <w:color w:val="auto"/>
          <w:sz w:val="24"/>
        </w:rPr>
        <w:t>2.11.1如果任何一方遭遇法律规定的不可抗力，致使合同履行受阻时，履行合同的期限应予延长，延长的期限应相当于不可抗力所影响的时间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 xml:space="preserve">2.11.2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ascii="宋体" w:hAnsi="宋体"/>
          <w:color w:val="auto"/>
          <w:sz w:val="24"/>
        </w:rPr>
        <w:t xml:space="preserve">2.11.3 </w:t>
      </w:r>
      <w:r>
        <w:rPr>
          <w:rFonts w:hint="eastAsia" w:ascii="宋体" w:hAnsi="宋体"/>
          <w:color w:val="auto"/>
          <w:sz w:val="24"/>
        </w:rPr>
        <w:t>因</w:t>
      </w:r>
      <w:r>
        <w:rPr>
          <w:rFonts w:ascii="宋体" w:hAnsi="宋体"/>
          <w:color w:val="auto"/>
          <w:sz w:val="24"/>
        </w:rPr>
        <w:t>不可抗力致使合同有变更必要的，双方当事人应在</w:t>
      </w:r>
      <w:r>
        <w:rPr>
          <w:rFonts w:ascii="宋体" w:hAnsi="宋体"/>
          <w:b/>
          <w:color w:val="auto"/>
          <w:sz w:val="24"/>
          <w:u w:val="single"/>
        </w:rPr>
        <w:t>合同专用条款</w:t>
      </w:r>
      <w:r>
        <w:rPr>
          <w:rFonts w:ascii="宋体" w:hAnsi="宋体"/>
          <w:color w:val="auto"/>
          <w:sz w:val="24"/>
        </w:rPr>
        <w:t>约定时间内以书面形式变更合同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2.11.4受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ascii="宋体" w:hAnsi="宋体"/>
          <w:b/>
          <w:color w:val="auto"/>
          <w:sz w:val="24"/>
          <w:u w:val="single"/>
        </w:rPr>
        <w:t>合同专用条款</w:t>
      </w:r>
      <w:r>
        <w:rPr>
          <w:rFonts w:ascii="宋体" w:hAnsi="宋体"/>
          <w:color w:val="auto"/>
          <w:sz w:val="24"/>
        </w:rPr>
        <w:t>约定时间内以书面形式通知</w:t>
      </w:r>
      <w:r>
        <w:rPr>
          <w:rFonts w:hint="eastAsia" w:ascii="宋体" w:hAnsi="宋体"/>
          <w:color w:val="auto"/>
          <w:sz w:val="24"/>
        </w:rPr>
        <w:t>对</w:t>
      </w:r>
      <w:r>
        <w:rPr>
          <w:rFonts w:ascii="宋体" w:hAnsi="宋体"/>
          <w:color w:val="auto"/>
          <w:sz w:val="24"/>
        </w:rPr>
        <w:t>方当事人，并在</w:t>
      </w:r>
      <w:r>
        <w:rPr>
          <w:rFonts w:ascii="宋体" w:hAnsi="宋体"/>
          <w:b/>
          <w:color w:val="auto"/>
          <w:sz w:val="24"/>
          <w:u w:val="single"/>
        </w:rPr>
        <w:t>合同专用条款</w:t>
      </w:r>
      <w:r>
        <w:rPr>
          <w:rFonts w:ascii="宋体" w:hAnsi="宋体"/>
          <w:color w:val="auto"/>
          <w:sz w:val="24"/>
        </w:rPr>
        <w:t>约定时间内，将有关部门出具的证明文件送达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rPr>
          <w:rFonts w:ascii="宋体" w:hAnsi="宋体"/>
          <w:b/>
          <w:color w:val="auto"/>
          <w:sz w:val="24"/>
        </w:rPr>
      </w:pPr>
      <w:bookmarkStart w:id="127" w:name="_Toc3638"/>
      <w:bookmarkStart w:id="128" w:name="_Toc14115"/>
      <w:bookmarkStart w:id="129" w:name="_Toc23854"/>
      <w:bookmarkStart w:id="130" w:name="_Toc25783"/>
      <w:bookmarkStart w:id="131" w:name="_Toc24465"/>
      <w:r>
        <w:rPr>
          <w:rFonts w:ascii="宋体" w:hAnsi="宋体"/>
          <w:b/>
          <w:color w:val="auto"/>
          <w:sz w:val="24"/>
        </w:rPr>
        <w:t>2.12 税费</w:t>
      </w:r>
      <w:bookmarkEnd w:id="127"/>
      <w:bookmarkEnd w:id="128"/>
      <w:bookmarkEnd w:id="129"/>
      <w:bookmarkEnd w:id="130"/>
      <w:bookmarkEnd w:id="131"/>
    </w:p>
    <w:p>
      <w:pPr>
        <w:spacing w:line="360" w:lineRule="auto"/>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pPr>
        <w:spacing w:line="360" w:lineRule="auto"/>
        <w:ind w:firstLine="482" w:firstLineChars="200"/>
        <w:rPr>
          <w:rFonts w:ascii="宋体" w:hAnsi="宋体"/>
          <w:b/>
          <w:color w:val="auto"/>
          <w:sz w:val="24"/>
        </w:rPr>
      </w:pPr>
      <w:bookmarkStart w:id="132" w:name="_Toc25525"/>
      <w:bookmarkStart w:id="133" w:name="_Toc14814"/>
      <w:bookmarkStart w:id="134" w:name="_Toc26883"/>
      <w:bookmarkStart w:id="135" w:name="_Toc7315"/>
      <w:bookmarkStart w:id="136" w:name="_Toc30105"/>
      <w:r>
        <w:rPr>
          <w:rFonts w:ascii="宋体" w:hAnsi="宋体"/>
          <w:b/>
          <w:color w:val="auto"/>
          <w:sz w:val="24"/>
        </w:rPr>
        <w:t>2.13 乙方破产</w:t>
      </w:r>
      <w:bookmarkEnd w:id="132"/>
      <w:bookmarkEnd w:id="133"/>
      <w:bookmarkEnd w:id="134"/>
      <w:bookmarkEnd w:id="135"/>
      <w:bookmarkEnd w:id="136"/>
    </w:p>
    <w:p>
      <w:pPr>
        <w:spacing w:line="360" w:lineRule="auto"/>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pPr>
        <w:spacing w:line="360" w:lineRule="auto"/>
        <w:ind w:firstLine="482" w:firstLineChars="200"/>
        <w:rPr>
          <w:rFonts w:ascii="宋体" w:hAnsi="宋体"/>
          <w:b/>
          <w:color w:val="auto"/>
          <w:sz w:val="24"/>
        </w:rPr>
      </w:pPr>
      <w:bookmarkStart w:id="137" w:name="_Toc23323"/>
      <w:bookmarkStart w:id="138" w:name="_Toc1123"/>
      <w:bookmarkStart w:id="139" w:name="_Toc2016"/>
      <w:r>
        <w:rPr>
          <w:rFonts w:ascii="宋体" w:hAnsi="宋体"/>
          <w:b/>
          <w:color w:val="auto"/>
          <w:sz w:val="24"/>
        </w:rPr>
        <w:t>2.14 合同中止、终止</w:t>
      </w:r>
      <w:bookmarkEnd w:id="137"/>
      <w:bookmarkEnd w:id="138"/>
      <w:bookmarkEnd w:id="139"/>
    </w:p>
    <w:p>
      <w:pPr>
        <w:spacing w:line="360" w:lineRule="auto"/>
        <w:ind w:firstLine="480" w:firstLineChars="200"/>
        <w:rPr>
          <w:rFonts w:ascii="宋体" w:hAnsi="宋体"/>
          <w:color w:val="auto"/>
          <w:sz w:val="24"/>
        </w:rPr>
      </w:pPr>
      <w:r>
        <w:rPr>
          <w:rFonts w:ascii="宋体" w:hAnsi="宋体"/>
          <w:color w:val="auto"/>
          <w:sz w:val="24"/>
        </w:rPr>
        <w:t xml:space="preserve">2.14.1 </w:t>
      </w:r>
      <w:r>
        <w:rPr>
          <w:rFonts w:hint="eastAsia" w:ascii="宋体" w:hAnsi="宋体"/>
          <w:color w:val="auto"/>
          <w:sz w:val="24"/>
        </w:rPr>
        <w:t>双方当事人不得擅自中止或者终止合同；</w:t>
      </w:r>
    </w:p>
    <w:p>
      <w:pPr>
        <w:spacing w:line="360" w:lineRule="auto"/>
        <w:ind w:firstLine="480" w:firstLineChars="200"/>
        <w:rPr>
          <w:rFonts w:ascii="宋体" w:hAnsi="宋体"/>
          <w:color w:val="auto"/>
          <w:sz w:val="24"/>
        </w:rPr>
      </w:pPr>
      <w:r>
        <w:rPr>
          <w:rFonts w:ascii="宋体" w:hAnsi="宋体"/>
          <w:color w:val="auto"/>
          <w:sz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color w:val="auto"/>
          <w:sz w:val="24"/>
        </w:rPr>
      </w:pPr>
      <w:bookmarkStart w:id="140" w:name="_Toc1969"/>
      <w:bookmarkStart w:id="141" w:name="_Toc17363"/>
      <w:bookmarkStart w:id="142" w:name="_Toc14525"/>
      <w:r>
        <w:rPr>
          <w:rFonts w:ascii="宋体" w:hAnsi="宋体"/>
          <w:b/>
          <w:color w:val="auto"/>
          <w:sz w:val="24"/>
        </w:rPr>
        <w:t>2.15 检验和验收</w:t>
      </w:r>
      <w:bookmarkEnd w:id="140"/>
      <w:bookmarkEnd w:id="141"/>
      <w:bookmarkEnd w:id="142"/>
    </w:p>
    <w:p>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2.15.1 </w:t>
      </w:r>
      <w:r>
        <w:rPr>
          <w:rFonts w:hint="eastAsia" w:ascii="宋体" w:hAnsi="宋体"/>
          <w:color w:val="auto"/>
          <w:sz w:val="24"/>
        </w:rPr>
        <w:t>乙方按照</w:t>
      </w:r>
      <w:r>
        <w:rPr>
          <w:rFonts w:ascii="宋体" w:hAnsi="宋体"/>
          <w:b/>
          <w:color w:val="auto"/>
          <w:sz w:val="24"/>
          <w:u w:val="single"/>
        </w:rPr>
        <w:t>合同专用条款</w:t>
      </w:r>
      <w:r>
        <w:rPr>
          <w:rFonts w:ascii="宋体" w:hAnsi="宋体"/>
          <w:color w:val="auto"/>
          <w:sz w:val="24"/>
        </w:rPr>
        <w:t>的约定</w:t>
      </w:r>
      <w:r>
        <w:rPr>
          <w:rFonts w:hint="eastAsia" w:ascii="宋体" w:hAnsi="宋体"/>
          <w:color w:val="auto"/>
          <w:sz w:val="24"/>
        </w:rPr>
        <w:t>，</w:t>
      </w:r>
      <w:r>
        <w:rPr>
          <w:rFonts w:ascii="宋体" w:hAnsi="宋体"/>
          <w:color w:val="auto"/>
          <w:sz w:val="24"/>
        </w:rPr>
        <w:t>定期提交服务报告</w:t>
      </w:r>
      <w:r>
        <w:rPr>
          <w:rFonts w:hint="eastAsia" w:ascii="宋体" w:hAnsi="宋体"/>
          <w:color w:val="auto"/>
          <w:sz w:val="24"/>
        </w:rPr>
        <w:t>，甲方按照</w:t>
      </w:r>
      <w:r>
        <w:rPr>
          <w:rFonts w:ascii="宋体" w:hAnsi="宋体"/>
          <w:b/>
          <w:color w:val="auto"/>
          <w:sz w:val="24"/>
          <w:u w:val="single"/>
        </w:rPr>
        <w:t>合同专用条款</w:t>
      </w:r>
      <w:r>
        <w:rPr>
          <w:rFonts w:ascii="宋体" w:hAnsi="宋体"/>
          <w:color w:val="auto"/>
          <w:sz w:val="24"/>
        </w:rPr>
        <w:t>的约定进行定期验收</w:t>
      </w:r>
      <w:r>
        <w:rPr>
          <w:rFonts w:hint="eastAsia" w:ascii="宋体" w:hAnsi="宋体"/>
          <w:color w:val="auto"/>
          <w:sz w:val="24"/>
        </w:rPr>
        <w:t>；</w:t>
      </w:r>
    </w:p>
    <w:p>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2.15.2 </w:t>
      </w:r>
      <w:r>
        <w:rPr>
          <w:rFonts w:hint="eastAsia" w:ascii="宋体" w:hAnsi="宋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2.15.3 </w:t>
      </w:r>
      <w:r>
        <w:rPr>
          <w:rFonts w:hint="eastAsia" w:ascii="宋体" w:hAnsi="宋体"/>
          <w:color w:val="auto"/>
          <w:sz w:val="24"/>
        </w:rPr>
        <w:t>检验和验收标准、程序等具体内容以及前述验收书的效力详见</w:t>
      </w:r>
      <w:r>
        <w:rPr>
          <w:rFonts w:ascii="宋体" w:hAnsi="宋体"/>
          <w:b/>
          <w:color w:val="auto"/>
          <w:sz w:val="24"/>
          <w:u w:val="single"/>
        </w:rPr>
        <w:t>合同专用条款</w:t>
      </w:r>
      <w:r>
        <w:rPr>
          <w:rFonts w:hint="eastAsia" w:ascii="宋体" w:hAnsi="宋体"/>
          <w:color w:val="auto"/>
          <w:sz w:val="24"/>
        </w:rPr>
        <w:t>。</w:t>
      </w:r>
    </w:p>
    <w:p>
      <w:pPr>
        <w:spacing w:line="360" w:lineRule="auto"/>
        <w:ind w:firstLine="482" w:firstLineChars="200"/>
        <w:rPr>
          <w:rFonts w:ascii="宋体" w:hAnsi="宋体"/>
          <w:b/>
          <w:color w:val="auto"/>
          <w:sz w:val="24"/>
        </w:rPr>
      </w:pPr>
      <w:bookmarkStart w:id="143" w:name="_Toc2308"/>
      <w:bookmarkStart w:id="144" w:name="_Toc9808"/>
      <w:bookmarkStart w:id="145" w:name="_Toc25198"/>
      <w:bookmarkStart w:id="146" w:name="_Toc31892"/>
      <w:bookmarkStart w:id="147" w:name="_Toc12666"/>
      <w:r>
        <w:rPr>
          <w:rFonts w:ascii="宋体" w:hAnsi="宋体"/>
          <w:b/>
          <w:color w:val="auto"/>
          <w:sz w:val="24"/>
        </w:rPr>
        <w:t>2.16 通知和送达</w:t>
      </w:r>
      <w:bookmarkEnd w:id="143"/>
      <w:bookmarkEnd w:id="144"/>
      <w:bookmarkEnd w:id="145"/>
      <w:bookmarkEnd w:id="146"/>
      <w:bookmarkEnd w:id="147"/>
    </w:p>
    <w:p>
      <w:pPr>
        <w:spacing w:line="360" w:lineRule="auto"/>
        <w:ind w:firstLine="480" w:firstLineChars="200"/>
        <w:rPr>
          <w:rFonts w:ascii="宋体" w:hAnsi="宋体"/>
          <w:color w:val="auto"/>
          <w:sz w:val="24"/>
        </w:rPr>
      </w:pPr>
      <w:bookmarkStart w:id="148" w:name="_Toc27674"/>
      <w:bookmarkStart w:id="149" w:name="_Toc18401"/>
      <w:r>
        <w:rPr>
          <w:rFonts w:ascii="宋体" w:hAnsi="宋体"/>
          <w:color w:val="auto"/>
          <w:sz w:val="24"/>
        </w:rPr>
        <w:t>2.17.1</w:t>
      </w:r>
      <w:r>
        <w:rPr>
          <w:rFonts w:hint="eastAsia" w:ascii="宋体" w:hAnsi="宋体"/>
          <w:color w:val="auto"/>
          <w:sz w:val="24"/>
        </w:rPr>
        <w:t>任何一方因履行合同而以合同第一部分尾部所列明的传真或电子邮件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ascii="宋体" w:hAnsi="宋体"/>
          <w:color w:val="auto"/>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rPr>
        <w:t>的，邮件挂号寄出或者交邮之日之次日视为送达。</w:t>
      </w:r>
      <w:bookmarkEnd w:id="148"/>
      <w:bookmarkEnd w:id="149"/>
    </w:p>
    <w:p>
      <w:pPr>
        <w:spacing w:line="360" w:lineRule="auto"/>
        <w:ind w:firstLine="482" w:firstLineChars="200"/>
        <w:rPr>
          <w:rFonts w:ascii="宋体" w:hAnsi="宋体"/>
          <w:b/>
          <w:color w:val="auto"/>
          <w:sz w:val="24"/>
        </w:rPr>
      </w:pPr>
      <w:bookmarkStart w:id="150" w:name="_Toc20808"/>
      <w:bookmarkStart w:id="151" w:name="_Toc12254"/>
      <w:bookmarkStart w:id="152" w:name="_Toc27644"/>
      <w:bookmarkStart w:id="153" w:name="_Toc5063"/>
      <w:bookmarkStart w:id="154" w:name="_Toc28906"/>
      <w:r>
        <w:rPr>
          <w:rFonts w:ascii="宋体" w:hAnsi="宋体"/>
          <w:b/>
          <w:color w:val="auto"/>
          <w:sz w:val="24"/>
        </w:rPr>
        <w:t xml:space="preserve">2.17 </w:t>
      </w:r>
      <w:r>
        <w:rPr>
          <w:rFonts w:hint="eastAsia" w:ascii="宋体" w:hAnsi="宋体"/>
          <w:b/>
          <w:color w:val="auto"/>
          <w:sz w:val="24"/>
        </w:rPr>
        <w:t>合同使用的文字和</w:t>
      </w:r>
      <w:r>
        <w:rPr>
          <w:rFonts w:ascii="宋体" w:hAnsi="宋体"/>
          <w:b/>
          <w:color w:val="auto"/>
          <w:sz w:val="24"/>
        </w:rPr>
        <w:t>适用的法律</w:t>
      </w:r>
      <w:bookmarkEnd w:id="150"/>
      <w:bookmarkEnd w:id="151"/>
      <w:bookmarkEnd w:id="152"/>
      <w:bookmarkEnd w:id="153"/>
      <w:bookmarkEnd w:id="154"/>
    </w:p>
    <w:p>
      <w:pPr>
        <w:spacing w:line="360" w:lineRule="auto"/>
        <w:ind w:firstLine="480" w:firstLineChars="200"/>
        <w:rPr>
          <w:rFonts w:ascii="宋体" w:hAnsi="宋体"/>
          <w:color w:val="auto"/>
          <w:sz w:val="24"/>
        </w:rPr>
      </w:pPr>
      <w:r>
        <w:rPr>
          <w:rFonts w:ascii="宋体" w:hAnsi="宋体"/>
          <w:color w:val="auto"/>
          <w:sz w:val="24"/>
        </w:rPr>
        <w:t>2.17.1 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 xml:space="preserve">2.17.2 </w:t>
      </w:r>
      <w:r>
        <w:rPr>
          <w:rFonts w:hint="eastAsia" w:ascii="宋体" w:hAnsi="宋体"/>
          <w:color w:val="auto"/>
          <w:sz w:val="24"/>
        </w:rPr>
        <w:t>合同适用</w:t>
      </w:r>
      <w:r>
        <w:rPr>
          <w:rFonts w:ascii="宋体" w:hAnsi="宋体"/>
          <w:color w:val="auto"/>
          <w:sz w:val="24"/>
        </w:rPr>
        <w:t>中华人民共和国法律。</w:t>
      </w:r>
    </w:p>
    <w:p>
      <w:pPr>
        <w:spacing w:line="360" w:lineRule="auto"/>
        <w:ind w:firstLine="482" w:firstLineChars="200"/>
        <w:rPr>
          <w:rFonts w:ascii="宋体" w:hAnsi="宋体" w:cs="宋体"/>
          <w:b/>
          <w:color w:val="auto"/>
          <w:sz w:val="24"/>
        </w:rPr>
      </w:pPr>
      <w:r>
        <w:rPr>
          <w:rFonts w:hint="eastAsia" w:ascii="宋体" w:hAnsi="宋体" w:cs="宋体"/>
          <w:b/>
          <w:color w:val="auto"/>
          <w:sz w:val="24"/>
        </w:rPr>
        <w:t>2.18 计量单位</w:t>
      </w:r>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pPr>
        <w:spacing w:line="360" w:lineRule="auto"/>
        <w:ind w:firstLine="482" w:firstLineChars="200"/>
        <w:rPr>
          <w:rFonts w:ascii="宋体" w:hAnsi="宋体"/>
          <w:b/>
          <w:color w:val="auto"/>
          <w:sz w:val="24"/>
        </w:rPr>
      </w:pPr>
      <w:r>
        <w:rPr>
          <w:rFonts w:ascii="宋体" w:hAnsi="宋体"/>
          <w:b/>
          <w:color w:val="auto"/>
          <w:sz w:val="24"/>
        </w:rPr>
        <w:t>2.</w:t>
      </w:r>
      <w:r>
        <w:rPr>
          <w:rFonts w:hint="eastAsia" w:ascii="宋体" w:hAnsi="宋体"/>
          <w:b/>
          <w:color w:val="auto"/>
          <w:sz w:val="24"/>
        </w:rPr>
        <w:t>19</w:t>
      </w:r>
      <w:r>
        <w:rPr>
          <w:rFonts w:ascii="宋体" w:hAnsi="宋体"/>
          <w:b/>
          <w:color w:val="auto"/>
          <w:sz w:val="24"/>
        </w:rPr>
        <w:t>合同份数</w:t>
      </w:r>
    </w:p>
    <w:p>
      <w:pPr>
        <w:spacing w:line="360" w:lineRule="auto"/>
        <w:ind w:firstLine="480" w:firstLineChars="200"/>
        <w:rPr>
          <w:rFonts w:ascii="宋体" w:hAnsi="宋体"/>
          <w:color w:val="auto"/>
          <w:sz w:val="24"/>
        </w:rPr>
      </w:pPr>
      <w:r>
        <w:rPr>
          <w:rFonts w:ascii="宋体" w:hAnsi="宋体"/>
          <w:color w:val="auto"/>
          <w:sz w:val="24"/>
        </w:rPr>
        <w:t>合同份数按</w:t>
      </w:r>
      <w:r>
        <w:rPr>
          <w:rFonts w:ascii="宋体" w:hAnsi="宋体"/>
          <w:b/>
          <w:color w:val="auto"/>
          <w:sz w:val="24"/>
          <w:u w:val="single"/>
        </w:rPr>
        <w:t>合同专用条款</w:t>
      </w:r>
      <w:r>
        <w:rPr>
          <w:rFonts w:ascii="宋体" w:hAnsi="宋体"/>
          <w:color w:val="auto"/>
          <w:sz w:val="24"/>
        </w:rPr>
        <w:t>规定</w:t>
      </w:r>
      <w:r>
        <w:rPr>
          <w:rFonts w:hint="eastAsia" w:ascii="宋体" w:hAnsi="宋体"/>
          <w:color w:val="auto"/>
          <w:sz w:val="24"/>
        </w:rPr>
        <w:t>，</w:t>
      </w:r>
      <w:r>
        <w:rPr>
          <w:rFonts w:ascii="宋体" w:hAnsi="宋体"/>
          <w:color w:val="auto"/>
          <w:sz w:val="24"/>
        </w:rPr>
        <w:t>每份均具有同等法律效力</w:t>
      </w:r>
      <w:r>
        <w:rPr>
          <w:rFonts w:hint="eastAsia" w:ascii="宋体" w:hAnsi="宋体"/>
          <w:color w:val="auto"/>
          <w:sz w:val="24"/>
        </w:rPr>
        <w:t>。</w:t>
      </w:r>
    </w:p>
    <w:p>
      <w:pPr>
        <w:spacing w:line="360" w:lineRule="auto"/>
        <w:jc w:val="center"/>
        <w:outlineLvl w:val="1"/>
        <w:rPr>
          <w:rFonts w:ascii="宋体" w:hAnsi="宋体" w:cs="宋体"/>
          <w:b/>
          <w:color w:val="auto"/>
          <w:sz w:val="24"/>
        </w:rPr>
      </w:pPr>
      <w:r>
        <w:rPr>
          <w:rFonts w:hint="eastAsia" w:ascii="宋体" w:hAnsi="宋体" w:cs="宋体"/>
          <w:color w:val="auto"/>
          <w:kern w:val="0"/>
        </w:rPr>
        <w:br w:type="page"/>
      </w:r>
      <w:r>
        <w:rPr>
          <w:rFonts w:hint="eastAsia" w:ascii="宋体" w:hAnsi="宋体" w:cs="宋体"/>
          <w:b/>
          <w:color w:val="auto"/>
          <w:sz w:val="24"/>
        </w:rPr>
        <w:t>第三节 合同专用条款</w:t>
      </w:r>
    </w:p>
    <w:p>
      <w:pPr>
        <w:spacing w:line="360" w:lineRule="auto"/>
        <w:ind w:left="-420" w:leftChars="-200" w:right="-420" w:rightChars="-200" w:firstLine="480" w:firstLineChars="200"/>
        <w:rPr>
          <w:rFonts w:ascii="宋体" w:hAnsi="宋体" w:cs="宋体"/>
          <w:color w:val="auto"/>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01"/>
        <w:gridCol w:w="83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color w:val="auto"/>
                <w:sz w:val="24"/>
              </w:rPr>
            </w:pPr>
            <w:r>
              <w:rPr>
                <w:rFonts w:hint="eastAsia" w:ascii="宋体" w:hAnsi="宋体" w:cs="宋体"/>
                <w:b/>
                <w:color w:val="auto"/>
                <w:sz w:val="24"/>
              </w:rPr>
              <w:t>条款号</w:t>
            </w:r>
          </w:p>
        </w:tc>
        <w:tc>
          <w:tcPr>
            <w:tcW w:w="4464" w:type="pct"/>
            <w:vAlign w:val="center"/>
          </w:tcPr>
          <w:p>
            <w:pPr>
              <w:spacing w:line="360" w:lineRule="auto"/>
              <w:jc w:val="center"/>
              <w:rPr>
                <w:rFonts w:ascii="宋体" w:hAnsi="宋体" w:cs="宋体"/>
                <w:b/>
                <w:color w:val="auto"/>
                <w:sz w:val="24"/>
              </w:rPr>
            </w:pPr>
            <w:r>
              <w:rPr>
                <w:rFonts w:hint="eastAsia" w:ascii="宋体" w:hAnsi="宋体" w:cs="宋体"/>
                <w:b/>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1.3.2</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1.4.2</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 xml:space="preserve">1.5.1 </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1.5.2</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 xml:space="preserve">1.5.3 </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1.6.2</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1.7.1</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1.7.2</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1.7.3</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1.7.4.1</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1.7.4.2</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1.7.4.3</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1.8.7</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1.9.1</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1.9.2</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2.3.2</w:t>
            </w:r>
          </w:p>
        </w:tc>
        <w:tc>
          <w:tcPr>
            <w:tcW w:w="4464" w:type="pct"/>
            <w:vAlign w:val="center"/>
          </w:tcPr>
          <w:p>
            <w:pPr>
              <w:spacing w:line="360" w:lineRule="auto"/>
              <w:ind w:left="-420" w:leftChars="-200" w:right="-420" w:rightChars="-200" w:firstLine="480" w:firstLineChars="200"/>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5</w:t>
            </w:r>
          </w:p>
        </w:tc>
        <w:tc>
          <w:tcPr>
            <w:tcW w:w="4464" w:type="pct"/>
            <w:vAlign w:val="center"/>
          </w:tcPr>
          <w:p>
            <w:pPr>
              <w:spacing w:line="360" w:lineRule="auto"/>
              <w:ind w:left="-420" w:leftChars="-200" w:right="-420" w:rightChars="-200" w:firstLine="480" w:firstLineChars="200"/>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3</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11.4</w:t>
            </w:r>
            <w:r>
              <w:rPr>
                <w:rFonts w:hint="eastAsia" w:ascii="宋体" w:hAnsi="宋体" w:cs="宋体"/>
                <w:color w:val="auto"/>
                <w:sz w:val="24"/>
              </w:rPr>
              <w:t xml:space="preserve"> </w:t>
            </w:r>
          </w:p>
        </w:tc>
        <w:tc>
          <w:tcPr>
            <w:tcW w:w="4464" w:type="pct"/>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1</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3</w:t>
            </w:r>
          </w:p>
        </w:tc>
        <w:tc>
          <w:tcPr>
            <w:tcW w:w="4464" w:type="pct"/>
            <w:vAlign w:val="center"/>
          </w:tcPr>
          <w:p>
            <w:pPr>
              <w:spacing w:line="360" w:lineRule="auto"/>
              <w:rPr>
                <w:rFonts w:ascii="宋体" w:hAnsi="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color w:val="auto"/>
                <w:sz w:val="24"/>
              </w:rPr>
            </w:pPr>
            <w:r>
              <w:rPr>
                <w:rFonts w:hint="eastAsia" w:ascii="宋体" w:hAnsi="宋体" w:cs="宋体"/>
                <w:color w:val="auto"/>
                <w:sz w:val="24"/>
              </w:rPr>
              <w:t>2.19</w:t>
            </w:r>
          </w:p>
        </w:tc>
        <w:tc>
          <w:tcPr>
            <w:tcW w:w="4464" w:type="pct"/>
          </w:tcPr>
          <w:p>
            <w:pPr>
              <w:spacing w:line="360" w:lineRule="auto"/>
              <w:rPr>
                <w:rFonts w:ascii="宋体" w:hAnsi="宋体" w:cs="宋体"/>
                <w:color w:val="auto"/>
                <w:sz w:val="24"/>
              </w:rPr>
            </w:pPr>
          </w:p>
        </w:tc>
      </w:tr>
    </w:tbl>
    <w:p>
      <w:pPr>
        <w:spacing w:line="480" w:lineRule="auto"/>
        <w:jc w:val="center"/>
        <w:rPr>
          <w:rFonts w:ascii="宋体" w:hAnsi="宋体" w:cs="宋体"/>
          <w:b/>
          <w:color w:val="auto"/>
          <w:sz w:val="24"/>
        </w:rPr>
      </w:pPr>
    </w:p>
    <w:p>
      <w:pPr>
        <w:spacing w:line="480" w:lineRule="auto"/>
        <w:jc w:val="center"/>
        <w:rPr>
          <w:rFonts w:ascii="宋体" w:hAnsi="宋体" w:cs="宋体"/>
          <w:b/>
          <w:color w:val="auto"/>
          <w:sz w:val="24"/>
        </w:rPr>
      </w:pPr>
    </w:p>
    <w:p>
      <w:pPr>
        <w:snapToGrid w:val="0"/>
        <w:spacing w:line="360" w:lineRule="auto"/>
        <w:jc w:val="center"/>
        <w:outlineLvl w:val="0"/>
        <w:rPr>
          <w:rFonts w:cs="仿宋_GB2312" w:asciiTheme="minorEastAsia" w:hAnsiTheme="minorEastAsia" w:eastAsiaTheme="minorEastAsia"/>
          <w:b/>
          <w:color w:val="auto"/>
          <w:sz w:val="36"/>
          <w:szCs w:val="20"/>
        </w:rPr>
      </w:pPr>
      <w:bookmarkStart w:id="155" w:name="_Toc181203100"/>
    </w:p>
    <w:p>
      <w:pPr>
        <w:snapToGrid w:val="0"/>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第七部分</w:t>
      </w:r>
      <w:bookmarkEnd w:id="48"/>
      <w:r>
        <w:rPr>
          <w:rFonts w:hint="eastAsia" w:cs="仿宋_GB2312" w:asciiTheme="minorEastAsia" w:hAnsiTheme="minorEastAsia" w:eastAsiaTheme="minorEastAsia"/>
          <w:b/>
          <w:color w:val="auto"/>
          <w:sz w:val="36"/>
          <w:szCs w:val="20"/>
        </w:rPr>
        <w:t xml:space="preserve">  </w:t>
      </w:r>
      <w:bookmarkEnd w:id="49"/>
      <w:r>
        <w:rPr>
          <w:rFonts w:hint="eastAsia" w:cs="仿宋_GB2312" w:asciiTheme="minorEastAsia" w:hAnsiTheme="minorEastAsia" w:eastAsiaTheme="minorEastAsia"/>
          <w:b/>
          <w:color w:val="auto"/>
          <w:sz w:val="36"/>
          <w:szCs w:val="20"/>
        </w:rPr>
        <w:t>应提交的有关格式范例</w:t>
      </w:r>
      <w:bookmarkEnd w:id="155"/>
    </w:p>
    <w:p>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pPr>
        <w:spacing w:line="360" w:lineRule="auto"/>
        <w:ind w:firstLine="480" w:firstLineChars="200"/>
        <w:rPr>
          <w:rFonts w:cs="仿宋_GB2312" w:asciiTheme="minorEastAsia" w:hAnsiTheme="minorEastAsia" w:eastAsiaTheme="minorEastAsia"/>
          <w:color w:val="auto"/>
          <w:sz w:val="24"/>
        </w:rPr>
      </w:pPr>
    </w:p>
    <w:p>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▲（3）授权委托书或法定代表人（单位负责人、自然人本人）身份证明……（页码）</w:t>
      </w:r>
    </w:p>
    <w:p>
      <w:pPr>
        <w:snapToGrid w:val="0"/>
        <w:spacing w:line="360" w:lineRule="auto"/>
        <w:ind w:left="479" w:leftChars="228"/>
        <w:rPr>
          <w:rFonts w:cs="宋体" w:asciiTheme="minorEastAsia" w:hAnsiTheme="minorEastAsia" w:eastAsiaTheme="minorEastAsia"/>
          <w:color w:val="auto"/>
        </w:rPr>
      </w:pPr>
      <w:r>
        <w:rPr>
          <w:rFonts w:hint="eastAsia" w:cs="宋体" w:asciiTheme="minorEastAsia" w:hAnsiTheme="minorEastAsia" w:eastAsiaTheme="minorEastAsia"/>
          <w:color w:val="auto"/>
          <w:sz w:val="24"/>
        </w:rPr>
        <w:t>（4）分包意向协议</w:t>
      </w:r>
      <w:r>
        <w:rPr>
          <w:rFonts w:hint="eastAsia"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rPr>
        <w:t>（页码）</w:t>
      </w:r>
    </w:p>
    <w:p>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关于对磋商文件中有关条款的拒绝声明……………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pPr>
        <w:spacing w:line="360" w:lineRule="auto"/>
        <w:ind w:firstLine="42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（9）服务方案……………………………</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（10</w:t>
      </w:r>
      <w:r>
        <w:rPr>
          <w:rFonts w:cs="仿宋_GB2312" w:asciiTheme="minorEastAsia" w:hAnsiTheme="minorEastAsia" w:eastAsiaTheme="minorEastAsia"/>
          <w:color w:val="auto"/>
          <w:kern w:val="0"/>
          <w:sz w:val="24"/>
        </w:rPr>
        <w:t>）组织实施方案………………………………</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pPr>
        <w:spacing w:line="360" w:lineRule="auto"/>
        <w:ind w:firstLine="42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w:t>
      </w:r>
      <w:r>
        <w:rPr>
          <w:rFonts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rPr>
        <w:t>1</w:t>
      </w:r>
      <w:r>
        <w:rPr>
          <w:rFonts w:cs="仿宋_GB2312" w:asciiTheme="minorEastAsia" w:hAnsiTheme="minorEastAsia" w:eastAsiaTheme="minorEastAsia"/>
          <w:color w:val="auto"/>
          <w:kern w:val="0"/>
          <w:sz w:val="24"/>
        </w:rPr>
        <w:t>）售后服务方案…………………………</w:t>
      </w:r>
      <w:r>
        <w:rPr>
          <w:rFonts w:hint="eastAsia" w:cs="仿宋_GB2312" w:asciiTheme="minorEastAsia" w:hAnsiTheme="minorEastAsia" w:eastAsiaTheme="minorEastAsia"/>
          <w:color w:val="auto"/>
          <w:sz w:val="24"/>
          <w:lang w:val="zh-CN"/>
        </w:rPr>
        <w:t>……………………………</w:t>
      </w:r>
      <w:r>
        <w:rPr>
          <w:rFonts w:hint="eastAsia" w:cs="仿宋_GB2312" w:asciiTheme="minorEastAsia" w:hAnsiTheme="minorEastAsia" w:eastAsiaTheme="minorEastAsia"/>
          <w:color w:val="auto"/>
          <w:kern w:val="0"/>
          <w:sz w:val="24"/>
        </w:rPr>
        <w:t>……（页码）</w:t>
      </w:r>
    </w:p>
    <w:p>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（12</w:t>
      </w:r>
      <w:r>
        <w:rPr>
          <w:rFonts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rPr>
        <w:t>项目实施人员</w:t>
      </w:r>
      <w:r>
        <w:rPr>
          <w:rFonts w:cs="仿宋_GB2312" w:asciiTheme="minorEastAsia" w:hAnsiTheme="minorEastAsia" w:eastAsiaTheme="minorEastAsia"/>
          <w:color w:val="auto"/>
          <w:kern w:val="0"/>
          <w:sz w:val="24"/>
        </w:rPr>
        <w:t>名单…</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（13）</w:t>
      </w:r>
      <w:r>
        <w:rPr>
          <w:rFonts w:hint="eastAsia" w:cs="仿宋_GB2312" w:asciiTheme="minorEastAsia" w:hAnsiTheme="minorEastAsia" w:eastAsiaTheme="minorEastAsia"/>
          <w:color w:val="auto"/>
          <w:kern w:val="0"/>
          <w:sz w:val="24"/>
          <w:lang w:val="zh-CN"/>
        </w:rPr>
        <w:t>优惠条件及特殊承诺………………………………………………………</w:t>
      </w:r>
      <w:r>
        <w:rPr>
          <w:rFonts w:hint="eastAsia" w:cs="仿宋_GB2312" w:asciiTheme="minorEastAsia" w:hAnsiTheme="minorEastAsia" w:eastAsiaTheme="minorEastAsia"/>
          <w:color w:val="auto"/>
          <w:kern w:val="0"/>
          <w:sz w:val="24"/>
        </w:rPr>
        <w:t>（页码）</w:t>
      </w:r>
    </w:p>
    <w:p>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（14）</w:t>
      </w:r>
      <w:r>
        <w:rPr>
          <w:rFonts w:hint="eastAsia" w:cs="仿宋_GB2312" w:asciiTheme="minorEastAsia" w:hAnsiTheme="minorEastAsia" w:eastAsiaTheme="minorEastAsia"/>
          <w:color w:val="auto"/>
          <w:kern w:val="0"/>
          <w:sz w:val="24"/>
          <w:lang w:val="zh-CN"/>
        </w:rPr>
        <w:t>培训计划……………………………………………………………………</w:t>
      </w:r>
      <w:r>
        <w:rPr>
          <w:rFonts w:hint="eastAsia" w:cs="仿宋_GB2312" w:asciiTheme="minorEastAsia" w:hAnsiTheme="minorEastAsia" w:eastAsiaTheme="minorEastAsia"/>
          <w:color w:val="auto"/>
          <w:kern w:val="0"/>
          <w:sz w:val="24"/>
        </w:rPr>
        <w:t>（页码）</w:t>
      </w:r>
    </w:p>
    <w:p>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（15）</w:t>
      </w:r>
      <w:r>
        <w:rPr>
          <w:rFonts w:hint="eastAsia" w:cs="仿宋_GB2312" w:asciiTheme="minorEastAsia" w:hAnsiTheme="minorEastAsia" w:eastAsiaTheme="minorEastAsia"/>
          <w:color w:val="auto"/>
          <w:sz w:val="24"/>
        </w:rPr>
        <w:t>随机特殊工具和备品备件清单</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（16）</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kern w:val="0"/>
          <w:sz w:val="24"/>
        </w:rPr>
        <w:t>（页码）</w:t>
      </w:r>
    </w:p>
    <w:p>
      <w:pPr>
        <w:tabs>
          <w:tab w:val="left" w:pos="0"/>
        </w:tabs>
        <w:autoSpaceDE w:val="0"/>
        <w:autoSpaceDN w:val="0"/>
        <w:spacing w:line="360" w:lineRule="auto"/>
        <w:ind w:firstLine="42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pPr>
        <w:pStyle w:val="633"/>
        <w:rPr>
          <w:rFonts w:cs="宋体"/>
          <w:color w:val="auto"/>
        </w:rPr>
      </w:pPr>
      <w:r>
        <w:rPr>
          <w:rFonts w:hint="eastAsia" w:cs="仿宋_GB2312" w:asciiTheme="minorEastAsia" w:hAnsiTheme="minorEastAsia" w:eastAsiaTheme="minorEastAsia"/>
          <w:color w:val="auto"/>
        </w:rPr>
        <w:t>▲</w:t>
      </w:r>
      <w:r>
        <w:rPr>
          <w:rFonts w:hint="eastAsia" w:cs="宋体"/>
          <w:color w:val="auto"/>
          <w:lang w:val="zh-CN"/>
        </w:rPr>
        <w:t>（</w:t>
      </w:r>
      <w:r>
        <w:rPr>
          <w:rFonts w:hint="eastAsia" w:cs="宋体"/>
          <w:color w:val="auto"/>
        </w:rPr>
        <w:t>18</w:t>
      </w:r>
      <w:r>
        <w:rPr>
          <w:rFonts w:hint="eastAsia" w:cs="宋体"/>
          <w:color w:val="auto"/>
          <w:lang w:val="zh-CN"/>
        </w:rPr>
        <w:t>）承诺函</w:t>
      </w:r>
      <w:r>
        <w:rPr>
          <w:rFonts w:hint="eastAsia" w:cs="宋体"/>
          <w:color w:val="auto"/>
        </w:rPr>
        <w:t>……………………………………………………………………（页码）</w:t>
      </w:r>
    </w:p>
    <w:p>
      <w:pPr>
        <w:pStyle w:val="633"/>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▲（1</w:t>
      </w:r>
      <w:r>
        <w:rPr>
          <w:rFonts w:hint="eastAsia" w:cs="仿宋_GB2312" w:asciiTheme="minorEastAsia" w:hAnsiTheme="minorEastAsia" w:eastAsiaTheme="minorEastAsia"/>
          <w:color w:val="auto"/>
          <w:szCs w:val="24"/>
        </w:rPr>
        <w:t>9</w:t>
      </w:r>
      <w:r>
        <w:rPr>
          <w:rFonts w:hint="eastAsia" w:cs="仿宋_GB2312" w:asciiTheme="minorEastAsia" w:hAnsiTheme="minorEastAsia" w:eastAsiaTheme="minorEastAsia"/>
          <w:color w:val="auto"/>
          <w:szCs w:val="24"/>
          <w:lang w:val="zh-CN"/>
        </w:rPr>
        <w:t>）商务、服务（技术）响应、偏离情况说明表…………………………（页码）</w:t>
      </w:r>
    </w:p>
    <w:p>
      <w:pPr>
        <w:pStyle w:val="633"/>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▲（20）初始报价表…………………………………………………………………（页码）</w:t>
      </w:r>
    </w:p>
    <w:p>
      <w:pPr>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注：以上目录是编制供应商响应文件的基本格式要求，各供应商可根据自身情况进一步细化，其中标注“▲”为必须提供的材料。</w:t>
      </w:r>
    </w:p>
    <w:p>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(职务、职称)为全权代表，参加贵方组织的（项目名称）【项目编号：（采购编号）】的有关活动，并对此项目进行响应。为此：</w:t>
      </w:r>
    </w:p>
    <w:p>
      <w:pPr>
        <w:pStyle w:val="106"/>
        <w:numPr>
          <w:ilvl w:val="0"/>
          <w:numId w:val="7"/>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（不少于60天），</w:t>
      </w:r>
      <w:r>
        <w:rPr>
          <w:rFonts w:hint="eastAsia" w:cs="仿宋_GB2312" w:asciiTheme="minorEastAsia" w:hAnsiTheme="minorEastAsia" w:eastAsiaTheme="minorEastAsia"/>
          <w:color w:val="auto"/>
        </w:rPr>
        <w:t>本响应文件在响应有效期满之前均具有约束力。</w:t>
      </w:r>
    </w:p>
    <w:p>
      <w:pPr>
        <w:numPr>
          <w:ilvl w:val="0"/>
          <w:numId w:val="7"/>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pPr>
        <w:numPr>
          <w:ilvl w:val="0"/>
          <w:numId w:val="7"/>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我方承诺除响应文件列出的偏离外，我方响应磋商文件的全部要求。</w:t>
      </w:r>
    </w:p>
    <w:p>
      <w:pPr>
        <w:numPr>
          <w:ilvl w:val="0"/>
          <w:numId w:val="7"/>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pPr>
        <w:numPr>
          <w:ilvl w:val="0"/>
          <w:numId w:val="7"/>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pPr>
        <w:numPr>
          <w:ilvl w:val="0"/>
          <w:numId w:val="7"/>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pPr>
        <w:numPr>
          <w:ilvl w:val="0"/>
          <w:numId w:val="7"/>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7.3按照磋商文件要求提交履约保证金； </w:t>
      </w:r>
    </w:p>
    <w:p>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7.4在合同约定的期限内完成合同规定的全部义务。 </w:t>
      </w:r>
    </w:p>
    <w:p>
      <w:pPr>
        <w:numPr>
          <w:ilvl w:val="0"/>
          <w:numId w:val="7"/>
        </w:numPr>
        <w:adjustRightInd/>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其他补充说明:                                        。</w:t>
      </w:r>
    </w:p>
    <w:p>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pPr>
        <w:autoSpaceDE w:val="0"/>
        <w:autoSpaceDN w:val="0"/>
        <w:spacing w:line="360" w:lineRule="auto"/>
        <w:rPr>
          <w:rFonts w:cs="仿宋_GB2312" w:asciiTheme="minorEastAsia" w:hAnsiTheme="minorEastAsia" w:eastAsiaTheme="minorEastAsia"/>
          <w:color w:val="auto"/>
          <w:kern w:val="0"/>
          <w:sz w:val="24"/>
        </w:rPr>
      </w:pPr>
    </w:p>
    <w:p>
      <w:pPr>
        <w:pStyle w:val="116"/>
        <w:keepNext w:val="0"/>
        <w:pageBreakBefore w:val="0"/>
        <w:tabs>
          <w:tab w:val="clear" w:pos="720"/>
        </w:tabs>
        <w:jc w:val="both"/>
        <w:outlineLvl w:val="9"/>
        <w:rPr>
          <w:rFonts w:cs="仿宋_GB2312" w:asciiTheme="minorEastAsia" w:hAnsiTheme="minorEastAsia" w:eastAsiaTheme="minorEastAsia"/>
          <w:color w:val="auto"/>
          <w:sz w:val="24"/>
          <w:szCs w:val="24"/>
        </w:rPr>
      </w:pPr>
    </w:p>
    <w:p>
      <w:pPr>
        <w:spacing w:line="360" w:lineRule="auto"/>
        <w:rPr>
          <w:rFonts w:cs="仿宋_GB2312" w:asciiTheme="minorEastAsia" w:hAnsiTheme="minorEastAsia" w:eastAsiaTheme="minorEastAsia"/>
          <w:color w:val="auto"/>
          <w:sz w:val="24"/>
        </w:rPr>
      </w:pPr>
    </w:p>
    <w:p>
      <w:pPr>
        <w:spacing w:line="360" w:lineRule="auto"/>
        <w:rPr>
          <w:rFonts w:cs="仿宋_GB2312" w:asciiTheme="minorEastAsia" w:hAnsiTheme="minorEastAsia" w:eastAsiaTheme="minorEastAsia"/>
          <w:color w:val="auto"/>
          <w:sz w:val="18"/>
          <w:szCs w:val="18"/>
        </w:rPr>
      </w:pPr>
    </w:p>
    <w:p>
      <w:pPr>
        <w:spacing w:line="360" w:lineRule="auto"/>
        <w:rPr>
          <w:rFonts w:cs="仿宋_GB2312" w:asciiTheme="minorEastAsia" w:hAnsiTheme="minorEastAsia" w:eastAsiaTheme="minorEastAsia"/>
          <w:color w:val="auto"/>
          <w:sz w:val="18"/>
          <w:szCs w:val="18"/>
        </w:rPr>
      </w:pPr>
    </w:p>
    <w:p>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rPr>
        <w:br w:type="page"/>
      </w:r>
      <w:r>
        <w:rPr>
          <w:rFonts w:hint="eastAsia" w:cs="仿宋_GB2312" w:asciiTheme="minorEastAsia" w:hAnsiTheme="minorEastAsia" w:eastAsiaTheme="minorEastAsia"/>
          <w:b/>
          <w:color w:val="auto"/>
          <w:kern w:val="0"/>
          <w:sz w:val="32"/>
          <w:szCs w:val="32"/>
          <w:lang w:val="zh-CN"/>
        </w:rPr>
        <w:t>二、资格文件</w:t>
      </w: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pPr>
        <w:snapToGrid w:val="0"/>
        <w:spacing w:line="360" w:lineRule="auto"/>
        <w:ind w:right="480"/>
        <w:jc w:val="center"/>
        <w:rPr>
          <w:rFonts w:ascii="宋体" w:hAnsi="宋体" w:cs="宋体"/>
          <w:color w:val="auto"/>
          <w:sz w:val="24"/>
        </w:rPr>
      </w:pPr>
    </w:p>
    <w:p>
      <w:pPr>
        <w:snapToGrid w:val="0"/>
        <w:spacing w:line="360" w:lineRule="auto"/>
        <w:ind w:right="480"/>
        <w:jc w:val="center"/>
        <w:rPr>
          <w:rFonts w:ascii="宋体" w:hAnsi="宋体" w:cs="宋体"/>
          <w:color w:val="auto"/>
          <w:sz w:val="24"/>
        </w:rPr>
      </w:pPr>
      <w:r>
        <w:rPr>
          <w:rFonts w:hint="eastAsia" w:ascii="宋体" w:hAnsi="宋体" w:cs="宋体"/>
          <w:color w:val="auto"/>
          <w:sz w:val="24"/>
        </w:rPr>
        <w:t>北海市政府采购供应商信用承诺函（格式）</w:t>
      </w:r>
    </w:p>
    <w:p>
      <w:pPr>
        <w:snapToGrid w:val="0"/>
        <w:spacing w:line="360" w:lineRule="auto"/>
        <w:rPr>
          <w:rFonts w:ascii="宋体" w:hAnsi="宋体" w:cs="宋体"/>
          <w:color w:val="auto"/>
          <w:sz w:val="24"/>
        </w:rPr>
      </w:pPr>
    </w:p>
    <w:p>
      <w:pPr>
        <w:snapToGrid w:val="0"/>
        <w:spacing w:line="360" w:lineRule="auto"/>
        <w:ind w:right="480"/>
        <w:rPr>
          <w:rFonts w:ascii="宋体" w:hAnsi="宋体" w:cs="宋体"/>
          <w:color w:val="auto"/>
          <w:sz w:val="24"/>
        </w:rPr>
      </w:pPr>
      <w:r>
        <w:rPr>
          <w:rFonts w:hint="eastAsia" w:ascii="宋体" w:hAnsi="宋体" w:cs="宋体"/>
          <w:color w:val="auto"/>
          <w:sz w:val="24"/>
        </w:rPr>
        <w:t>（采购人）、（采购代理机构） ：</w:t>
      </w:r>
    </w:p>
    <w:p>
      <w:pPr>
        <w:snapToGrid w:val="0"/>
        <w:spacing w:line="360" w:lineRule="auto"/>
        <w:ind w:right="480"/>
        <w:rPr>
          <w:rFonts w:ascii="宋体" w:hAnsi="宋体" w:cs="宋体"/>
          <w:color w:val="auto"/>
          <w:sz w:val="24"/>
        </w:rPr>
      </w:pPr>
      <w:r>
        <w:rPr>
          <w:rFonts w:hint="eastAsia" w:ascii="宋体" w:hAnsi="宋体" w:cs="宋体"/>
          <w:color w:val="auto"/>
          <w:sz w:val="24"/>
        </w:rPr>
        <w:t>供应商名称：</w:t>
      </w:r>
    </w:p>
    <w:p>
      <w:pPr>
        <w:snapToGrid w:val="0"/>
        <w:spacing w:line="360" w:lineRule="auto"/>
        <w:ind w:right="480"/>
        <w:rPr>
          <w:rFonts w:ascii="宋体" w:hAnsi="宋体" w:cs="宋体"/>
          <w:color w:val="auto"/>
          <w:sz w:val="24"/>
        </w:rPr>
      </w:pPr>
      <w:r>
        <w:rPr>
          <w:rFonts w:hint="eastAsia" w:ascii="宋体" w:hAnsi="宋体" w:cs="宋体"/>
          <w:color w:val="auto"/>
          <w:sz w:val="24"/>
        </w:rPr>
        <w:t>统一社会信用代码：</w:t>
      </w:r>
    </w:p>
    <w:p>
      <w:pPr>
        <w:snapToGrid w:val="0"/>
        <w:spacing w:line="360" w:lineRule="auto"/>
        <w:ind w:right="480"/>
        <w:rPr>
          <w:rFonts w:ascii="宋体" w:hAnsi="宋体" w:cs="宋体"/>
          <w:color w:val="auto"/>
          <w:sz w:val="24"/>
        </w:rPr>
      </w:pPr>
      <w:r>
        <w:rPr>
          <w:rFonts w:hint="eastAsia" w:ascii="宋体" w:hAnsi="宋体" w:cs="宋体"/>
          <w:color w:val="auto"/>
          <w:sz w:val="24"/>
        </w:rPr>
        <w:t>供应商地址：</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1.我单位具有符合采购文件资格要求独立承担民事责任的能力。</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2.我单位具有符合采购文件资格要求的财务状况报告。</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若我单位承诺不实，自愿承担提供虚假材料谋取中标、成交的法律责任。</w:t>
      </w:r>
    </w:p>
    <w:p>
      <w:pPr>
        <w:snapToGrid w:val="0"/>
        <w:spacing w:line="360" w:lineRule="auto"/>
        <w:ind w:right="480"/>
        <w:rPr>
          <w:rFonts w:ascii="宋体" w:hAnsi="宋体" w:cs="宋体"/>
          <w:color w:val="auto"/>
          <w:sz w:val="24"/>
        </w:rPr>
      </w:pPr>
    </w:p>
    <w:p>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napToGrid w:val="0"/>
        <w:spacing w:line="360" w:lineRule="auto"/>
        <w:ind w:right="480"/>
        <w:rPr>
          <w:rFonts w:ascii="宋体" w:hAnsi="宋体" w:cs="宋体"/>
          <w:color w:val="auto"/>
          <w:sz w:val="24"/>
        </w:rPr>
      </w:pPr>
    </w:p>
    <w:p>
      <w:pPr>
        <w:snapToGrid w:val="0"/>
        <w:spacing w:line="360" w:lineRule="auto"/>
        <w:ind w:right="480"/>
        <w:rPr>
          <w:rFonts w:ascii="宋体" w:hAnsi="宋体" w:cs="宋体"/>
          <w:color w:val="auto"/>
          <w:sz w:val="24"/>
        </w:rPr>
      </w:pPr>
    </w:p>
    <w:p>
      <w:pPr>
        <w:snapToGrid w:val="0"/>
        <w:spacing w:line="360" w:lineRule="auto"/>
        <w:ind w:right="480"/>
        <w:rPr>
          <w:rFonts w:ascii="宋体" w:hAnsi="宋体" w:cs="宋体"/>
          <w:color w:val="auto"/>
          <w:sz w:val="24"/>
        </w:rPr>
      </w:pPr>
    </w:p>
    <w:p>
      <w:pPr>
        <w:snapToGrid w:val="0"/>
        <w:spacing w:line="360" w:lineRule="auto"/>
        <w:ind w:right="480"/>
        <w:rPr>
          <w:rFonts w:ascii="宋体" w:hAnsi="宋体" w:cs="宋体"/>
          <w:color w:val="auto"/>
          <w:sz w:val="24"/>
        </w:rPr>
      </w:pPr>
    </w:p>
    <w:p>
      <w:pPr>
        <w:snapToGrid w:val="0"/>
        <w:spacing w:line="360" w:lineRule="auto"/>
        <w:ind w:right="480"/>
        <w:rPr>
          <w:rFonts w:ascii="宋体" w:hAnsi="宋体" w:cs="宋体"/>
          <w:color w:val="auto"/>
          <w:sz w:val="24"/>
        </w:rPr>
      </w:pPr>
    </w:p>
    <w:p>
      <w:pPr>
        <w:snapToGrid w:val="0"/>
        <w:spacing w:line="360" w:lineRule="auto"/>
        <w:ind w:right="480"/>
        <w:rPr>
          <w:rFonts w:ascii="宋体" w:hAnsi="宋体" w:cs="宋体"/>
          <w:color w:val="auto"/>
          <w:sz w:val="24"/>
        </w:rPr>
      </w:pPr>
    </w:p>
    <w:p>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【项目编号：（采购编号）】响应</w:t>
      </w:r>
      <w:r>
        <w:rPr>
          <w:rFonts w:hint="eastAsia" w:cs="宋体" w:asciiTheme="minorEastAsia" w:hAnsiTheme="minorEastAsia" w:eastAsiaTheme="minorEastAsia"/>
          <w:color w:val="auto"/>
          <w:kern w:val="0"/>
          <w:sz w:val="24"/>
          <w:lang w:val="zh-CN"/>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156"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156"/>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提供的服务由小微企业承接，其合同份额占到合同总金额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157"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157"/>
      <w:r>
        <w:rPr>
          <w:rFonts w:hint="eastAsia" w:cs="宋体" w:asciiTheme="minorEastAsia" w:hAnsiTheme="minorEastAsia" w:eastAsiaTheme="minorEastAsia"/>
          <w:b/>
          <w:color w:val="auto"/>
          <w:kern w:val="0"/>
          <w:sz w:val="24"/>
          <w:lang w:val="zh-CN"/>
        </w:rPr>
        <w:t>）</w:t>
      </w:r>
    </w:p>
    <w:p>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158"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158"/>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lang w:val="zh-CN"/>
        </w:rPr>
      </w:pPr>
    </w:p>
    <w:p>
      <w:pPr>
        <w:snapToGrid w:val="0"/>
        <w:spacing w:line="360" w:lineRule="auto"/>
        <w:ind w:firstLine="5040" w:firstLineChars="2100"/>
        <w:rPr>
          <w:rFonts w:ascii="宋体" w:hAnsi="宋体" w:cs="宋体"/>
          <w:color w:val="auto"/>
          <w:kern w:val="0"/>
          <w:sz w:val="24"/>
          <w:lang w:val="zh-CN"/>
        </w:rPr>
      </w:pPr>
    </w:p>
    <w:p>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pPr>
        <w:snapToGrid w:val="0"/>
        <w:spacing w:line="360" w:lineRule="auto"/>
        <w:ind w:firstLine="5040" w:firstLineChars="2100"/>
        <w:rPr>
          <w:rStyle w:val="632"/>
          <w:color w:val="auto"/>
        </w:rPr>
      </w:pPr>
      <w:r>
        <w:rPr>
          <w:rStyle w:val="632"/>
          <w:rFonts w:hint="eastAsia"/>
          <w:color w:val="auto"/>
        </w:rPr>
        <w:t>法定代表人（负责人） (签名)：</w:t>
      </w:r>
    </w:p>
    <w:p>
      <w:pPr>
        <w:snapToGrid w:val="0"/>
        <w:spacing w:line="360" w:lineRule="auto"/>
        <w:ind w:firstLine="5040" w:firstLineChars="2100"/>
        <w:rPr>
          <w:rFonts w:ascii="宋体" w:hAnsi="宋体" w:cs="宋体"/>
          <w:color w:val="auto"/>
          <w:kern w:val="0"/>
          <w:sz w:val="24"/>
          <w:lang w:val="zh-CN"/>
        </w:rPr>
      </w:pPr>
      <w:r>
        <w:rPr>
          <w:rStyle w:val="632"/>
          <w:rFonts w:hint="eastAsia"/>
          <w:color w:val="auto"/>
        </w:rPr>
        <w:t>联合体成</w:t>
      </w:r>
      <w:r>
        <w:rPr>
          <w:rFonts w:hint="eastAsia" w:ascii="宋体" w:hAnsi="宋体" w:cs="宋体"/>
          <w:color w:val="auto"/>
          <w:kern w:val="0"/>
          <w:sz w:val="24"/>
          <w:lang w:val="zh-CN"/>
        </w:rPr>
        <w:t>员名称(公章)：</w:t>
      </w:r>
    </w:p>
    <w:p>
      <w:pPr>
        <w:snapToGrid w:val="0"/>
        <w:spacing w:line="360" w:lineRule="auto"/>
        <w:ind w:firstLine="5040" w:firstLineChars="2100"/>
        <w:rPr>
          <w:rFonts w:cs="宋体" w:asciiTheme="minorEastAsia" w:hAnsiTheme="minorEastAsia" w:eastAsiaTheme="minorEastAsia"/>
          <w:color w:val="auto"/>
          <w:kern w:val="0"/>
          <w:sz w:val="24"/>
          <w:lang w:val="zh-CN"/>
        </w:rPr>
      </w:pPr>
      <w:r>
        <w:rPr>
          <w:rStyle w:val="632"/>
          <w:rFonts w:hint="eastAsia"/>
          <w:color w:val="auto"/>
        </w:rPr>
        <w:t>法定代表人（负责人） (签名)：</w:t>
      </w:r>
    </w:p>
    <w:p>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pPr>
        <w:snapToGrid w:val="0"/>
        <w:spacing w:line="360" w:lineRule="auto"/>
        <w:ind w:right="480"/>
        <w:jc w:val="center"/>
        <w:rPr>
          <w:rFonts w:cs="仿宋_GB2312" w:asciiTheme="minorEastAsia" w:hAnsiTheme="minorEastAsia" w:eastAsiaTheme="minorEastAsia"/>
          <w:b/>
          <w:color w:val="auto"/>
          <w:sz w:val="32"/>
          <w:szCs w:val="32"/>
        </w:rPr>
      </w:pPr>
    </w:p>
    <w:p>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w:t>
      </w:r>
      <w:bookmarkStart w:id="159" w:name="OLE_LINK15"/>
      <w:bookmarkStart w:id="160" w:name="OLE_LINK14"/>
      <w:r>
        <w:rPr>
          <w:rFonts w:hint="eastAsia" w:cs="宋体" w:asciiTheme="minorEastAsia" w:hAnsiTheme="minorEastAsia" w:eastAsiaTheme="minorEastAsia"/>
          <w:color w:val="auto"/>
          <w:sz w:val="24"/>
        </w:rPr>
        <w:t>专门面向中小企业，服务全部由符合政策要求的中小企业（或小微企业）承接的，提供相应的</w:t>
      </w:r>
      <w:bookmarkStart w:id="161" w:name="OLE_LINK12"/>
      <w:bookmarkStart w:id="162" w:name="OLE_LINK13"/>
      <w:r>
        <w:rPr>
          <w:rFonts w:hint="eastAsia" w:cs="宋体" w:asciiTheme="minorEastAsia" w:hAnsiTheme="minorEastAsia" w:eastAsiaTheme="minorEastAsia"/>
          <w:color w:val="auto"/>
          <w:sz w:val="24"/>
        </w:rPr>
        <w:t>中小企业声明函</w:t>
      </w:r>
      <w:bookmarkEnd w:id="161"/>
      <w:bookmarkEnd w:id="162"/>
      <w:r>
        <w:rPr>
          <w:rFonts w:hint="eastAsia" w:cs="宋体" w:asciiTheme="minorEastAsia" w:hAnsiTheme="minorEastAsia" w:eastAsiaTheme="minorEastAsia"/>
          <w:color w:val="auto"/>
          <w:sz w:val="24"/>
        </w:rPr>
        <w:t>（附件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w:t>
      </w:r>
      <w:bookmarkEnd w:id="159"/>
      <w:bookmarkEnd w:id="160"/>
      <w:r>
        <w:rPr>
          <w:rFonts w:hint="eastAsia" w:cs="宋体" w:asciiTheme="minorEastAsia" w:hAnsiTheme="minorEastAsia" w:eastAsiaTheme="minorEastAsia"/>
          <w:color w:val="auto"/>
          <w:sz w:val="24"/>
        </w:rPr>
        <w:t xml:space="preserve">。 </w:t>
      </w:r>
    </w:p>
    <w:p>
      <w:pPr>
        <w:widowControl/>
        <w:spacing w:line="360" w:lineRule="auto"/>
        <w:ind w:firstLine="480"/>
        <w:jc w:val="left"/>
        <w:rPr>
          <w:rFonts w:cs="宋体" w:asciiTheme="minorEastAsia" w:hAnsiTheme="minorEastAsia" w:eastAsiaTheme="minorEastAsia"/>
          <w:color w:val="auto"/>
          <w:sz w:val="24"/>
        </w:rPr>
      </w:pPr>
    </w:p>
    <w:p>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），联合协议中中小企业合同金额应当达到竞争性磋商邀请公告载明的比例；如果供应商本身提供所有标的均由中小企业承接的，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），分包意向协议中中小企业合同金额应当达到竞争性磋商邀请公告载明的比例；如果供应商本身提供的所有标的均由中小企业承接的，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pPr>
        <w:spacing w:line="360" w:lineRule="auto"/>
        <w:jc w:val="center"/>
        <w:rPr>
          <w:rFonts w:cs="仿宋_GB2312" w:asciiTheme="minorEastAsia" w:hAnsiTheme="minorEastAsia" w:eastAsiaTheme="minorEastAsia"/>
          <w:b/>
          <w:color w:val="auto"/>
          <w:sz w:val="32"/>
          <w:szCs w:val="32"/>
        </w:rPr>
      </w:pPr>
    </w:p>
    <w:p>
      <w:pPr>
        <w:spacing w:line="360" w:lineRule="auto"/>
        <w:jc w:val="center"/>
        <w:rPr>
          <w:rFonts w:cs="仿宋_GB2312" w:asciiTheme="minorEastAsia" w:hAnsiTheme="minorEastAsia" w:eastAsiaTheme="minorEastAsia"/>
          <w:b/>
          <w:color w:val="auto"/>
          <w:sz w:val="32"/>
          <w:szCs w:val="32"/>
        </w:rPr>
      </w:pPr>
    </w:p>
    <w:p>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color w:val="auto"/>
          <w:sz w:val="24"/>
        </w:rPr>
      </w:pPr>
    </w:p>
    <w:p>
      <w:pPr>
        <w:snapToGrid w:val="0"/>
        <w:spacing w:line="360" w:lineRule="auto"/>
        <w:rPr>
          <w:rFonts w:cs="仿宋_GB2312" w:asciiTheme="minorEastAsia" w:hAnsiTheme="minorEastAsia" w:eastAsiaTheme="minorEastAsia"/>
          <w:color w:val="auto"/>
          <w:kern w:val="0"/>
          <w:sz w:val="24"/>
          <w:lang w:val="zh-CN"/>
        </w:rPr>
      </w:pPr>
    </w:p>
    <w:p>
      <w:pPr>
        <w:snapToGrid w:val="0"/>
        <w:spacing w:line="360" w:lineRule="auto"/>
        <w:rPr>
          <w:rFonts w:cs="仿宋_GB2312" w:asciiTheme="minorEastAsia" w:hAnsiTheme="minorEastAsia" w:eastAsiaTheme="minorEastAsia"/>
          <w:color w:val="auto"/>
          <w:kern w:val="0"/>
          <w:sz w:val="24"/>
          <w:lang w:val="zh-CN"/>
        </w:rPr>
      </w:pPr>
    </w:p>
    <w:p>
      <w:pPr>
        <w:snapToGrid w:val="0"/>
        <w:spacing w:line="360" w:lineRule="auto"/>
        <w:ind w:right="480"/>
        <w:jc w:val="center"/>
        <w:rPr>
          <w:rFonts w:cs="仿宋_GB2312" w:asciiTheme="minorEastAsia" w:hAnsiTheme="minorEastAsia" w:eastAsiaTheme="minorEastAsia"/>
          <w:b/>
          <w:color w:val="auto"/>
          <w:kern w:val="0"/>
          <w:sz w:val="32"/>
          <w:szCs w:val="32"/>
          <w:lang w:val="zh-CN"/>
        </w:rPr>
        <w:sectPr>
          <w:pgSz w:w="11906" w:h="16838"/>
          <w:pgMar w:top="1247" w:right="1361" w:bottom="1276" w:left="1247" w:header="851" w:footer="992" w:gutter="0"/>
          <w:cols w:space="720" w:num="1"/>
          <w:titlePg/>
          <w:docGrid w:linePitch="312" w:charSpace="0"/>
        </w:sectPr>
      </w:pPr>
    </w:p>
    <w:p>
      <w:pPr>
        <w:widowControl/>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三、法人授权书</w:t>
      </w:r>
    </w:p>
    <w:p>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pPr>
        <w:snapToGrid w:val="0"/>
        <w:spacing w:line="360" w:lineRule="auto"/>
        <w:ind w:firstLine="576"/>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兹委派我公司</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先生/女士(其在本公司的职务是：</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 xml:space="preserve"> ，联系电话：</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手机：</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传真：</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)，代表我公司全权处理</w:t>
      </w:r>
      <w:r>
        <w:rPr>
          <w:rFonts w:hint="eastAsia" w:cs="仿宋_GB2312" w:asciiTheme="minorEastAsia" w:hAnsiTheme="minorEastAsia" w:eastAsiaTheme="minorEastAsia"/>
          <w:color w:val="auto"/>
          <w:sz w:val="24"/>
        </w:rPr>
        <w:t>（项目名称）【项目编号：（采购编号）】</w:t>
      </w:r>
      <w:r>
        <w:rPr>
          <w:rFonts w:hint="eastAsia" w:cs="仿宋_GB2312" w:asciiTheme="minorEastAsia" w:hAnsiTheme="minorEastAsia" w:eastAsiaTheme="minorEastAsia"/>
          <w:color w:val="auto"/>
          <w:kern w:val="0"/>
          <w:sz w:val="24"/>
          <w:lang w:val="zh-CN"/>
        </w:rPr>
        <w:t>政府采购响应的一切事项，若成交则全权代表本公司签订相关合同，并负责处理合同履行等事宜。</w:t>
      </w:r>
    </w:p>
    <w:p>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本委托书有效期：自    年 月  日起至    年  月  日止。</w:t>
      </w:r>
    </w:p>
    <w:p>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pPr>
        <w:spacing w:line="360" w:lineRule="auto"/>
        <w:ind w:left="4649" w:leftChars="2214" w:firstLine="3600" w:firstLineChars="1500"/>
        <w:rPr>
          <w:rFonts w:ascii="宋体" w:hAnsi="宋体" w:cs="宋体"/>
          <w:color w:val="auto"/>
          <w:sz w:val="24"/>
        </w:rPr>
      </w:pPr>
      <w:r>
        <w:rPr>
          <w:rFonts w:hint="eastAsia" w:cs="仿宋_GB2312" w:asciiTheme="minorEastAsia" w:hAnsiTheme="minorEastAsia" w:eastAsiaTheme="minorEastAsia"/>
          <w:color w:val="auto"/>
          <w:kern w:val="0"/>
          <w:sz w:val="24"/>
          <w:lang w:val="zh-CN"/>
        </w:rPr>
        <w:t xml:space="preserve">                                               </w:t>
      </w:r>
      <w:r>
        <w:rPr>
          <w:rFonts w:hint="eastAsia" w:ascii="宋体" w:hAnsi="宋体" w:cs="宋体"/>
          <w:color w:val="auto"/>
          <w:sz w:val="24"/>
        </w:rPr>
        <w:t>磋商供应商名称（公章）：</w:t>
      </w:r>
    </w:p>
    <w:p>
      <w:pPr>
        <w:snapToGrid w:val="0"/>
        <w:spacing w:line="360" w:lineRule="auto"/>
        <w:ind w:left="4649" w:leftChars="2214"/>
        <w:rPr>
          <w:rFonts w:ascii="宋体" w:hAnsi="宋体" w:cs="宋体"/>
          <w:color w:val="auto"/>
          <w:kern w:val="0"/>
          <w:sz w:val="24"/>
        </w:rPr>
      </w:pPr>
      <w:r>
        <w:rPr>
          <w:rFonts w:hint="eastAsia" w:ascii="宋体" w:hAnsi="宋体" w:cs="宋体"/>
          <w:color w:val="auto"/>
          <w:sz w:val="24"/>
        </w:rPr>
        <w:t>法定代表人（负责人） (签名)：</w:t>
      </w:r>
    </w:p>
    <w:p>
      <w:pPr>
        <w:snapToGrid w:val="0"/>
        <w:spacing w:line="360" w:lineRule="auto"/>
        <w:rPr>
          <w:rFonts w:cs="仿宋_GB2312" w:asciiTheme="minorEastAsia" w:hAnsiTheme="minorEastAsia" w:eastAsiaTheme="minorEastAsia"/>
          <w:color w:val="auto"/>
          <w:kern w:val="0"/>
          <w:sz w:val="24"/>
          <w:lang w:val="zh-CN"/>
        </w:rPr>
      </w:pPr>
      <w:r>
        <w:rPr>
          <w:rFonts w:hint="eastAsia" w:ascii="宋体" w:hAnsi="宋体" w:cs="宋体"/>
          <w:color w:val="auto"/>
          <w:kern w:val="0"/>
          <w:sz w:val="24"/>
          <w:lang w:val="zh-CN"/>
        </w:rPr>
        <w:t xml:space="preserve">                                       签发日期：  年  月   日</w:t>
      </w:r>
    </w:p>
    <w:p>
      <w:pPr>
        <w:snapToGrid w:val="0"/>
        <w:spacing w:line="360" w:lineRule="auto"/>
        <w:rPr>
          <w:rFonts w:cs="仿宋_GB2312" w:asciiTheme="minorEastAsia" w:hAnsiTheme="minorEastAsia" w:eastAsiaTheme="minorEastAsia"/>
          <w:color w:val="auto"/>
          <w:kern w:val="0"/>
          <w:sz w:val="24"/>
          <w:lang w:val="zh-CN"/>
        </w:rPr>
      </w:pPr>
    </w:p>
    <w:p>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pPr>
        <w:snapToGrid w:val="0"/>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联合体响应授权书（扫描件加盖上传单位电子签名）</w:t>
      </w:r>
    </w:p>
    <w:p>
      <w:pPr>
        <w:snapToGrid w:val="0"/>
        <w:spacing w:line="360" w:lineRule="auto"/>
        <w:jc w:val="center"/>
        <w:rPr>
          <w:rFonts w:cs="仿宋_GB2312" w:asciiTheme="minorEastAsia" w:hAnsiTheme="minorEastAsia" w:eastAsiaTheme="minorEastAsia"/>
          <w:b/>
          <w:color w:val="auto"/>
          <w:kern w:val="0"/>
          <w:sz w:val="30"/>
          <w:szCs w:val="30"/>
          <w:lang w:val="zh-CN"/>
        </w:rPr>
      </w:pPr>
      <w:r>
        <w:rPr>
          <w:rFonts w:hint="eastAsia" w:cs="仿宋_GB2312" w:asciiTheme="minorEastAsia" w:hAnsiTheme="minorEastAsia" w:eastAsiaTheme="minorEastAsia"/>
          <w:b/>
          <w:color w:val="auto"/>
          <w:kern w:val="0"/>
          <w:sz w:val="30"/>
          <w:szCs w:val="30"/>
          <w:lang w:val="zh-CN"/>
        </w:rPr>
        <w:t>（适用于联合体响应）</w:t>
      </w:r>
    </w:p>
    <w:p>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pPr>
        <w:snapToGrid w:val="0"/>
        <w:spacing w:line="360" w:lineRule="auto"/>
        <w:ind w:firstLine="576"/>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现</w:t>
      </w:r>
      <w:r>
        <w:rPr>
          <w:rFonts w:hint="eastAsia" w:cs="宋体" w:asciiTheme="minorEastAsia" w:hAnsiTheme="minorEastAsia" w:eastAsiaTheme="minorEastAsia"/>
          <w:color w:val="auto"/>
          <w:kern w:val="0"/>
          <w:sz w:val="24"/>
          <w:lang w:val="zh-CN"/>
        </w:rPr>
        <w:t>委托</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（姓名）为我方代理人（身份证号码：</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，手机：</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），以我方名义处理</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【项目编号：（采购编号）】政府采购响应的一切事项，</w:t>
      </w:r>
      <w:r>
        <w:rPr>
          <w:rFonts w:hint="eastAsia" w:cs="宋体" w:asciiTheme="minorEastAsia" w:hAnsiTheme="minorEastAsia" w:eastAsiaTheme="minorEastAsia"/>
          <w:color w:val="auto"/>
          <w:kern w:val="0"/>
          <w:sz w:val="24"/>
          <w:lang w:val="zh-CN"/>
        </w:rPr>
        <w:t>其法律后果由我方承担。</w:t>
      </w:r>
      <w:r>
        <w:rPr>
          <w:rFonts w:hint="eastAsia" w:cs="仿宋_GB2312" w:asciiTheme="minorEastAsia" w:hAnsiTheme="minorEastAsia" w:eastAsiaTheme="minorEastAsia"/>
          <w:color w:val="auto"/>
          <w:kern w:val="0"/>
          <w:sz w:val="24"/>
          <w:lang w:val="zh-CN"/>
        </w:rPr>
        <w:t>。</w:t>
      </w:r>
    </w:p>
    <w:p>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本授权书有效期：自   年 月  日起至  年  月  日止。</w:t>
      </w:r>
    </w:p>
    <w:p>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w:t>
      </w:r>
    </w:p>
    <w:p>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pPr>
        <w:snapToGrid w:val="0"/>
        <w:spacing w:line="360" w:lineRule="auto"/>
        <w:ind w:firstLine="5040" w:firstLineChars="2100"/>
        <w:rPr>
          <w:rStyle w:val="632"/>
          <w:color w:val="auto"/>
        </w:rPr>
      </w:pPr>
      <w:r>
        <w:rPr>
          <w:rStyle w:val="632"/>
          <w:rFonts w:hint="eastAsia"/>
          <w:color w:val="auto"/>
        </w:rPr>
        <w:t>法定代表人（负责人） (签名)：</w:t>
      </w:r>
    </w:p>
    <w:p>
      <w:pPr>
        <w:snapToGrid w:val="0"/>
        <w:spacing w:line="360" w:lineRule="auto"/>
        <w:ind w:firstLine="5040" w:firstLineChars="2100"/>
        <w:rPr>
          <w:rFonts w:ascii="宋体" w:hAnsi="宋体" w:cs="宋体"/>
          <w:color w:val="auto"/>
          <w:kern w:val="0"/>
          <w:sz w:val="24"/>
          <w:lang w:val="zh-CN"/>
        </w:rPr>
      </w:pPr>
      <w:r>
        <w:rPr>
          <w:rStyle w:val="632"/>
          <w:rFonts w:hint="eastAsia"/>
          <w:color w:val="auto"/>
        </w:rPr>
        <w:t>联合体成</w:t>
      </w:r>
      <w:r>
        <w:rPr>
          <w:rFonts w:hint="eastAsia" w:ascii="宋体" w:hAnsi="宋体" w:cs="宋体"/>
          <w:color w:val="auto"/>
          <w:kern w:val="0"/>
          <w:sz w:val="24"/>
          <w:lang w:val="zh-CN"/>
        </w:rPr>
        <w:t>员名称(公章)：</w:t>
      </w:r>
    </w:p>
    <w:p>
      <w:pPr>
        <w:snapToGrid w:val="0"/>
        <w:spacing w:line="360" w:lineRule="auto"/>
        <w:ind w:firstLine="5040" w:firstLineChars="2100"/>
        <w:rPr>
          <w:rStyle w:val="632"/>
          <w:color w:val="auto"/>
        </w:rPr>
      </w:pPr>
      <w:r>
        <w:rPr>
          <w:rStyle w:val="632"/>
          <w:rFonts w:hint="eastAsia"/>
          <w:color w:val="auto"/>
        </w:rPr>
        <w:t>法定代表人（负责人） (签名)：</w:t>
      </w:r>
    </w:p>
    <w:p>
      <w:pPr>
        <w:snapToGrid w:val="0"/>
        <w:spacing w:line="360" w:lineRule="auto"/>
        <w:ind w:firstLine="5040" w:firstLineChars="21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pPr>
        <w:snapToGrid w:val="0"/>
        <w:spacing w:line="360" w:lineRule="auto"/>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pPr>
        <w:widowControl/>
        <w:adjustRightInd/>
        <w:jc w:val="left"/>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br w:type="page"/>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30"/>
          <w:szCs w:val="30"/>
        </w:rPr>
        <w:t>授权代表的身份证（复印件）</w:t>
      </w:r>
    </w:p>
    <w:p>
      <w:pPr>
        <w:pStyle w:val="620"/>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授权代表身份证件扫描件：</w:t>
      </w:r>
    </w:p>
    <w:tbl>
      <w:tblPr>
        <w:tblStyle w:val="6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pPr>
              <w:pStyle w:val="620"/>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正面：                                 反面：</w:t>
            </w:r>
          </w:p>
          <w:p>
            <w:pPr>
              <w:pStyle w:val="620"/>
              <w:spacing w:line="360" w:lineRule="auto"/>
              <w:rPr>
                <w:rFonts w:asciiTheme="minorEastAsia" w:hAnsiTheme="minorEastAsia" w:eastAsiaTheme="minorEastAsia"/>
                <w:bCs/>
                <w:color w:val="auto"/>
                <w:sz w:val="24"/>
              </w:rPr>
            </w:pPr>
          </w:p>
        </w:tc>
      </w:tr>
    </w:tbl>
    <w:p>
      <w:pPr>
        <w:snapToGrid w:val="0"/>
        <w:spacing w:line="360" w:lineRule="auto"/>
        <w:ind w:firstLine="576"/>
        <w:jc w:val="right"/>
        <w:rPr>
          <w:rFonts w:cs="仿宋_GB2312" w:asciiTheme="minorEastAsia" w:hAnsiTheme="minorEastAsia" w:eastAsiaTheme="minorEastAsia"/>
          <w:color w:val="auto"/>
          <w:kern w:val="0"/>
          <w:sz w:val="24"/>
          <w:lang w:val="zh-CN"/>
        </w:rPr>
      </w:pPr>
    </w:p>
    <w:p>
      <w:pPr>
        <w:snapToGrid w:val="0"/>
        <w:spacing w:line="360" w:lineRule="auto"/>
        <w:ind w:firstLine="576"/>
        <w:jc w:val="center"/>
        <w:rPr>
          <w:rFonts w:ascii="宋体" w:hAnsi="宋体" w:cs="宋体"/>
          <w:color w:val="auto"/>
          <w:kern w:val="0"/>
          <w:sz w:val="24"/>
          <w:lang w:val="zh-CN"/>
        </w:rPr>
      </w:pPr>
      <w:r>
        <w:rPr>
          <w:rFonts w:hint="eastAsia" w:cs="仿宋_GB2312" w:asciiTheme="minorEastAsia" w:hAnsiTheme="minorEastAsia" w:eastAsiaTheme="minorEastAsia"/>
          <w:color w:val="auto"/>
          <w:kern w:val="0"/>
          <w:sz w:val="24"/>
          <w:lang w:val="zh-CN"/>
        </w:rPr>
        <w:t xml:space="preserve">          </w:t>
      </w:r>
      <w:r>
        <w:rPr>
          <w:rFonts w:hint="eastAsia" w:ascii="宋体" w:hAnsi="宋体" w:cs="宋体"/>
          <w:color w:val="auto"/>
          <w:kern w:val="0"/>
          <w:sz w:val="24"/>
          <w:lang w:val="zh-CN"/>
        </w:rPr>
        <w:t xml:space="preserve">           磋商供应商名称(公章)：                              </w:t>
      </w:r>
    </w:p>
    <w:p>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pPr>
        <w:snapToGrid w:val="0"/>
        <w:spacing w:line="360" w:lineRule="auto"/>
        <w:ind w:firstLine="576"/>
        <w:jc w:val="center"/>
        <w:rPr>
          <w:rFonts w:cs="仿宋_GB2312" w:asciiTheme="minorEastAsia" w:hAnsiTheme="minorEastAsia" w:eastAsiaTheme="minorEastAsia"/>
          <w:color w:val="auto"/>
          <w:sz w:val="28"/>
          <w:szCs w:val="28"/>
        </w:rPr>
      </w:pPr>
    </w:p>
    <w:p>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pPr>
        <w:snapToGrid w:val="0"/>
        <w:spacing w:line="360" w:lineRule="auto"/>
        <w:ind w:firstLine="3534" w:firstLineChars="1100"/>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宋体" w:asciiTheme="minorEastAsia" w:hAnsiTheme="minorEastAsia" w:eastAsiaTheme="minorEastAsia"/>
          <w:color w:val="auto"/>
          <w:sz w:val="24"/>
        </w:rPr>
        <w:t>（项目名称）【项目编号：（采购编号）】</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u w:val="single"/>
        </w:rPr>
        <w:t>（分包供应商2名称），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pPr>
        <w:pStyle w:val="633"/>
        <w:rPr>
          <w:color w:val="auto"/>
        </w:rPr>
      </w:pPr>
      <w:r>
        <w:rPr>
          <w:rFonts w:hint="eastAsia"/>
          <w:color w:val="auto"/>
        </w:rPr>
        <w:t>……</w:t>
      </w:r>
    </w:p>
    <w:p>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pPr>
        <w:snapToGrid w:val="0"/>
        <w:spacing w:line="360" w:lineRule="auto"/>
        <w:ind w:firstLine="576"/>
        <w:rPr>
          <w:rFonts w:cs="宋体" w:asciiTheme="minorEastAsia" w:hAnsiTheme="minorEastAsia" w:eastAsiaTheme="minorEastAsia"/>
          <w:b/>
          <w:color w:val="auto"/>
          <w:kern w:val="0"/>
          <w:sz w:val="24"/>
          <w:lang w:val="zh-CN"/>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u w:val="single"/>
        </w:rPr>
        <w:t>（分包供应商X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……）提供的服务全部由小微企业承接，</w:t>
      </w:r>
      <w:r>
        <w:rPr>
          <w:rFonts w:hint="eastAsia" w:cs="宋体" w:asciiTheme="minorEastAsia" w:hAnsiTheme="minorEastAsia" w:eastAsiaTheme="minorEastAsia"/>
          <w:color w:val="auto"/>
          <w:kern w:val="0"/>
          <w:sz w:val="24"/>
        </w:rPr>
        <w:t>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lang w:val="zh-CN"/>
        </w:rPr>
        <w:t>对大中型企业的报价按评标标准确定的比例给予扣除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lang w:val="zh-CN"/>
        </w:rPr>
        <w:t>分包意向协议</w:t>
      </w:r>
      <w:r>
        <w:rPr>
          <w:rFonts w:hint="eastAsia" w:cs="宋体" w:asciiTheme="minorEastAsia" w:hAnsiTheme="minorEastAsia" w:eastAsiaTheme="minorEastAsia"/>
          <w:b/>
          <w:bCs/>
          <w:color w:val="auto"/>
          <w:sz w:val="24"/>
        </w:rPr>
        <w:t>中中小企业、小微企业合同金额应当达到的比例要求填写。</w:t>
      </w:r>
      <w:r>
        <w:rPr>
          <w:rFonts w:hint="eastAsia" w:cs="宋体" w:asciiTheme="minorEastAsia" w:hAnsiTheme="minorEastAsia" w:eastAsiaTheme="minorEastAsia"/>
          <w:b/>
          <w:bCs/>
          <w:color w:val="auto"/>
          <w:kern w:val="0"/>
          <w:sz w:val="24"/>
          <w:lang w:val="zh-CN"/>
        </w:rPr>
        <w:t>）</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pPr>
        <w:snapToGrid w:val="0"/>
        <w:spacing w:line="360" w:lineRule="auto"/>
        <w:ind w:left="5520" w:hanging="5520" w:hanging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w:t>
      </w:r>
    </w:p>
    <w:p>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p>
    <w:p>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磋商供应商名称(公章)：</w:t>
      </w:r>
    </w:p>
    <w:p>
      <w:pPr>
        <w:snapToGrid w:val="0"/>
        <w:spacing w:line="360" w:lineRule="auto"/>
        <w:jc w:val="right"/>
        <w:rPr>
          <w:rStyle w:val="632"/>
          <w:color w:val="auto"/>
        </w:rPr>
      </w:pPr>
      <w:r>
        <w:rPr>
          <w:rStyle w:val="632"/>
          <w:rFonts w:hint="eastAsia"/>
          <w:color w:val="auto"/>
        </w:rPr>
        <w:t>法定代表人（负责人） (签名)：</w:t>
      </w:r>
    </w:p>
    <w:p>
      <w:pPr>
        <w:snapToGrid w:val="0"/>
        <w:spacing w:line="360" w:lineRule="auto"/>
        <w:ind w:right="480" w:firstLine="5520" w:firstLine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分包供应商名称(公章)：</w:t>
      </w:r>
    </w:p>
    <w:p>
      <w:pPr>
        <w:snapToGrid w:val="0"/>
        <w:spacing w:line="360" w:lineRule="auto"/>
        <w:jc w:val="right"/>
        <w:rPr>
          <w:rFonts w:cs="宋体" w:asciiTheme="minorEastAsia" w:hAnsiTheme="minorEastAsia" w:eastAsiaTheme="minorEastAsia"/>
          <w:color w:val="auto"/>
          <w:kern w:val="0"/>
          <w:sz w:val="24"/>
          <w:lang w:val="zh-CN"/>
        </w:rPr>
      </w:pPr>
      <w:r>
        <w:rPr>
          <w:rStyle w:val="632"/>
          <w:rFonts w:hint="eastAsia"/>
          <w:color w:val="auto"/>
        </w:rPr>
        <w:t>法定代表人（负责人） (签名)：</w:t>
      </w:r>
    </w:p>
    <w:p>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（由供应商根据采购需求及磋商文件要求编制）</w:t>
      </w:r>
    </w:p>
    <w:p>
      <w:pPr>
        <w:spacing w:line="360" w:lineRule="auto"/>
        <w:jc w:val="center"/>
        <w:rPr>
          <w:rFonts w:cs="仿宋_GB2312" w:asciiTheme="minorEastAsia" w:hAnsiTheme="minorEastAsia" w:eastAsiaTheme="minorEastAsia"/>
          <w:b/>
          <w:color w:val="auto"/>
          <w:sz w:val="30"/>
          <w:szCs w:val="30"/>
        </w:rPr>
      </w:pPr>
    </w:p>
    <w:p>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p>
    <w:p>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pPr>
        <w:spacing w:line="360" w:lineRule="auto"/>
        <w:jc w:val="center"/>
        <w:rPr>
          <w:rFonts w:cs="仿宋_GB2312" w:asciiTheme="minorEastAsia" w:hAnsiTheme="minorEastAsia" w:eastAsiaTheme="minorEastAsia"/>
          <w:b/>
          <w:color w:val="auto"/>
          <w:kern w:val="0"/>
          <w:sz w:val="32"/>
          <w:szCs w:val="32"/>
        </w:rPr>
      </w:pPr>
    </w:p>
    <w:p>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bl>
    <w:p>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color w:val="auto"/>
          <w:sz w:val="24"/>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对磋商文件中有关条款的拒绝声明</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pPr>
        <w:spacing w:line="360" w:lineRule="auto"/>
        <w:rPr>
          <w:rFonts w:cs="仿宋_GB2312" w:asciiTheme="minorEastAsia" w:hAnsiTheme="minorEastAsia" w:eastAsiaTheme="minorEastAsia"/>
          <w:color w:val="auto"/>
          <w:sz w:val="24"/>
        </w:rPr>
      </w:pPr>
    </w:p>
    <w:p>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磋商供应商名称(公章)：</w:t>
      </w:r>
    </w:p>
    <w:p>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pPr>
        <w:spacing w:line="360" w:lineRule="auto"/>
        <w:jc w:val="center"/>
        <w:rPr>
          <w:rFonts w:cs="仿宋_GB2312" w:asciiTheme="minorEastAsia" w:hAnsiTheme="minorEastAsia" w:eastAsiaTheme="minorEastAsia"/>
          <w:color w:val="auto"/>
          <w:sz w:val="24"/>
        </w:rPr>
      </w:pPr>
    </w:p>
    <w:p>
      <w:pPr>
        <w:spacing w:line="360" w:lineRule="auto"/>
        <w:rPr>
          <w:rFonts w:cs="仿宋_GB2312" w:asciiTheme="minorEastAsia" w:hAnsiTheme="minorEastAsia" w:eastAsiaTheme="minorEastAsia"/>
          <w:color w:val="auto"/>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rPr>
          <w:rFonts w:cs="仿宋_GB2312" w:asciiTheme="minorEastAsia" w:hAnsiTheme="minorEastAsia" w:eastAsiaTheme="minorEastAsia"/>
          <w:b/>
          <w:bCs/>
          <w:color w:val="auto"/>
          <w:kern w:val="0"/>
          <w:sz w:val="24"/>
        </w:rPr>
      </w:pPr>
    </w:p>
    <w:p>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九、服务方案</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pPr>
        <w:spacing w:line="360" w:lineRule="auto"/>
        <w:jc w:val="center"/>
        <w:rPr>
          <w:rFonts w:cs="仿宋_GB2312" w:asciiTheme="minorEastAsia" w:hAnsiTheme="minorEastAsia" w:eastAsiaTheme="minorEastAsia"/>
          <w:color w:val="auto"/>
          <w:sz w:val="24"/>
        </w:rPr>
      </w:pPr>
    </w:p>
    <w:p>
      <w:pPr>
        <w:autoSpaceDE w:val="0"/>
        <w:autoSpaceDN w:val="0"/>
        <w:spacing w:line="360" w:lineRule="auto"/>
        <w:rPr>
          <w:rFonts w:cs="仿宋_GB2312" w:asciiTheme="minorEastAsia" w:hAnsiTheme="minorEastAsia" w:eastAsiaTheme="minorEastAsia"/>
          <w:color w:val="auto"/>
          <w:kern w:val="0"/>
          <w:sz w:val="24"/>
        </w:rPr>
      </w:pPr>
    </w:p>
    <w:p>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磋商供应商名称(公章)：</w:t>
      </w:r>
    </w:p>
    <w:p>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pPr>
        <w:snapToGrid w:val="0"/>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响应产品规格配置清单</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序号</w:t>
            </w:r>
          </w:p>
        </w:tc>
        <w:tc>
          <w:tcPr>
            <w:tcW w:w="1531" w:type="dxa"/>
            <w:vAlign w:val="center"/>
          </w:tcPr>
          <w:p>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设备名称</w:t>
            </w:r>
          </w:p>
        </w:tc>
        <w:tc>
          <w:tcPr>
            <w:tcW w:w="2160" w:type="dxa"/>
            <w:vAlign w:val="center"/>
          </w:tcPr>
          <w:p>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响应品牌及型号</w:t>
            </w:r>
          </w:p>
        </w:tc>
        <w:tc>
          <w:tcPr>
            <w:tcW w:w="2340" w:type="dxa"/>
            <w:vAlign w:val="center"/>
          </w:tcPr>
          <w:p>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规格配置详细说明</w:t>
            </w:r>
          </w:p>
        </w:tc>
        <w:tc>
          <w:tcPr>
            <w:tcW w:w="1080" w:type="dxa"/>
            <w:vAlign w:val="center"/>
          </w:tcPr>
          <w:p>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数量</w:t>
            </w:r>
          </w:p>
        </w:tc>
        <w:tc>
          <w:tcPr>
            <w:tcW w:w="1332" w:type="dxa"/>
            <w:vAlign w:val="center"/>
          </w:tcPr>
          <w:p>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1531" w:type="dxa"/>
            <w:vAlign w:val="center"/>
          </w:tcPr>
          <w:p>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pPr>
              <w:spacing w:line="360" w:lineRule="auto"/>
              <w:jc w:val="center"/>
              <w:rPr>
                <w:rFonts w:cs="仿宋_GB2312" w:asciiTheme="minorEastAsia" w:hAnsiTheme="minorEastAsia" w:eastAsiaTheme="minorEastAsia"/>
                <w:color w:val="auto"/>
                <w:sz w:val="24"/>
              </w:rPr>
            </w:pPr>
          </w:p>
        </w:tc>
        <w:tc>
          <w:tcPr>
            <w:tcW w:w="1080" w:type="dxa"/>
            <w:vAlign w:val="center"/>
          </w:tcPr>
          <w:p>
            <w:pPr>
              <w:spacing w:line="360" w:lineRule="auto"/>
              <w:jc w:val="center"/>
              <w:rPr>
                <w:rFonts w:cs="仿宋_GB2312" w:asciiTheme="minorEastAsia" w:hAnsiTheme="minorEastAsia" w:eastAsiaTheme="minorEastAsia"/>
                <w:color w:val="auto"/>
                <w:sz w:val="24"/>
              </w:rPr>
            </w:pPr>
          </w:p>
        </w:tc>
        <w:tc>
          <w:tcPr>
            <w:tcW w:w="1332" w:type="dxa"/>
            <w:vAlign w:val="center"/>
          </w:tcPr>
          <w:p>
            <w:pPr>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1531" w:type="dxa"/>
            <w:vAlign w:val="center"/>
          </w:tcPr>
          <w:p>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pPr>
              <w:spacing w:line="360" w:lineRule="auto"/>
              <w:jc w:val="center"/>
              <w:rPr>
                <w:rFonts w:cs="仿宋_GB2312" w:asciiTheme="minorEastAsia" w:hAnsiTheme="minorEastAsia" w:eastAsiaTheme="minorEastAsia"/>
                <w:color w:val="auto"/>
                <w:sz w:val="24"/>
              </w:rPr>
            </w:pPr>
          </w:p>
        </w:tc>
        <w:tc>
          <w:tcPr>
            <w:tcW w:w="1080" w:type="dxa"/>
            <w:vAlign w:val="center"/>
          </w:tcPr>
          <w:p>
            <w:pPr>
              <w:spacing w:line="360" w:lineRule="auto"/>
              <w:jc w:val="center"/>
              <w:rPr>
                <w:rFonts w:cs="仿宋_GB2312" w:asciiTheme="minorEastAsia" w:hAnsiTheme="minorEastAsia" w:eastAsiaTheme="minorEastAsia"/>
                <w:color w:val="auto"/>
                <w:sz w:val="24"/>
              </w:rPr>
            </w:pPr>
          </w:p>
        </w:tc>
        <w:tc>
          <w:tcPr>
            <w:tcW w:w="1332" w:type="dxa"/>
            <w:vAlign w:val="center"/>
          </w:tcPr>
          <w:p>
            <w:pPr>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1531" w:type="dxa"/>
            <w:vAlign w:val="center"/>
          </w:tcPr>
          <w:p>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pPr>
              <w:spacing w:line="360" w:lineRule="auto"/>
              <w:jc w:val="center"/>
              <w:rPr>
                <w:rFonts w:cs="仿宋_GB2312" w:asciiTheme="minorEastAsia" w:hAnsiTheme="minorEastAsia" w:eastAsiaTheme="minorEastAsia"/>
                <w:color w:val="auto"/>
                <w:sz w:val="24"/>
              </w:rPr>
            </w:pPr>
          </w:p>
        </w:tc>
        <w:tc>
          <w:tcPr>
            <w:tcW w:w="1080" w:type="dxa"/>
            <w:vAlign w:val="center"/>
          </w:tcPr>
          <w:p>
            <w:pPr>
              <w:spacing w:line="360" w:lineRule="auto"/>
              <w:jc w:val="center"/>
              <w:rPr>
                <w:rFonts w:cs="仿宋_GB2312" w:asciiTheme="minorEastAsia" w:hAnsiTheme="minorEastAsia" w:eastAsiaTheme="minorEastAsia"/>
                <w:color w:val="auto"/>
                <w:sz w:val="24"/>
              </w:rPr>
            </w:pPr>
          </w:p>
        </w:tc>
        <w:tc>
          <w:tcPr>
            <w:tcW w:w="1332" w:type="dxa"/>
            <w:vAlign w:val="center"/>
          </w:tcPr>
          <w:p>
            <w:pPr>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1531" w:type="dxa"/>
            <w:vAlign w:val="center"/>
          </w:tcPr>
          <w:p>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pPr>
              <w:spacing w:line="360" w:lineRule="auto"/>
              <w:jc w:val="center"/>
              <w:rPr>
                <w:rFonts w:cs="仿宋_GB2312" w:asciiTheme="minorEastAsia" w:hAnsiTheme="minorEastAsia" w:eastAsiaTheme="minorEastAsia"/>
                <w:color w:val="auto"/>
                <w:sz w:val="24"/>
              </w:rPr>
            </w:pPr>
          </w:p>
        </w:tc>
        <w:tc>
          <w:tcPr>
            <w:tcW w:w="1080" w:type="dxa"/>
            <w:vAlign w:val="center"/>
          </w:tcPr>
          <w:p>
            <w:pPr>
              <w:spacing w:line="360" w:lineRule="auto"/>
              <w:jc w:val="center"/>
              <w:rPr>
                <w:rFonts w:cs="仿宋_GB2312" w:asciiTheme="minorEastAsia" w:hAnsiTheme="minorEastAsia" w:eastAsiaTheme="minorEastAsia"/>
                <w:color w:val="auto"/>
                <w:sz w:val="24"/>
              </w:rPr>
            </w:pPr>
          </w:p>
        </w:tc>
        <w:tc>
          <w:tcPr>
            <w:tcW w:w="1332" w:type="dxa"/>
            <w:vAlign w:val="center"/>
          </w:tcPr>
          <w:p>
            <w:pPr>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1531" w:type="dxa"/>
            <w:vAlign w:val="center"/>
          </w:tcPr>
          <w:p>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pPr>
              <w:spacing w:line="360" w:lineRule="auto"/>
              <w:jc w:val="center"/>
              <w:rPr>
                <w:rFonts w:cs="仿宋_GB2312" w:asciiTheme="minorEastAsia" w:hAnsiTheme="minorEastAsia" w:eastAsiaTheme="minorEastAsia"/>
                <w:color w:val="auto"/>
                <w:sz w:val="24"/>
              </w:rPr>
            </w:pPr>
          </w:p>
        </w:tc>
        <w:tc>
          <w:tcPr>
            <w:tcW w:w="1080" w:type="dxa"/>
            <w:vAlign w:val="center"/>
          </w:tcPr>
          <w:p>
            <w:pPr>
              <w:spacing w:line="360" w:lineRule="auto"/>
              <w:jc w:val="center"/>
              <w:rPr>
                <w:rFonts w:cs="仿宋_GB2312" w:asciiTheme="minorEastAsia" w:hAnsiTheme="minorEastAsia" w:eastAsiaTheme="minorEastAsia"/>
                <w:color w:val="auto"/>
                <w:sz w:val="24"/>
              </w:rPr>
            </w:pPr>
          </w:p>
        </w:tc>
        <w:tc>
          <w:tcPr>
            <w:tcW w:w="1332" w:type="dxa"/>
            <w:vAlign w:val="center"/>
          </w:tcPr>
          <w:p>
            <w:pPr>
              <w:spacing w:line="360" w:lineRule="auto"/>
              <w:jc w:val="center"/>
              <w:rPr>
                <w:rFonts w:cs="仿宋_GB2312" w:asciiTheme="minorEastAsia" w:hAnsiTheme="minorEastAsia" w:eastAsiaTheme="minorEastAsia"/>
                <w:color w:val="auto"/>
                <w:sz w:val="24"/>
              </w:rPr>
            </w:pPr>
          </w:p>
        </w:tc>
      </w:tr>
    </w:tbl>
    <w:p>
      <w:pPr>
        <w:autoSpaceDE w:val="0"/>
        <w:autoSpaceDN w:val="0"/>
        <w:spacing w:line="360" w:lineRule="auto"/>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注：</w:t>
      </w:r>
      <w:r>
        <w:rPr>
          <w:rFonts w:hint="eastAsia" w:cs="仿宋_GB2312" w:asciiTheme="minorEastAsia" w:hAnsiTheme="minorEastAsia" w:eastAsiaTheme="minorEastAsia"/>
          <w:b/>
          <w:color w:val="auto"/>
          <w:sz w:val="28"/>
          <w:szCs w:val="28"/>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color w:val="auto"/>
          <w:spacing w:val="6"/>
          <w:sz w:val="32"/>
          <w:szCs w:val="32"/>
        </w:rPr>
      </w:pPr>
    </w:p>
    <w:p>
      <w:pPr>
        <w:spacing w:line="360" w:lineRule="auto"/>
        <w:ind w:firstLine="1333" w:firstLineChars="400"/>
        <w:jc w:val="left"/>
        <w:rPr>
          <w:rFonts w:asciiTheme="minorEastAsia" w:hAnsiTheme="minorEastAsia" w:eastAsiaTheme="minorEastAsia"/>
          <w:b/>
          <w:color w:val="auto"/>
          <w:spacing w:val="6"/>
          <w:sz w:val="32"/>
          <w:szCs w:val="32"/>
        </w:rPr>
      </w:pPr>
    </w:p>
    <w:p>
      <w:pPr>
        <w:spacing w:line="360" w:lineRule="auto"/>
        <w:ind w:firstLine="1333" w:firstLineChars="4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节能产品认证证书</w:t>
      </w:r>
    </w:p>
    <w:p>
      <w:pPr>
        <w:spacing w:line="360" w:lineRule="auto"/>
        <w:ind w:firstLine="1333" w:firstLineChars="400"/>
        <w:jc w:val="center"/>
        <w:rPr>
          <w:rFonts w:asciiTheme="minorEastAsia" w:hAnsiTheme="minorEastAsia" w:eastAsiaTheme="minorEastAsia"/>
          <w:b/>
          <w:color w:val="auto"/>
          <w:spacing w:val="6"/>
          <w:sz w:val="32"/>
          <w:szCs w:val="32"/>
        </w:rPr>
      </w:pPr>
    </w:p>
    <w:p>
      <w:pPr>
        <w:spacing w:line="360" w:lineRule="auto"/>
        <w:jc w:val="center"/>
        <w:rPr>
          <w:rFonts w:asciiTheme="minorEastAsia" w:hAnsiTheme="minorEastAsia" w:eastAsiaTheme="minorEastAsia"/>
          <w:b/>
          <w:bCs/>
          <w:color w:val="auto"/>
          <w:sz w:val="24"/>
        </w:rPr>
      </w:pPr>
    </w:p>
    <w:p>
      <w:pPr>
        <w:spacing w:line="360" w:lineRule="auto"/>
        <w:ind w:firstLine="1000" w:firstLineChars="3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环境标志产品认证证书</w:t>
      </w:r>
    </w:p>
    <w:p>
      <w:pPr>
        <w:autoSpaceDE w:val="0"/>
        <w:autoSpaceDN w:val="0"/>
        <w:spacing w:line="360" w:lineRule="auto"/>
        <w:rPr>
          <w:rFonts w:cs="仿宋_GB2312" w:asciiTheme="minorEastAsia" w:hAnsiTheme="minorEastAsia" w:eastAsiaTheme="minorEastAsia"/>
          <w:b/>
          <w:color w:val="auto"/>
          <w:kern w:val="0"/>
          <w:sz w:val="28"/>
          <w:szCs w:val="28"/>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十、组织实施方案</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附表:项目实施进度计划表</w:t>
      </w:r>
      <w:r>
        <w:rPr>
          <w:rFonts w:hint="eastAsia" w:cs="仿宋_GB2312" w:asciiTheme="minorEastAsia" w:hAnsiTheme="minorEastAsia" w:eastAsiaTheme="minorEastAsia"/>
          <w:b/>
          <w:color w:val="auto"/>
          <w:sz w:val="24"/>
        </w:rPr>
        <w:t xml:space="preserve">(以生效日算起) </w:t>
      </w:r>
    </w:p>
    <w:tbl>
      <w:tblPr>
        <w:tblStyle w:val="6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mc:AlternateContent>
                <mc:Choice Requires="wpg">
                  <w:drawing>
                    <wp:anchor distT="0" distB="0" distL="114300" distR="114300" simplePos="0" relativeHeight="25167257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7257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color w:val="auto"/>
                <w:sz w:val="24"/>
              </w:rPr>
            </w:pPr>
          </w:p>
          <w:p>
            <w:pPr>
              <w:spacing w:line="360" w:lineRule="auto"/>
              <w:rPr>
                <w:rFonts w:cs="仿宋_GB2312" w:asciiTheme="minorEastAsia" w:hAnsiTheme="minorEastAsia" w:eastAsiaTheme="minorEastAsia"/>
                <w:color w:val="auto"/>
                <w:sz w:val="24"/>
              </w:rPr>
            </w:pP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内容</w:t>
            </w:r>
          </w:p>
        </w:tc>
        <w:tc>
          <w:tcPr>
            <w:tcW w:w="552"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552"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552"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552"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552"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552"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7</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8</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9</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10</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11</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13</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14</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15</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bl>
    <w:p>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十一、售后服务方案</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根据采购需求及磋商文件要求编制）</w:t>
      </w:r>
    </w:p>
    <w:p>
      <w:pPr>
        <w:autoSpaceDE w:val="0"/>
        <w:autoSpaceDN w:val="0"/>
        <w:spacing w:line="360" w:lineRule="auto"/>
        <w:rPr>
          <w:rFonts w:cs="仿宋_GB2312" w:asciiTheme="minorEastAsia" w:hAnsiTheme="minorEastAsia" w:eastAsiaTheme="minorEastAsia"/>
          <w:color w:val="auto"/>
          <w:kern w:val="0"/>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十二、项目实施人员名单</w:t>
      </w:r>
    </w:p>
    <w:p>
      <w:pPr>
        <w:spacing w:line="360" w:lineRule="auto"/>
        <w:jc w:val="center"/>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sz w:val="24"/>
        </w:rPr>
        <w:t>（由供应商根据采购需求及磋商文件要求编制）</w:t>
      </w:r>
    </w:p>
    <w:p>
      <w:pPr>
        <w:autoSpaceDE w:val="0"/>
        <w:autoSpaceDN w:val="0"/>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本项目的项目实施人员情况表</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专业</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bl>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注：供应商可根据上述的格式自行编制，须随表提交相应的证书复印件并注明所在响应文件页码。</w:t>
      </w: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24"/>
        </w:rPr>
        <w:br w:type="page"/>
      </w:r>
      <w:r>
        <w:rPr>
          <w:rFonts w:hint="eastAsia" w:cs="仿宋_GB2312" w:asciiTheme="minorEastAsia" w:hAnsiTheme="minorEastAsia" w:eastAsiaTheme="minorEastAsia"/>
          <w:b/>
          <w:color w:val="auto"/>
          <w:kern w:val="0"/>
          <w:sz w:val="32"/>
          <w:szCs w:val="32"/>
          <w:lang w:val="zh-CN"/>
        </w:rPr>
        <w:t>十三</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优惠条件及特殊承诺</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pPr>
        <w:spacing w:line="360" w:lineRule="auto"/>
        <w:jc w:val="center"/>
        <w:rPr>
          <w:rFonts w:cs="仿宋_GB2312" w:asciiTheme="minorEastAsia" w:hAnsiTheme="minorEastAsia" w:eastAsiaTheme="minorEastAsia"/>
          <w:color w:val="auto"/>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bCs/>
          <w:color w:val="auto"/>
          <w:sz w:val="24"/>
        </w:rPr>
      </w:pPr>
    </w:p>
    <w:p>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十四、</w:t>
      </w:r>
      <w:r>
        <w:rPr>
          <w:rFonts w:hint="eastAsia" w:cs="仿宋_GB2312" w:asciiTheme="minorEastAsia" w:hAnsiTheme="minorEastAsia" w:eastAsiaTheme="minorEastAsia"/>
          <w:b/>
          <w:color w:val="auto"/>
          <w:kern w:val="0"/>
          <w:sz w:val="32"/>
          <w:szCs w:val="32"/>
          <w:lang w:val="zh-CN"/>
        </w:rPr>
        <w:t>培训计划</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pPr>
        <w:autoSpaceDE w:val="0"/>
        <w:autoSpaceDN w:val="0"/>
        <w:spacing w:line="360" w:lineRule="auto"/>
        <w:rPr>
          <w:rFonts w:cs="仿宋_GB2312" w:asciiTheme="minorEastAsia" w:hAnsiTheme="minorEastAsia" w:eastAsiaTheme="minorEastAsia"/>
          <w:b/>
          <w:color w:val="auto"/>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color w:val="auto"/>
          <w:kern w:val="0"/>
          <w:sz w:val="24"/>
        </w:rPr>
      </w:pPr>
    </w:p>
    <w:p>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十五、随机特殊工具和备品备件清单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名称</w:t>
            </w:r>
          </w:p>
        </w:tc>
        <w:tc>
          <w:tcPr>
            <w:tcW w:w="1900"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品牌</w:t>
            </w:r>
          </w:p>
        </w:tc>
        <w:tc>
          <w:tcPr>
            <w:tcW w:w="1800"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制造厂/原产地</w:t>
            </w:r>
          </w:p>
        </w:tc>
        <w:tc>
          <w:tcPr>
            <w:tcW w:w="2880"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规格型号</w:t>
            </w:r>
          </w:p>
        </w:tc>
        <w:tc>
          <w:tcPr>
            <w:tcW w:w="1332"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3"/>
              <w:spacing w:line="360" w:lineRule="auto"/>
              <w:jc w:val="center"/>
              <w:rPr>
                <w:rFonts w:cs="仿宋_GB2312" w:asciiTheme="minorEastAsia" w:hAnsiTheme="minorEastAsia" w:eastAsiaTheme="minorEastAsia"/>
                <w:color w:val="auto"/>
                <w:sz w:val="24"/>
              </w:rPr>
            </w:pPr>
          </w:p>
        </w:tc>
        <w:tc>
          <w:tcPr>
            <w:tcW w:w="1900" w:type="dxa"/>
          </w:tcPr>
          <w:p>
            <w:pPr>
              <w:pStyle w:val="33"/>
              <w:spacing w:line="360" w:lineRule="auto"/>
              <w:jc w:val="center"/>
              <w:rPr>
                <w:rFonts w:cs="仿宋_GB2312" w:asciiTheme="minorEastAsia" w:hAnsiTheme="minorEastAsia" w:eastAsiaTheme="minorEastAsia"/>
                <w:color w:val="auto"/>
                <w:sz w:val="24"/>
              </w:rPr>
            </w:pPr>
          </w:p>
        </w:tc>
        <w:tc>
          <w:tcPr>
            <w:tcW w:w="1800" w:type="dxa"/>
          </w:tcPr>
          <w:p>
            <w:pPr>
              <w:pStyle w:val="33"/>
              <w:spacing w:line="360" w:lineRule="auto"/>
              <w:jc w:val="center"/>
              <w:rPr>
                <w:rFonts w:cs="仿宋_GB2312" w:asciiTheme="minorEastAsia" w:hAnsiTheme="minorEastAsia" w:eastAsiaTheme="minorEastAsia"/>
                <w:color w:val="auto"/>
                <w:sz w:val="24"/>
              </w:rPr>
            </w:pPr>
          </w:p>
        </w:tc>
        <w:tc>
          <w:tcPr>
            <w:tcW w:w="2880" w:type="dxa"/>
          </w:tcPr>
          <w:p>
            <w:pPr>
              <w:pStyle w:val="33"/>
              <w:spacing w:line="360" w:lineRule="auto"/>
              <w:jc w:val="center"/>
              <w:rPr>
                <w:rFonts w:cs="仿宋_GB2312" w:asciiTheme="minorEastAsia" w:hAnsiTheme="minorEastAsia" w:eastAsiaTheme="minorEastAsia"/>
                <w:color w:val="auto"/>
                <w:sz w:val="24"/>
              </w:rPr>
            </w:pPr>
          </w:p>
        </w:tc>
        <w:tc>
          <w:tcPr>
            <w:tcW w:w="1332" w:type="dxa"/>
          </w:tcPr>
          <w:p>
            <w:pPr>
              <w:pStyle w:val="33"/>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3"/>
              <w:spacing w:line="360" w:lineRule="auto"/>
              <w:jc w:val="center"/>
              <w:rPr>
                <w:rFonts w:cs="仿宋_GB2312" w:asciiTheme="minorEastAsia" w:hAnsiTheme="minorEastAsia" w:eastAsiaTheme="minorEastAsia"/>
                <w:color w:val="auto"/>
                <w:sz w:val="24"/>
              </w:rPr>
            </w:pPr>
          </w:p>
        </w:tc>
        <w:tc>
          <w:tcPr>
            <w:tcW w:w="1900" w:type="dxa"/>
          </w:tcPr>
          <w:p>
            <w:pPr>
              <w:pStyle w:val="33"/>
              <w:spacing w:line="360" w:lineRule="auto"/>
              <w:jc w:val="center"/>
              <w:rPr>
                <w:rFonts w:cs="仿宋_GB2312" w:asciiTheme="minorEastAsia" w:hAnsiTheme="minorEastAsia" w:eastAsiaTheme="minorEastAsia"/>
                <w:color w:val="auto"/>
                <w:sz w:val="24"/>
              </w:rPr>
            </w:pPr>
          </w:p>
        </w:tc>
        <w:tc>
          <w:tcPr>
            <w:tcW w:w="1800" w:type="dxa"/>
          </w:tcPr>
          <w:p>
            <w:pPr>
              <w:pStyle w:val="33"/>
              <w:spacing w:line="360" w:lineRule="auto"/>
              <w:jc w:val="center"/>
              <w:rPr>
                <w:rFonts w:cs="仿宋_GB2312" w:asciiTheme="minorEastAsia" w:hAnsiTheme="minorEastAsia" w:eastAsiaTheme="minorEastAsia"/>
                <w:color w:val="auto"/>
                <w:sz w:val="24"/>
              </w:rPr>
            </w:pPr>
          </w:p>
        </w:tc>
        <w:tc>
          <w:tcPr>
            <w:tcW w:w="2880" w:type="dxa"/>
          </w:tcPr>
          <w:p>
            <w:pPr>
              <w:pStyle w:val="33"/>
              <w:spacing w:line="360" w:lineRule="auto"/>
              <w:jc w:val="center"/>
              <w:rPr>
                <w:rFonts w:cs="仿宋_GB2312" w:asciiTheme="minorEastAsia" w:hAnsiTheme="minorEastAsia" w:eastAsiaTheme="minorEastAsia"/>
                <w:color w:val="auto"/>
                <w:sz w:val="24"/>
              </w:rPr>
            </w:pPr>
          </w:p>
        </w:tc>
        <w:tc>
          <w:tcPr>
            <w:tcW w:w="1332" w:type="dxa"/>
          </w:tcPr>
          <w:p>
            <w:pPr>
              <w:pStyle w:val="33"/>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3"/>
              <w:spacing w:line="360" w:lineRule="auto"/>
              <w:jc w:val="center"/>
              <w:rPr>
                <w:rFonts w:cs="仿宋_GB2312" w:asciiTheme="minorEastAsia" w:hAnsiTheme="minorEastAsia" w:eastAsiaTheme="minorEastAsia"/>
                <w:color w:val="auto"/>
                <w:sz w:val="24"/>
              </w:rPr>
            </w:pPr>
          </w:p>
        </w:tc>
        <w:tc>
          <w:tcPr>
            <w:tcW w:w="1900" w:type="dxa"/>
          </w:tcPr>
          <w:p>
            <w:pPr>
              <w:pStyle w:val="33"/>
              <w:spacing w:line="360" w:lineRule="auto"/>
              <w:jc w:val="center"/>
              <w:rPr>
                <w:rFonts w:cs="仿宋_GB2312" w:asciiTheme="minorEastAsia" w:hAnsiTheme="minorEastAsia" w:eastAsiaTheme="minorEastAsia"/>
                <w:color w:val="auto"/>
                <w:sz w:val="24"/>
              </w:rPr>
            </w:pPr>
          </w:p>
        </w:tc>
        <w:tc>
          <w:tcPr>
            <w:tcW w:w="1800" w:type="dxa"/>
          </w:tcPr>
          <w:p>
            <w:pPr>
              <w:pStyle w:val="33"/>
              <w:spacing w:line="360" w:lineRule="auto"/>
              <w:jc w:val="center"/>
              <w:rPr>
                <w:rFonts w:cs="仿宋_GB2312" w:asciiTheme="minorEastAsia" w:hAnsiTheme="minorEastAsia" w:eastAsiaTheme="minorEastAsia"/>
                <w:color w:val="auto"/>
                <w:sz w:val="24"/>
              </w:rPr>
            </w:pPr>
          </w:p>
        </w:tc>
        <w:tc>
          <w:tcPr>
            <w:tcW w:w="2880" w:type="dxa"/>
          </w:tcPr>
          <w:p>
            <w:pPr>
              <w:pStyle w:val="33"/>
              <w:spacing w:line="360" w:lineRule="auto"/>
              <w:jc w:val="center"/>
              <w:rPr>
                <w:rFonts w:cs="仿宋_GB2312" w:asciiTheme="minorEastAsia" w:hAnsiTheme="minorEastAsia" w:eastAsiaTheme="minorEastAsia"/>
                <w:color w:val="auto"/>
                <w:sz w:val="24"/>
              </w:rPr>
            </w:pPr>
          </w:p>
        </w:tc>
        <w:tc>
          <w:tcPr>
            <w:tcW w:w="1332" w:type="dxa"/>
          </w:tcPr>
          <w:p>
            <w:pPr>
              <w:pStyle w:val="33"/>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3"/>
              <w:spacing w:line="360" w:lineRule="auto"/>
              <w:jc w:val="center"/>
              <w:rPr>
                <w:rFonts w:cs="仿宋_GB2312" w:asciiTheme="minorEastAsia" w:hAnsiTheme="minorEastAsia" w:eastAsiaTheme="minorEastAsia"/>
                <w:color w:val="auto"/>
                <w:sz w:val="24"/>
              </w:rPr>
            </w:pPr>
          </w:p>
        </w:tc>
        <w:tc>
          <w:tcPr>
            <w:tcW w:w="1900" w:type="dxa"/>
          </w:tcPr>
          <w:p>
            <w:pPr>
              <w:pStyle w:val="33"/>
              <w:spacing w:line="360" w:lineRule="auto"/>
              <w:jc w:val="center"/>
              <w:rPr>
                <w:rFonts w:cs="仿宋_GB2312" w:asciiTheme="minorEastAsia" w:hAnsiTheme="minorEastAsia" w:eastAsiaTheme="minorEastAsia"/>
                <w:color w:val="auto"/>
                <w:sz w:val="24"/>
              </w:rPr>
            </w:pPr>
          </w:p>
        </w:tc>
        <w:tc>
          <w:tcPr>
            <w:tcW w:w="1800" w:type="dxa"/>
          </w:tcPr>
          <w:p>
            <w:pPr>
              <w:pStyle w:val="33"/>
              <w:spacing w:line="360" w:lineRule="auto"/>
              <w:jc w:val="center"/>
              <w:rPr>
                <w:rFonts w:cs="仿宋_GB2312" w:asciiTheme="minorEastAsia" w:hAnsiTheme="minorEastAsia" w:eastAsiaTheme="minorEastAsia"/>
                <w:color w:val="auto"/>
                <w:sz w:val="24"/>
              </w:rPr>
            </w:pPr>
          </w:p>
        </w:tc>
        <w:tc>
          <w:tcPr>
            <w:tcW w:w="2880" w:type="dxa"/>
          </w:tcPr>
          <w:p>
            <w:pPr>
              <w:pStyle w:val="33"/>
              <w:spacing w:line="360" w:lineRule="auto"/>
              <w:jc w:val="center"/>
              <w:rPr>
                <w:rFonts w:cs="仿宋_GB2312" w:asciiTheme="minorEastAsia" w:hAnsiTheme="minorEastAsia" w:eastAsiaTheme="minorEastAsia"/>
                <w:color w:val="auto"/>
                <w:sz w:val="24"/>
              </w:rPr>
            </w:pPr>
          </w:p>
        </w:tc>
        <w:tc>
          <w:tcPr>
            <w:tcW w:w="1332" w:type="dxa"/>
          </w:tcPr>
          <w:p>
            <w:pPr>
              <w:pStyle w:val="33"/>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3"/>
              <w:spacing w:line="360" w:lineRule="auto"/>
              <w:jc w:val="center"/>
              <w:rPr>
                <w:rFonts w:cs="仿宋_GB2312" w:asciiTheme="minorEastAsia" w:hAnsiTheme="minorEastAsia" w:eastAsiaTheme="minorEastAsia"/>
                <w:color w:val="auto"/>
                <w:sz w:val="24"/>
              </w:rPr>
            </w:pPr>
          </w:p>
        </w:tc>
        <w:tc>
          <w:tcPr>
            <w:tcW w:w="1900" w:type="dxa"/>
          </w:tcPr>
          <w:p>
            <w:pPr>
              <w:pStyle w:val="33"/>
              <w:spacing w:line="360" w:lineRule="auto"/>
              <w:jc w:val="center"/>
              <w:rPr>
                <w:rFonts w:cs="仿宋_GB2312" w:asciiTheme="minorEastAsia" w:hAnsiTheme="minorEastAsia" w:eastAsiaTheme="minorEastAsia"/>
                <w:color w:val="auto"/>
                <w:sz w:val="24"/>
              </w:rPr>
            </w:pPr>
          </w:p>
        </w:tc>
        <w:tc>
          <w:tcPr>
            <w:tcW w:w="1800" w:type="dxa"/>
          </w:tcPr>
          <w:p>
            <w:pPr>
              <w:pStyle w:val="33"/>
              <w:spacing w:line="360" w:lineRule="auto"/>
              <w:jc w:val="center"/>
              <w:rPr>
                <w:rFonts w:cs="仿宋_GB2312" w:asciiTheme="minorEastAsia" w:hAnsiTheme="minorEastAsia" w:eastAsiaTheme="minorEastAsia"/>
                <w:color w:val="auto"/>
                <w:sz w:val="24"/>
              </w:rPr>
            </w:pPr>
          </w:p>
        </w:tc>
        <w:tc>
          <w:tcPr>
            <w:tcW w:w="2880" w:type="dxa"/>
          </w:tcPr>
          <w:p>
            <w:pPr>
              <w:pStyle w:val="33"/>
              <w:spacing w:line="360" w:lineRule="auto"/>
              <w:jc w:val="center"/>
              <w:rPr>
                <w:rFonts w:cs="仿宋_GB2312" w:asciiTheme="minorEastAsia" w:hAnsiTheme="minorEastAsia" w:eastAsiaTheme="minorEastAsia"/>
                <w:color w:val="auto"/>
                <w:sz w:val="24"/>
              </w:rPr>
            </w:pPr>
          </w:p>
        </w:tc>
        <w:tc>
          <w:tcPr>
            <w:tcW w:w="1332" w:type="dxa"/>
          </w:tcPr>
          <w:p>
            <w:pPr>
              <w:pStyle w:val="33"/>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3"/>
              <w:spacing w:line="360" w:lineRule="auto"/>
              <w:rPr>
                <w:rFonts w:cs="仿宋_GB2312" w:asciiTheme="minorEastAsia" w:hAnsiTheme="minorEastAsia" w:eastAsiaTheme="minorEastAsia"/>
                <w:color w:val="auto"/>
                <w:sz w:val="24"/>
              </w:rPr>
            </w:pPr>
          </w:p>
        </w:tc>
        <w:tc>
          <w:tcPr>
            <w:tcW w:w="1900" w:type="dxa"/>
          </w:tcPr>
          <w:p>
            <w:pPr>
              <w:pStyle w:val="33"/>
              <w:spacing w:line="360" w:lineRule="auto"/>
              <w:jc w:val="center"/>
              <w:rPr>
                <w:rFonts w:cs="仿宋_GB2312" w:asciiTheme="minorEastAsia" w:hAnsiTheme="minorEastAsia" w:eastAsiaTheme="minorEastAsia"/>
                <w:color w:val="auto"/>
                <w:sz w:val="24"/>
              </w:rPr>
            </w:pPr>
          </w:p>
        </w:tc>
        <w:tc>
          <w:tcPr>
            <w:tcW w:w="1800" w:type="dxa"/>
          </w:tcPr>
          <w:p>
            <w:pPr>
              <w:pStyle w:val="33"/>
              <w:spacing w:line="360" w:lineRule="auto"/>
              <w:jc w:val="center"/>
              <w:rPr>
                <w:rFonts w:cs="仿宋_GB2312" w:asciiTheme="minorEastAsia" w:hAnsiTheme="minorEastAsia" w:eastAsiaTheme="minorEastAsia"/>
                <w:color w:val="auto"/>
                <w:sz w:val="24"/>
              </w:rPr>
            </w:pPr>
          </w:p>
        </w:tc>
        <w:tc>
          <w:tcPr>
            <w:tcW w:w="2880" w:type="dxa"/>
          </w:tcPr>
          <w:p>
            <w:pPr>
              <w:pStyle w:val="33"/>
              <w:spacing w:line="360" w:lineRule="auto"/>
              <w:jc w:val="center"/>
              <w:rPr>
                <w:rFonts w:cs="仿宋_GB2312" w:asciiTheme="minorEastAsia" w:hAnsiTheme="minorEastAsia" w:eastAsiaTheme="minorEastAsia"/>
                <w:color w:val="auto"/>
                <w:sz w:val="24"/>
              </w:rPr>
            </w:pPr>
          </w:p>
        </w:tc>
        <w:tc>
          <w:tcPr>
            <w:tcW w:w="1332" w:type="dxa"/>
          </w:tcPr>
          <w:p>
            <w:pPr>
              <w:pStyle w:val="33"/>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3"/>
              <w:spacing w:line="360" w:lineRule="auto"/>
              <w:jc w:val="center"/>
              <w:rPr>
                <w:rFonts w:cs="仿宋_GB2312" w:asciiTheme="minorEastAsia" w:hAnsiTheme="minorEastAsia" w:eastAsiaTheme="minorEastAsia"/>
                <w:color w:val="auto"/>
                <w:sz w:val="24"/>
              </w:rPr>
            </w:pPr>
          </w:p>
        </w:tc>
        <w:tc>
          <w:tcPr>
            <w:tcW w:w="1900" w:type="dxa"/>
          </w:tcPr>
          <w:p>
            <w:pPr>
              <w:pStyle w:val="33"/>
              <w:spacing w:line="360" w:lineRule="auto"/>
              <w:jc w:val="center"/>
              <w:rPr>
                <w:rFonts w:cs="仿宋_GB2312" w:asciiTheme="minorEastAsia" w:hAnsiTheme="minorEastAsia" w:eastAsiaTheme="minorEastAsia"/>
                <w:color w:val="auto"/>
                <w:sz w:val="24"/>
              </w:rPr>
            </w:pPr>
          </w:p>
        </w:tc>
        <w:tc>
          <w:tcPr>
            <w:tcW w:w="1800" w:type="dxa"/>
          </w:tcPr>
          <w:p>
            <w:pPr>
              <w:pStyle w:val="33"/>
              <w:spacing w:line="360" w:lineRule="auto"/>
              <w:jc w:val="center"/>
              <w:rPr>
                <w:rFonts w:cs="仿宋_GB2312" w:asciiTheme="minorEastAsia" w:hAnsiTheme="minorEastAsia" w:eastAsiaTheme="minorEastAsia"/>
                <w:color w:val="auto"/>
                <w:sz w:val="24"/>
              </w:rPr>
            </w:pPr>
          </w:p>
        </w:tc>
        <w:tc>
          <w:tcPr>
            <w:tcW w:w="2880" w:type="dxa"/>
          </w:tcPr>
          <w:p>
            <w:pPr>
              <w:pStyle w:val="33"/>
              <w:spacing w:line="360" w:lineRule="auto"/>
              <w:jc w:val="center"/>
              <w:rPr>
                <w:rFonts w:cs="仿宋_GB2312" w:asciiTheme="minorEastAsia" w:hAnsiTheme="minorEastAsia" w:eastAsiaTheme="minorEastAsia"/>
                <w:color w:val="auto"/>
                <w:sz w:val="24"/>
              </w:rPr>
            </w:pPr>
          </w:p>
        </w:tc>
        <w:tc>
          <w:tcPr>
            <w:tcW w:w="1332" w:type="dxa"/>
          </w:tcPr>
          <w:p>
            <w:pPr>
              <w:pStyle w:val="33"/>
              <w:spacing w:line="360" w:lineRule="auto"/>
              <w:jc w:val="center"/>
              <w:rPr>
                <w:rFonts w:cs="仿宋_GB2312" w:asciiTheme="minorEastAsia" w:hAnsiTheme="minorEastAsia" w:eastAsiaTheme="minorEastAsia"/>
                <w:color w:val="auto"/>
                <w:sz w:val="24"/>
              </w:rPr>
            </w:pPr>
          </w:p>
        </w:tc>
      </w:tr>
    </w:tbl>
    <w:p>
      <w:pPr>
        <w:spacing w:line="360" w:lineRule="auto"/>
        <w:ind w:firstLine="470" w:firstLineChars="196"/>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color w:val="auto"/>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color w:val="auto"/>
          <w:kern w:val="0"/>
          <w:sz w:val="24"/>
        </w:rPr>
      </w:pPr>
    </w:p>
    <w:p>
      <w:pPr>
        <w:spacing w:line="360" w:lineRule="auto"/>
        <w:jc w:val="center"/>
        <w:rPr>
          <w:rFonts w:cs="仿宋_GB2312" w:asciiTheme="minorEastAsia" w:hAnsiTheme="minorEastAsia" w:eastAsiaTheme="minorEastAsia"/>
          <w:color w:val="auto"/>
          <w:kern w:val="0"/>
          <w:sz w:val="24"/>
        </w:rPr>
      </w:pPr>
    </w:p>
    <w:p>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十六、认为需求的</w:t>
      </w:r>
      <w:r>
        <w:rPr>
          <w:rFonts w:hint="eastAsia" w:cs="仿宋_GB2312" w:asciiTheme="minorEastAsia" w:hAnsiTheme="minorEastAsia" w:eastAsiaTheme="minorEastAsia"/>
          <w:b/>
          <w:color w:val="auto"/>
          <w:kern w:val="0"/>
          <w:sz w:val="32"/>
          <w:szCs w:val="32"/>
          <w:lang w:val="zh-CN"/>
        </w:rPr>
        <w:t>其他技术文件或说明</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pPr>
        <w:spacing w:line="360" w:lineRule="auto"/>
        <w:rPr>
          <w:rFonts w:cs="仿宋_GB2312" w:asciiTheme="minorEastAsia" w:hAnsiTheme="minorEastAsia" w:eastAsiaTheme="minorEastAsia"/>
          <w:color w:val="auto"/>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十七、</w:t>
      </w:r>
      <w:r>
        <w:rPr>
          <w:rFonts w:hint="eastAsia" w:cs="宋体" w:asciiTheme="minorEastAsia" w:hAnsiTheme="minorEastAsia" w:eastAsiaTheme="minorEastAsia"/>
          <w:b/>
          <w:color w:val="auto"/>
          <w:kern w:val="0"/>
          <w:sz w:val="32"/>
          <w:szCs w:val="32"/>
          <w:lang w:val="zh-CN"/>
        </w:rPr>
        <w:t>政府采购供应商廉洁自律承诺书</w:t>
      </w:r>
    </w:p>
    <w:p>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（采购人）</w:t>
      </w:r>
      <w:r>
        <w:rPr>
          <w:rFonts w:hint="eastAsia" w:cs="仿宋_GB2312" w:asciiTheme="minorEastAsia" w:hAnsiTheme="minorEastAsia" w:eastAsiaTheme="minorEastAsia"/>
          <w:color w:val="auto"/>
          <w:kern w:val="0"/>
          <w:sz w:val="24"/>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pPr>
        <w:spacing w:line="360" w:lineRule="auto"/>
        <w:jc w:val="center"/>
        <w:rPr>
          <w:rFonts w:cs="仿宋_GB2312" w:asciiTheme="minorEastAsia" w:hAnsiTheme="minorEastAsia" w:eastAsiaTheme="minorEastAsia"/>
          <w:b/>
          <w:color w:val="auto"/>
          <w:sz w:val="36"/>
          <w:szCs w:val="36"/>
        </w:rPr>
      </w:pPr>
    </w:p>
    <w:p>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pPr>
        <w:jc w:val="center"/>
        <w:rPr>
          <w:rFonts w:ascii="宋体" w:hAnsi="宋体" w:cs="宋体"/>
          <w:b/>
          <w:color w:val="auto"/>
          <w:kern w:val="0"/>
          <w:sz w:val="32"/>
          <w:szCs w:val="21"/>
        </w:rPr>
      </w:pPr>
      <w:r>
        <w:rPr>
          <w:rFonts w:hint="eastAsia" w:cs="仿宋_GB2312" w:asciiTheme="minorEastAsia" w:hAnsiTheme="minorEastAsia" w:eastAsiaTheme="minorEastAsia"/>
          <w:b/>
          <w:bCs/>
          <w:color w:val="auto"/>
          <w:sz w:val="30"/>
          <w:szCs w:val="30"/>
        </w:rPr>
        <w:t>十八</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pPr>
        <w:widowControl/>
        <w:adjustRightInd/>
        <w:ind w:firstLine="640" w:firstLineChars="200"/>
        <w:jc w:val="left"/>
        <w:rPr>
          <w:rFonts w:ascii="宋体" w:hAnsi="宋体" w:cs="宋体"/>
          <w:color w:val="auto"/>
          <w:kern w:val="0"/>
          <w:sz w:val="32"/>
          <w:szCs w:val="21"/>
        </w:rPr>
      </w:pPr>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我方作为本次采购项目的磋商供应商，根据磋商文件要求，现郑重承诺如下：</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二、参加本次磋商采购活动，不存在与单位负责人为同一人或者存在直接控股、管理关系的其他供应商参与同一合同项下的政府采购活动的行为。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四、参加本次磋商采购活动，不存在和其他供应商在同一合同项下的采购项目中，同时委托同一个自然人、同一家庭的人员、同一单位的人员作为代理人的行为。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八、参加本次磋商采购活动，我方完全同意磋商文件第三部分关于“磋商费用”、“合同分包”、“合同转包”、“履约保证金”的实质性要求，并承诺严格按照磋商文件要求履行。</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我方对上述承诺的内容事项真实性负责。如经查实上述承诺的内容事项存在虚假，我方愿意接受以提供虚假材料谋取成交追究法律责任。</w:t>
      </w:r>
    </w:p>
    <w:p>
      <w:pPr>
        <w:widowControl/>
        <w:adjustRightInd/>
        <w:spacing w:line="360" w:lineRule="auto"/>
        <w:ind w:firstLine="480" w:firstLineChars="200"/>
        <w:jc w:val="left"/>
        <w:rPr>
          <w:rFonts w:ascii="宋体" w:hAnsi="宋体" w:cs="宋体"/>
          <w:color w:val="auto"/>
          <w:kern w:val="0"/>
          <w:sz w:val="24"/>
        </w:rPr>
      </w:pPr>
    </w:p>
    <w:p>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pPr>
        <w:spacing w:line="360" w:lineRule="auto"/>
        <w:jc w:val="center"/>
        <w:rPr>
          <w:rFonts w:ascii="宋体" w:hAnsi="宋体" w:cs="宋体"/>
          <w:b/>
          <w:bCs/>
          <w:color w:val="auto"/>
          <w:sz w:val="24"/>
        </w:rPr>
      </w:pP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pPr>
        <w:pStyle w:val="116"/>
        <w:keepNext w:val="0"/>
        <w:pageBreakBefore w:val="0"/>
        <w:tabs>
          <w:tab w:val="clear" w:pos="720"/>
        </w:tabs>
        <w:ind w:firstLine="640"/>
        <w:outlineLvl w:val="9"/>
        <w:rPr>
          <w:rFonts w:ascii="宋体"/>
          <w:color w:val="auto"/>
          <w:spacing w:val="6"/>
          <w:sz w:val="32"/>
          <w:szCs w:val="32"/>
        </w:rPr>
      </w:pPr>
      <w:r>
        <w:rPr>
          <w:rFonts w:hint="eastAsia" w:ascii="宋体" w:hAnsi="宋体" w:eastAsia="宋体" w:cs="宋体"/>
          <w:color w:val="auto"/>
          <w:kern w:val="0"/>
          <w:sz w:val="32"/>
          <w:szCs w:val="21"/>
        </w:rPr>
        <w:t>十九、商务、服务（技术）响应、偏离情况说明表</w:t>
      </w:r>
    </w:p>
    <w:p>
      <w:pPr>
        <w:spacing w:line="300" w:lineRule="auto"/>
        <w:rPr>
          <w:rFonts w:ascii="宋体"/>
          <w:color w:val="auto"/>
          <w:szCs w:val="21"/>
        </w:rPr>
      </w:pPr>
    </w:p>
    <w:p>
      <w:pPr>
        <w:spacing w:line="500" w:lineRule="exact"/>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项目名称:</w:t>
      </w:r>
      <w:r>
        <w:rPr>
          <w:rFonts w:hint="eastAsia" w:asciiTheme="minorEastAsia" w:hAnsiTheme="minorEastAsia" w:eastAsiaTheme="minorEastAsia" w:cstheme="minorEastAsia"/>
          <w:color w:val="auto"/>
          <w:sz w:val="24"/>
          <w:u w:val="single"/>
        </w:rPr>
        <w:t xml:space="preserve">                 </w:t>
      </w:r>
    </w:p>
    <w:p>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项目编号:</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w:t>
      </w:r>
    </w:p>
    <w:p>
      <w:pPr>
        <w:spacing w:line="500" w:lineRule="exact"/>
        <w:rPr>
          <w:rFonts w:asciiTheme="minorEastAsia" w:hAnsiTheme="minorEastAsia" w:eastAsiaTheme="minorEastAsia" w:cstheme="minorEastAsia"/>
          <w:color w:val="auto"/>
          <w:sz w:val="24"/>
        </w:rPr>
      </w:pPr>
    </w:p>
    <w:tbl>
      <w:tblPr>
        <w:tblStyle w:val="61"/>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300" w:lineRule="auto"/>
              <w:jc w:val="center"/>
              <w:rPr>
                <w:rFonts w:asciiTheme="minorEastAsia" w:hAnsiTheme="minorEastAsia" w:eastAsiaTheme="minorEastAsia" w:cstheme="minorEastAsia"/>
                <w:color w:val="auto"/>
                <w:sz w:val="24"/>
              </w:rPr>
            </w:pPr>
          </w:p>
        </w:tc>
      </w:tr>
    </w:tbl>
    <w:p>
      <w:pPr>
        <w:snapToGrid w:val="0"/>
        <w:spacing w:line="360" w:lineRule="exact"/>
        <w:rPr>
          <w:rFonts w:asciiTheme="minorEastAsia" w:hAnsiTheme="minorEastAsia" w:eastAsiaTheme="minorEastAsia" w:cstheme="minorEastAsia"/>
          <w:color w:val="auto"/>
          <w:sz w:val="24"/>
        </w:rPr>
      </w:pPr>
    </w:p>
    <w:p>
      <w:pPr>
        <w:snapToGrid w:val="0"/>
        <w:spacing w:line="3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说明：1.应写明竞争性磋商响应文件对商务与服务技术要求的响应和偏离情况</w:t>
      </w:r>
      <w:r>
        <w:rPr>
          <w:rFonts w:hint="eastAsia" w:asciiTheme="minorEastAsia" w:hAnsiTheme="minorEastAsia" w:eastAsiaTheme="minorEastAsia" w:cstheme="minorEastAsia"/>
          <w:bCs/>
          <w:color w:val="auto"/>
          <w:sz w:val="24"/>
        </w:rPr>
        <w:t>；</w:t>
      </w:r>
    </w:p>
    <w:p>
      <w:pPr>
        <w:spacing w:line="360" w:lineRule="exact"/>
        <w:ind w:firstLine="720" w:firstLine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pPr>
        <w:spacing w:line="360" w:lineRule="exact"/>
        <w:rPr>
          <w:rFonts w:asciiTheme="minorEastAsia" w:hAnsiTheme="minorEastAsia" w:eastAsiaTheme="minorEastAsia" w:cstheme="minorEastAsia"/>
          <w:color w:val="auto"/>
          <w:sz w:val="24"/>
        </w:rPr>
      </w:pPr>
    </w:p>
    <w:p>
      <w:pPr>
        <w:spacing w:line="360" w:lineRule="exact"/>
        <w:ind w:firstLine="3480" w:firstLineChars="1450"/>
        <w:rPr>
          <w:rFonts w:asciiTheme="minorEastAsia" w:hAnsiTheme="minorEastAsia" w:eastAsiaTheme="minorEastAsia" w:cstheme="minorEastAsia"/>
          <w:color w:val="auto"/>
          <w:sz w:val="24"/>
        </w:rPr>
      </w:pPr>
      <w:r>
        <w:rPr>
          <w:rFonts w:hint="eastAsia" w:cs="仿宋_GB2312" w:asciiTheme="minorEastAsia" w:hAnsiTheme="minorEastAsia" w:eastAsiaTheme="minorEastAsia"/>
          <w:color w:val="auto"/>
          <w:kern w:val="0"/>
          <w:sz w:val="24"/>
          <w:lang w:val="zh-CN"/>
        </w:rPr>
        <w:t>磋商供应商名称(公章)：</w:t>
      </w:r>
    </w:p>
    <w:p>
      <w:pPr>
        <w:spacing w:line="360" w:lineRule="exact"/>
        <w:ind w:firstLine="3480" w:firstLineChars="14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法定代表人(负责人)或委托代理人签名:</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w:t>
      </w:r>
    </w:p>
    <w:p>
      <w:pPr>
        <w:pStyle w:val="116"/>
        <w:keepNext w:val="0"/>
        <w:pageBreakBefore w:val="0"/>
        <w:tabs>
          <w:tab w:val="clear" w:pos="720"/>
        </w:tabs>
        <w:ind w:firstLine="64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pStyle w:val="116"/>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8" w:type="first"/>
          <w:footerReference r:id="rId11" w:type="first"/>
          <w:headerReference r:id="rId7" w:type="default"/>
          <w:footerReference r:id="rId9" w:type="default"/>
          <w:footerReference r:id="rId10" w:type="even"/>
          <w:pgSz w:w="11906" w:h="16838"/>
          <w:pgMar w:top="779" w:right="1418" w:bottom="468" w:left="1418" w:header="851" w:footer="992" w:gutter="0"/>
          <w:cols w:space="720" w:num="1"/>
          <w:titlePg/>
          <w:docGrid w:linePitch="312" w:charSpace="0"/>
        </w:sect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pPr>
        <w:pStyle w:val="394"/>
        <w:ind w:firstLine="0" w:firstLineChars="0"/>
        <w:jc w:val="center"/>
        <w:outlineLvl w:val="0"/>
        <w:rPr>
          <w:rFonts w:cs="仿宋_GB2312" w:asciiTheme="minorEastAsia" w:hAnsiTheme="minorEastAsia" w:eastAsiaTheme="minorEastAsia"/>
          <w:b/>
          <w:color w:val="auto"/>
          <w:sz w:val="36"/>
          <w:szCs w:val="36"/>
        </w:rPr>
      </w:pPr>
      <w:bookmarkStart w:id="163" w:name="_Toc181203101"/>
      <w:r>
        <w:rPr>
          <w:rFonts w:hint="eastAsia" w:cs="仿宋_GB2312" w:asciiTheme="minorEastAsia" w:hAnsiTheme="minorEastAsia" w:eastAsiaTheme="minorEastAsia"/>
          <w:b/>
          <w:color w:val="auto"/>
          <w:sz w:val="36"/>
          <w:szCs w:val="36"/>
        </w:rPr>
        <w:t>第八部分  报价格式</w:t>
      </w:r>
      <w:bookmarkEnd w:id="163"/>
    </w:p>
    <w:p>
      <w:pPr>
        <w:pStyle w:val="633"/>
        <w:jc w:val="center"/>
        <w:rPr>
          <w:b/>
          <w:color w:val="auto"/>
          <w:sz w:val="32"/>
          <w:szCs w:val="32"/>
        </w:rPr>
      </w:pPr>
      <w:r>
        <w:rPr>
          <w:rFonts w:hint="eastAsia"/>
          <w:b/>
          <w:color w:val="auto"/>
          <w:sz w:val="32"/>
          <w:szCs w:val="32"/>
        </w:rPr>
        <w:t>（一）报价一览表</w:t>
      </w:r>
    </w:p>
    <w:p>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rPr>
        <w:t>（项目名称）【项目编号：（采购编号）】</w:t>
      </w:r>
      <w:r>
        <w:rPr>
          <w:rFonts w:hint="eastAsia" w:cs="仿宋_GB2312" w:asciiTheme="minorEastAsia" w:hAnsiTheme="minorEastAsia" w:eastAsiaTheme="minorEastAsia"/>
          <w:color w:val="auto"/>
          <w:kern w:val="0"/>
          <w:sz w:val="24"/>
          <w:lang w:val="zh-CN"/>
        </w:rPr>
        <w:t>的实施。</w:t>
      </w:r>
    </w:p>
    <w:p>
      <w:pPr>
        <w:spacing w:line="500" w:lineRule="exact"/>
        <w:rPr>
          <w:rFonts w:hint="eastAsia" w:ascii="宋体" w:hAnsi="宋体"/>
          <w:color w:val="auto"/>
          <w:szCs w:val="21"/>
        </w:rPr>
      </w:pPr>
    </w:p>
    <w:tbl>
      <w:tblPr>
        <w:tblStyle w:val="61"/>
        <w:tblW w:w="10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650"/>
        <w:gridCol w:w="1413"/>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b w:val="0"/>
                <w:bCs w:val="0"/>
                <w:color w:val="auto"/>
                <w:sz w:val="24"/>
                <w:szCs w:val="24"/>
              </w:rPr>
            </w:pPr>
            <w:r>
              <w:rPr>
                <w:rFonts w:hint="eastAsia" w:ascii="宋体" w:hAnsi="宋体"/>
                <w:b w:val="0"/>
                <w:bCs w:val="0"/>
                <w:color w:val="auto"/>
                <w:sz w:val="24"/>
                <w:szCs w:val="24"/>
              </w:rPr>
              <w:t>序号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b w:val="0"/>
                <w:bCs w:val="0"/>
                <w:color w:val="auto"/>
                <w:sz w:val="24"/>
                <w:szCs w:val="24"/>
              </w:rPr>
            </w:pPr>
            <w:r>
              <w:rPr>
                <w:rFonts w:hint="eastAsia" w:ascii="宋体" w:hAnsi="宋体"/>
                <w:b w:val="0"/>
                <w:bCs w:val="0"/>
                <w:color w:val="auto"/>
                <w:sz w:val="24"/>
                <w:szCs w:val="24"/>
              </w:rPr>
              <w:t>服务内容</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b w:val="0"/>
                <w:bCs w:val="0"/>
                <w:color w:val="auto"/>
                <w:sz w:val="24"/>
                <w:szCs w:val="24"/>
              </w:rPr>
            </w:pPr>
            <w:r>
              <w:rPr>
                <w:rFonts w:hint="eastAsia" w:ascii="宋体" w:hAnsi="宋体"/>
                <w:b w:val="0"/>
                <w:bCs w:val="0"/>
                <w:color w:val="auto"/>
                <w:sz w:val="24"/>
                <w:szCs w:val="24"/>
              </w:rPr>
              <w:t>每份保险费单价（元）</w:t>
            </w:r>
          </w:p>
        </w:tc>
        <w:tc>
          <w:tcPr>
            <w:tcW w:w="600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b w:val="0"/>
                <w:bCs w:val="0"/>
                <w:color w:val="auto"/>
                <w:sz w:val="24"/>
                <w:szCs w:val="24"/>
                <w:lang w:val="en-US" w:eastAsia="zh-CN"/>
              </w:rPr>
            </w:pPr>
            <w:r>
              <w:rPr>
                <w:rFonts w:hint="eastAsia" w:ascii="宋体" w:hAnsi="宋体"/>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b w:val="0"/>
                <w:bCs w:val="0"/>
                <w:color w:val="auto"/>
                <w:sz w:val="24"/>
                <w:szCs w:val="24"/>
              </w:rPr>
            </w:pPr>
            <w:r>
              <w:rPr>
                <w:rFonts w:hint="eastAsia" w:ascii="宋体" w:hAnsi="宋体"/>
                <w:b w:val="0"/>
                <w:bCs w:val="0"/>
                <w:color w:val="auto"/>
                <w:sz w:val="24"/>
                <w:szCs w:val="24"/>
              </w:rPr>
              <w:t>1</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b w:val="0"/>
                <w:bCs w:val="0"/>
                <w:color w:val="auto"/>
                <w:sz w:val="24"/>
                <w:szCs w:val="24"/>
              </w:rPr>
            </w:pPr>
            <w:r>
              <w:rPr>
                <w:rFonts w:hint="eastAsia" w:ascii="宋体" w:hAnsi="Calibri" w:cs="宋体"/>
                <w:b w:val="0"/>
                <w:bCs w:val="0"/>
                <w:color w:val="auto"/>
                <w:kern w:val="0"/>
                <w:sz w:val="24"/>
                <w:szCs w:val="24"/>
                <w:shd w:val="clear" w:color="auto" w:fill="FFFFFF"/>
              </w:rPr>
              <w:t>202</w:t>
            </w:r>
            <w:r>
              <w:rPr>
                <w:rFonts w:hint="eastAsia" w:ascii="宋体" w:hAnsi="Calibri" w:cs="宋体"/>
                <w:b w:val="0"/>
                <w:bCs w:val="0"/>
                <w:color w:val="auto"/>
                <w:kern w:val="0"/>
                <w:sz w:val="24"/>
                <w:szCs w:val="24"/>
                <w:shd w:val="clear" w:color="auto" w:fill="FFFFFF"/>
                <w:lang w:val="en-US" w:eastAsia="zh-CN"/>
              </w:rPr>
              <w:t>5</w:t>
            </w:r>
            <w:r>
              <w:rPr>
                <w:rFonts w:ascii="宋体" w:hAnsi="Calibri" w:cs="宋体"/>
                <w:b w:val="0"/>
                <w:bCs w:val="0"/>
                <w:color w:val="auto"/>
                <w:kern w:val="0"/>
                <w:sz w:val="24"/>
                <w:szCs w:val="24"/>
                <w:shd w:val="clear" w:color="auto" w:fill="FFFFFF"/>
              </w:rPr>
              <w:t>年</w:t>
            </w:r>
            <w:r>
              <w:rPr>
                <w:rFonts w:hint="eastAsia" w:ascii="宋体" w:hAnsi="Calibri" w:cs="宋体"/>
                <w:b w:val="0"/>
                <w:bCs w:val="0"/>
                <w:color w:val="auto"/>
                <w:kern w:val="0"/>
                <w:sz w:val="24"/>
                <w:szCs w:val="24"/>
                <w:shd w:val="clear" w:color="auto" w:fill="FFFFFF"/>
                <w:lang w:eastAsia="zh-CN"/>
              </w:rPr>
              <w:t>海城区</w:t>
            </w:r>
            <w:r>
              <w:rPr>
                <w:rFonts w:ascii="宋体" w:hAnsi="Calibri" w:cs="宋体"/>
                <w:b w:val="0"/>
                <w:bCs w:val="0"/>
                <w:color w:val="auto"/>
                <w:kern w:val="0"/>
                <w:sz w:val="24"/>
                <w:szCs w:val="24"/>
                <w:shd w:val="clear" w:color="auto" w:fill="FFFFFF"/>
              </w:rPr>
              <w:t>计划生育家庭关爱保险</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b w:val="0"/>
                <w:bCs w:val="0"/>
                <w:color w:val="auto"/>
                <w:sz w:val="24"/>
                <w:szCs w:val="24"/>
              </w:rPr>
            </w:pPr>
          </w:p>
        </w:tc>
        <w:tc>
          <w:tcPr>
            <w:tcW w:w="6005"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jc w:val="left"/>
              <w:rPr>
                <w:rFonts w:ascii="宋体" w:hAnsi="宋体"/>
                <w:b w:val="0"/>
                <w:bCs w:val="0"/>
                <w:color w:val="auto"/>
                <w:sz w:val="24"/>
                <w:szCs w:val="24"/>
              </w:rPr>
            </w:pPr>
            <w:r>
              <w:rPr>
                <w:rFonts w:hint="eastAsia" w:ascii="宋体" w:hAnsi="宋体"/>
                <w:b w:val="0"/>
                <w:bCs w:val="0"/>
                <w:color w:val="auto"/>
                <w:spacing w:val="20"/>
                <w:sz w:val="24"/>
                <w:szCs w:val="24"/>
              </w:rPr>
              <w:t>计划生育家庭项目保险费标准是20元/份，本次共采购</w:t>
            </w:r>
            <w:r>
              <w:rPr>
                <w:rFonts w:hint="eastAsia" w:ascii="宋体" w:hAnsi="宋体"/>
                <w:b w:val="0"/>
                <w:bCs w:val="0"/>
                <w:color w:val="auto"/>
                <w:spacing w:val="20"/>
                <w:sz w:val="24"/>
                <w:szCs w:val="24"/>
                <w:lang w:val="en-US" w:eastAsia="zh-CN"/>
              </w:rPr>
              <w:t>56</w:t>
            </w:r>
            <w:r>
              <w:rPr>
                <w:rFonts w:hint="eastAsia" w:ascii="宋体" w:hAnsi="宋体"/>
                <w:b w:val="0"/>
                <w:bCs w:val="0"/>
                <w:color w:val="auto"/>
                <w:spacing w:val="20"/>
                <w:sz w:val="24"/>
                <w:szCs w:val="24"/>
              </w:rPr>
              <w:t>000份。保险费总价计算公式为：项目保费总价=每份保险费单价×采购总份数。采购人将一次性支付保费给中标人，中标人按保险期限承担保险赔偿责任。具体采购份数以实际出单发生为准。</w:t>
            </w:r>
          </w:p>
        </w:tc>
      </w:tr>
    </w:tbl>
    <w:p>
      <w:pPr>
        <w:tabs>
          <w:tab w:val="left" w:pos="1418"/>
        </w:tabs>
        <w:snapToGrid w:val="0"/>
        <w:spacing w:before="50" w:after="50" w:line="360" w:lineRule="exact"/>
        <w:jc w:val="left"/>
        <w:rPr>
          <w:rFonts w:hint="eastAsia" w:ascii="宋体" w:hAnsi="宋体"/>
          <w:b w:val="0"/>
          <w:bCs w:val="0"/>
          <w:color w:val="auto"/>
          <w:spacing w:val="20"/>
          <w:sz w:val="24"/>
          <w:szCs w:val="24"/>
        </w:rPr>
      </w:pPr>
      <w:r>
        <w:rPr>
          <w:rFonts w:hint="eastAsia" w:ascii="宋体" w:hAnsi="宋体"/>
          <w:b w:val="0"/>
          <w:bCs w:val="0"/>
          <w:color w:val="auto"/>
          <w:sz w:val="24"/>
          <w:szCs w:val="24"/>
        </w:rPr>
        <w:t xml:space="preserve">注： </w:t>
      </w:r>
      <w:r>
        <w:rPr>
          <w:rFonts w:hint="eastAsia" w:ascii="宋体" w:hAnsi="宋体"/>
          <w:b w:val="0"/>
          <w:bCs w:val="0"/>
          <w:color w:val="auto"/>
          <w:spacing w:val="20"/>
          <w:sz w:val="24"/>
          <w:szCs w:val="24"/>
        </w:rPr>
        <w:t>1.报价要求</w:t>
      </w:r>
    </w:p>
    <w:p>
      <w:pPr>
        <w:tabs>
          <w:tab w:val="left" w:pos="1418"/>
        </w:tabs>
        <w:snapToGrid w:val="0"/>
        <w:spacing w:before="50" w:after="50" w:line="360" w:lineRule="exact"/>
        <w:ind w:firstLine="560" w:firstLineChars="200"/>
        <w:jc w:val="left"/>
        <w:rPr>
          <w:rFonts w:hint="eastAsia" w:ascii="宋体" w:hAnsi="宋体"/>
          <w:b w:val="0"/>
          <w:bCs w:val="0"/>
          <w:color w:val="auto"/>
          <w:spacing w:val="20"/>
          <w:sz w:val="24"/>
          <w:szCs w:val="24"/>
        </w:rPr>
      </w:pPr>
      <w:r>
        <w:rPr>
          <w:rFonts w:hint="eastAsia" w:ascii="宋体" w:hAnsi="宋体"/>
          <w:b w:val="0"/>
          <w:bCs w:val="0"/>
          <w:color w:val="auto"/>
          <w:spacing w:val="20"/>
          <w:sz w:val="24"/>
          <w:szCs w:val="24"/>
        </w:rPr>
        <w:t>（1）报价以人民币填报，单位为元；</w:t>
      </w:r>
    </w:p>
    <w:p>
      <w:pPr>
        <w:tabs>
          <w:tab w:val="left" w:pos="1418"/>
        </w:tabs>
        <w:snapToGrid w:val="0"/>
        <w:spacing w:before="50" w:after="50" w:line="360" w:lineRule="exact"/>
        <w:ind w:firstLine="562" w:firstLineChars="200"/>
        <w:jc w:val="left"/>
        <w:rPr>
          <w:rFonts w:hint="eastAsia"/>
          <w:b/>
          <w:bCs/>
          <w:color w:val="auto"/>
          <w:sz w:val="24"/>
          <w:szCs w:val="24"/>
          <w:lang w:eastAsia="zh-CN"/>
        </w:rPr>
      </w:pPr>
      <w:r>
        <w:rPr>
          <w:rFonts w:hint="eastAsia" w:ascii="宋体" w:hAnsi="宋体"/>
          <w:b/>
          <w:bCs/>
          <w:color w:val="auto"/>
          <w:spacing w:val="20"/>
          <w:sz w:val="24"/>
          <w:szCs w:val="24"/>
          <w:lang w:eastAsia="zh-CN"/>
        </w:rPr>
        <w:t>（</w:t>
      </w:r>
      <w:r>
        <w:rPr>
          <w:rFonts w:hint="eastAsia" w:ascii="宋体" w:hAnsi="宋体"/>
          <w:b/>
          <w:bCs/>
          <w:color w:val="auto"/>
          <w:spacing w:val="20"/>
          <w:sz w:val="24"/>
          <w:szCs w:val="24"/>
          <w:lang w:val="en-US" w:eastAsia="zh-CN"/>
        </w:rPr>
        <w:t>2</w:t>
      </w:r>
      <w:r>
        <w:rPr>
          <w:rFonts w:hint="eastAsia" w:ascii="宋体" w:hAnsi="宋体"/>
          <w:b/>
          <w:bCs/>
          <w:color w:val="auto"/>
          <w:spacing w:val="20"/>
          <w:sz w:val="24"/>
          <w:szCs w:val="24"/>
          <w:lang w:eastAsia="zh-CN"/>
        </w:rPr>
        <w:t>）</w:t>
      </w:r>
      <w:r>
        <w:rPr>
          <w:rFonts w:hint="eastAsia" w:ascii="宋体" w:hAnsi="宋体"/>
          <w:b/>
          <w:bCs/>
          <w:color w:val="auto"/>
          <w:spacing w:val="20"/>
          <w:sz w:val="24"/>
          <w:szCs w:val="24"/>
        </w:rPr>
        <w:t>本项目每人的保费额度为固定金额：20元人民币，磋商供应商的报价需统一按保费额度报价，否则报价无效。</w:t>
      </w:r>
    </w:p>
    <w:p>
      <w:pPr>
        <w:tabs>
          <w:tab w:val="left" w:pos="1418"/>
        </w:tabs>
        <w:snapToGrid w:val="0"/>
        <w:spacing w:before="50" w:after="50" w:line="360" w:lineRule="exact"/>
        <w:ind w:firstLine="560" w:firstLineChars="200"/>
        <w:jc w:val="left"/>
        <w:rPr>
          <w:rFonts w:hint="eastAsia" w:ascii="宋体" w:hAnsi="宋体"/>
          <w:b w:val="0"/>
          <w:bCs w:val="0"/>
          <w:color w:val="auto"/>
          <w:spacing w:val="20"/>
          <w:sz w:val="24"/>
          <w:szCs w:val="24"/>
        </w:rPr>
      </w:pPr>
      <w:r>
        <w:rPr>
          <w:rFonts w:hint="eastAsia" w:ascii="宋体" w:hAnsi="宋体"/>
          <w:b w:val="0"/>
          <w:bCs w:val="0"/>
          <w:color w:val="auto"/>
          <w:spacing w:val="20"/>
          <w:sz w:val="24"/>
          <w:szCs w:val="24"/>
        </w:rPr>
        <w:t>（</w:t>
      </w:r>
      <w:r>
        <w:rPr>
          <w:rFonts w:hint="eastAsia" w:ascii="宋体" w:hAnsi="宋体"/>
          <w:b w:val="0"/>
          <w:bCs w:val="0"/>
          <w:color w:val="auto"/>
          <w:spacing w:val="20"/>
          <w:sz w:val="24"/>
          <w:szCs w:val="24"/>
          <w:lang w:val="en-US" w:eastAsia="zh-CN"/>
        </w:rPr>
        <w:t>3</w:t>
      </w:r>
      <w:r>
        <w:rPr>
          <w:rFonts w:hint="eastAsia" w:ascii="宋体" w:hAnsi="宋体"/>
          <w:b w:val="0"/>
          <w:bCs w:val="0"/>
          <w:color w:val="auto"/>
          <w:spacing w:val="20"/>
          <w:sz w:val="24"/>
          <w:szCs w:val="24"/>
        </w:rPr>
        <w:t>）必要的保险费用和各项税金；</w:t>
      </w:r>
    </w:p>
    <w:p>
      <w:pPr>
        <w:tabs>
          <w:tab w:val="left" w:pos="1418"/>
        </w:tabs>
        <w:snapToGrid w:val="0"/>
        <w:spacing w:before="50" w:after="50" w:line="360" w:lineRule="exact"/>
        <w:ind w:firstLine="560" w:firstLineChars="200"/>
        <w:jc w:val="left"/>
        <w:rPr>
          <w:rFonts w:hint="eastAsia" w:ascii="宋体" w:hAnsi="宋体"/>
          <w:b w:val="0"/>
          <w:bCs w:val="0"/>
          <w:color w:val="auto"/>
          <w:spacing w:val="20"/>
          <w:sz w:val="24"/>
          <w:szCs w:val="24"/>
        </w:rPr>
      </w:pPr>
      <w:r>
        <w:rPr>
          <w:rFonts w:hint="eastAsia" w:ascii="宋体" w:hAnsi="宋体"/>
          <w:b w:val="0"/>
          <w:bCs w:val="0"/>
          <w:color w:val="auto"/>
          <w:spacing w:val="20"/>
          <w:sz w:val="24"/>
          <w:szCs w:val="24"/>
        </w:rPr>
        <w:t>（</w:t>
      </w:r>
      <w:r>
        <w:rPr>
          <w:rFonts w:hint="eastAsia" w:ascii="宋体" w:hAnsi="宋体"/>
          <w:b w:val="0"/>
          <w:bCs w:val="0"/>
          <w:color w:val="auto"/>
          <w:spacing w:val="20"/>
          <w:sz w:val="24"/>
          <w:szCs w:val="24"/>
          <w:lang w:val="en-US" w:eastAsia="zh-CN"/>
        </w:rPr>
        <w:t>4</w:t>
      </w:r>
      <w:r>
        <w:rPr>
          <w:rFonts w:hint="eastAsia" w:ascii="宋体" w:hAnsi="宋体"/>
          <w:b w:val="0"/>
          <w:bCs w:val="0"/>
          <w:color w:val="auto"/>
          <w:spacing w:val="20"/>
          <w:sz w:val="24"/>
          <w:szCs w:val="24"/>
        </w:rPr>
        <w:t>）采购文件所要求的相关服务，以及合同明示或暗示的所有责任、义务和一般风险等费用。</w:t>
      </w:r>
    </w:p>
    <w:p>
      <w:pPr>
        <w:tabs>
          <w:tab w:val="left" w:pos="1418"/>
        </w:tabs>
        <w:snapToGrid w:val="0"/>
        <w:spacing w:before="50" w:after="50" w:line="360" w:lineRule="exact"/>
        <w:ind w:firstLine="560" w:firstLineChars="200"/>
        <w:jc w:val="left"/>
        <w:rPr>
          <w:rFonts w:hint="eastAsia" w:ascii="宋体" w:hAnsi="宋体"/>
          <w:b w:val="0"/>
          <w:bCs w:val="0"/>
          <w:color w:val="auto"/>
          <w:spacing w:val="20"/>
          <w:sz w:val="24"/>
          <w:szCs w:val="24"/>
        </w:rPr>
      </w:pPr>
      <w:r>
        <w:rPr>
          <w:rFonts w:hint="eastAsia" w:ascii="宋体" w:hAnsi="宋体"/>
          <w:b w:val="0"/>
          <w:bCs w:val="0"/>
          <w:color w:val="auto"/>
          <w:spacing w:val="20"/>
          <w:sz w:val="24"/>
          <w:szCs w:val="24"/>
        </w:rPr>
        <w:t>2.本项目评审过程中在政采云上开启新一轮报价时，如要求供应商在政采云系统上传附件，则按该报价表格式做附件上传（附件总金额应与系统上新一轮报价所填写的总金额一致）。</w:t>
      </w:r>
    </w:p>
    <w:p>
      <w:pPr>
        <w:autoSpaceDE w:val="0"/>
        <w:autoSpaceDN w:val="0"/>
        <w:spacing w:line="360" w:lineRule="auto"/>
        <w:jc w:val="left"/>
        <w:rPr>
          <w:rFonts w:hint="eastAsia" w:cs="仿宋_GB2312" w:asciiTheme="minorEastAsia" w:hAnsiTheme="minorEastAsia" w:eastAsiaTheme="minorEastAsia"/>
          <w:color w:val="auto"/>
          <w:sz w:val="24"/>
        </w:rPr>
      </w:pPr>
      <w:r>
        <w:rPr>
          <w:rFonts w:hint="eastAsia" w:cs="仿宋_GB2312" w:asciiTheme="minorEastAsia" w:hAnsiTheme="minorEastAsia" w:eastAsiaTheme="minorEastAsia"/>
          <w:b w:val="0"/>
          <w:bCs w:val="0"/>
          <w:color w:val="auto"/>
          <w:sz w:val="24"/>
          <w:szCs w:val="24"/>
        </w:rPr>
        <w:t xml:space="preserve">                       </w:t>
      </w:r>
      <w:r>
        <w:rPr>
          <w:rFonts w:hint="eastAsia" w:cs="仿宋_GB2312" w:asciiTheme="minorEastAsia" w:hAnsiTheme="minorEastAsia" w:eastAsiaTheme="minorEastAsia"/>
          <w:color w:val="auto"/>
          <w:sz w:val="24"/>
        </w:rPr>
        <w:t xml:space="preserve">                 </w:t>
      </w:r>
    </w:p>
    <w:p>
      <w:pPr>
        <w:autoSpaceDE w:val="0"/>
        <w:autoSpaceDN w:val="0"/>
        <w:spacing w:line="360" w:lineRule="auto"/>
        <w:ind w:firstLine="2880" w:firstLineChars="1200"/>
        <w:jc w:val="both"/>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 xml:space="preserve">磋商供应商名称(公章)： </w:t>
      </w:r>
    </w:p>
    <w:p>
      <w:pPr>
        <w:autoSpaceDE w:val="0"/>
        <w:autoSpaceDN w:val="0"/>
        <w:spacing w:line="360" w:lineRule="auto"/>
        <w:ind w:firstLine="2880" w:firstLineChars="1200"/>
        <w:jc w:val="both"/>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pPr>
        <w:spacing w:line="360" w:lineRule="auto"/>
        <w:jc w:val="right"/>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pPr>
        <w:spacing w:line="360" w:lineRule="auto"/>
        <w:ind w:right="-874" w:rightChars="-416"/>
        <w:rPr>
          <w:rFonts w:cs="仿宋_GB2312" w:asciiTheme="minorEastAsia" w:hAnsiTheme="minorEastAsia" w:eastAsiaTheme="minorEastAsia"/>
          <w:color w:val="auto"/>
          <w:kern w:val="0"/>
          <w:sz w:val="24"/>
          <w:lang w:val="zh-CN"/>
        </w:rPr>
        <w:sectPr>
          <w:pgSz w:w="11906" w:h="16838"/>
          <w:pgMar w:top="471" w:right="1418" w:bottom="777" w:left="1418" w:header="851" w:footer="992" w:gutter="0"/>
          <w:cols w:space="720" w:num="1"/>
          <w:titlePg/>
          <w:docGrid w:linePitch="312" w:charSpace="0"/>
        </w:sectPr>
      </w:pPr>
    </w:p>
    <w:p>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（二）中小企业声明函</w:t>
      </w:r>
      <w:bookmarkStart w:id="164" w:name="_Toc465665161"/>
    </w:p>
    <w:p>
      <w:pPr>
        <w:widowControl/>
        <w:spacing w:line="360" w:lineRule="auto"/>
        <w:ind w:firstLine="120" w:firstLineChars="50"/>
        <w:jc w:val="left"/>
        <w:rPr>
          <w:rFonts w:cs="宋体" w:asciiTheme="minorEastAsia" w:hAnsiTheme="minorEastAsia" w:eastAsiaTheme="minorEastAsia"/>
          <w:b/>
          <w:color w:val="auto"/>
          <w:sz w:val="24"/>
        </w:rPr>
      </w:pPr>
    </w:p>
    <w:p>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[1.</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pPr>
        <w:widowControl/>
        <w:spacing w:line="360" w:lineRule="auto"/>
        <w:ind w:firstLine="239" w:firstLineChars="99"/>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2.竞争性磋商邀请公告落实政府采购政策需满足的资格要求为“专门面向中小或小微企业采购”，则必须提供中小企业声明函（附件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pPr>
        <w:widowControl/>
        <w:adjustRightInd/>
        <w:jc w:val="center"/>
        <w:rPr>
          <w:rFonts w:cs="仿宋_GB2312" w:asciiTheme="minorEastAsia" w:hAnsiTheme="minorEastAsia" w:eastAsiaTheme="minorEastAsia"/>
          <w:color w:val="auto"/>
          <w:sz w:val="24"/>
        </w:rPr>
      </w:pPr>
    </w:p>
    <w:p>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pPr>
        <w:pStyle w:val="633"/>
        <w:rPr>
          <w:color w:val="auto"/>
        </w:rPr>
      </w:pPr>
      <w:r>
        <w:rPr>
          <w:rFonts w:hint="eastAsia"/>
          <w:color w:val="auto"/>
        </w:rPr>
        <w:t>附件</w:t>
      </w:r>
      <w:bookmarkEnd w:id="164"/>
    </w:p>
    <w:p>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rPr>
      </w:pP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color w:val="auto"/>
          <w:sz w:val="30"/>
          <w:szCs w:val="30"/>
        </w:rPr>
      </w:pPr>
    </w:p>
    <w:p>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pPr>
        <w:spacing w:line="360" w:lineRule="auto"/>
        <w:jc w:val="center"/>
        <w:rPr>
          <w:rFonts w:cs="仿宋_GB2312" w:asciiTheme="minorEastAsia" w:hAnsiTheme="minorEastAsia" w:eastAsiaTheme="minorEastAsia"/>
          <w:b/>
          <w:color w:val="auto"/>
          <w:sz w:val="24"/>
        </w:rPr>
      </w:pPr>
    </w:p>
    <w:p>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pPr>
        <w:spacing w:line="360" w:lineRule="auto"/>
        <w:rPr>
          <w:rFonts w:cs="仿宋_GB2312" w:asciiTheme="minorEastAsia" w:hAnsiTheme="minorEastAsia" w:eastAsiaTheme="minorEastAsia"/>
          <w:b/>
          <w:color w:val="auto"/>
          <w:sz w:val="24"/>
        </w:rPr>
      </w:pPr>
    </w:p>
    <w:p>
      <w:pPr>
        <w:spacing w:line="360" w:lineRule="auto"/>
        <w:rPr>
          <w:rFonts w:cs="仿宋_GB2312" w:asciiTheme="minorEastAsia" w:hAnsiTheme="minorEastAsia" w:eastAsiaTheme="minorEastAsia"/>
          <w:b/>
          <w:color w:val="auto"/>
          <w:sz w:val="24"/>
        </w:rPr>
      </w:pPr>
    </w:p>
    <w:p>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color w:val="auto"/>
          <w:sz w:val="24"/>
        </w:rPr>
      </w:pPr>
    </w:p>
    <w:p>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pPr>
        <w:spacing w:line="360" w:lineRule="auto"/>
        <w:rPr>
          <w:rFonts w:asciiTheme="minorEastAsia" w:hAnsiTheme="minorEastAsia" w:eastAsiaTheme="minorEastAsia"/>
          <w:b/>
          <w:color w:val="auto"/>
          <w:spacing w:val="6"/>
          <w:sz w:val="32"/>
          <w:szCs w:val="32"/>
        </w:rPr>
      </w:pPr>
    </w:p>
    <w:p>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pPr>
        <w:spacing w:line="360" w:lineRule="auto"/>
        <w:rPr>
          <w:rFonts w:asciiTheme="minorEastAsia" w:hAnsiTheme="minorEastAsia" w:eastAsiaTheme="minorEastAsia"/>
          <w:b/>
          <w:color w:val="auto"/>
          <w:spacing w:val="6"/>
          <w:sz w:val="30"/>
          <w:szCs w:val="30"/>
        </w:rPr>
      </w:pPr>
    </w:p>
    <w:p>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color w:val="auto"/>
          <w:sz w:val="24"/>
        </w:rPr>
      </w:pPr>
    </w:p>
    <w:p>
      <w:pPr>
        <w:spacing w:line="360" w:lineRule="auto"/>
        <w:ind w:firstLine="480" w:firstLineChars="200"/>
        <w:rPr>
          <w:rFonts w:cs="仿宋_GB2312" w:asciiTheme="minorEastAsia" w:hAnsiTheme="minorEastAsia" w:eastAsiaTheme="minorEastAsia"/>
          <w:color w:val="auto"/>
          <w:sz w:val="24"/>
        </w:rPr>
      </w:pP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sz w:val="24"/>
        </w:rPr>
        <w:t>：</w:t>
      </w: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pPr>
        <w:spacing w:line="360" w:lineRule="auto"/>
        <w:ind w:firstLine="480" w:firstLineChars="200"/>
        <w:rPr>
          <w:rFonts w:cs="仿宋_GB2312" w:asciiTheme="minorEastAsia" w:hAnsiTheme="minorEastAsia" w:eastAsiaTheme="minorEastAsia"/>
          <w:color w:val="auto"/>
          <w:sz w:val="24"/>
        </w:rPr>
      </w:pPr>
    </w:p>
    <w:p>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pPr>
        <w:spacing w:line="360" w:lineRule="auto"/>
        <w:jc w:val="left"/>
        <w:rPr>
          <w:rFonts w:cs="仿宋_GB2312" w:asciiTheme="minorEastAsia" w:hAnsiTheme="minorEastAsia" w:eastAsiaTheme="minorEastAsia"/>
          <w:b/>
          <w:color w:val="auto"/>
          <w:sz w:val="24"/>
        </w:rPr>
      </w:pPr>
    </w:p>
    <w:p>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pPr>
        <w:autoSpaceDE w:val="0"/>
        <w:autoSpaceDN w:val="0"/>
        <w:jc w:val="center"/>
        <w:rPr>
          <w:rFonts w:asciiTheme="minorEastAsia" w:hAnsiTheme="minorEastAsia" w:eastAsiaTheme="minorEastAsia"/>
          <w:b/>
          <w:bCs/>
          <w:color w:val="auto"/>
          <w:sz w:val="32"/>
          <w:szCs w:val="32"/>
        </w:rPr>
      </w:pPr>
    </w:p>
    <w:p>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贵方组织的（项目名称）【项目编号：（采购编号）】</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pPr>
        <w:spacing w:line="360" w:lineRule="auto"/>
        <w:ind w:firstLine="494"/>
        <w:rPr>
          <w:rFonts w:cs="宋体" w:asciiTheme="minorEastAsia" w:hAnsiTheme="minorEastAsia" w:eastAsiaTheme="minorEastAsia"/>
          <w:color w:val="auto"/>
          <w:sz w:val="24"/>
        </w:rPr>
      </w:pPr>
    </w:p>
    <w:p>
      <w:pPr>
        <w:spacing w:line="360" w:lineRule="auto"/>
        <w:ind w:firstLine="494"/>
        <w:rPr>
          <w:rFonts w:cs="宋体" w:asciiTheme="minorEastAsia" w:hAnsiTheme="minorEastAsia" w:eastAsiaTheme="minorEastAsia"/>
          <w:color w:val="auto"/>
          <w:sz w:val="24"/>
        </w:rPr>
      </w:pPr>
    </w:p>
    <w:p>
      <w:pPr>
        <w:spacing w:line="360" w:lineRule="auto"/>
        <w:ind w:firstLine="494"/>
        <w:rPr>
          <w:rFonts w:cs="宋体" w:asciiTheme="minorEastAsia" w:hAnsiTheme="minorEastAsia" w:eastAsiaTheme="minorEastAsia"/>
          <w:color w:val="auto"/>
          <w:sz w:val="24"/>
        </w:rPr>
      </w:pPr>
    </w:p>
    <w:p>
      <w:pPr>
        <w:spacing w:line="360" w:lineRule="auto"/>
        <w:ind w:firstLine="494"/>
        <w:rPr>
          <w:rFonts w:cs="宋体" w:asciiTheme="minorEastAsia" w:hAnsiTheme="minorEastAsia" w:eastAsiaTheme="minorEastAsia"/>
          <w:color w:val="auto"/>
          <w:sz w:val="24"/>
        </w:rPr>
      </w:pPr>
    </w:p>
    <w:p>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76672"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980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74624"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4185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pPr>
        <w:widowControl/>
        <w:spacing w:line="360" w:lineRule="auto"/>
        <w:ind w:firstLine="480" w:firstLineChars="200"/>
        <w:jc w:val="left"/>
        <w:rPr>
          <w:rFonts w:cs="宋体" w:asciiTheme="minorEastAsia" w:hAnsiTheme="minorEastAsia" w:eastAsiaTheme="minorEastAsia"/>
          <w:color w:val="auto"/>
          <w:kern w:val="0"/>
          <w:sz w:val="24"/>
        </w:rPr>
      </w:pPr>
    </w:p>
    <w:p>
      <w:pPr>
        <w:snapToGrid w:val="0"/>
        <w:spacing w:line="360" w:lineRule="auto"/>
        <w:jc w:val="center"/>
        <w:rPr>
          <w:rFonts w:cs="仿宋_GB2312" w:asciiTheme="minorEastAsia" w:hAnsiTheme="minorEastAsia" w:eastAsiaTheme="minorEastAsia"/>
          <w:b/>
          <w:color w:val="auto"/>
          <w:sz w:val="24"/>
        </w:rPr>
      </w:pPr>
    </w:p>
    <w:p>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pPr>
        <w:spacing w:line="360" w:lineRule="auto"/>
        <w:jc w:val="center"/>
        <w:rPr>
          <w:rFonts w:cs="宋体" w:asciiTheme="minorEastAsia" w:hAnsiTheme="minorEastAsia" w:eastAsiaTheme="minorEastAsia"/>
          <w:b/>
          <w:color w:val="auto"/>
          <w:sz w:val="32"/>
          <w:szCs w:val="32"/>
        </w:rPr>
      </w:pPr>
    </w:p>
    <w:p>
      <w:pPr>
        <w:adjustRightInd/>
        <w:spacing w:line="360" w:lineRule="auto"/>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中小企业声明函（服务）</w:t>
      </w:r>
    </w:p>
    <w:p>
      <w:pPr>
        <w:spacing w:line="360" w:lineRule="auto"/>
        <w:jc w:val="center"/>
        <w:rPr>
          <w:rFonts w:cs="宋体" w:asciiTheme="minorEastAsia" w:hAnsiTheme="minorEastAsia" w:eastAsiaTheme="minorEastAsia"/>
          <w:b/>
          <w:color w:val="auto"/>
          <w:sz w:val="32"/>
          <w:szCs w:val="32"/>
        </w:rPr>
      </w:pPr>
    </w:p>
    <w:p>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rPr>
        <w:t xml:space="preserve">（采购人）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（项目</w:t>
      </w:r>
      <w:r>
        <w:rPr>
          <w:rFonts w:hint="eastAsia" w:cs="宋体" w:asciiTheme="minorEastAsia" w:hAnsiTheme="minorEastAsia" w:eastAsiaTheme="minorEastAsia"/>
          <w:color w:val="auto"/>
          <w:sz w:val="24"/>
          <w:u w:val="single"/>
        </w:rPr>
        <w:t xml:space="preserve">名称） </w:t>
      </w:r>
      <w:r>
        <w:rPr>
          <w:rFonts w:hint="eastAsia" w:cs="宋体" w:asciiTheme="minorEastAsia" w:hAnsiTheme="minorEastAsia" w:eastAsiaTheme="minorEastAsia"/>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p>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以上企业，不属于大企业的分支机构，不存在控股股东为大企业的情形，也不存在与大企业的负责人为同一人的情形。</w:t>
      </w:r>
    </w:p>
    <w:p>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本企业对上述声明内容的真实性负责。如有虚假，将依法承担相应责任。</w:t>
      </w:r>
    </w:p>
    <w:p>
      <w:pPr>
        <w:spacing w:line="360" w:lineRule="auto"/>
        <w:ind w:right="1760"/>
        <w:jc w:val="right"/>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磋商供应商名称(公章)</w:t>
      </w:r>
      <w:r>
        <w:rPr>
          <w:rFonts w:hint="eastAsia" w:cs="宋体" w:asciiTheme="minorEastAsia" w:hAnsiTheme="minorEastAsia" w:eastAsiaTheme="minorEastAsia"/>
          <w:color w:val="auto"/>
          <w:sz w:val="24"/>
        </w:rPr>
        <w:t>：</w:t>
      </w:r>
    </w:p>
    <w:p>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注：</w:t>
      </w:r>
    </w:p>
    <w:p>
      <w:pPr>
        <w:spacing w:line="360" w:lineRule="auto"/>
        <w:ind w:right="42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color w:val="auto"/>
          <w:sz w:val="24"/>
        </w:rPr>
      </w:pPr>
    </w:p>
    <w:p>
      <w:pPr>
        <w:spacing w:line="360" w:lineRule="auto"/>
        <w:ind w:firstLine="482" w:firstLineChars="200"/>
        <w:rPr>
          <w:rFonts w:cs="仿宋_GB2312" w:asciiTheme="minorEastAsia" w:hAnsiTheme="minorEastAsia" w:eastAsiaTheme="minorEastAsia"/>
          <w:b/>
          <w:color w:val="auto"/>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46</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Z3NMSzAEAAJ0DAAAOAAAAAAAAAAEAIAAAAB4BAABkcnMvZTJv&#10;RG9jLnhtbFBLBQYAAAAABgAGAFkBAABcBQAAAAA=&#10;">
              <v:fill on="f" focussize="0,0"/>
              <v:stroke on="f"/>
              <v:imagedata o:title=""/>
              <o:lock v:ext="edit" aspectratio="f"/>
              <v:textbox inset="0mm,0mm,0mm,0mm" style="mso-fit-shape-to-text:t;">
                <w:txbxContent>
                  <w:p>
                    <w:pPr>
                      <w:pStyle w:val="3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46</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65"/>
      </w:rPr>
    </w:pPr>
    <w:r>
      <w:fldChar w:fldCharType="begin"/>
    </w:r>
    <w:r>
      <w:rPr>
        <w:rStyle w:val="65"/>
      </w:rPr>
      <w:instrText xml:space="preserve">PAGE  </w:instrText>
    </w:r>
    <w:r>
      <w:fldChar w:fldCharType="end"/>
    </w:r>
  </w:p>
  <w:p>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bookmarkStart w:id="165" w:name="_Toc164085800"/>
    <w:bookmarkStart w:id="166" w:name="_Toc131845147"/>
    <w:bookmarkStart w:id="167" w:name="_Toc91899912"/>
    <w:bookmarkStart w:id="168" w:name="_Toc36110187"/>
    <w:r>
      <w:rPr>
        <w:rFonts w:hint="eastAsia" w:ascii="仿宋_GB2312" w:eastAsia="仿宋_GB2312"/>
        <w:kern w:val="0"/>
        <w:sz w:val="21"/>
        <w:szCs w:val="21"/>
      </w:rPr>
      <w:t xml:space="preserve"> 页</w:t>
    </w:r>
    <w:bookmarkEnd w:id="165"/>
    <w:bookmarkEnd w:id="166"/>
    <w:bookmarkEnd w:id="167"/>
    <w:bookmarkEnd w:id="16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both"/>
      <w:rPr>
        <w:rFonts w:hint="eastAsia" w:ascii="仿宋_GB2312" w:eastAsia="仿宋_GB2312"/>
        <w:b w:val="0"/>
        <w:sz w:val="21"/>
        <w:szCs w:val="21"/>
        <w:u w:val="single"/>
        <w:lang w:eastAsia="zh-CN"/>
      </w:rPr>
    </w:pPr>
    <w:r>
      <w:rPr>
        <w:rFonts w:hint="eastAsia" w:eastAsia="仿宋_GB2312"/>
        <w:b w:val="0"/>
        <w:i/>
        <w:sz w:val="18"/>
        <w:u w:val="single"/>
      </w:rPr>
      <w:t xml:space="preserve"> </w:t>
    </w:r>
    <w:r>
      <w:rPr>
        <w:rFonts w:hint="eastAsia" w:eastAsia="仿宋_GB2312"/>
        <w:b w:val="0"/>
        <w:sz w:val="21"/>
        <w:szCs w:val="21"/>
        <w:u w:val="single"/>
        <w:lang w:val="en-US" w:eastAsia="zh-CN"/>
      </w:rPr>
      <w:t>2025</w:t>
    </w:r>
    <w:r>
      <w:rPr>
        <w:rFonts w:hint="eastAsia" w:eastAsia="仿宋_GB2312"/>
        <w:b w:val="0"/>
        <w:sz w:val="21"/>
        <w:szCs w:val="21"/>
        <w:u w:val="single"/>
        <w:lang w:eastAsia="zh-CN"/>
      </w:rPr>
      <w:t>年海城区计生家庭关爱保险项目采购</w:t>
    </w:r>
    <w:r>
      <w:rPr>
        <w:rFonts w:hint="eastAsia" w:eastAsia="仿宋_GB2312"/>
        <w:b w:val="0"/>
        <w:i/>
        <w:sz w:val="18"/>
        <w:u w:val="single"/>
      </w:rPr>
      <w:t xml:space="preserve">                 </w:t>
    </w:r>
    <w:r>
      <w:rPr>
        <w:rFonts w:hint="eastAsia" w:eastAsia="仿宋_GB2312"/>
        <w:b w:val="0"/>
        <w:i/>
        <w:sz w:val="18"/>
        <w:highlight w:val="none"/>
        <w:u w:val="single"/>
      </w:rPr>
      <w:t xml:space="preserve">   </w:t>
    </w:r>
    <w:r>
      <w:rPr>
        <w:rFonts w:hint="eastAsia" w:eastAsia="仿宋_GB2312"/>
        <w:b w:val="0"/>
        <w:i/>
        <w:sz w:val="18"/>
        <w:highlight w:val="none"/>
        <w:u w:val="single"/>
        <w:lang w:eastAsia="zh-CN"/>
      </w:rPr>
      <w:t>项目编号：</w:t>
    </w:r>
    <w:r>
      <w:rPr>
        <w:rFonts w:hint="eastAsia" w:eastAsia="仿宋_GB2312"/>
        <w:b w:val="0"/>
        <w:i/>
        <w:sz w:val="18"/>
        <w:u w:val="single"/>
      </w:rPr>
      <w:t xml:space="preserve"> </w:t>
    </w:r>
    <w:r>
      <w:rPr>
        <w:rFonts w:hint="eastAsia" w:eastAsia="仿宋_GB2312"/>
        <w:b w:val="0"/>
        <w:i/>
        <w:sz w:val="18"/>
        <w:u w:val="single"/>
        <w:lang w:val="en-US" w:eastAsia="zh-CN"/>
      </w:rPr>
      <w:t xml:space="preserve"> BHZC2025-C3-020047-BHSH               </w:t>
    </w:r>
    <w:r>
      <w:rPr>
        <w:rFonts w:hint="eastAsia" w:eastAsia="仿宋_GB2312"/>
        <w:b w:val="0"/>
        <w:i/>
        <w:sz w:val="18"/>
        <w:u w:val="single"/>
      </w:rPr>
      <w:t xml:space="preserve"> </w:t>
    </w:r>
    <w:r>
      <w:rPr>
        <w:rFonts w:hint="eastAsia" w:eastAsia="仿宋_GB2312"/>
        <w:b w:val="0"/>
        <w:sz w:val="21"/>
        <w:szCs w:val="21"/>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left" w:pos="7165"/>
        <w:tab w:val="clear" w:pos="4153"/>
      </w:tabs>
      <w:jc w:val="both"/>
    </w:pPr>
    <w:r>
      <w:rPr>
        <w:rFonts w:hint="eastAsia" w:ascii="宋体" w:hAnsi="宋体" w:cs="宋体"/>
        <w:color w:val="auto"/>
        <w:szCs w:val="21"/>
        <w:lang w:val="en-US" w:eastAsia="zh-CN"/>
      </w:rPr>
      <w:t>2025年海城区</w:t>
    </w:r>
    <w:r>
      <w:rPr>
        <w:rFonts w:hint="eastAsia" w:ascii="宋体" w:hAnsi="宋体" w:cs="宋体"/>
        <w:color w:val="auto"/>
        <w:szCs w:val="21"/>
        <w:lang w:eastAsia="zh-CN"/>
      </w:rPr>
      <w:t>计生家庭关爱保险项目采购</w:t>
    </w:r>
    <w:r>
      <w:rPr>
        <w:rFonts w:hint="eastAsia" w:ascii="宋体" w:hAnsi="宋体" w:cs="宋体"/>
        <w:color w:val="auto"/>
        <w:szCs w:val="21"/>
        <w:lang w:val="en-US" w:eastAsia="zh-CN"/>
      </w:rPr>
      <w:t xml:space="preserve">                         </w:t>
    </w:r>
    <w:r>
      <w:rPr>
        <w:rFonts w:hint="eastAsia" w:ascii="宋体" w:hAnsi="宋体" w:cs="宋体"/>
        <w:color w:val="auto"/>
        <w:szCs w:val="21"/>
        <w:u w:val="none"/>
        <w:lang w:val="en-US" w:eastAsia="zh-CN"/>
      </w:rPr>
      <w:t xml:space="preserve">  </w:t>
    </w:r>
    <w:r>
      <w:rPr>
        <w:rFonts w:hint="eastAsia" w:eastAsia="仿宋_GB2312"/>
        <w:b w:val="0"/>
        <w:i/>
        <w:sz w:val="18"/>
        <w:highlight w:val="none"/>
        <w:u w:val="none"/>
        <w:lang w:eastAsia="zh-CN"/>
      </w:rPr>
      <w:t>项目编号：</w:t>
    </w:r>
    <w:r>
      <w:rPr>
        <w:rFonts w:hint="eastAsia" w:eastAsia="仿宋_GB2312"/>
        <w:b w:val="0"/>
        <w:i/>
        <w:sz w:val="18"/>
        <w:u w:val="none"/>
      </w:rPr>
      <w:t xml:space="preserve"> </w:t>
    </w:r>
    <w:r>
      <w:rPr>
        <w:rFonts w:hint="eastAsia" w:eastAsia="仿宋_GB2312"/>
        <w:b w:val="0"/>
        <w:i/>
        <w:sz w:val="18"/>
        <w:u w:val="none"/>
        <w:lang w:val="en-US" w:eastAsia="zh-CN"/>
      </w:rPr>
      <w:t xml:space="preserve"> BHZC2025-C3-020047-BHSH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eastAsia="仿宋_GB2312"/>
        <w:sz w:val="21"/>
        <w:szCs w:val="21"/>
      </w:rPr>
    </w:pPr>
    <w:r>
      <w:rPr>
        <w:rFonts w:hint="eastAsia" w:eastAsia="仿宋_GB2312"/>
        <w:iCs/>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5">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2853"/>
    <w:rsid w:val="00025776"/>
    <w:rsid w:val="00025D90"/>
    <w:rsid w:val="000270F2"/>
    <w:rsid w:val="00027540"/>
    <w:rsid w:val="00030572"/>
    <w:rsid w:val="00030CB3"/>
    <w:rsid w:val="0003206A"/>
    <w:rsid w:val="00032EA0"/>
    <w:rsid w:val="00034FA7"/>
    <w:rsid w:val="000357E4"/>
    <w:rsid w:val="00041B1E"/>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0845"/>
    <w:rsid w:val="000F159D"/>
    <w:rsid w:val="000F2940"/>
    <w:rsid w:val="000F3D08"/>
    <w:rsid w:val="000F505B"/>
    <w:rsid w:val="000F5837"/>
    <w:rsid w:val="000F68A0"/>
    <w:rsid w:val="00100976"/>
    <w:rsid w:val="0010118C"/>
    <w:rsid w:val="0010125E"/>
    <w:rsid w:val="00101967"/>
    <w:rsid w:val="001035C0"/>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0F5"/>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66E"/>
    <w:rsid w:val="0013773D"/>
    <w:rsid w:val="00140D7A"/>
    <w:rsid w:val="00141EDD"/>
    <w:rsid w:val="00142BAD"/>
    <w:rsid w:val="001430C3"/>
    <w:rsid w:val="00144649"/>
    <w:rsid w:val="001451BB"/>
    <w:rsid w:val="00145662"/>
    <w:rsid w:val="00145C6D"/>
    <w:rsid w:val="00146151"/>
    <w:rsid w:val="0014792B"/>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2DF"/>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8E2"/>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3EC2"/>
    <w:rsid w:val="001C44BC"/>
    <w:rsid w:val="001C5885"/>
    <w:rsid w:val="001C6698"/>
    <w:rsid w:val="001C6700"/>
    <w:rsid w:val="001D1D55"/>
    <w:rsid w:val="001D21EF"/>
    <w:rsid w:val="001D31D0"/>
    <w:rsid w:val="001D330D"/>
    <w:rsid w:val="001D4AD3"/>
    <w:rsid w:val="001D5A94"/>
    <w:rsid w:val="001E1ABC"/>
    <w:rsid w:val="001E59FB"/>
    <w:rsid w:val="001E787E"/>
    <w:rsid w:val="001F087C"/>
    <w:rsid w:val="001F0DA4"/>
    <w:rsid w:val="001F0FD1"/>
    <w:rsid w:val="001F1F18"/>
    <w:rsid w:val="001F2F92"/>
    <w:rsid w:val="001F6095"/>
    <w:rsid w:val="001F7957"/>
    <w:rsid w:val="00200E37"/>
    <w:rsid w:val="00201EE3"/>
    <w:rsid w:val="00202D33"/>
    <w:rsid w:val="00202F99"/>
    <w:rsid w:val="00203829"/>
    <w:rsid w:val="00203C85"/>
    <w:rsid w:val="002049C6"/>
    <w:rsid w:val="00205298"/>
    <w:rsid w:val="002054F4"/>
    <w:rsid w:val="00210221"/>
    <w:rsid w:val="00210B9C"/>
    <w:rsid w:val="002119BD"/>
    <w:rsid w:val="00212205"/>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248"/>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7422"/>
    <w:rsid w:val="00247B53"/>
    <w:rsid w:val="00247BA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123D"/>
    <w:rsid w:val="002A2001"/>
    <w:rsid w:val="002A2A48"/>
    <w:rsid w:val="002A30AD"/>
    <w:rsid w:val="002A40B2"/>
    <w:rsid w:val="002A4EB3"/>
    <w:rsid w:val="002A51D9"/>
    <w:rsid w:val="002A5275"/>
    <w:rsid w:val="002A7FB3"/>
    <w:rsid w:val="002B09F4"/>
    <w:rsid w:val="002B2906"/>
    <w:rsid w:val="002B35C5"/>
    <w:rsid w:val="002B50B3"/>
    <w:rsid w:val="002B5AEE"/>
    <w:rsid w:val="002B5CD6"/>
    <w:rsid w:val="002B6177"/>
    <w:rsid w:val="002B646B"/>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C7DB0"/>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3D92"/>
    <w:rsid w:val="00365427"/>
    <w:rsid w:val="00365888"/>
    <w:rsid w:val="003669C8"/>
    <w:rsid w:val="00366CEB"/>
    <w:rsid w:val="00366D8A"/>
    <w:rsid w:val="003679D3"/>
    <w:rsid w:val="00367A87"/>
    <w:rsid w:val="00367C0A"/>
    <w:rsid w:val="003703CE"/>
    <w:rsid w:val="00371C6D"/>
    <w:rsid w:val="00372C89"/>
    <w:rsid w:val="00372E9A"/>
    <w:rsid w:val="00374677"/>
    <w:rsid w:val="0037632F"/>
    <w:rsid w:val="00377B26"/>
    <w:rsid w:val="00381014"/>
    <w:rsid w:val="00381F60"/>
    <w:rsid w:val="00382F6C"/>
    <w:rsid w:val="003836B6"/>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405"/>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1947"/>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405"/>
    <w:rsid w:val="004F2982"/>
    <w:rsid w:val="004F2B46"/>
    <w:rsid w:val="004F2C40"/>
    <w:rsid w:val="004F2CB6"/>
    <w:rsid w:val="004F313F"/>
    <w:rsid w:val="004F38CA"/>
    <w:rsid w:val="004F3EEF"/>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16"/>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4914"/>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988"/>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2DC4"/>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CB6"/>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37"/>
    <w:rsid w:val="00763278"/>
    <w:rsid w:val="0076417E"/>
    <w:rsid w:val="007675DD"/>
    <w:rsid w:val="00770462"/>
    <w:rsid w:val="007705F0"/>
    <w:rsid w:val="00770A16"/>
    <w:rsid w:val="0077142C"/>
    <w:rsid w:val="0077150D"/>
    <w:rsid w:val="00771616"/>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239A"/>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3476"/>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597F"/>
    <w:rsid w:val="00887392"/>
    <w:rsid w:val="00890C40"/>
    <w:rsid w:val="008911F7"/>
    <w:rsid w:val="008921D0"/>
    <w:rsid w:val="00893C08"/>
    <w:rsid w:val="00893F41"/>
    <w:rsid w:val="00894BBD"/>
    <w:rsid w:val="00894C79"/>
    <w:rsid w:val="0089558A"/>
    <w:rsid w:val="008972B6"/>
    <w:rsid w:val="008977E1"/>
    <w:rsid w:val="008A0115"/>
    <w:rsid w:val="008A0F49"/>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6147"/>
    <w:rsid w:val="008D7567"/>
    <w:rsid w:val="008D76E7"/>
    <w:rsid w:val="008E1A76"/>
    <w:rsid w:val="008E1C24"/>
    <w:rsid w:val="008E2626"/>
    <w:rsid w:val="008E27A9"/>
    <w:rsid w:val="008E2DA3"/>
    <w:rsid w:val="008E323C"/>
    <w:rsid w:val="008E35A6"/>
    <w:rsid w:val="008E3A5C"/>
    <w:rsid w:val="008E3A9A"/>
    <w:rsid w:val="008E429E"/>
    <w:rsid w:val="008E4A25"/>
    <w:rsid w:val="008E5452"/>
    <w:rsid w:val="008E69BC"/>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071B"/>
    <w:rsid w:val="009128B8"/>
    <w:rsid w:val="00912C63"/>
    <w:rsid w:val="0091328F"/>
    <w:rsid w:val="00914D1C"/>
    <w:rsid w:val="00915679"/>
    <w:rsid w:val="009159C2"/>
    <w:rsid w:val="009175AF"/>
    <w:rsid w:val="00920A06"/>
    <w:rsid w:val="009221CB"/>
    <w:rsid w:val="00922320"/>
    <w:rsid w:val="0092298C"/>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698E"/>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3023E"/>
    <w:rsid w:val="00A305C5"/>
    <w:rsid w:val="00A30919"/>
    <w:rsid w:val="00A31FD2"/>
    <w:rsid w:val="00A33A02"/>
    <w:rsid w:val="00A33BDB"/>
    <w:rsid w:val="00A341AB"/>
    <w:rsid w:val="00A355F9"/>
    <w:rsid w:val="00A35AA9"/>
    <w:rsid w:val="00A3643B"/>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57B66"/>
    <w:rsid w:val="00A61B91"/>
    <w:rsid w:val="00A63335"/>
    <w:rsid w:val="00A63685"/>
    <w:rsid w:val="00A63DDD"/>
    <w:rsid w:val="00A66473"/>
    <w:rsid w:val="00A66AB7"/>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0B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5DE9"/>
    <w:rsid w:val="00AC60EC"/>
    <w:rsid w:val="00AC6CD9"/>
    <w:rsid w:val="00AD0233"/>
    <w:rsid w:val="00AD06F8"/>
    <w:rsid w:val="00AD1A61"/>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37C87"/>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3F00"/>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724C"/>
    <w:rsid w:val="00C07AEF"/>
    <w:rsid w:val="00C07C11"/>
    <w:rsid w:val="00C07CC1"/>
    <w:rsid w:val="00C10015"/>
    <w:rsid w:val="00C12ECB"/>
    <w:rsid w:val="00C14ABD"/>
    <w:rsid w:val="00C151E0"/>
    <w:rsid w:val="00C15D79"/>
    <w:rsid w:val="00C15F1E"/>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0E56"/>
    <w:rsid w:val="00C41E09"/>
    <w:rsid w:val="00C42DBE"/>
    <w:rsid w:val="00C4360C"/>
    <w:rsid w:val="00C4414C"/>
    <w:rsid w:val="00C44F8B"/>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89F"/>
    <w:rsid w:val="00C73DE0"/>
    <w:rsid w:val="00C74609"/>
    <w:rsid w:val="00C749AB"/>
    <w:rsid w:val="00C75A8F"/>
    <w:rsid w:val="00C76346"/>
    <w:rsid w:val="00C7697A"/>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43D8"/>
    <w:rsid w:val="00CB52A4"/>
    <w:rsid w:val="00CB537C"/>
    <w:rsid w:val="00CB5778"/>
    <w:rsid w:val="00CB584C"/>
    <w:rsid w:val="00CB6675"/>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FD5"/>
    <w:rsid w:val="00CF6FB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D06"/>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4F1C"/>
    <w:rsid w:val="00D6570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7C"/>
    <w:rsid w:val="00E20CE7"/>
    <w:rsid w:val="00E217B1"/>
    <w:rsid w:val="00E222FA"/>
    <w:rsid w:val="00E23651"/>
    <w:rsid w:val="00E24A62"/>
    <w:rsid w:val="00E24F52"/>
    <w:rsid w:val="00E258CD"/>
    <w:rsid w:val="00E279B2"/>
    <w:rsid w:val="00E30BD5"/>
    <w:rsid w:val="00E31143"/>
    <w:rsid w:val="00E31812"/>
    <w:rsid w:val="00E31A65"/>
    <w:rsid w:val="00E3350D"/>
    <w:rsid w:val="00E33954"/>
    <w:rsid w:val="00E34B8C"/>
    <w:rsid w:val="00E3533E"/>
    <w:rsid w:val="00E35A45"/>
    <w:rsid w:val="00E37C85"/>
    <w:rsid w:val="00E43006"/>
    <w:rsid w:val="00E43551"/>
    <w:rsid w:val="00E50809"/>
    <w:rsid w:val="00E50F0A"/>
    <w:rsid w:val="00E510CF"/>
    <w:rsid w:val="00E51F42"/>
    <w:rsid w:val="00E526BB"/>
    <w:rsid w:val="00E52AAB"/>
    <w:rsid w:val="00E533B0"/>
    <w:rsid w:val="00E54216"/>
    <w:rsid w:val="00E5448E"/>
    <w:rsid w:val="00E54E0D"/>
    <w:rsid w:val="00E55633"/>
    <w:rsid w:val="00E56795"/>
    <w:rsid w:val="00E57932"/>
    <w:rsid w:val="00E57DA3"/>
    <w:rsid w:val="00E60811"/>
    <w:rsid w:val="00E64050"/>
    <w:rsid w:val="00E6514D"/>
    <w:rsid w:val="00E65161"/>
    <w:rsid w:val="00E652C9"/>
    <w:rsid w:val="00E65700"/>
    <w:rsid w:val="00E6593B"/>
    <w:rsid w:val="00E672C6"/>
    <w:rsid w:val="00E675EE"/>
    <w:rsid w:val="00E71538"/>
    <w:rsid w:val="00E71809"/>
    <w:rsid w:val="00E71D1E"/>
    <w:rsid w:val="00E728E2"/>
    <w:rsid w:val="00E74976"/>
    <w:rsid w:val="00E74CD6"/>
    <w:rsid w:val="00E75667"/>
    <w:rsid w:val="00E756D3"/>
    <w:rsid w:val="00E769CC"/>
    <w:rsid w:val="00E80AF8"/>
    <w:rsid w:val="00E81208"/>
    <w:rsid w:val="00E827BB"/>
    <w:rsid w:val="00E827C4"/>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4139"/>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5241"/>
    <w:rsid w:val="00EC594C"/>
    <w:rsid w:val="00EC5C7B"/>
    <w:rsid w:val="00EC66AA"/>
    <w:rsid w:val="00EC6B8F"/>
    <w:rsid w:val="00EC6C19"/>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7A34"/>
    <w:rsid w:val="00F97EA1"/>
    <w:rsid w:val="00FA05C8"/>
    <w:rsid w:val="00FA0678"/>
    <w:rsid w:val="00FA107F"/>
    <w:rsid w:val="00FA23F7"/>
    <w:rsid w:val="00FA27EB"/>
    <w:rsid w:val="00FA4117"/>
    <w:rsid w:val="00FA5563"/>
    <w:rsid w:val="00FA6597"/>
    <w:rsid w:val="00FA672F"/>
    <w:rsid w:val="00FA7792"/>
    <w:rsid w:val="00FB0473"/>
    <w:rsid w:val="00FB11FA"/>
    <w:rsid w:val="00FB1495"/>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3EF0"/>
    <w:rsid w:val="00FF49F4"/>
    <w:rsid w:val="00FF651D"/>
    <w:rsid w:val="00FF6567"/>
    <w:rsid w:val="00FF68CA"/>
    <w:rsid w:val="01047C37"/>
    <w:rsid w:val="010651D9"/>
    <w:rsid w:val="01A61891"/>
    <w:rsid w:val="01B564F8"/>
    <w:rsid w:val="01C45B8B"/>
    <w:rsid w:val="02DA0C0E"/>
    <w:rsid w:val="031F59A3"/>
    <w:rsid w:val="03B60BF9"/>
    <w:rsid w:val="03DD35E4"/>
    <w:rsid w:val="04245A67"/>
    <w:rsid w:val="04A171B4"/>
    <w:rsid w:val="04A21474"/>
    <w:rsid w:val="04A3117E"/>
    <w:rsid w:val="04E62E7E"/>
    <w:rsid w:val="0538059C"/>
    <w:rsid w:val="05CC6740"/>
    <w:rsid w:val="06083D1D"/>
    <w:rsid w:val="065155BF"/>
    <w:rsid w:val="065A6178"/>
    <w:rsid w:val="075562B7"/>
    <w:rsid w:val="07F6164B"/>
    <w:rsid w:val="082D11F9"/>
    <w:rsid w:val="085B1D6F"/>
    <w:rsid w:val="087A1B7A"/>
    <w:rsid w:val="08B158F1"/>
    <w:rsid w:val="08E8735C"/>
    <w:rsid w:val="096B2097"/>
    <w:rsid w:val="0A346F4D"/>
    <w:rsid w:val="0A5B7E63"/>
    <w:rsid w:val="0A945D6F"/>
    <w:rsid w:val="0A9F4BAA"/>
    <w:rsid w:val="0AA50DF0"/>
    <w:rsid w:val="0AAD7D51"/>
    <w:rsid w:val="0AE53B72"/>
    <w:rsid w:val="0B043FF8"/>
    <w:rsid w:val="0B197C79"/>
    <w:rsid w:val="0B7B28F1"/>
    <w:rsid w:val="0BA332B2"/>
    <w:rsid w:val="0BDF1BB1"/>
    <w:rsid w:val="0C87121B"/>
    <w:rsid w:val="0CCB4F59"/>
    <w:rsid w:val="0D2820B7"/>
    <w:rsid w:val="0D4F05F6"/>
    <w:rsid w:val="0DC81610"/>
    <w:rsid w:val="0DF7025A"/>
    <w:rsid w:val="0DF702FE"/>
    <w:rsid w:val="0E1958F3"/>
    <w:rsid w:val="0E2155AD"/>
    <w:rsid w:val="0E256218"/>
    <w:rsid w:val="0E3F698B"/>
    <w:rsid w:val="0EA74377"/>
    <w:rsid w:val="0F0C62E5"/>
    <w:rsid w:val="0F0F5662"/>
    <w:rsid w:val="0F176F11"/>
    <w:rsid w:val="0F1E5935"/>
    <w:rsid w:val="0F1F3AF7"/>
    <w:rsid w:val="0F21508F"/>
    <w:rsid w:val="0F816ACD"/>
    <w:rsid w:val="0F943C64"/>
    <w:rsid w:val="0FB94501"/>
    <w:rsid w:val="0FF56606"/>
    <w:rsid w:val="0FF70879"/>
    <w:rsid w:val="10581217"/>
    <w:rsid w:val="106A72DA"/>
    <w:rsid w:val="10B047CF"/>
    <w:rsid w:val="10FC16EA"/>
    <w:rsid w:val="11531836"/>
    <w:rsid w:val="118963A1"/>
    <w:rsid w:val="11B07771"/>
    <w:rsid w:val="120B52C2"/>
    <w:rsid w:val="121F1CA1"/>
    <w:rsid w:val="127723A9"/>
    <w:rsid w:val="13072A44"/>
    <w:rsid w:val="13683AE8"/>
    <w:rsid w:val="13C92283"/>
    <w:rsid w:val="14454361"/>
    <w:rsid w:val="144933C4"/>
    <w:rsid w:val="145044FA"/>
    <w:rsid w:val="147F0B94"/>
    <w:rsid w:val="15212D2E"/>
    <w:rsid w:val="152A4FA3"/>
    <w:rsid w:val="153E27FD"/>
    <w:rsid w:val="1540039E"/>
    <w:rsid w:val="16D9727E"/>
    <w:rsid w:val="171F4ECC"/>
    <w:rsid w:val="17334868"/>
    <w:rsid w:val="186742B0"/>
    <w:rsid w:val="19007B50"/>
    <w:rsid w:val="19091963"/>
    <w:rsid w:val="192366A1"/>
    <w:rsid w:val="19366ABC"/>
    <w:rsid w:val="195245AB"/>
    <w:rsid w:val="199B47EC"/>
    <w:rsid w:val="1AF851FC"/>
    <w:rsid w:val="1B293607"/>
    <w:rsid w:val="1B2A271F"/>
    <w:rsid w:val="1B890139"/>
    <w:rsid w:val="1B995385"/>
    <w:rsid w:val="1C2B0D3A"/>
    <w:rsid w:val="1C547A35"/>
    <w:rsid w:val="1D266CE1"/>
    <w:rsid w:val="1D37025D"/>
    <w:rsid w:val="1D3963AF"/>
    <w:rsid w:val="1DD91315"/>
    <w:rsid w:val="1E2E469B"/>
    <w:rsid w:val="1E714A66"/>
    <w:rsid w:val="1E873758"/>
    <w:rsid w:val="1FD74F05"/>
    <w:rsid w:val="1FE868A9"/>
    <w:rsid w:val="1FF561AE"/>
    <w:rsid w:val="211E26D6"/>
    <w:rsid w:val="21283D08"/>
    <w:rsid w:val="21BD0673"/>
    <w:rsid w:val="21DE0AB4"/>
    <w:rsid w:val="21FD1C45"/>
    <w:rsid w:val="22194152"/>
    <w:rsid w:val="22F164BE"/>
    <w:rsid w:val="22F71E45"/>
    <w:rsid w:val="232B0864"/>
    <w:rsid w:val="23A43BBD"/>
    <w:rsid w:val="23CD5478"/>
    <w:rsid w:val="24663261"/>
    <w:rsid w:val="249F01FB"/>
    <w:rsid w:val="25136BBC"/>
    <w:rsid w:val="25287D70"/>
    <w:rsid w:val="25446FED"/>
    <w:rsid w:val="256E4219"/>
    <w:rsid w:val="257F2D23"/>
    <w:rsid w:val="25A20B86"/>
    <w:rsid w:val="25B440B3"/>
    <w:rsid w:val="25F5227A"/>
    <w:rsid w:val="269D45B3"/>
    <w:rsid w:val="26A12BEB"/>
    <w:rsid w:val="26D44D6F"/>
    <w:rsid w:val="272917D9"/>
    <w:rsid w:val="27646D45"/>
    <w:rsid w:val="27786011"/>
    <w:rsid w:val="27C91CEE"/>
    <w:rsid w:val="27F36805"/>
    <w:rsid w:val="27FD02F5"/>
    <w:rsid w:val="28480025"/>
    <w:rsid w:val="284D038E"/>
    <w:rsid w:val="28600C53"/>
    <w:rsid w:val="28B269CC"/>
    <w:rsid w:val="28FB76AA"/>
    <w:rsid w:val="291C0E9E"/>
    <w:rsid w:val="298E7B07"/>
    <w:rsid w:val="29CE5AA6"/>
    <w:rsid w:val="2AA1365A"/>
    <w:rsid w:val="2AE06325"/>
    <w:rsid w:val="2B1814BB"/>
    <w:rsid w:val="2B955BCF"/>
    <w:rsid w:val="2BB31ECC"/>
    <w:rsid w:val="2C013755"/>
    <w:rsid w:val="2C4209CD"/>
    <w:rsid w:val="2C603356"/>
    <w:rsid w:val="2C6047A8"/>
    <w:rsid w:val="2CCF2EC6"/>
    <w:rsid w:val="2CD31625"/>
    <w:rsid w:val="2CDD036A"/>
    <w:rsid w:val="2CDE2851"/>
    <w:rsid w:val="2D531ADD"/>
    <w:rsid w:val="2DAA05D8"/>
    <w:rsid w:val="2DCC5820"/>
    <w:rsid w:val="2DD15014"/>
    <w:rsid w:val="2DD8452C"/>
    <w:rsid w:val="2DE11458"/>
    <w:rsid w:val="2E734E6D"/>
    <w:rsid w:val="2EE63ECB"/>
    <w:rsid w:val="2FC00347"/>
    <w:rsid w:val="2FD25781"/>
    <w:rsid w:val="2FDA33C9"/>
    <w:rsid w:val="303B15D2"/>
    <w:rsid w:val="305F2622"/>
    <w:rsid w:val="308F3DE3"/>
    <w:rsid w:val="313A5EF4"/>
    <w:rsid w:val="319965CC"/>
    <w:rsid w:val="319C6071"/>
    <w:rsid w:val="31B9703B"/>
    <w:rsid w:val="31C744C5"/>
    <w:rsid w:val="31C854D0"/>
    <w:rsid w:val="31E374FD"/>
    <w:rsid w:val="32004946"/>
    <w:rsid w:val="32681C29"/>
    <w:rsid w:val="32DA6901"/>
    <w:rsid w:val="32DB72BE"/>
    <w:rsid w:val="330E1609"/>
    <w:rsid w:val="331437F9"/>
    <w:rsid w:val="335B1166"/>
    <w:rsid w:val="33B026C0"/>
    <w:rsid w:val="340E4DA6"/>
    <w:rsid w:val="342E63AB"/>
    <w:rsid w:val="345D260B"/>
    <w:rsid w:val="34736668"/>
    <w:rsid w:val="34D80120"/>
    <w:rsid w:val="34E459B4"/>
    <w:rsid w:val="34FA4006"/>
    <w:rsid w:val="352A5CBB"/>
    <w:rsid w:val="359B4FC4"/>
    <w:rsid w:val="35A478EC"/>
    <w:rsid w:val="35E71422"/>
    <w:rsid w:val="36121410"/>
    <w:rsid w:val="363946D8"/>
    <w:rsid w:val="365302AE"/>
    <w:rsid w:val="37052D23"/>
    <w:rsid w:val="373D6C81"/>
    <w:rsid w:val="37403D5B"/>
    <w:rsid w:val="37CE75B8"/>
    <w:rsid w:val="37F142D2"/>
    <w:rsid w:val="384538D4"/>
    <w:rsid w:val="38CD4BC7"/>
    <w:rsid w:val="39A13F14"/>
    <w:rsid w:val="3A931CBE"/>
    <w:rsid w:val="3AEC1764"/>
    <w:rsid w:val="3B040A9A"/>
    <w:rsid w:val="3B514310"/>
    <w:rsid w:val="3BAD0401"/>
    <w:rsid w:val="3BD235DA"/>
    <w:rsid w:val="3C443E4F"/>
    <w:rsid w:val="3C460065"/>
    <w:rsid w:val="3C5C6F5B"/>
    <w:rsid w:val="3C5F759A"/>
    <w:rsid w:val="3C5F781A"/>
    <w:rsid w:val="3C7D1135"/>
    <w:rsid w:val="3CAA1744"/>
    <w:rsid w:val="3CB97626"/>
    <w:rsid w:val="3D5C78D4"/>
    <w:rsid w:val="3DF03D49"/>
    <w:rsid w:val="3E114B22"/>
    <w:rsid w:val="3F340AC3"/>
    <w:rsid w:val="3F6A7CF5"/>
    <w:rsid w:val="3F861D2F"/>
    <w:rsid w:val="3FCA68B7"/>
    <w:rsid w:val="3FFF72A6"/>
    <w:rsid w:val="4038439D"/>
    <w:rsid w:val="4039313F"/>
    <w:rsid w:val="40477A68"/>
    <w:rsid w:val="406B1A5B"/>
    <w:rsid w:val="41B94F04"/>
    <w:rsid w:val="41C71300"/>
    <w:rsid w:val="41E33C60"/>
    <w:rsid w:val="422449A5"/>
    <w:rsid w:val="42B45D29"/>
    <w:rsid w:val="42CF228D"/>
    <w:rsid w:val="42E1381E"/>
    <w:rsid w:val="43071883"/>
    <w:rsid w:val="433016D6"/>
    <w:rsid w:val="436D27D1"/>
    <w:rsid w:val="43CF5547"/>
    <w:rsid w:val="43E13964"/>
    <w:rsid w:val="43EE189C"/>
    <w:rsid w:val="43FB717C"/>
    <w:rsid w:val="4447293A"/>
    <w:rsid w:val="451E447A"/>
    <w:rsid w:val="452D0482"/>
    <w:rsid w:val="45345B76"/>
    <w:rsid w:val="4554734F"/>
    <w:rsid w:val="45F11042"/>
    <w:rsid w:val="45F71264"/>
    <w:rsid w:val="46141B82"/>
    <w:rsid w:val="46947C51"/>
    <w:rsid w:val="46FF560F"/>
    <w:rsid w:val="470740ED"/>
    <w:rsid w:val="471D245C"/>
    <w:rsid w:val="47307808"/>
    <w:rsid w:val="47613FA5"/>
    <w:rsid w:val="480C2163"/>
    <w:rsid w:val="480F743B"/>
    <w:rsid w:val="482D1653"/>
    <w:rsid w:val="48486D87"/>
    <w:rsid w:val="484F6091"/>
    <w:rsid w:val="485D4614"/>
    <w:rsid w:val="486F747C"/>
    <w:rsid w:val="488251D5"/>
    <w:rsid w:val="489E3D34"/>
    <w:rsid w:val="497A1B7C"/>
    <w:rsid w:val="4A163511"/>
    <w:rsid w:val="4A201DA3"/>
    <w:rsid w:val="4B2808E6"/>
    <w:rsid w:val="4B5F3485"/>
    <w:rsid w:val="4B620B93"/>
    <w:rsid w:val="4C157D91"/>
    <w:rsid w:val="4C460F18"/>
    <w:rsid w:val="4C4D3DFF"/>
    <w:rsid w:val="4C570FAA"/>
    <w:rsid w:val="4CB16E96"/>
    <w:rsid w:val="4D630565"/>
    <w:rsid w:val="4D770406"/>
    <w:rsid w:val="4D861CF6"/>
    <w:rsid w:val="4DB71503"/>
    <w:rsid w:val="4E077249"/>
    <w:rsid w:val="4E2E0A97"/>
    <w:rsid w:val="4E564138"/>
    <w:rsid w:val="4F103A13"/>
    <w:rsid w:val="4F292918"/>
    <w:rsid w:val="4F411EC8"/>
    <w:rsid w:val="4FAB0670"/>
    <w:rsid w:val="50297707"/>
    <w:rsid w:val="50E01EAF"/>
    <w:rsid w:val="51701E45"/>
    <w:rsid w:val="517212FF"/>
    <w:rsid w:val="51A0432A"/>
    <w:rsid w:val="51F04461"/>
    <w:rsid w:val="51FC1F8B"/>
    <w:rsid w:val="527140E5"/>
    <w:rsid w:val="528238AF"/>
    <w:rsid w:val="528A32C2"/>
    <w:rsid w:val="5292508F"/>
    <w:rsid w:val="52A96B6F"/>
    <w:rsid w:val="531050E8"/>
    <w:rsid w:val="532822B7"/>
    <w:rsid w:val="537D3F15"/>
    <w:rsid w:val="541D3690"/>
    <w:rsid w:val="545636B5"/>
    <w:rsid w:val="550764A4"/>
    <w:rsid w:val="5515470A"/>
    <w:rsid w:val="551926E0"/>
    <w:rsid w:val="55DF3B3B"/>
    <w:rsid w:val="55EC35D4"/>
    <w:rsid w:val="560726C2"/>
    <w:rsid w:val="561279B9"/>
    <w:rsid w:val="56515F3B"/>
    <w:rsid w:val="565B620C"/>
    <w:rsid w:val="566A6AC0"/>
    <w:rsid w:val="571E156B"/>
    <w:rsid w:val="572B71CA"/>
    <w:rsid w:val="57E958DA"/>
    <w:rsid w:val="57F62284"/>
    <w:rsid w:val="587F3916"/>
    <w:rsid w:val="58A360BF"/>
    <w:rsid w:val="58AE4F0C"/>
    <w:rsid w:val="58B22DEB"/>
    <w:rsid w:val="59560018"/>
    <w:rsid w:val="59962EF7"/>
    <w:rsid w:val="599739EC"/>
    <w:rsid w:val="59B44408"/>
    <w:rsid w:val="59F20A8D"/>
    <w:rsid w:val="5A2A7C7B"/>
    <w:rsid w:val="5AB23368"/>
    <w:rsid w:val="5ADD19BF"/>
    <w:rsid w:val="5AEC372E"/>
    <w:rsid w:val="5B866C28"/>
    <w:rsid w:val="5BB13AAB"/>
    <w:rsid w:val="5C076A71"/>
    <w:rsid w:val="5C48303F"/>
    <w:rsid w:val="5C80234E"/>
    <w:rsid w:val="5C8210D4"/>
    <w:rsid w:val="5C8618C3"/>
    <w:rsid w:val="5D0D5376"/>
    <w:rsid w:val="5D171BA1"/>
    <w:rsid w:val="5D942587"/>
    <w:rsid w:val="5E261785"/>
    <w:rsid w:val="5E4B7FE7"/>
    <w:rsid w:val="5E7423B8"/>
    <w:rsid w:val="5ECD600D"/>
    <w:rsid w:val="5FB32A6C"/>
    <w:rsid w:val="5FC25283"/>
    <w:rsid w:val="5FCC5339"/>
    <w:rsid w:val="5FD255E8"/>
    <w:rsid w:val="5FE065A0"/>
    <w:rsid w:val="5FE70807"/>
    <w:rsid w:val="5FEE1BA7"/>
    <w:rsid w:val="603664FB"/>
    <w:rsid w:val="604E1113"/>
    <w:rsid w:val="60E53485"/>
    <w:rsid w:val="60FE1D3A"/>
    <w:rsid w:val="61054A27"/>
    <w:rsid w:val="611D2366"/>
    <w:rsid w:val="612C7E39"/>
    <w:rsid w:val="613626DF"/>
    <w:rsid w:val="618648DC"/>
    <w:rsid w:val="61E11B0F"/>
    <w:rsid w:val="61ED39C5"/>
    <w:rsid w:val="620D2717"/>
    <w:rsid w:val="62885958"/>
    <w:rsid w:val="62E3501F"/>
    <w:rsid w:val="63144820"/>
    <w:rsid w:val="64AE7995"/>
    <w:rsid w:val="64CE2EAA"/>
    <w:rsid w:val="64D13830"/>
    <w:rsid w:val="64D75934"/>
    <w:rsid w:val="64E930D8"/>
    <w:rsid w:val="6625751D"/>
    <w:rsid w:val="662E75B1"/>
    <w:rsid w:val="66342C2E"/>
    <w:rsid w:val="663E784C"/>
    <w:rsid w:val="66426484"/>
    <w:rsid w:val="66FD7723"/>
    <w:rsid w:val="67FA108E"/>
    <w:rsid w:val="68121A65"/>
    <w:rsid w:val="68224C33"/>
    <w:rsid w:val="68507B33"/>
    <w:rsid w:val="685867EC"/>
    <w:rsid w:val="68633281"/>
    <w:rsid w:val="68AA0EB0"/>
    <w:rsid w:val="69102733"/>
    <w:rsid w:val="692E2FF4"/>
    <w:rsid w:val="69FA59ED"/>
    <w:rsid w:val="6A4919C0"/>
    <w:rsid w:val="6A793230"/>
    <w:rsid w:val="6A9525B9"/>
    <w:rsid w:val="6AAD42FF"/>
    <w:rsid w:val="6AB0738E"/>
    <w:rsid w:val="6AEB6A3D"/>
    <w:rsid w:val="6B104C37"/>
    <w:rsid w:val="6B6318EE"/>
    <w:rsid w:val="6B6A2B79"/>
    <w:rsid w:val="6BC81822"/>
    <w:rsid w:val="6BCB187F"/>
    <w:rsid w:val="6BD231A5"/>
    <w:rsid w:val="6C04327E"/>
    <w:rsid w:val="6C4C14CD"/>
    <w:rsid w:val="6C855376"/>
    <w:rsid w:val="6CB5278A"/>
    <w:rsid w:val="6CB96113"/>
    <w:rsid w:val="6D4A06B0"/>
    <w:rsid w:val="6D581C9A"/>
    <w:rsid w:val="6E0F7BE0"/>
    <w:rsid w:val="6E8E12EF"/>
    <w:rsid w:val="6EA91C0A"/>
    <w:rsid w:val="6EBE7406"/>
    <w:rsid w:val="6EFE3D04"/>
    <w:rsid w:val="6F650781"/>
    <w:rsid w:val="70165EC6"/>
    <w:rsid w:val="704B2AE5"/>
    <w:rsid w:val="707F2E38"/>
    <w:rsid w:val="70970BAD"/>
    <w:rsid w:val="70BD199D"/>
    <w:rsid w:val="70CF6B91"/>
    <w:rsid w:val="70FC4273"/>
    <w:rsid w:val="71380842"/>
    <w:rsid w:val="71C10655"/>
    <w:rsid w:val="71CF1988"/>
    <w:rsid w:val="71D43752"/>
    <w:rsid w:val="72A072E2"/>
    <w:rsid w:val="72E579B2"/>
    <w:rsid w:val="73C5357F"/>
    <w:rsid w:val="73DD6243"/>
    <w:rsid w:val="74701E6B"/>
    <w:rsid w:val="748A6EDB"/>
    <w:rsid w:val="749C4185"/>
    <w:rsid w:val="74E136FC"/>
    <w:rsid w:val="75622B13"/>
    <w:rsid w:val="756B5E6B"/>
    <w:rsid w:val="75DA2C18"/>
    <w:rsid w:val="75E706FB"/>
    <w:rsid w:val="760D7B7A"/>
    <w:rsid w:val="770438B6"/>
    <w:rsid w:val="775319EF"/>
    <w:rsid w:val="77BE04D4"/>
    <w:rsid w:val="77D56D46"/>
    <w:rsid w:val="77FA1BA3"/>
    <w:rsid w:val="78154B6A"/>
    <w:rsid w:val="78CC412E"/>
    <w:rsid w:val="790F1C77"/>
    <w:rsid w:val="79180FAF"/>
    <w:rsid w:val="79377444"/>
    <w:rsid w:val="79553C7F"/>
    <w:rsid w:val="7A097A01"/>
    <w:rsid w:val="7A67303B"/>
    <w:rsid w:val="7AAB1D04"/>
    <w:rsid w:val="7ABA4368"/>
    <w:rsid w:val="7B23367A"/>
    <w:rsid w:val="7B257FFD"/>
    <w:rsid w:val="7B287ED8"/>
    <w:rsid w:val="7BBA14E8"/>
    <w:rsid w:val="7BFF23C9"/>
    <w:rsid w:val="7C2B1DA5"/>
    <w:rsid w:val="7CAE16EB"/>
    <w:rsid w:val="7CF851EA"/>
    <w:rsid w:val="7D105DAA"/>
    <w:rsid w:val="7D692C90"/>
    <w:rsid w:val="7D704481"/>
    <w:rsid w:val="7D7B6E68"/>
    <w:rsid w:val="7DF4317E"/>
    <w:rsid w:val="7E64308B"/>
    <w:rsid w:val="7EB02E41"/>
    <w:rsid w:val="7F164A9B"/>
    <w:rsid w:val="7F422778"/>
    <w:rsid w:val="7FA73466"/>
    <w:rsid w:val="7FB038A4"/>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semiHidden/>
    <w:unhideWhenUsed/>
    <w:qFormat/>
    <w:uiPriority w:val="99"/>
    <w:pPr>
      <w:ind w:left="1400" w:leftChars="140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4"/>
    <w:qFormat/>
    <w:uiPriority w:val="99"/>
    <w:pPr>
      <w:jc w:val="left"/>
    </w:pPr>
  </w:style>
  <w:style w:type="paragraph" w:styleId="21">
    <w:name w:val="Salutation"/>
    <w:basedOn w:val="1"/>
    <w:next w:val="1"/>
    <w:link w:val="482"/>
    <w:qFormat/>
    <w:uiPriority w:val="0"/>
    <w:rPr>
      <w:rFonts w:ascii="仿宋_GB2312" w:eastAsia="仿宋_GB2312"/>
      <w:sz w:val="28"/>
      <w:szCs w:val="20"/>
    </w:rPr>
  </w:style>
  <w:style w:type="paragraph" w:styleId="22">
    <w:name w:val="Body Text 3"/>
    <w:basedOn w:val="1"/>
    <w:link w:val="581"/>
    <w:qFormat/>
    <w:uiPriority w:val="0"/>
    <w:pPr>
      <w:jc w:val="center"/>
    </w:pPr>
    <w:rPr>
      <w:szCs w:val="20"/>
    </w:rPr>
  </w:style>
  <w:style w:type="paragraph" w:styleId="23">
    <w:name w:val="Body Text"/>
    <w:basedOn w:val="1"/>
    <w:next w:val="24"/>
    <w:link w:val="512"/>
    <w:qFormat/>
    <w:uiPriority w:val="0"/>
    <w:pPr>
      <w:autoSpaceDE w:val="0"/>
      <w:autoSpaceDN w:val="0"/>
      <w:spacing w:line="360" w:lineRule="auto"/>
    </w:pPr>
    <w:rPr>
      <w:rFonts w:ascii="宋体"/>
      <w:sz w:val="24"/>
      <w:szCs w:val="21"/>
      <w:lang w:val="zh-CN"/>
    </w:rPr>
  </w:style>
  <w:style w:type="paragraph" w:styleId="24">
    <w:name w:val="Body Text First Indent"/>
    <w:basedOn w:val="23"/>
    <w:next w:val="1"/>
    <w:link w:val="545"/>
    <w:qFormat/>
    <w:uiPriority w:val="0"/>
    <w:pPr>
      <w:ind w:firstLine="420"/>
    </w:pPr>
    <w:rPr>
      <w:szCs w:val="20"/>
    </w:rPr>
  </w:style>
  <w:style w:type="paragraph" w:styleId="25">
    <w:name w:val="Body Text Indent"/>
    <w:basedOn w:val="1"/>
    <w:link w:val="47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5"/>
    <w:link w:val="489"/>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8"/>
    <w:qFormat/>
    <w:uiPriority w:val="0"/>
    <w:pPr>
      <w:ind w:left="100" w:leftChars="2500"/>
    </w:pPr>
    <w:rPr>
      <w:rFonts w:ascii="宋体"/>
      <w:sz w:val="24"/>
      <w:szCs w:val="21"/>
      <w:lang w:val="zh-CN"/>
    </w:rPr>
  </w:style>
  <w:style w:type="paragraph" w:styleId="37">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8">
    <w:name w:val="Balloon Text"/>
    <w:basedOn w:val="1"/>
    <w:link w:val="615"/>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
    <w:next w:val="18"/>
    <w:link w:val="473"/>
    <w:qFormat/>
    <w:uiPriority w:val="0"/>
    <w:pPr>
      <w:adjustRightInd/>
      <w:spacing w:before="60" w:after="60" w:line="300" w:lineRule="exact"/>
    </w:pPr>
    <w:rPr>
      <w:color w:val="0000FF"/>
      <w:kern w:val="0"/>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semiHidden/>
    <w:qFormat/>
    <w:uiPriority w:val="0"/>
    <w:rPr>
      <w:b/>
      <w:bCs/>
    </w:rPr>
  </w:style>
  <w:style w:type="paragraph" w:styleId="60">
    <w:name w:val="Body Text First Indent 2"/>
    <w:basedOn w:val="1"/>
    <w:next w:val="1"/>
    <w:link w:val="502"/>
    <w:qFormat/>
    <w:uiPriority w:val="0"/>
    <w:pPr>
      <w:adjustRightInd/>
      <w:spacing w:after="120"/>
      <w:ind w:left="420" w:leftChars="200" w:firstLine="210"/>
    </w:p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样式 标题 2 + 宋体"/>
    <w:basedOn w:val="2"/>
    <w:qFormat/>
    <w:uiPriority w:val="99"/>
    <w:pPr>
      <w:tabs>
        <w:tab w:val="left" w:pos="360"/>
      </w:tabs>
    </w:pPr>
    <w:rPr>
      <w:rFonts w:ascii="宋体" w:hAnsi="宋体"/>
      <w:sz w:val="30"/>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5"/>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5"/>
    <w:qFormat/>
    <w:uiPriority w:val="0"/>
    <w:pPr>
      <w:snapToGrid w:val="0"/>
      <w:spacing w:line="360" w:lineRule="auto"/>
    </w:pPr>
    <w:rPr>
      <w:rFonts w:ascii="宋体"/>
      <w:b/>
      <w:sz w:val="24"/>
      <w:szCs w:val="20"/>
    </w:rPr>
  </w:style>
  <w:style w:type="paragraph" w:customStyle="1" w:styleId="230">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7"/>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9"/>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1"/>
    <w:qFormat/>
    <w:uiPriority w:val="99"/>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3"/>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3"/>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1"/>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3"/>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49"/>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5"/>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1"/>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6"/>
    <w:qFormat/>
    <w:uiPriority w:val="0"/>
    <w:rPr>
      <w:rFonts w:ascii="Arial" w:hAnsi="Arial" w:eastAsia="隶书"/>
      <w:b/>
      <w:bCs/>
      <w:kern w:val="28"/>
      <w:sz w:val="44"/>
      <w:szCs w:val="32"/>
      <w:lang w:val="en-US" w:eastAsia="zh-CN" w:bidi="ar-SA"/>
    </w:rPr>
  </w:style>
  <w:style w:type="character" w:customStyle="1" w:styleId="489">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60"/>
    <w:qFormat/>
    <w:uiPriority w:val="0"/>
    <w:rPr>
      <w:rFonts w:ascii="宋体" w:hAnsi="宋体"/>
      <w:kern w:val="2"/>
      <w:sz w:val="21"/>
      <w:szCs w:val="24"/>
    </w:rPr>
  </w:style>
  <w:style w:type="character" w:customStyle="1" w:styleId="503">
    <w:name w:val="正文文本缩进 2 Char"/>
    <w:link w:val="37"/>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3"/>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3"/>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6"/>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24"/>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3"/>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30"/>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3"/>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2"/>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2"/>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3"/>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6"/>
    <w:qFormat/>
    <w:uiPriority w:val="0"/>
    <w:rPr>
      <w:rFonts w:ascii="宋体"/>
      <w:kern w:val="2"/>
      <w:sz w:val="24"/>
      <w:szCs w:val="21"/>
      <w:lang w:val="zh-CN"/>
    </w:rPr>
  </w:style>
  <w:style w:type="character" w:customStyle="1" w:styleId="599">
    <w:name w:val="标题 4 Char"/>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7"/>
    <w:qFormat/>
    <w:uiPriority w:val="0"/>
    <w:rPr>
      <w:rFonts w:ascii="Arial" w:hAnsi="Arial" w:eastAsia="黑体"/>
      <w:b/>
      <w:bCs/>
      <w:kern w:val="2"/>
      <w:sz w:val="24"/>
      <w:szCs w:val="24"/>
    </w:rPr>
  </w:style>
  <w:style w:type="character" w:customStyle="1" w:styleId="613">
    <w:name w:val="正文缩进 Char2"/>
    <w:link w:val="16"/>
    <w:qFormat/>
    <w:uiPriority w:val="0"/>
    <w:rPr>
      <w:rFonts w:ascii="宋体" w:eastAsia="宋体"/>
      <w:snapToGrid w:val="0"/>
      <w:color w:val="000000"/>
      <w:kern w:val="28"/>
      <w:sz w:val="28"/>
      <w:lang w:val="en-US" w:eastAsia="zh-CN" w:bidi="ar-SA"/>
    </w:rPr>
  </w:style>
  <w:style w:type="character" w:customStyle="1" w:styleId="614">
    <w:name w:val="批注文字 Char1"/>
    <w:link w:val="20"/>
    <w:qFormat/>
    <w:uiPriority w:val="99"/>
    <w:rPr>
      <w:kern w:val="2"/>
      <w:sz w:val="21"/>
      <w:szCs w:val="24"/>
    </w:rPr>
  </w:style>
  <w:style w:type="character" w:customStyle="1" w:styleId="615">
    <w:name w:val="批注框文本 Char"/>
    <w:link w:val="38"/>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6">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7">
    <w:name w:val="_Style 6"/>
    <w:basedOn w:val="1"/>
    <w:qFormat/>
    <w:uiPriority w:val="34"/>
    <w:pPr>
      <w:adjustRightInd/>
      <w:ind w:firstLine="420" w:firstLineChars="200"/>
    </w:pPr>
    <w:rPr>
      <w:rFonts w:eastAsia="仿宋_GB2312"/>
      <w:sz w:val="28"/>
    </w:rPr>
  </w:style>
  <w:style w:type="character" w:customStyle="1" w:styleId="638">
    <w:name w:val="font01"/>
    <w:basedOn w:val="6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82</Pages>
  <Words>16046</Words>
  <Characters>17258</Characters>
  <Lines>6527</Lines>
  <Paragraphs>6807</Paragraphs>
  <TotalTime>8</TotalTime>
  <ScaleCrop>false</ScaleCrop>
  <LinksUpToDate>false</LinksUpToDate>
  <CharactersWithSpaces>17592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2025-04-14T08:56:00Z</dcterms:created>
  <dc:creator>北海市政府采购中心</dc:creator>
  <cp:lastModifiedBy>lenovo</cp:lastModifiedBy>
  <cp:lastPrinted>2025-06-27T03:33:00Z</cp:lastPrinted>
  <dcterms:modified xsi:type="dcterms:W3CDTF">2025-10-21T03:05:33Z</dcterms:modified>
  <dc:title>北海市政府采购中心</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652E0804675D4BD79B4970CF7F359D61_13</vt:lpwstr>
  </property>
  <property fmtid="{D5CDD505-2E9C-101B-9397-08002B2CF9AE}" pid="4" name="KSOTemplateDocerSaveRecord">
    <vt:lpwstr>eyJoZGlkIjoiNDkyNjY2OWJlOWQzNzJmYzhjZjViOTgyYTQ2MzM5OGQiLCJ1c2VySWQiOiI0OTY3NDI4MjMifQ==</vt:lpwstr>
  </property>
</Properties>
</file>