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exact"/>
        <w:jc w:val="distribute"/>
        <w:rPr>
          <w:rFonts w:hint="eastAsia" w:ascii="楷体" w:hAnsi="楷体" w:eastAsia="楷体" w:cs="楷体"/>
          <w:b/>
          <w:bCs/>
          <w:color w:val="auto"/>
          <w:spacing w:val="80"/>
          <w:sz w:val="52"/>
          <w:szCs w:val="52"/>
          <w:highlight w:val="none"/>
          <w:lang w:eastAsia="zh-CN"/>
        </w:rPr>
      </w:pPr>
    </w:p>
    <w:p>
      <w:pPr>
        <w:spacing w:line="720" w:lineRule="exact"/>
        <w:jc w:val="center"/>
        <w:rPr>
          <w:rFonts w:hint="eastAsia" w:ascii="楷体" w:hAnsi="楷体" w:eastAsia="楷体" w:cs="楷体"/>
          <w:color w:val="auto"/>
          <w:sz w:val="52"/>
          <w:szCs w:val="52"/>
          <w:highlight w:val="none"/>
          <w:lang w:eastAsia="zh-CN"/>
        </w:rPr>
      </w:pPr>
      <w:r>
        <w:rPr>
          <w:rFonts w:hint="eastAsia" w:ascii="楷体" w:hAnsi="楷体" w:eastAsia="楷体" w:cs="楷体"/>
          <w:b/>
          <w:bCs/>
          <w:color w:val="auto"/>
          <w:spacing w:val="80"/>
          <w:sz w:val="52"/>
          <w:szCs w:val="52"/>
          <w:highlight w:val="none"/>
          <w:lang w:eastAsia="zh-CN"/>
        </w:rPr>
        <w:t>广西建业中天工程咨询有限公司</w:t>
      </w:r>
    </w:p>
    <w:p>
      <w:pPr>
        <w:pStyle w:val="11"/>
        <w:jc w:val="center"/>
        <w:rPr>
          <w:rFonts w:hint="eastAsia" w:ascii="楷体" w:hAnsi="楷体" w:eastAsia="楷体" w:cs="楷体"/>
          <w:b/>
          <w:bCs/>
          <w:color w:val="auto"/>
          <w:spacing w:val="80"/>
          <w:sz w:val="72"/>
          <w:highlight w:val="none"/>
        </w:rPr>
      </w:pPr>
    </w:p>
    <w:p>
      <w:pPr>
        <w:pStyle w:val="11"/>
        <w:jc w:val="center"/>
        <w:rPr>
          <w:rFonts w:hint="eastAsia" w:ascii="楷体" w:hAnsi="楷体" w:eastAsia="楷体" w:cs="楷体"/>
          <w:b/>
          <w:bCs/>
          <w:color w:val="auto"/>
          <w:sz w:val="72"/>
          <w:highlight w:val="none"/>
        </w:rPr>
      </w:pPr>
    </w:p>
    <w:p>
      <w:pPr>
        <w:pStyle w:val="11"/>
        <w:jc w:val="center"/>
        <w:rPr>
          <w:rFonts w:hint="eastAsia" w:ascii="楷体" w:hAnsi="楷体" w:eastAsia="楷体" w:cs="楷体"/>
          <w:color w:val="auto"/>
          <w:highlight w:val="none"/>
        </w:rPr>
      </w:pPr>
    </w:p>
    <w:p>
      <w:pPr>
        <w:spacing w:line="1400" w:lineRule="exact"/>
        <w:jc w:val="center"/>
        <w:rPr>
          <w:rFonts w:hint="eastAsia" w:ascii="楷体" w:hAnsi="楷体" w:eastAsia="楷体" w:cs="楷体"/>
          <w:b/>
          <w:color w:val="auto"/>
          <w:spacing w:val="60"/>
          <w:sz w:val="84"/>
          <w:szCs w:val="84"/>
          <w:highlight w:val="none"/>
        </w:rPr>
      </w:pPr>
      <w:r>
        <w:rPr>
          <w:rFonts w:hint="eastAsia" w:ascii="楷体" w:hAnsi="楷体" w:eastAsia="楷体" w:cs="楷体"/>
          <w:b/>
          <w:color w:val="auto"/>
          <w:spacing w:val="60"/>
          <w:sz w:val="84"/>
          <w:szCs w:val="84"/>
          <w:highlight w:val="none"/>
        </w:rPr>
        <w:t>竞争性磋商文件</w:t>
      </w:r>
    </w:p>
    <w:p>
      <w:pPr>
        <w:pStyle w:val="11"/>
        <w:rPr>
          <w:rFonts w:hint="eastAsia" w:ascii="宋体" w:hAnsi="宋体" w:eastAsia="宋体" w:cs="宋体"/>
          <w:color w:val="auto"/>
          <w:highlight w:val="none"/>
        </w:rPr>
      </w:pPr>
    </w:p>
    <w:p>
      <w:pPr>
        <w:pStyle w:val="11"/>
        <w:ind w:firstLine="3885" w:firstLineChars="1850"/>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sz w:val="30"/>
          <w:szCs w:val="30"/>
          <w:highlight w:val="none"/>
        </w:rPr>
      </w:pPr>
    </w:p>
    <w:p>
      <w:pPr>
        <w:keepNext w:val="0"/>
        <w:keepLines w:val="0"/>
        <w:pageBreakBefore w:val="0"/>
        <w:widowControl w:val="0"/>
        <w:tabs>
          <w:tab w:val="left" w:pos="8400"/>
          <w:tab w:val="left" w:pos="9240"/>
        </w:tabs>
        <w:kinsoku/>
        <w:wordWrap/>
        <w:overflowPunct/>
        <w:topLinePunct w:val="0"/>
        <w:autoSpaceDE/>
        <w:autoSpaceDN/>
        <w:bidi w:val="0"/>
        <w:adjustRightInd/>
        <w:snapToGrid/>
        <w:ind w:right="0" w:rightChars="0" w:firstLine="1144" w:firstLineChars="300"/>
        <w:jc w:val="both"/>
        <w:textAlignment w:val="auto"/>
        <w:rPr>
          <w:rFonts w:hint="eastAsia" w:ascii="宋体" w:hAnsi="宋体" w:eastAsia="宋体" w:cs="宋体"/>
          <w:b/>
          <w:bCs/>
          <w:color w:val="auto"/>
          <w:spacing w:val="-36"/>
          <w:sz w:val="30"/>
          <w:szCs w:val="30"/>
          <w:highlight w:val="none"/>
          <w:lang w:eastAsia="zh-CN"/>
        </w:rPr>
      </w:pPr>
      <w:r>
        <w:rPr>
          <w:rFonts w:hint="eastAsia" w:ascii="宋体" w:hAnsi="宋体" w:eastAsia="宋体" w:cs="宋体"/>
          <w:b/>
          <w:bCs/>
          <w:color w:val="auto"/>
          <w:spacing w:val="40"/>
          <w:sz w:val="30"/>
          <w:szCs w:val="30"/>
          <w:highlight w:val="none"/>
        </w:rPr>
        <w:t>项目名称：</w:t>
      </w:r>
      <w:r>
        <w:rPr>
          <w:rFonts w:hint="eastAsia" w:ascii="宋体" w:hAnsi="宋体" w:cs="宋体"/>
          <w:b/>
          <w:bCs/>
          <w:color w:val="auto"/>
          <w:spacing w:val="40"/>
          <w:sz w:val="30"/>
          <w:szCs w:val="30"/>
          <w:highlight w:val="none"/>
          <w:lang w:eastAsia="zh-CN"/>
        </w:rPr>
        <w:t>灌阳县西山瑶族乡2024年少数民族特色村寨与乡村旅游融合发展（民宿）项目</w:t>
      </w:r>
    </w:p>
    <w:p>
      <w:pPr>
        <w:ind w:right="-21" w:rightChars="-10" w:firstLine="1144" w:firstLineChars="300"/>
        <w:jc w:val="both"/>
        <w:rPr>
          <w:rFonts w:hint="eastAsia" w:ascii="宋体" w:hAnsi="宋体" w:eastAsia="宋体" w:cs="宋体"/>
          <w:b/>
          <w:bCs/>
          <w:color w:val="auto"/>
          <w:sz w:val="32"/>
          <w:highlight w:val="none"/>
          <w:lang w:eastAsia="zh-CN"/>
        </w:rPr>
      </w:pPr>
      <w:r>
        <w:rPr>
          <w:rFonts w:hint="eastAsia" w:ascii="宋体" w:hAnsi="宋体" w:eastAsia="宋体" w:cs="宋体"/>
          <w:b/>
          <w:bCs/>
          <w:color w:val="auto"/>
          <w:spacing w:val="40"/>
          <w:sz w:val="30"/>
          <w:szCs w:val="30"/>
          <w:highlight w:val="none"/>
        </w:rPr>
        <w:t>项目编号：</w:t>
      </w:r>
      <w:r>
        <w:rPr>
          <w:rFonts w:hint="eastAsia" w:ascii="宋体" w:hAnsi="宋体" w:cs="宋体"/>
          <w:b/>
          <w:bCs/>
          <w:color w:val="auto"/>
          <w:spacing w:val="40"/>
          <w:sz w:val="30"/>
          <w:szCs w:val="30"/>
          <w:highlight w:val="none"/>
          <w:lang w:eastAsia="zh-CN"/>
        </w:rPr>
        <w:t>GLZC2024-C2-270160-GXJY</w:t>
      </w:r>
    </w:p>
    <w:p>
      <w:pPr>
        <w:ind w:left="-2" w:leftChars="-1" w:firstLine="1446" w:firstLineChars="400"/>
        <w:rPr>
          <w:rFonts w:hint="eastAsia" w:ascii="宋体" w:hAnsi="宋体" w:eastAsia="宋体" w:cs="宋体"/>
          <w:color w:val="auto"/>
          <w:highlight w:val="none"/>
        </w:rPr>
      </w:pPr>
      <w:r>
        <w:rPr>
          <w:rFonts w:hint="eastAsia" w:ascii="宋体" w:hAnsi="宋体" w:eastAsia="宋体" w:cs="宋体"/>
          <w:b/>
          <w:bCs/>
          <w:color w:val="auto"/>
          <w:sz w:val="36"/>
          <w:highlight w:val="none"/>
        </w:rPr>
        <w:t xml:space="preserve">        </w:t>
      </w:r>
      <w:r>
        <w:rPr>
          <w:rFonts w:hint="eastAsia" w:ascii="宋体" w:hAnsi="宋体" w:eastAsia="宋体" w:cs="宋体"/>
          <w:color w:val="auto"/>
          <w:highlight w:val="none"/>
        </w:rPr>
        <w:cr/>
      </w:r>
    </w:p>
    <w:p>
      <w:pPr>
        <w:ind w:left="-2" w:leftChars="-1" w:firstLine="840" w:firstLineChars="400"/>
        <w:rPr>
          <w:rFonts w:hint="eastAsia" w:ascii="宋体" w:hAnsi="宋体" w:eastAsia="宋体" w:cs="宋体"/>
          <w:color w:val="auto"/>
          <w:highlight w:val="none"/>
        </w:rPr>
      </w:pPr>
    </w:p>
    <w:p>
      <w:pPr>
        <w:ind w:left="-2" w:leftChars="-1"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　</w:t>
      </w:r>
      <w:r>
        <w:rPr>
          <w:rFonts w:hint="eastAsia" w:ascii="宋体" w:hAnsi="宋体" w:eastAsia="宋体" w:cs="宋体"/>
          <w:color w:val="auto"/>
          <w:highlight w:val="none"/>
        </w:rPr>
        <w:tab/>
      </w:r>
    </w:p>
    <w:p>
      <w:pPr>
        <w:ind w:left="-2" w:leftChars="-1" w:firstLine="630" w:firstLineChars="300"/>
        <w:rPr>
          <w:rFonts w:hint="eastAsia" w:ascii="宋体" w:hAnsi="宋体" w:eastAsia="宋体" w:cs="宋体"/>
          <w:color w:val="auto"/>
          <w:highlight w:val="none"/>
        </w:rPr>
      </w:pPr>
    </w:p>
    <w:p>
      <w:pPr>
        <w:ind w:left="-2" w:leftChars="-1" w:firstLine="630" w:firstLineChars="300"/>
        <w:rPr>
          <w:rFonts w:hint="eastAsia" w:ascii="宋体" w:hAnsi="宋体" w:eastAsia="宋体" w:cs="宋体"/>
          <w:color w:val="auto"/>
          <w:highlight w:val="none"/>
        </w:rPr>
      </w:pPr>
    </w:p>
    <w:p>
      <w:pPr>
        <w:ind w:left="-2" w:leftChars="-1" w:firstLine="630" w:firstLineChars="300"/>
        <w:rPr>
          <w:rFonts w:hint="eastAsia" w:ascii="宋体" w:hAnsi="宋体" w:eastAsia="宋体" w:cs="宋体"/>
          <w:color w:val="auto"/>
          <w:highlight w:val="none"/>
        </w:rPr>
      </w:pPr>
    </w:p>
    <w:p>
      <w:pPr>
        <w:jc w:val="center"/>
        <w:rPr>
          <w:rFonts w:hint="eastAsia" w:ascii="宋体" w:hAnsi="宋体" w:eastAsia="宋体" w:cs="宋体"/>
          <w:b/>
          <w:bCs/>
          <w:color w:val="auto"/>
          <w:spacing w:val="4"/>
          <w:kern w:val="0"/>
          <w:sz w:val="30"/>
          <w:szCs w:val="30"/>
          <w:highlight w:val="none"/>
          <w:fitText w:val="2520" w:id="0"/>
          <w:lang w:val="en-US" w:eastAsia="zh-CN"/>
        </w:rPr>
      </w:pPr>
      <w:r>
        <w:rPr>
          <w:rFonts w:hint="eastAsia" w:ascii="宋体" w:hAnsi="宋体" w:eastAsia="宋体" w:cs="宋体"/>
          <w:b/>
          <w:bCs/>
          <w:color w:val="auto"/>
          <w:spacing w:val="35"/>
          <w:w w:val="100"/>
          <w:kern w:val="0"/>
          <w:sz w:val="30"/>
          <w:szCs w:val="30"/>
          <w:highlight w:val="none"/>
          <w:fitText w:val="2520" w:id="142946308"/>
          <w:lang w:eastAsia="zh-CN"/>
        </w:rPr>
        <w:t>采购</w:t>
      </w:r>
      <w:r>
        <w:rPr>
          <w:rFonts w:hint="eastAsia" w:ascii="宋体" w:hAnsi="宋体" w:eastAsia="宋体" w:cs="宋体"/>
          <w:b/>
          <w:bCs/>
          <w:color w:val="auto"/>
          <w:spacing w:val="35"/>
          <w:w w:val="100"/>
          <w:kern w:val="0"/>
          <w:sz w:val="30"/>
          <w:szCs w:val="30"/>
          <w:highlight w:val="none"/>
          <w:fitText w:val="2520" w:id="142946308"/>
        </w:rPr>
        <w:t>代理机构</w:t>
      </w:r>
      <w:r>
        <w:rPr>
          <w:rFonts w:hint="eastAsia" w:ascii="宋体" w:hAnsi="宋体" w:eastAsia="宋体" w:cs="宋体"/>
          <w:b/>
          <w:bCs/>
          <w:color w:val="auto"/>
          <w:spacing w:val="0"/>
          <w:w w:val="100"/>
          <w:kern w:val="0"/>
          <w:sz w:val="30"/>
          <w:szCs w:val="30"/>
          <w:highlight w:val="none"/>
          <w:fitText w:val="2520" w:id="142946308"/>
        </w:rPr>
        <w:t>：</w:t>
      </w:r>
      <w:r>
        <w:rPr>
          <w:rFonts w:hint="eastAsia" w:ascii="宋体" w:hAnsi="宋体" w:cs="宋体"/>
          <w:b/>
          <w:bCs/>
          <w:color w:val="auto"/>
          <w:kern w:val="0"/>
          <w:sz w:val="30"/>
          <w:szCs w:val="30"/>
          <w:highlight w:val="none"/>
          <w:lang w:val="en-US" w:eastAsia="zh-CN"/>
        </w:rPr>
        <w:t>广西建业中天工程咨询有限公司</w:t>
      </w:r>
    </w:p>
    <w:p>
      <w:pPr>
        <w:jc w:val="center"/>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pacing w:val="-8"/>
          <w:sz w:val="30"/>
          <w:szCs w:val="30"/>
          <w:highlight w:val="none"/>
        </w:rPr>
        <w:t xml:space="preserve"> </w:t>
      </w:r>
      <w:r>
        <w:rPr>
          <w:rFonts w:hint="eastAsia" w:ascii="宋体" w:hAnsi="宋体" w:eastAsia="宋体" w:cs="宋体"/>
          <w:b/>
          <w:bCs/>
          <w:color w:val="auto"/>
          <w:sz w:val="30"/>
          <w:szCs w:val="30"/>
          <w:highlight w:val="none"/>
        </w:rPr>
        <w:t>20</w:t>
      </w:r>
      <w:r>
        <w:rPr>
          <w:rFonts w:hint="eastAsia" w:ascii="宋体" w:hAnsi="宋体" w:eastAsia="宋体" w:cs="宋体"/>
          <w:b/>
          <w:bCs/>
          <w:color w:val="auto"/>
          <w:sz w:val="30"/>
          <w:szCs w:val="30"/>
          <w:highlight w:val="none"/>
          <w:lang w:val="en-US" w:eastAsia="zh-CN"/>
        </w:rPr>
        <w:t>24</w:t>
      </w:r>
      <w:r>
        <w:rPr>
          <w:rFonts w:hint="eastAsia" w:ascii="宋体" w:hAnsi="宋体" w:eastAsia="宋体" w:cs="宋体"/>
          <w:b/>
          <w:bCs/>
          <w:color w:val="auto"/>
          <w:sz w:val="30"/>
          <w:szCs w:val="30"/>
          <w:highlight w:val="none"/>
        </w:rPr>
        <w:t>年</w:t>
      </w:r>
      <w:r>
        <w:rPr>
          <w:rFonts w:hint="eastAsia" w:ascii="宋体" w:hAnsi="宋体" w:cs="宋体"/>
          <w:b/>
          <w:color w:val="auto"/>
          <w:sz w:val="30"/>
          <w:szCs w:val="30"/>
          <w:highlight w:val="none"/>
          <w:lang w:val="en-US" w:eastAsia="zh-CN"/>
        </w:rPr>
        <w:t>5</w:t>
      </w:r>
      <w:r>
        <w:rPr>
          <w:rFonts w:hint="eastAsia" w:ascii="宋体" w:hAnsi="宋体" w:eastAsia="宋体" w:cs="宋体"/>
          <w:b/>
          <w:bCs/>
          <w:color w:val="auto"/>
          <w:sz w:val="30"/>
          <w:szCs w:val="30"/>
          <w:highlight w:val="none"/>
        </w:rPr>
        <w:t>月</w:t>
      </w:r>
      <w:r>
        <w:rPr>
          <w:rFonts w:hint="eastAsia" w:ascii="宋体" w:hAnsi="宋体" w:cs="宋体"/>
          <w:b/>
          <w:bCs/>
          <w:color w:val="auto"/>
          <w:sz w:val="30"/>
          <w:szCs w:val="30"/>
          <w:highlight w:val="none"/>
          <w:lang w:val="en-US" w:eastAsia="zh-CN"/>
        </w:rPr>
        <w:t>11</w:t>
      </w:r>
      <w:r>
        <w:rPr>
          <w:rFonts w:hint="eastAsia" w:ascii="宋体" w:hAnsi="宋体" w:eastAsia="宋体" w:cs="宋体"/>
          <w:b/>
          <w:bCs/>
          <w:color w:val="auto"/>
          <w:sz w:val="30"/>
          <w:szCs w:val="30"/>
          <w:highlight w:val="none"/>
          <w:lang w:val="en-US" w:eastAsia="zh-CN"/>
        </w:rPr>
        <w:t>日</w:t>
      </w:r>
    </w:p>
    <w:p>
      <w:pPr>
        <w:autoSpaceDE w:val="0"/>
        <w:autoSpaceDN w:val="0"/>
        <w:spacing w:line="545" w:lineRule="exact"/>
        <w:outlineLvl w:val="2"/>
        <w:rPr>
          <w:rFonts w:hint="eastAsia" w:ascii="宋体" w:hAnsi="宋体" w:cs="宋体"/>
          <w:b/>
          <w:bCs/>
          <w:color w:val="auto"/>
          <w:kern w:val="0"/>
          <w:sz w:val="44"/>
          <w:szCs w:val="44"/>
          <w:highlight w:val="none"/>
          <w:lang w:val="zh-CN" w:bidi="zh-CN"/>
        </w:rPr>
        <w:sectPr>
          <w:headerReference r:id="rId3" w:type="default"/>
          <w:footerReference r:id="rId4" w:type="even"/>
          <w:pgSz w:w="11906" w:h="16838"/>
          <w:pgMar w:top="850" w:right="972" w:bottom="850" w:left="854" w:header="851" w:footer="992" w:gutter="0"/>
          <w:cols w:space="720" w:num="1"/>
          <w:titlePg/>
          <w:docGrid w:type="lines" w:linePitch="388" w:charSpace="0"/>
        </w:sectPr>
      </w:pPr>
    </w:p>
    <w:p>
      <w:pPr>
        <w:pStyle w:val="14"/>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both"/>
        <w:textAlignment w:val="auto"/>
        <w:rPr>
          <w:rFonts w:hint="eastAsia" w:ascii="宋体" w:hAnsi="宋体" w:eastAsia="宋体" w:cs="宋体"/>
          <w:b/>
          <w:color w:val="auto"/>
          <w:spacing w:val="-6"/>
          <w:kern w:val="0"/>
          <w:sz w:val="21"/>
          <w:szCs w:val="21"/>
          <w:highlight w:val="none"/>
          <w:lang w:eastAsia="zh-CN"/>
        </w:rPr>
      </w:pPr>
    </w:p>
    <w:p>
      <w:pPr>
        <w:pStyle w:val="14"/>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pacing w:val="-6"/>
          <w:kern w:val="0"/>
          <w:sz w:val="28"/>
          <w:szCs w:val="28"/>
          <w:highlight w:val="none"/>
          <w:lang w:eastAsia="zh-CN"/>
        </w:rPr>
      </w:pPr>
      <w:r>
        <w:rPr>
          <w:rFonts w:hint="eastAsia" w:ascii="宋体" w:hAnsi="宋体" w:eastAsia="宋体" w:cs="宋体"/>
          <w:b/>
          <w:color w:val="auto"/>
          <w:spacing w:val="-6"/>
          <w:kern w:val="0"/>
          <w:sz w:val="28"/>
          <w:szCs w:val="28"/>
          <w:highlight w:val="none"/>
          <w:lang w:eastAsia="zh-CN"/>
        </w:rPr>
        <w:t>目</w:t>
      </w:r>
      <w:r>
        <w:rPr>
          <w:rFonts w:hint="eastAsia" w:ascii="宋体" w:hAnsi="宋体" w:eastAsia="宋体" w:cs="宋体"/>
          <w:b/>
          <w:color w:val="auto"/>
          <w:spacing w:val="-6"/>
          <w:kern w:val="0"/>
          <w:sz w:val="28"/>
          <w:szCs w:val="28"/>
          <w:highlight w:val="none"/>
          <w:lang w:val="en-US" w:eastAsia="zh-CN"/>
        </w:rPr>
        <w:t xml:space="preserve">  </w:t>
      </w:r>
      <w:r>
        <w:rPr>
          <w:rFonts w:hint="eastAsia" w:ascii="宋体" w:hAnsi="宋体" w:eastAsia="宋体" w:cs="宋体"/>
          <w:b/>
          <w:color w:val="auto"/>
          <w:spacing w:val="-6"/>
          <w:kern w:val="0"/>
          <w:sz w:val="28"/>
          <w:szCs w:val="28"/>
          <w:highlight w:val="none"/>
          <w:lang w:eastAsia="zh-CN"/>
        </w:rPr>
        <w:t>录</w:t>
      </w:r>
    </w:p>
    <w:p>
      <w:pPr>
        <w:rPr>
          <w:rFonts w:hint="eastAsia" w:ascii="宋体" w:hAnsi="宋体" w:eastAsia="宋体" w:cs="宋体"/>
          <w:color w:val="auto"/>
          <w:sz w:val="24"/>
          <w:szCs w:val="24"/>
          <w:highlight w:val="none"/>
          <w:lang w:eastAsia="zh-CN"/>
        </w:rPr>
      </w:pPr>
    </w:p>
    <w:p>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pacing w:val="-6"/>
          <w:kern w:val="0"/>
          <w:sz w:val="24"/>
          <w:szCs w:val="24"/>
          <w:highlight w:val="none"/>
        </w:rPr>
        <w:fldChar w:fldCharType="begin"/>
      </w:r>
      <w:r>
        <w:rPr>
          <w:rFonts w:hint="eastAsia" w:ascii="宋体" w:hAnsi="宋体" w:eastAsia="宋体" w:cs="宋体"/>
          <w:b/>
          <w:color w:val="auto"/>
          <w:spacing w:val="-6"/>
          <w:kern w:val="0"/>
          <w:sz w:val="24"/>
          <w:szCs w:val="24"/>
          <w:highlight w:val="none"/>
        </w:rPr>
        <w:instrText xml:space="preserve">TOC \o "1-2" \h \u </w:instrText>
      </w:r>
      <w:r>
        <w:rPr>
          <w:rFonts w:hint="eastAsia" w:ascii="宋体" w:hAnsi="宋体" w:eastAsia="宋体" w:cs="宋体"/>
          <w:b/>
          <w:color w:val="auto"/>
          <w:spacing w:val="-6"/>
          <w:kern w:val="0"/>
          <w:sz w:val="24"/>
          <w:szCs w:val="24"/>
          <w:highlight w:val="none"/>
        </w:rPr>
        <w:fldChar w:fldCharType="separate"/>
      </w: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_Toc15867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第一章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_Toc15867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_Toc16146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第二章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_Toc16146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_Toc19520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一、总则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_Toc19520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_Toc5168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二、磋商文件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_Toc5168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_Toc26857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三、竞争性磋商响应文件的编制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_Toc26857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_Toc2647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四、竞争性磋商（简称磋商）与评审</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_Toc2647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_Toc6064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五、签订合同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_Toc6064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_Toc26986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六、其他事项</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_Toc26986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_Toc23263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rPr>
        <w:t xml:space="preserve">第三章 </w:t>
      </w:r>
      <w:r>
        <w:rPr>
          <w:rFonts w:hint="eastAsia" w:ascii="宋体" w:hAnsi="宋体" w:eastAsia="宋体" w:cs="宋体"/>
          <w:color w:val="auto"/>
          <w:sz w:val="24"/>
          <w:szCs w:val="24"/>
          <w:highlight w:val="none"/>
          <w:lang w:eastAsia="zh-CN"/>
        </w:rPr>
        <w:t>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_Toc23263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_Toc5828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_Toc5828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_Toc5821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采购合同（合同主要条款及格式）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_Toc5821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5"/>
        <w:tabs>
          <w:tab w:val="right" w:leader="dot" w:pos="9660"/>
        </w:tabs>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_Toc6509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color w:val="auto"/>
          <w:kern w:val="44"/>
          <w:sz w:val="24"/>
          <w:szCs w:val="24"/>
          <w:highlight w:val="none"/>
        </w:rPr>
        <w:t xml:space="preserve">第六章 </w:t>
      </w:r>
      <w:r>
        <w:rPr>
          <w:rFonts w:hint="eastAsia" w:ascii="宋体" w:hAnsi="宋体" w:eastAsia="宋体" w:cs="宋体"/>
          <w:bCs/>
          <w:color w:val="auto"/>
          <w:sz w:val="24"/>
          <w:szCs w:val="24"/>
          <w:highlight w:val="none"/>
        </w:rPr>
        <w:t>响应文件（格式）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_Toc6509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_Toc15967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rPr>
        <w:t>第七章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图纸</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_Toc15967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color w:val="auto"/>
          <w:spacing w:val="-6"/>
          <w:kern w:val="0"/>
          <w:sz w:val="21"/>
          <w:szCs w:val="21"/>
          <w:highlight w:val="none"/>
        </w:rPr>
      </w:pPr>
      <w:r>
        <w:rPr>
          <w:rFonts w:hint="eastAsia" w:ascii="宋体" w:hAnsi="宋体" w:eastAsia="宋体" w:cs="宋体"/>
          <w:color w:val="auto"/>
          <w:spacing w:val="-6"/>
          <w:kern w:val="0"/>
          <w:sz w:val="24"/>
          <w:szCs w:val="24"/>
          <w:highlight w:val="none"/>
        </w:rPr>
        <w:fldChar w:fldCharType="end"/>
      </w:r>
    </w:p>
    <w:p>
      <w:pPr>
        <w:pStyle w:val="3"/>
        <w:rPr>
          <w:rFonts w:hint="eastAsia" w:ascii="宋体" w:hAnsi="宋体" w:eastAsia="宋体" w:cs="宋体"/>
          <w:color w:val="auto"/>
          <w:spacing w:val="-6"/>
          <w:kern w:val="0"/>
          <w:sz w:val="21"/>
          <w:szCs w:val="21"/>
          <w:highlight w:val="none"/>
        </w:rPr>
      </w:pPr>
    </w:p>
    <w:p>
      <w:pPr>
        <w:rPr>
          <w:rFonts w:hint="eastAsia" w:ascii="宋体" w:hAnsi="宋体" w:eastAsia="宋体" w:cs="宋体"/>
          <w:color w:val="auto"/>
          <w:spacing w:val="-6"/>
          <w:kern w:val="0"/>
          <w:sz w:val="21"/>
          <w:szCs w:val="21"/>
          <w:highlight w:val="none"/>
        </w:rPr>
      </w:pPr>
    </w:p>
    <w:p>
      <w:pPr>
        <w:rPr>
          <w:rFonts w:hint="eastAsia" w:ascii="宋体" w:hAnsi="宋体" w:eastAsia="宋体" w:cs="宋体"/>
          <w:color w:val="auto"/>
          <w:spacing w:val="-6"/>
          <w:kern w:val="0"/>
          <w:sz w:val="21"/>
          <w:szCs w:val="21"/>
          <w:highlight w:val="none"/>
        </w:rPr>
      </w:pPr>
    </w:p>
    <w:p>
      <w:pPr>
        <w:rPr>
          <w:rFonts w:hint="eastAsia" w:ascii="宋体" w:hAnsi="宋体" w:eastAsia="宋体" w:cs="宋体"/>
          <w:color w:val="auto"/>
          <w:sz w:val="21"/>
          <w:szCs w:val="21"/>
          <w:highlight w:val="none"/>
        </w:rPr>
      </w:pPr>
    </w:p>
    <w:p>
      <w:pPr>
        <w:pStyle w:val="2"/>
        <w:numPr>
          <w:ilvl w:val="0"/>
          <w:numId w:val="1"/>
        </w:numPr>
        <w:tabs>
          <w:tab w:val="left" w:pos="0"/>
        </w:tabs>
        <w:autoSpaceDE w:val="0"/>
        <w:autoSpaceDN w:val="0"/>
        <w:adjustRightInd w:val="0"/>
        <w:spacing w:before="0" w:after="0" w:line="360" w:lineRule="auto"/>
        <w:ind w:firstLine="425"/>
        <w:jc w:val="center"/>
        <w:rPr>
          <w:rFonts w:hint="eastAsia" w:ascii="宋体" w:hAnsi="宋体" w:eastAsia="宋体" w:cs="宋体"/>
          <w:color w:val="auto"/>
          <w:sz w:val="21"/>
          <w:szCs w:val="21"/>
          <w:highlight w:val="none"/>
        </w:rPr>
        <w:sectPr>
          <w:footerReference r:id="rId6" w:type="first"/>
          <w:footerReference r:id="rId5" w:type="default"/>
          <w:pgSz w:w="11906" w:h="16838"/>
          <w:pgMar w:top="1418" w:right="1115" w:bottom="1418" w:left="1131" w:header="851" w:footer="992" w:gutter="0"/>
          <w:pgNumType w:fmt="decimal" w:start="1"/>
          <w:cols w:space="720" w:num="1"/>
          <w:titlePg/>
          <w:docGrid w:type="lines" w:linePitch="312" w:charSpace="0"/>
        </w:sectPr>
      </w:pPr>
      <w:bookmarkStart w:id="0" w:name="_Toc26809"/>
      <w:bookmarkStart w:id="1" w:name="_Toc35393797"/>
      <w:bookmarkStart w:id="2" w:name="_Toc30170"/>
      <w:bookmarkStart w:id="3" w:name="_Toc28359011"/>
      <w:bookmarkStart w:id="4" w:name="_Toc21930"/>
    </w:p>
    <w:p>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rPr>
      </w:pPr>
      <w:bookmarkStart w:id="5" w:name="_Toc15867"/>
      <w:r>
        <w:rPr>
          <w:rFonts w:hint="eastAsia" w:ascii="宋体" w:hAnsi="宋体" w:eastAsia="宋体" w:cs="宋体"/>
          <w:color w:val="auto"/>
          <w:sz w:val="28"/>
          <w:szCs w:val="28"/>
          <w:highlight w:val="none"/>
          <w:lang w:eastAsia="zh-CN"/>
        </w:rPr>
        <w:t>第一章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竞争性磋商公告</w:t>
      </w:r>
      <w:bookmarkEnd w:id="0"/>
      <w:bookmarkEnd w:id="1"/>
      <w:bookmarkEnd w:id="2"/>
      <w:bookmarkEnd w:id="3"/>
      <w:bookmarkEnd w:id="4"/>
      <w:bookmarkEnd w:id="5"/>
    </w:p>
    <w:tbl>
      <w:tblPr>
        <w:tblStyle w:val="19"/>
        <w:tblpPr w:leftFromText="180" w:rightFromText="180" w:vertAnchor="text" w:tblpX="38" w:tblpY="134"/>
        <w:tblOverlap w:val="never"/>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320" w:type="dxa"/>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s="宋体"/>
                <w:b w:val="0"/>
                <w:bCs w:val="0"/>
                <w:color w:val="auto"/>
                <w:kern w:val="2"/>
                <w:sz w:val="21"/>
                <w:szCs w:val="21"/>
                <w:highlight w:val="none"/>
                <w:u w:val="single"/>
                <w:lang w:val="en-US" w:eastAsia="zh-CN" w:bidi="ar-SA"/>
              </w:rPr>
              <w:t>灌阳县西山瑶族乡2024年少数民族特色村寨与乡村旅游融合发展（民宿）项目</w:t>
            </w:r>
            <w:r>
              <w:rPr>
                <w:rFonts w:hint="eastAsia" w:ascii="宋体" w:hAnsi="宋体" w:eastAsia="宋体" w:cs="宋体"/>
                <w:b w:val="0"/>
                <w:bCs w:val="0"/>
                <w:color w:val="auto"/>
                <w:kern w:val="2"/>
                <w:sz w:val="21"/>
                <w:szCs w:val="21"/>
                <w:highlight w:val="none"/>
                <w:lang w:val="en-US" w:eastAsia="zh-CN" w:bidi="ar-SA"/>
              </w:rPr>
              <w:t>的潜在供应商应在</w:t>
            </w:r>
            <w:r>
              <w:rPr>
                <w:rFonts w:hint="eastAsia" w:ascii="宋体" w:hAnsi="宋体" w:eastAsia="宋体" w:cs="宋体"/>
                <w:b w:val="0"/>
                <w:bCs w:val="0"/>
                <w:color w:val="auto"/>
                <w:kern w:val="2"/>
                <w:sz w:val="21"/>
                <w:szCs w:val="21"/>
                <w:highlight w:val="none"/>
                <w:u w:val="single"/>
                <w:lang w:val="en-US" w:eastAsia="zh-CN" w:bidi="ar-SA"/>
              </w:rPr>
              <w:t>广西政府采购云平台（ https://www.gcy.zfcg.gxzf.gov.cn/）</w:t>
            </w:r>
            <w:r>
              <w:rPr>
                <w:rFonts w:hint="eastAsia" w:ascii="宋体" w:hAnsi="宋体" w:eastAsia="宋体" w:cs="宋体"/>
                <w:b w:val="0"/>
                <w:bCs w:val="0"/>
                <w:color w:val="auto"/>
                <w:kern w:val="2"/>
                <w:sz w:val="21"/>
                <w:szCs w:val="21"/>
                <w:highlight w:val="none"/>
                <w:lang w:val="en-US" w:eastAsia="zh-CN" w:bidi="ar-SA"/>
              </w:rPr>
              <w:t>获取采购文件，并于2024年</w:t>
            </w:r>
            <w:r>
              <w:rPr>
                <w:rFonts w:hint="eastAsia" w:ascii="宋体" w:hAnsi="宋体" w:cs="宋体"/>
                <w:b w:val="0"/>
                <w:bCs w:val="0"/>
                <w:color w:val="auto"/>
                <w:kern w:val="2"/>
                <w:sz w:val="21"/>
                <w:szCs w:val="21"/>
                <w:highlight w:val="none"/>
                <w:lang w:val="en-US" w:eastAsia="zh-CN" w:bidi="ar-SA"/>
              </w:rPr>
              <w:t>5</w:t>
            </w:r>
            <w:r>
              <w:rPr>
                <w:rFonts w:hint="eastAsia" w:ascii="宋体" w:hAnsi="宋体" w:eastAsia="宋体" w:cs="宋体"/>
                <w:b w:val="0"/>
                <w:bCs w:val="0"/>
                <w:color w:val="auto"/>
                <w:kern w:val="2"/>
                <w:sz w:val="21"/>
                <w:szCs w:val="21"/>
                <w:highlight w:val="none"/>
                <w:lang w:val="en-US" w:eastAsia="zh-CN" w:bidi="ar-SA"/>
              </w:rPr>
              <w:t>月</w:t>
            </w:r>
            <w:r>
              <w:rPr>
                <w:rFonts w:hint="eastAsia" w:ascii="宋体" w:hAnsi="宋体" w:cs="宋体"/>
                <w:b w:val="0"/>
                <w:bCs w:val="0"/>
                <w:color w:val="auto"/>
                <w:kern w:val="2"/>
                <w:sz w:val="21"/>
                <w:szCs w:val="21"/>
                <w:highlight w:val="none"/>
                <w:lang w:val="en-US" w:eastAsia="zh-CN" w:bidi="ar-SA"/>
              </w:rPr>
              <w:t>22</w:t>
            </w:r>
            <w:r>
              <w:rPr>
                <w:rFonts w:hint="eastAsia" w:ascii="宋体" w:hAnsi="宋体" w:eastAsia="宋体" w:cs="宋体"/>
                <w:b w:val="0"/>
                <w:bCs w:val="0"/>
                <w:color w:val="auto"/>
                <w:kern w:val="2"/>
                <w:sz w:val="21"/>
                <w:szCs w:val="21"/>
                <w:highlight w:val="none"/>
                <w:lang w:val="en-US" w:eastAsia="zh-CN" w:bidi="ar-SA"/>
              </w:rPr>
              <w:t>日</w:t>
            </w:r>
            <w:r>
              <w:rPr>
                <w:rFonts w:hint="eastAsia" w:ascii="宋体" w:hAnsi="宋体" w:cs="宋体"/>
                <w:b w:val="0"/>
                <w:bCs w:val="0"/>
                <w:color w:val="auto"/>
                <w:kern w:val="2"/>
                <w:sz w:val="21"/>
                <w:szCs w:val="21"/>
                <w:highlight w:val="none"/>
                <w:lang w:val="en-US" w:eastAsia="zh-CN" w:bidi="ar-SA"/>
              </w:rPr>
              <w:t>9：</w:t>
            </w:r>
            <w:r>
              <w:rPr>
                <w:rFonts w:hint="eastAsia" w:ascii="宋体" w:hAnsi="宋体" w:eastAsia="宋体" w:cs="宋体"/>
                <w:b w:val="0"/>
                <w:bCs w:val="0"/>
                <w:color w:val="auto"/>
                <w:kern w:val="2"/>
                <w:sz w:val="21"/>
                <w:szCs w:val="21"/>
                <w:highlight w:val="none"/>
                <w:lang w:val="en-US" w:eastAsia="zh-CN" w:bidi="ar-SA"/>
              </w:rPr>
              <w:t>30（北京时间）前提交响应文件。</w:t>
            </w:r>
          </w:p>
        </w:tc>
      </w:tr>
    </w:tbl>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rPr>
      </w:pPr>
      <w:bookmarkStart w:id="6" w:name="_Toc28359089"/>
      <w:bookmarkStart w:id="7" w:name="_Toc28359012"/>
      <w:bookmarkStart w:id="8" w:name="_Toc35393798"/>
      <w:bookmarkStart w:id="9" w:name="_Toc35393629"/>
      <w:r>
        <w:rPr>
          <w:rFonts w:hint="eastAsia" w:ascii="宋体" w:hAnsi="宋体" w:eastAsia="宋体" w:cs="宋体"/>
          <w:b/>
          <w:bCs/>
          <w:color w:val="auto"/>
          <w:sz w:val="21"/>
          <w:szCs w:val="21"/>
          <w:highlight w:val="none"/>
        </w:rPr>
        <w:t>一、项目基本情况</w:t>
      </w:r>
      <w:bookmarkEnd w:id="6"/>
      <w:bookmarkEnd w:id="7"/>
      <w:bookmarkEnd w:id="8"/>
      <w:bookmarkEnd w:id="9"/>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GLZC2024-C2-270160-GXJY</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u w:val="single"/>
          <w:lang w:eastAsia="zh-CN"/>
        </w:rPr>
      </w:pPr>
      <w:r>
        <w:rPr>
          <w:rFonts w:hint="eastAsia" w:ascii="宋体" w:hAnsi="宋体" w:eastAsia="宋体" w:cs="宋体"/>
          <w:color w:val="auto"/>
          <w:sz w:val="21"/>
          <w:szCs w:val="21"/>
          <w:highlight w:val="none"/>
        </w:rPr>
        <w:t>项目名称：</w:t>
      </w:r>
      <w:r>
        <w:rPr>
          <w:rFonts w:hint="eastAsia" w:ascii="宋体" w:hAnsi="宋体" w:cs="宋体"/>
          <w:b w:val="0"/>
          <w:bCs w:val="0"/>
          <w:color w:val="auto"/>
          <w:sz w:val="21"/>
          <w:szCs w:val="21"/>
          <w:highlight w:val="none"/>
          <w:lang w:val="en-US" w:eastAsia="zh-CN"/>
        </w:rPr>
        <w:t>灌阳县西山瑶族乡2024年少数民族特色村寨与乡村旅游融合发展（民宿）项目</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采购方式：竞争性磋商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预算</w:t>
      </w:r>
      <w:r>
        <w:rPr>
          <w:rFonts w:hint="eastAsia" w:ascii="宋体" w:hAnsi="宋体" w:cs="宋体"/>
          <w:b w:val="0"/>
          <w:bCs w:val="0"/>
          <w:color w:val="auto"/>
          <w:sz w:val="21"/>
          <w:szCs w:val="21"/>
          <w:highlight w:val="none"/>
          <w:lang w:val="en-US" w:eastAsia="zh-CN"/>
        </w:rPr>
        <w:t>总</w:t>
      </w:r>
      <w:r>
        <w:rPr>
          <w:rFonts w:hint="eastAsia" w:ascii="宋体" w:hAnsi="宋体" w:eastAsia="宋体" w:cs="宋体"/>
          <w:b w:val="0"/>
          <w:bCs w:val="0"/>
          <w:color w:val="auto"/>
          <w:sz w:val="21"/>
          <w:szCs w:val="21"/>
          <w:highlight w:val="none"/>
          <w:lang w:val="en-US" w:eastAsia="zh-CN"/>
        </w:rPr>
        <w:t>金额（元）：</w:t>
      </w:r>
      <w:r>
        <w:rPr>
          <w:rFonts w:hint="eastAsia" w:ascii="宋体" w:hAnsi="宋体" w:cs="宋体"/>
          <w:b w:val="0"/>
          <w:bCs w:val="0"/>
          <w:color w:val="auto"/>
          <w:kern w:val="2"/>
          <w:sz w:val="21"/>
          <w:szCs w:val="21"/>
          <w:highlight w:val="none"/>
          <w:lang w:val="en-US" w:eastAsia="zh-CN" w:bidi="ar-SA"/>
        </w:rPr>
        <w:t>968988.26</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采购需求：</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标项名称：</w:t>
      </w:r>
      <w:r>
        <w:rPr>
          <w:rFonts w:hint="eastAsia" w:ascii="宋体" w:hAnsi="宋体" w:cs="宋体"/>
          <w:b w:val="0"/>
          <w:bCs w:val="0"/>
          <w:color w:val="auto"/>
          <w:sz w:val="21"/>
          <w:szCs w:val="21"/>
          <w:highlight w:val="none"/>
          <w:lang w:val="en-US" w:eastAsia="zh-CN"/>
        </w:rPr>
        <w:t>灌阳县西山瑶族乡2024年少数民族特色村寨与乡村旅游融合发展（民宿）项目</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数量：</w:t>
      </w:r>
      <w:r>
        <w:rPr>
          <w:rFonts w:hint="eastAsia" w:ascii="宋体" w:hAnsi="宋体" w:cs="宋体"/>
          <w:b w:val="0"/>
          <w:bCs w:val="0"/>
          <w:color w:val="auto"/>
          <w:sz w:val="21"/>
          <w:szCs w:val="21"/>
          <w:highlight w:val="none"/>
          <w:lang w:val="en-US" w:eastAsia="zh-CN"/>
        </w:rPr>
        <w:t>不限</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预算金额（元）：</w:t>
      </w:r>
      <w:r>
        <w:rPr>
          <w:rFonts w:hint="eastAsia" w:ascii="宋体" w:hAnsi="宋体" w:cs="宋体"/>
          <w:b w:val="0"/>
          <w:bCs w:val="0"/>
          <w:color w:val="auto"/>
          <w:kern w:val="2"/>
          <w:sz w:val="21"/>
          <w:szCs w:val="21"/>
          <w:highlight w:val="none"/>
          <w:lang w:val="en-US" w:eastAsia="zh-CN" w:bidi="ar-SA"/>
        </w:rPr>
        <w:t>968988.26</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简要规格描述或项目基本概况介绍、用途：</w:t>
      </w:r>
      <w:r>
        <w:rPr>
          <w:rFonts w:hint="eastAsia" w:ascii="宋体" w:hAnsi="宋体" w:cs="宋体"/>
          <w:b w:val="0"/>
          <w:bCs w:val="0"/>
          <w:color w:val="auto"/>
          <w:sz w:val="21"/>
          <w:szCs w:val="21"/>
          <w:highlight w:val="none"/>
          <w:lang w:val="en-US" w:eastAsia="zh-CN"/>
        </w:rPr>
        <w:t>灌阳县西山瑶族乡2024年少数民族特色村寨与乡村旅游融合发展（民宿）项目具体详见工程量清单、图纸等要求的内容</w:t>
      </w:r>
      <w:r>
        <w:rPr>
          <w:rFonts w:hint="eastAsia" w:ascii="宋体" w:hAnsi="宋体" w:eastAsia="宋体" w:cs="宋体"/>
          <w:b w:val="0"/>
          <w:bCs w:val="0"/>
          <w:color w:val="auto"/>
          <w:kern w:val="2"/>
          <w:sz w:val="21"/>
          <w:szCs w:val="21"/>
          <w:highlight w:val="none"/>
          <w:lang w:val="en-US" w:eastAsia="zh-CN" w:bidi="ar-SA"/>
        </w:rPr>
        <w:t>。</w:t>
      </w:r>
    </w:p>
    <w:p>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最高限价（如有） ：</w:t>
      </w:r>
      <w:r>
        <w:rPr>
          <w:rFonts w:hint="eastAsia" w:ascii="宋体" w:hAnsi="宋体" w:cs="宋体"/>
          <w:b w:val="0"/>
          <w:bCs w:val="0"/>
          <w:color w:val="auto"/>
          <w:kern w:val="2"/>
          <w:sz w:val="21"/>
          <w:szCs w:val="21"/>
          <w:highlight w:val="none"/>
          <w:lang w:val="en-US" w:eastAsia="zh-CN" w:bidi="ar-SA"/>
        </w:rPr>
        <w:t>968988.26</w:t>
      </w:r>
      <w:r>
        <w:rPr>
          <w:rFonts w:hint="eastAsia" w:ascii="宋体" w:hAnsi="宋体" w:eastAsia="宋体" w:cs="宋体"/>
          <w:b w:val="0"/>
          <w:bCs w:val="0"/>
          <w:color w:val="auto"/>
          <w:kern w:val="2"/>
          <w:sz w:val="21"/>
          <w:szCs w:val="21"/>
          <w:highlight w:val="none"/>
          <w:lang w:val="en-US" w:eastAsia="zh-CN" w:bidi="ar-SA"/>
        </w:rPr>
        <w:t>元</w:t>
      </w:r>
    </w:p>
    <w:p>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合同履约期限：自合同签订之日起</w:t>
      </w:r>
      <w:r>
        <w:rPr>
          <w:rFonts w:hint="eastAsia" w:ascii="宋体" w:hAnsi="宋体" w:cs="宋体"/>
          <w:b w:val="0"/>
          <w:bCs w:val="0"/>
          <w:color w:val="auto"/>
          <w:kern w:val="2"/>
          <w:sz w:val="21"/>
          <w:szCs w:val="21"/>
          <w:highlight w:val="none"/>
          <w:lang w:val="en-US" w:eastAsia="zh-CN" w:bidi="ar-SA"/>
        </w:rPr>
        <w:t>90</w:t>
      </w:r>
      <w:r>
        <w:rPr>
          <w:rFonts w:hint="eastAsia" w:ascii="宋体" w:hAnsi="宋体" w:eastAsia="宋体" w:cs="宋体"/>
          <w:b w:val="0"/>
          <w:bCs w:val="0"/>
          <w:color w:val="auto"/>
          <w:kern w:val="2"/>
          <w:sz w:val="21"/>
          <w:szCs w:val="21"/>
          <w:highlight w:val="none"/>
          <w:lang w:val="en-US" w:eastAsia="zh-CN" w:bidi="ar-SA"/>
        </w:rPr>
        <w:t>个日历天内完工。</w:t>
      </w:r>
    </w:p>
    <w:p>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本标项（否）接受联合体投标</w:t>
      </w:r>
    </w:p>
    <w:p>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备注：本项目为线上电子标项目，有意向参与本项目的供应商应当做好参与全流程电子标交易的充分准备。</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10" w:name="_Toc28359090"/>
      <w:bookmarkStart w:id="11" w:name="_Toc35393799"/>
      <w:bookmarkStart w:id="12" w:name="_Toc35393630"/>
      <w:bookmarkStart w:id="13" w:name="_Toc28359013"/>
      <w:r>
        <w:rPr>
          <w:rFonts w:hint="eastAsia" w:ascii="宋体" w:hAnsi="宋体" w:eastAsia="宋体" w:cs="宋体"/>
          <w:b/>
          <w:bCs/>
          <w:color w:val="auto"/>
          <w:sz w:val="21"/>
          <w:szCs w:val="21"/>
          <w:highlight w:val="none"/>
        </w:rPr>
        <w:t>二、申请人的资格要求：</w:t>
      </w:r>
      <w:bookmarkEnd w:id="10"/>
      <w:bookmarkEnd w:id="11"/>
      <w:bookmarkEnd w:id="12"/>
      <w:bookmarkEnd w:id="13"/>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bookmarkStart w:id="14" w:name="_Toc28359091"/>
      <w:bookmarkStart w:id="15" w:name="_Toc28359014"/>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落实政府采购政策需满足的资格要求：专门面向中小企业采购的项目（供应商应为中小微企业、监狱企业、残疾人福利性单位)</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bCs/>
          <w:color w:val="auto"/>
          <w:sz w:val="21"/>
          <w:szCs w:val="21"/>
          <w:highlight w:val="none"/>
        </w:rPr>
        <w:t>本项目的特定资格要求：</w:t>
      </w:r>
      <w:bookmarkStart w:id="16" w:name="_Toc35393800"/>
      <w:bookmarkStart w:id="17" w:name="_Toc35393631"/>
      <w:r>
        <w:rPr>
          <w:rFonts w:hint="eastAsia" w:ascii="宋体" w:hAnsi="宋体" w:eastAsia="宋体" w:cs="宋体"/>
          <w:b w:val="0"/>
          <w:bCs w:val="0"/>
          <w:color w:val="auto"/>
          <w:sz w:val="21"/>
          <w:szCs w:val="21"/>
          <w:highlight w:val="none"/>
        </w:rPr>
        <w:t>供应商须具备建筑工程施工总承包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级）以上资质，并具有省级或以上建设行政主管部门颁发的建筑施工企业安全生产许可证，并在人员、设备、资金等方面具有相应的施工能力；拟派项目经理须具备建筑工程专业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cs="宋体"/>
          <w:b w:val="0"/>
          <w:bCs w:val="0"/>
          <w:color w:val="auto"/>
          <w:kern w:val="0"/>
          <w:sz w:val="21"/>
          <w:szCs w:val="21"/>
          <w:highlight w:val="none"/>
          <w:lang w:eastAsia="zh-CN"/>
        </w:rPr>
        <w:t>。</w:t>
      </w:r>
    </w:p>
    <w:bookmarkEnd w:id="14"/>
    <w:bookmarkEnd w:id="15"/>
    <w:bookmarkEnd w:id="16"/>
    <w:bookmarkEnd w:id="17"/>
    <w:p>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lang w:eastAsia="zh-CN"/>
        </w:rPr>
      </w:pPr>
      <w:bookmarkStart w:id="18" w:name="_Toc35393623"/>
      <w:bookmarkStart w:id="19" w:name="_Toc35393792"/>
      <w:bookmarkStart w:id="20" w:name="_Toc35393636"/>
      <w:bookmarkStart w:id="21" w:name="_Toc28359018"/>
      <w:bookmarkStart w:id="22" w:name="_Toc28359095"/>
      <w:bookmarkStart w:id="23" w:name="_Toc35393805"/>
      <w:r>
        <w:rPr>
          <w:rFonts w:hint="eastAsia" w:ascii="宋体" w:hAnsi="宋体" w:eastAsia="宋体" w:cs="宋体"/>
          <w:b/>
          <w:bCs/>
          <w:color w:val="auto"/>
          <w:sz w:val="21"/>
          <w:szCs w:val="21"/>
          <w:highlight w:val="none"/>
        </w:rPr>
        <w:t>三、获取</w:t>
      </w:r>
      <w:r>
        <w:rPr>
          <w:rFonts w:hint="eastAsia" w:ascii="宋体" w:hAnsi="宋体" w:eastAsia="宋体" w:cs="宋体"/>
          <w:b/>
          <w:bCs/>
          <w:color w:val="auto"/>
          <w:sz w:val="21"/>
          <w:szCs w:val="21"/>
          <w:highlight w:val="none"/>
          <w:lang w:eastAsia="zh-CN"/>
        </w:rPr>
        <w:t>采购</w:t>
      </w:r>
      <w:r>
        <w:rPr>
          <w:rFonts w:hint="eastAsia" w:ascii="宋体" w:hAnsi="宋体" w:eastAsia="宋体" w:cs="宋体"/>
          <w:b/>
          <w:bCs/>
          <w:color w:val="auto"/>
          <w:sz w:val="21"/>
          <w:szCs w:val="21"/>
          <w:highlight w:val="none"/>
        </w:rPr>
        <w:t>文件</w:t>
      </w:r>
      <w:bookmarkEnd w:id="18"/>
      <w:bookmarkEnd w:id="19"/>
      <w:r>
        <w:rPr>
          <w:rFonts w:hint="eastAsia" w:ascii="宋体" w:hAnsi="宋体" w:eastAsia="宋体" w:cs="宋体"/>
          <w:b/>
          <w:bCs/>
          <w:color w:val="auto"/>
          <w:sz w:val="21"/>
          <w:szCs w:val="21"/>
          <w:highlight w:val="none"/>
          <w:lang w:eastAsia="zh-CN"/>
        </w:rPr>
        <w:t>：</w:t>
      </w:r>
    </w:p>
    <w:p>
      <w:pPr>
        <w:pStyle w:val="16"/>
        <w:keepNext w:val="0"/>
        <w:keepLines w:val="0"/>
        <w:pageBreakBefore w:val="0"/>
        <w:widowControl/>
        <w:wordWrap/>
        <w:overflowPunct/>
        <w:topLinePunct w:val="0"/>
        <w:bidi w:val="0"/>
        <w:spacing w:before="0" w:beforeAutospacing="0" w:after="0" w:afterAutospacing="0" w:line="400" w:lineRule="exact"/>
        <w:ind w:firstLine="420" w:firstLineChars="200"/>
        <w:rPr>
          <w:rFonts w:hint="eastAsia" w:ascii="宋体" w:hAnsi="宋体" w:eastAsia="宋体" w:cs="宋体"/>
          <w:color w:val="auto"/>
          <w:kern w:val="2"/>
          <w:sz w:val="21"/>
          <w:szCs w:val="21"/>
          <w:highlight w:val="none"/>
          <w:lang w:val="en-US" w:eastAsia="zh-CN" w:bidi="ar-SA"/>
        </w:rPr>
      </w:pPr>
      <w:bookmarkStart w:id="24" w:name="_Toc35393624"/>
      <w:bookmarkStart w:id="25" w:name="_Toc35393793"/>
      <w:bookmarkStart w:id="26" w:name="_Toc28359005"/>
      <w:bookmarkStart w:id="27" w:name="_Toc28359082"/>
      <w:r>
        <w:rPr>
          <w:rFonts w:hint="eastAsia" w:ascii="宋体" w:hAnsi="宋体" w:eastAsia="宋体" w:cs="宋体"/>
          <w:color w:val="auto"/>
          <w:kern w:val="2"/>
          <w:sz w:val="21"/>
          <w:szCs w:val="21"/>
          <w:highlight w:val="none"/>
          <w:lang w:val="en-US" w:eastAsia="zh-CN" w:bidi="ar-SA"/>
        </w:rPr>
        <w:t>时间：2024年</w:t>
      </w: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11</w:t>
      </w:r>
      <w:r>
        <w:rPr>
          <w:rFonts w:hint="eastAsia" w:ascii="宋体" w:hAnsi="宋体" w:eastAsia="宋体" w:cs="宋体"/>
          <w:color w:val="auto"/>
          <w:kern w:val="2"/>
          <w:sz w:val="21"/>
          <w:szCs w:val="21"/>
          <w:highlight w:val="none"/>
          <w:lang w:val="en-US" w:eastAsia="zh-CN" w:bidi="ar-SA"/>
        </w:rPr>
        <w:t>日至2024年</w:t>
      </w: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22</w:t>
      </w:r>
      <w:r>
        <w:rPr>
          <w:rFonts w:hint="eastAsia" w:ascii="宋体" w:hAnsi="宋体" w:eastAsia="宋体" w:cs="宋体"/>
          <w:color w:val="auto"/>
          <w:kern w:val="2"/>
          <w:sz w:val="21"/>
          <w:szCs w:val="21"/>
          <w:highlight w:val="none"/>
          <w:lang w:val="en-US" w:eastAsia="zh-CN" w:bidi="ar-SA"/>
        </w:rPr>
        <w:t>日，每天上午00:00至12:00，下午12:00至23:59（北京时间，法定节假日除外）。</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地点（网址）：广西政府采购云平台（ https://www.gcy.zfcg.gxzf.gov.cn/）。</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方式：供应商登录广西政府采购云平台（ https://www.gcy.zfcg.gxzf.gov.cn/）在线申请获取采购文件（进入“项目采购”应用，在获取采购文件菜单中选择项目，申请获取采购文件）。</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售价（元）：0 </w:t>
      </w:r>
    </w:p>
    <w:p>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w:t>
      </w:r>
      <w:bookmarkEnd w:id="24"/>
      <w:bookmarkEnd w:id="25"/>
      <w:bookmarkEnd w:id="26"/>
      <w:bookmarkEnd w:id="27"/>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w:t>
      </w:r>
      <w:r>
        <w:rPr>
          <w:rFonts w:hint="eastAsia" w:ascii="宋体" w:hAnsi="宋体" w:eastAsia="宋体" w:cs="宋体"/>
          <w:b/>
          <w:bCs/>
          <w:color w:val="auto"/>
          <w:sz w:val="21"/>
          <w:szCs w:val="21"/>
          <w:highlight w:val="none"/>
          <w:lang w:eastAsia="zh-CN"/>
        </w:rPr>
        <w:t>提交</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截止</w:t>
      </w:r>
      <w:r>
        <w:rPr>
          <w:rFonts w:hint="eastAsia" w:ascii="宋体" w:hAnsi="宋体" w:eastAsia="宋体" w:cs="宋体"/>
          <w:bCs/>
          <w:color w:val="auto"/>
          <w:sz w:val="21"/>
          <w:szCs w:val="21"/>
          <w:highlight w:val="none"/>
        </w:rPr>
        <w:t>时间：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22</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bCs/>
          <w:color w:val="auto"/>
          <w:sz w:val="21"/>
          <w:szCs w:val="21"/>
          <w:highlight w:val="none"/>
        </w:rPr>
        <w:t>（北京时间）。</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点：通过广西政府采购云平台实行在线投标。</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w:t>
      </w:r>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文件开启</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22</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color w:val="auto"/>
          <w:sz w:val="21"/>
          <w:szCs w:val="21"/>
          <w:highlight w:val="none"/>
        </w:rPr>
        <w:t>（北京时间）截标。</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bookmarkStart w:id="28" w:name="_Toc28359007"/>
      <w:bookmarkStart w:id="29" w:name="_Toc35393794"/>
      <w:bookmarkStart w:id="30" w:name="_Toc35393625"/>
      <w:bookmarkStart w:id="31" w:name="_Toc28359084"/>
      <w:r>
        <w:rPr>
          <w:rFonts w:hint="eastAsia" w:ascii="宋体" w:hAnsi="宋体" w:eastAsia="宋体" w:cs="宋体"/>
          <w:color w:val="auto"/>
          <w:sz w:val="21"/>
          <w:szCs w:val="21"/>
          <w:highlight w:val="none"/>
        </w:rPr>
        <w:t>地点：桂林市公共资源交易中心</w:t>
      </w:r>
      <w:r>
        <w:rPr>
          <w:rFonts w:hint="eastAsia" w:ascii="宋体" w:hAnsi="宋体" w:cs="宋体"/>
          <w:color w:val="auto"/>
          <w:sz w:val="21"/>
          <w:szCs w:val="21"/>
          <w:highlight w:val="none"/>
          <w:lang w:val="en-US" w:eastAsia="zh-CN"/>
        </w:rPr>
        <w:t>13</w:t>
      </w:r>
      <w:r>
        <w:rPr>
          <w:rFonts w:hint="eastAsia" w:ascii="宋体" w:hAnsi="宋体" w:eastAsia="宋体" w:cs="宋体"/>
          <w:color w:val="auto"/>
          <w:sz w:val="21"/>
          <w:szCs w:val="21"/>
          <w:highlight w:val="none"/>
        </w:rPr>
        <w:t>号开标室（广西桂林市临桂区西城中路69号创业大厦西辅楼4楼北区）通过广西政府采购云平台实行在线解密开启。</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六</w:t>
      </w:r>
      <w:r>
        <w:rPr>
          <w:rFonts w:hint="eastAsia" w:ascii="宋体" w:hAnsi="宋体" w:eastAsia="宋体" w:cs="宋体"/>
          <w:b/>
          <w:bCs/>
          <w:color w:val="auto"/>
          <w:sz w:val="21"/>
          <w:szCs w:val="21"/>
          <w:highlight w:val="none"/>
        </w:rPr>
        <w:t>、公告期限</w:t>
      </w:r>
      <w:bookmarkEnd w:id="28"/>
      <w:bookmarkEnd w:id="29"/>
      <w:bookmarkEnd w:id="30"/>
      <w:bookmarkEnd w:id="31"/>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个工作日。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32" w:name="_Toc35393626"/>
      <w:bookmarkStart w:id="33" w:name="_Toc35393795"/>
      <w:r>
        <w:rPr>
          <w:rFonts w:hint="eastAsia" w:ascii="宋体" w:hAnsi="宋体" w:eastAsia="宋体" w:cs="宋体"/>
          <w:b/>
          <w:bCs/>
          <w:color w:val="auto"/>
          <w:sz w:val="21"/>
          <w:szCs w:val="21"/>
          <w:highlight w:val="none"/>
          <w:lang w:eastAsia="zh-CN"/>
        </w:rPr>
        <w:t>七</w:t>
      </w:r>
      <w:r>
        <w:rPr>
          <w:rFonts w:hint="eastAsia" w:ascii="宋体" w:hAnsi="宋体" w:eastAsia="宋体" w:cs="宋体"/>
          <w:b/>
          <w:bCs/>
          <w:color w:val="auto"/>
          <w:sz w:val="21"/>
          <w:szCs w:val="21"/>
          <w:highlight w:val="none"/>
        </w:rPr>
        <w:t>、其他补充事宜</w:t>
      </w:r>
      <w:bookmarkEnd w:id="32"/>
      <w:bookmarkEnd w:id="33"/>
    </w:p>
    <w:p>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1.资格条件特别说明</w:t>
      </w:r>
    </w:p>
    <w:p>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本项目需要落实的政府采购政策：</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（1）《政府采购促进中小企业发展管理办法》（财库〔2020〕46号）。</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（2）《关于进一步加大政府采购支持中小企业力度的通知》（财库〔2022〕19号）。</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（3）《关于政府采购支持监狱企业发展有关问题的通知》（财库〔2014〕68号）。</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（4）《关于促进残疾人就业政府采购政策的通知》（财库〔2017〕141号）。</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（5）政府采购扶持不发达地区和少数民族地区。</w:t>
      </w:r>
    </w:p>
    <w:p>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bCs/>
          <w:color w:val="auto"/>
          <w:sz w:val="21"/>
          <w:szCs w:val="21"/>
          <w:highlight w:val="none"/>
          <w:lang w:val="en-US" w:eastAsia="zh-CN"/>
        </w:rPr>
        <w:t>中小企业划分标准所属行业：“建筑业”</w:t>
      </w:r>
      <w:r>
        <w:rPr>
          <w:rFonts w:hint="eastAsia" w:ascii="宋体" w:hAnsi="宋体" w:eastAsia="宋体" w:cs="宋体"/>
          <w:b w:val="0"/>
          <w:bCs w:val="0"/>
          <w:color w:val="auto"/>
          <w:sz w:val="21"/>
          <w:szCs w:val="21"/>
          <w:highlight w:val="none"/>
          <w:lang w:val="en-US" w:eastAsia="zh-CN"/>
        </w:rPr>
        <w:t>。</w:t>
      </w:r>
    </w:p>
    <w:p>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本项目信息发布媒体：http://www.ccgp.gov.cn（中国政府采购网）、http://zfcg.gxzf.gov.cn（广西壮族自治区政府采购网）、http://zfcg.czj.guilin.gov.cn（桂林市政府采购网）</w:t>
      </w:r>
      <w:r>
        <w:rPr>
          <w:rFonts w:hint="eastAsia" w:ascii="宋体" w:hAnsi="宋体" w:eastAsia="宋体" w:cs="宋体"/>
          <w:color w:val="auto"/>
          <w:sz w:val="21"/>
          <w:szCs w:val="21"/>
          <w:highlight w:val="none"/>
          <w:lang w:eastAsia="zh-CN"/>
        </w:rPr>
        <w:t>。</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4.在线投标响应（电子投标）说明</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（2）电子竞标具体操作流程参考《政府采购项目电子交易管理操作指南-供应商》；如遇平台技术问题详询95763。</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（3）电子响应文件的制作、加密、提交、解密等相关事宜详见第二章 “磋商供应商须知”。</w:t>
      </w:r>
    </w:p>
    <w:p>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5.本项目需要磋商供应商代表在截标当天截标后，按磋商小组要求及时登陆广西政府采购云平台等候在线磋商及提交最后报价。</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kern w:val="2"/>
          <w:sz w:val="21"/>
          <w:szCs w:val="21"/>
          <w:highlight w:val="none"/>
          <w:lang w:val="en-US" w:eastAsia="zh-CN" w:bidi="ar-SA"/>
        </w:rPr>
        <w:t>八、</w:t>
      </w:r>
      <w:r>
        <w:rPr>
          <w:rFonts w:hint="eastAsia" w:ascii="宋体" w:hAnsi="宋体" w:eastAsia="宋体" w:cs="宋体"/>
          <w:b/>
          <w:bCs/>
          <w:color w:val="auto"/>
          <w:sz w:val="21"/>
          <w:szCs w:val="21"/>
          <w:highlight w:val="none"/>
        </w:rPr>
        <w:t>凡对本次采购提出询问，请按以下方式联系。</w:t>
      </w:r>
      <w:bookmarkEnd w:id="20"/>
      <w:bookmarkEnd w:id="21"/>
      <w:bookmarkEnd w:id="22"/>
      <w:bookmarkEnd w:id="23"/>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采购人信息</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名称：</w:t>
      </w:r>
      <w:r>
        <w:rPr>
          <w:rFonts w:hint="eastAsia" w:ascii="宋体" w:hAnsi="宋体" w:cs="宋体"/>
          <w:color w:val="auto"/>
          <w:sz w:val="21"/>
          <w:szCs w:val="21"/>
          <w:highlight w:val="none"/>
          <w:lang w:eastAsia="zh-CN"/>
        </w:rPr>
        <w:t>中国共产党灌阳县委员会统一战线工作部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地址：</w:t>
      </w:r>
      <w:r>
        <w:rPr>
          <w:rFonts w:hint="eastAsia" w:ascii="宋体" w:hAnsi="宋体" w:cs="宋体"/>
          <w:color w:val="auto"/>
          <w:sz w:val="21"/>
          <w:szCs w:val="21"/>
          <w:highlight w:val="none"/>
          <w:lang w:eastAsia="zh-CN"/>
        </w:rPr>
        <w:t>灌阳县胜利路39号</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w:t>
      </w:r>
      <w:r>
        <w:rPr>
          <w:rFonts w:hint="eastAsia" w:ascii="宋体" w:hAnsi="宋体" w:cs="宋体"/>
          <w:color w:val="auto"/>
          <w:sz w:val="21"/>
          <w:szCs w:val="21"/>
          <w:highlight w:val="none"/>
          <w:lang w:eastAsia="zh-CN"/>
        </w:rPr>
        <w:t>刘义</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val="en-US" w:eastAsia="zh-CN"/>
        </w:rPr>
        <w:t>0773-4212260</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采购代理机构信息</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r>
        <w:rPr>
          <w:rFonts w:hint="eastAsia" w:ascii="宋体" w:hAnsi="宋体" w:cs="宋体"/>
          <w:color w:val="auto"/>
          <w:sz w:val="21"/>
          <w:szCs w:val="21"/>
          <w:highlight w:val="none"/>
          <w:lang w:eastAsia="zh-CN"/>
        </w:rPr>
        <w:t>广西建业中天工程咨询有限公司</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cs="宋体"/>
          <w:color w:val="auto"/>
          <w:sz w:val="21"/>
          <w:szCs w:val="21"/>
          <w:highlight w:val="none"/>
          <w:lang w:eastAsia="zh-CN"/>
        </w:rPr>
        <w:t>桂林市高新区信息产业园软件大厦6楼</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ascii="宋体" w:hAnsi="宋体" w:eastAsia="宋体" w:cs="宋体"/>
          <w:color w:val="auto"/>
          <w:sz w:val="21"/>
          <w:szCs w:val="21"/>
          <w:highlight w:val="none"/>
          <w:lang w:eastAsia="zh-CN"/>
        </w:rPr>
        <w:t>唐智平</w:t>
      </w:r>
      <w:r>
        <w:rPr>
          <w:rFonts w:hint="eastAsia" w:ascii="宋体" w:hAnsi="宋体" w:eastAsia="宋体" w:cs="宋体"/>
          <w:color w:val="auto"/>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0773-5899196</w:t>
      </w:r>
      <w:r>
        <w:rPr>
          <w:rFonts w:hint="eastAsia" w:ascii="宋体" w:hAnsi="宋体" w:eastAsia="宋体" w:cs="宋体"/>
          <w:color w:val="auto"/>
          <w:sz w:val="21"/>
          <w:szCs w:val="21"/>
          <w:highlight w:val="none"/>
          <w:lang w:val="en-US" w:eastAsia="zh-CN"/>
        </w:rPr>
        <w:t xml:space="preserve">                    </w:t>
      </w:r>
    </w:p>
    <w:p>
      <w:pPr>
        <w:keepNext w:val="0"/>
        <w:keepLines w:val="0"/>
        <w:pageBreakBefore w:val="0"/>
        <w:kinsoku/>
        <w:wordWrap/>
        <w:overflowPunct/>
        <w:topLinePunct w:val="0"/>
        <w:autoSpaceDE/>
        <w:autoSpaceDN/>
        <w:bidi w:val="0"/>
        <w:adjustRightInd/>
        <w:snapToGrid/>
        <w:spacing w:line="340" w:lineRule="exact"/>
        <w:ind w:left="0" w:leftChars="0" w:firstLine="420" w:firstLineChars="200"/>
        <w:jc w:val="left"/>
        <w:textAlignment w:val="auto"/>
        <w:outlineLvl w:val="0"/>
        <w:rPr>
          <w:rFonts w:hint="eastAsia" w:ascii="宋体" w:hAnsi="宋体" w:eastAsia="宋体" w:cs="宋体"/>
          <w:b w:val="0"/>
          <w:bCs/>
          <w:i w:val="0"/>
          <w:iCs w:val="0"/>
          <w:color w:val="auto"/>
          <w:sz w:val="21"/>
          <w:szCs w:val="21"/>
          <w:highlight w:val="none"/>
        </w:rPr>
      </w:pPr>
      <w:bookmarkStart w:id="34" w:name="_Toc27588"/>
      <w:bookmarkStart w:id="35" w:name="_Toc32438"/>
      <w:r>
        <w:rPr>
          <w:rFonts w:hint="eastAsia" w:ascii="宋体" w:hAnsi="宋体" w:eastAsia="宋体" w:cs="宋体"/>
          <w:b w:val="0"/>
          <w:bCs/>
          <w:i w:val="0"/>
          <w:iCs w:val="0"/>
          <w:color w:val="auto"/>
          <w:sz w:val="21"/>
          <w:szCs w:val="21"/>
          <w:highlight w:val="none"/>
          <w:lang w:val="en-US" w:eastAsia="zh-CN"/>
        </w:rPr>
        <w:t>3.</w:t>
      </w:r>
      <w:r>
        <w:rPr>
          <w:rFonts w:hint="eastAsia" w:ascii="宋体" w:hAnsi="宋体" w:eastAsia="宋体" w:cs="宋体"/>
          <w:b w:val="0"/>
          <w:bCs/>
          <w:i w:val="0"/>
          <w:iCs w:val="0"/>
          <w:color w:val="auto"/>
          <w:sz w:val="21"/>
          <w:szCs w:val="21"/>
          <w:highlight w:val="none"/>
        </w:rPr>
        <w:t>监督管理机构：</w:t>
      </w:r>
      <w:bookmarkEnd w:id="34"/>
      <w:bookmarkEnd w:id="35"/>
    </w:p>
    <w:p>
      <w:pPr>
        <w:keepNext w:val="0"/>
        <w:keepLines w:val="0"/>
        <w:pageBreakBefore w:val="0"/>
        <w:kinsoku/>
        <w:wordWrap/>
        <w:overflowPunct/>
        <w:topLinePunct w:val="0"/>
        <w:autoSpaceDE/>
        <w:autoSpaceDN/>
        <w:bidi w:val="0"/>
        <w:adjustRightInd/>
        <w:snapToGrid/>
        <w:spacing w:line="340" w:lineRule="exact"/>
        <w:ind w:firstLine="420"/>
        <w:jc w:val="left"/>
        <w:textAlignment w:val="auto"/>
        <w:outlineLvl w:val="0"/>
        <w:rPr>
          <w:rFonts w:hint="eastAsia" w:ascii="宋体" w:hAnsi="宋体" w:eastAsia="宋体" w:cs="宋体"/>
          <w:b w:val="0"/>
          <w:bCs/>
          <w:i w:val="0"/>
          <w:iCs w:val="0"/>
          <w:color w:val="auto"/>
          <w:sz w:val="21"/>
          <w:szCs w:val="21"/>
          <w:highlight w:val="none"/>
          <w:lang w:eastAsia="zh-CN"/>
        </w:rPr>
      </w:pPr>
      <w:bookmarkStart w:id="36" w:name="_Toc8483"/>
      <w:bookmarkStart w:id="37" w:name="_Toc32670"/>
      <w:r>
        <w:rPr>
          <w:rFonts w:hint="eastAsia" w:ascii="宋体" w:hAnsi="宋体" w:eastAsia="宋体" w:cs="宋体"/>
          <w:b w:val="0"/>
          <w:bCs/>
          <w:i w:val="0"/>
          <w:iCs w:val="0"/>
          <w:color w:val="auto"/>
          <w:sz w:val="21"/>
          <w:szCs w:val="21"/>
          <w:highlight w:val="none"/>
          <w:lang w:eastAsia="zh-CN"/>
        </w:rPr>
        <w:t>灌</w:t>
      </w:r>
      <w:r>
        <w:rPr>
          <w:rFonts w:hint="eastAsia" w:ascii="宋体" w:hAnsi="宋体" w:eastAsia="宋体" w:cs="宋体"/>
          <w:color w:val="auto"/>
          <w:szCs w:val="21"/>
          <w:highlight w:val="none"/>
          <w:lang w:eastAsia="zh-CN"/>
        </w:rPr>
        <w:t>阳县财政局政府采购监督管理办公室</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lang w:eastAsia="zh-CN"/>
        </w:rPr>
        <w:t>0773-4250206</w:t>
      </w:r>
      <w:bookmarkEnd w:id="36"/>
    </w:p>
    <w:bookmarkEnd w:id="37"/>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rPr>
        <w:t>日</w:t>
      </w:r>
      <w:bookmarkStart w:id="38" w:name="_Toc26924"/>
    </w:p>
    <w:p>
      <w:pPr>
        <w:pStyle w:val="5"/>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5"/>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5"/>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keepNext/>
        <w:keepLines/>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1"/>
          <w:szCs w:val="21"/>
          <w:highlight w:val="none"/>
          <w:lang w:eastAsia="zh-CN"/>
        </w:rPr>
      </w:pPr>
    </w:p>
    <w:p>
      <w:pPr>
        <w:rPr>
          <w:rFonts w:hint="eastAsia" w:ascii="宋体" w:hAnsi="宋体" w:eastAsia="宋体" w:cs="宋体"/>
          <w:color w:val="auto"/>
          <w:sz w:val="21"/>
          <w:szCs w:val="21"/>
          <w:highlight w:val="none"/>
          <w:lang w:eastAsia="zh-CN"/>
        </w:rPr>
      </w:pPr>
    </w:p>
    <w:p>
      <w:pPr>
        <w:pStyle w:val="8"/>
        <w:rPr>
          <w:rFonts w:hint="eastAsia" w:ascii="宋体" w:hAnsi="宋体" w:eastAsia="宋体" w:cs="宋体"/>
          <w:color w:val="auto"/>
          <w:sz w:val="21"/>
          <w:szCs w:val="21"/>
          <w:highlight w:val="none"/>
          <w:lang w:eastAsia="zh-CN"/>
        </w:rPr>
      </w:pPr>
    </w:p>
    <w:p>
      <w:pPr>
        <w:rPr>
          <w:rFonts w:hint="eastAsia" w:ascii="宋体" w:hAnsi="宋体" w:eastAsia="宋体" w:cs="宋体"/>
          <w:color w:val="auto"/>
          <w:sz w:val="21"/>
          <w:szCs w:val="21"/>
          <w:highlight w:val="none"/>
          <w:lang w:eastAsia="zh-CN"/>
        </w:rPr>
      </w:pPr>
    </w:p>
    <w:p>
      <w:pPr>
        <w:pStyle w:val="8"/>
        <w:rPr>
          <w:rFonts w:hint="eastAsia"/>
          <w:color w:val="auto"/>
          <w:highlight w:val="none"/>
          <w:lang w:eastAsia="zh-CN"/>
        </w:rPr>
      </w:pPr>
    </w:p>
    <w:p>
      <w:pPr>
        <w:rPr>
          <w:rFonts w:hint="eastAsia"/>
          <w:color w:val="auto"/>
          <w:highlight w:val="none"/>
          <w:lang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400" w:lineRule="exact"/>
        <w:jc w:val="center"/>
        <w:textAlignment w:val="auto"/>
        <w:rPr>
          <w:rFonts w:hint="eastAsia" w:ascii="宋体" w:hAnsi="宋体" w:eastAsia="宋体" w:cs="宋体"/>
          <w:color w:val="auto"/>
          <w:sz w:val="28"/>
          <w:szCs w:val="28"/>
          <w:highlight w:val="none"/>
        </w:rPr>
      </w:pPr>
      <w:bookmarkStart w:id="39" w:name="_Toc16146"/>
      <w:r>
        <w:rPr>
          <w:rFonts w:hint="eastAsia" w:ascii="宋体" w:hAnsi="宋体" w:eastAsia="宋体" w:cs="宋体"/>
          <w:color w:val="auto"/>
          <w:sz w:val="28"/>
          <w:szCs w:val="28"/>
          <w:highlight w:val="none"/>
          <w:lang w:eastAsia="zh-CN"/>
        </w:rPr>
        <w:t>第二章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供应商须知</w:t>
      </w:r>
      <w:bookmarkEnd w:id="39"/>
    </w:p>
    <w:p>
      <w:pPr>
        <w:pStyle w:val="3"/>
        <w:keepNext/>
        <w:keepLines/>
        <w:pageBreakBefore w:val="0"/>
        <w:widowControl w:val="0"/>
        <w:tabs>
          <w:tab w:val="left" w:pos="567"/>
        </w:tabs>
        <w:kinsoku/>
        <w:wordWrap/>
        <w:overflowPunct/>
        <w:topLinePunct w:val="0"/>
        <w:autoSpaceDE/>
        <w:autoSpaceDN/>
        <w:bidi w:val="0"/>
        <w:adjustRightInd/>
        <w:snapToGrid/>
        <w:spacing w:before="0" w:after="0" w:line="400" w:lineRule="exact"/>
        <w:jc w:val="center"/>
        <w:textAlignment w:val="auto"/>
        <w:rPr>
          <w:rFonts w:hint="eastAsia" w:ascii="宋体" w:hAnsi="宋体" w:eastAsia="宋体" w:cs="宋体"/>
          <w:color w:val="auto"/>
          <w:sz w:val="21"/>
          <w:szCs w:val="21"/>
          <w:highlight w:val="none"/>
          <w:lang w:eastAsia="zh-CN"/>
        </w:rPr>
      </w:pPr>
      <w:bookmarkStart w:id="40" w:name="_Toc13547"/>
      <w:bookmarkStart w:id="41" w:name="_Toc9508"/>
      <w:bookmarkStart w:id="42" w:name="_Toc25063"/>
      <w:bookmarkStart w:id="43" w:name="_Toc23030"/>
      <w:bookmarkStart w:id="44" w:name="_Toc1585"/>
      <w:r>
        <w:rPr>
          <w:rFonts w:hint="eastAsia" w:ascii="宋体" w:hAnsi="宋体" w:eastAsia="宋体" w:cs="宋体"/>
          <w:b/>
          <w:bCs w:val="0"/>
          <w:color w:val="auto"/>
          <w:sz w:val="21"/>
          <w:szCs w:val="21"/>
          <w:highlight w:val="none"/>
        </w:rPr>
        <w:t>供 应 商 须 知 前 附 表</w:t>
      </w:r>
      <w:bookmarkEnd w:id="40"/>
      <w:bookmarkEnd w:id="41"/>
      <w:bookmarkEnd w:id="42"/>
      <w:bookmarkEnd w:id="43"/>
      <w:bookmarkEnd w:id="44"/>
    </w:p>
    <w:bookmarkEnd w:id="38"/>
    <w:tbl>
      <w:tblPr>
        <w:tblStyle w:val="18"/>
        <w:tblW w:w="10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42"/>
        <w:gridCol w:w="1775"/>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91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项目名称及项目编号</w:t>
            </w:r>
          </w:p>
        </w:tc>
        <w:tc>
          <w:tcPr>
            <w:tcW w:w="6912" w:type="dxa"/>
            <w:vAlign w:val="center"/>
          </w:tcPr>
          <w:p>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val="en-US" w:eastAsia="zh-CN"/>
              </w:rPr>
              <w:t>灌阳县西山瑶族乡2024年少数民族特色村寨与乡村旅游融合发展（民宿）项目</w:t>
            </w:r>
            <w:r>
              <w:rPr>
                <w:rFonts w:hint="eastAsia" w:ascii="宋体" w:hAnsi="宋体" w:eastAsia="宋体" w:cs="宋体"/>
                <w:color w:val="auto"/>
                <w:sz w:val="21"/>
                <w:szCs w:val="21"/>
                <w:highlight w:val="none"/>
              </w:rPr>
              <w:t xml:space="preserve"> </w:t>
            </w:r>
          </w:p>
          <w:p>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项目编号：</w:t>
            </w:r>
            <w:r>
              <w:rPr>
                <w:rFonts w:hint="eastAsia" w:ascii="宋体" w:hAnsi="宋体" w:cs="宋体"/>
                <w:color w:val="auto"/>
                <w:sz w:val="21"/>
                <w:szCs w:val="21"/>
                <w:highlight w:val="none"/>
                <w:lang w:eastAsia="zh-CN"/>
              </w:rPr>
              <w:t>GLZC2024-C2-270160-GXJY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供应商资格</w:t>
            </w:r>
          </w:p>
        </w:tc>
        <w:tc>
          <w:tcPr>
            <w:tcW w:w="6912" w:type="dxa"/>
            <w:vAlign w:val="center"/>
          </w:tcPr>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3.2落实政府采购政策需满足的资格要求：</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color w:val="auto"/>
                <w:sz w:val="21"/>
                <w:szCs w:val="21"/>
                <w:highlight w:val="none"/>
                <w:lang w:val="en-US" w:eastAsia="zh-CN"/>
              </w:rPr>
              <w:t>（供应商应为中小微企业、监狱企业、残疾人福利性单位)；</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3.3本项目的特定资格要求：</w:t>
            </w:r>
            <w:r>
              <w:rPr>
                <w:rFonts w:hint="eastAsia" w:ascii="宋体" w:hAnsi="宋体" w:eastAsia="宋体" w:cs="宋体"/>
                <w:b w:val="0"/>
                <w:bCs w:val="0"/>
                <w:color w:val="auto"/>
                <w:sz w:val="21"/>
                <w:szCs w:val="21"/>
                <w:highlight w:val="none"/>
              </w:rPr>
              <w:t>供应商须具备建筑工程施工总承包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级）以上资质，并具有省级或以上建设行政主管部门颁发的建筑施工企业安全生产许可证，并在人员、设备、资金等方面具有相应的施工能力；拟派项目经理须具备建筑工程专业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eastAsia="宋体" w:cs="宋体"/>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磋商费用</w:t>
            </w:r>
          </w:p>
        </w:tc>
        <w:tc>
          <w:tcPr>
            <w:tcW w:w="6912" w:type="dxa"/>
            <w:vAlign w:val="center"/>
          </w:tcPr>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不论磋商结果如何，供应商均应自行承担所有与磋商有关的全部费用。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13</w:t>
            </w:r>
          </w:p>
        </w:tc>
        <w:tc>
          <w:tcPr>
            <w:tcW w:w="1775" w:type="dxa"/>
            <w:vAlign w:val="center"/>
          </w:tcPr>
          <w:p>
            <w:pPr>
              <w:keepNext w:val="0"/>
              <w:keepLines w:val="0"/>
              <w:pageBreakBefore w:val="0"/>
              <w:kinsoku/>
              <w:wordWrap/>
              <w:overflowPunct/>
              <w:topLinePunct w:val="0"/>
              <w:autoSpaceDE/>
              <w:autoSpaceDN/>
              <w:bidi w:val="0"/>
              <w:adjustRightInd/>
              <w:spacing w:line="380" w:lineRule="exact"/>
              <w:ind w:left="0" w:leftChars="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rPr>
              <w:t>磋商报价及</w:t>
            </w:r>
            <w:r>
              <w:rPr>
                <w:rFonts w:hint="eastAsia" w:ascii="宋体" w:hAnsi="宋体" w:eastAsia="宋体" w:cs="宋体"/>
                <w:color w:val="auto"/>
                <w:sz w:val="21"/>
                <w:szCs w:val="21"/>
                <w:highlight w:val="none"/>
                <w:lang w:val="en-US" w:eastAsia="zh-CN"/>
              </w:rPr>
              <w:t>预算</w:t>
            </w:r>
            <w:r>
              <w:rPr>
                <w:rFonts w:hint="eastAsia" w:ascii="宋体" w:hAnsi="宋体" w:eastAsia="宋体" w:cs="宋体"/>
                <w:color w:val="auto"/>
                <w:sz w:val="21"/>
                <w:szCs w:val="21"/>
                <w:highlight w:val="none"/>
              </w:rPr>
              <w:t>控制价</w:t>
            </w:r>
          </w:p>
        </w:tc>
        <w:tc>
          <w:tcPr>
            <w:tcW w:w="6912"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13.1磋商报价应按磋商文件中相关附表格式填写。</w:t>
            </w:r>
            <w:r>
              <w:rPr>
                <w:rFonts w:hint="eastAsia" w:ascii="宋体" w:hAnsi="宋体" w:eastAsia="宋体" w:cs="宋体"/>
                <w:color w:val="auto"/>
                <w:kern w:val="0"/>
                <w:sz w:val="21"/>
                <w:szCs w:val="21"/>
                <w:highlight w:val="none"/>
                <w:shd w:val="clear" w:color="auto" w:fill="auto"/>
              </w:rPr>
              <w:t>本工程预算控制价（最高磋商限价）为人民币</w:t>
            </w:r>
            <w:r>
              <w:rPr>
                <w:rFonts w:hint="eastAsia" w:ascii="宋体" w:hAnsi="宋体" w:cs="宋体"/>
                <w:b/>
                <w:bCs/>
                <w:color w:val="auto"/>
                <w:kern w:val="0"/>
                <w:sz w:val="21"/>
                <w:szCs w:val="21"/>
                <w:highlight w:val="none"/>
                <w:u w:val="single"/>
                <w:shd w:val="clear" w:color="auto" w:fill="auto"/>
                <w:lang w:val="en-US" w:eastAsia="zh-CN"/>
              </w:rPr>
              <w:t>968988.26</w:t>
            </w:r>
            <w:r>
              <w:rPr>
                <w:rFonts w:hint="eastAsia" w:ascii="宋体" w:hAnsi="宋体" w:eastAsia="宋体" w:cs="宋体"/>
                <w:b/>
                <w:bCs/>
                <w:color w:val="auto"/>
                <w:kern w:val="0"/>
                <w:sz w:val="21"/>
                <w:szCs w:val="21"/>
                <w:highlight w:val="none"/>
                <w:u w:val="single"/>
                <w:shd w:val="clear" w:color="auto" w:fill="auto"/>
                <w:lang w:val="en-US" w:eastAsia="zh-CN"/>
              </w:rPr>
              <w:t>元</w:t>
            </w:r>
            <w:r>
              <w:rPr>
                <w:rFonts w:hint="eastAsia" w:ascii="宋体" w:hAnsi="宋体" w:eastAsia="宋体" w:cs="宋体"/>
                <w:b w:val="0"/>
                <w:bCs w:val="0"/>
                <w:color w:val="auto"/>
                <w:kern w:val="0"/>
                <w:sz w:val="21"/>
                <w:szCs w:val="21"/>
                <w:highlight w:val="none"/>
                <w:u w:val="none"/>
                <w:shd w:val="clear" w:color="auto" w:fill="auto"/>
                <w:lang w:val="en-US" w:eastAsia="zh-CN"/>
              </w:rPr>
              <w:t>，</w:t>
            </w:r>
            <w:r>
              <w:rPr>
                <w:rFonts w:hint="eastAsia" w:ascii="宋体" w:hAnsi="宋体" w:eastAsia="宋体" w:cs="宋体"/>
                <w:color w:val="auto"/>
                <w:sz w:val="21"/>
                <w:szCs w:val="21"/>
                <w:highlight w:val="none"/>
                <w:shd w:val="clear" w:color="auto" w:fill="auto"/>
              </w:rPr>
              <w:t>供应商磋商总报价不得高于本工程最高磋商限价，否则被视为无效报价，无效报价将不予评审。</w:t>
            </w:r>
          </w:p>
          <w:p>
            <w:pPr>
              <w:pStyle w:val="11"/>
              <w:keepNext w:val="0"/>
              <w:keepLines w:val="0"/>
              <w:pageBreakBefore w:val="0"/>
              <w:widowControl w:val="0"/>
              <w:kinsoku/>
              <w:wordWrap w:val="0"/>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13.2供应商应在规定时间内在</w:t>
            </w:r>
            <w:r>
              <w:rPr>
                <w:rFonts w:hint="eastAsia" w:hAnsi="宋体"/>
                <w:color w:val="auto"/>
                <w:szCs w:val="21"/>
                <w:highlight w:val="none"/>
                <w:lang w:eastAsia="zh-CN"/>
              </w:rPr>
              <w:t>广西政府采购云平台</w:t>
            </w:r>
            <w:r>
              <w:rPr>
                <w:rFonts w:hint="eastAsia" w:ascii="宋体" w:hAnsi="宋体" w:eastAsia="宋体" w:cs="宋体"/>
                <w:color w:val="auto"/>
                <w:szCs w:val="21"/>
                <w:highlight w:val="none"/>
              </w:rPr>
              <w:t>系统上提交最后报价，超出评委设定的最后报价时限或其最后报价超出招标控制价导致已通过评审的响应文件无效的，按供应商在提交响应文件截止时间后撤回响应文件处理。</w:t>
            </w:r>
          </w:p>
          <w:p>
            <w:pPr>
              <w:keepNext w:val="0"/>
              <w:keepLines w:val="0"/>
              <w:pageBreakBefore w:val="0"/>
              <w:widowControl/>
              <w:kinsoku/>
              <w:wordWrap/>
              <w:overflowPunct/>
              <w:topLinePunct w:val="0"/>
              <w:autoSpaceDE/>
              <w:autoSpaceDN/>
              <w:bidi w:val="0"/>
              <w:adjustRightInd/>
              <w:snapToGrid w:val="0"/>
              <w:spacing w:line="380" w:lineRule="exact"/>
              <w:ind w:left="0" w:left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注：</w:t>
            </w:r>
            <w:r>
              <w:rPr>
                <w:rFonts w:hint="eastAsia" w:ascii="宋体" w:hAnsi="宋体" w:eastAsia="宋体" w:cs="宋体"/>
                <w:b/>
                <w:color w:val="auto"/>
                <w:sz w:val="21"/>
                <w:szCs w:val="21"/>
                <w:highlight w:val="none"/>
                <w:lang w:eastAsia="zh-CN"/>
              </w:rPr>
              <w:t>供应商的磋商报价不得超过本工程</w:t>
            </w:r>
            <w:r>
              <w:rPr>
                <w:rFonts w:hint="eastAsia" w:ascii="宋体" w:hAnsi="宋体" w:eastAsia="宋体" w:cs="宋体"/>
                <w:b/>
                <w:bCs/>
                <w:color w:val="auto"/>
                <w:sz w:val="21"/>
                <w:szCs w:val="21"/>
                <w:highlight w:val="none"/>
                <w:lang w:eastAsia="zh-CN"/>
              </w:rPr>
              <w:t>预算</w:t>
            </w:r>
            <w:r>
              <w:rPr>
                <w:rFonts w:hint="eastAsia" w:ascii="宋体" w:hAnsi="宋体" w:eastAsia="宋体" w:cs="宋体"/>
                <w:b/>
                <w:bCs/>
                <w:color w:val="auto"/>
                <w:sz w:val="21"/>
                <w:szCs w:val="21"/>
                <w:highlight w:val="none"/>
                <w:lang w:val="en-US" w:eastAsia="zh-CN"/>
              </w:rPr>
              <w:t>控制价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最高磋商限价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kern w:val="0"/>
                <w:sz w:val="21"/>
                <w:szCs w:val="21"/>
                <w:highlight w:val="none"/>
                <w:lang w:eastAsia="zh-CN"/>
              </w:rPr>
              <w:t>，否则作无效标处理；</w:t>
            </w:r>
            <w:r>
              <w:rPr>
                <w:rFonts w:hint="eastAsia" w:ascii="宋体" w:hAnsi="宋体" w:eastAsia="宋体" w:cs="宋体"/>
                <w:b/>
                <w:color w:val="auto"/>
                <w:sz w:val="21"/>
                <w:szCs w:val="21"/>
                <w:highlight w:val="none"/>
              </w:rPr>
              <w:t>供应商的第二次磋商报价不得高于该供应商第一次磋商报价，否则做无效标处理。如供应商维持</w:t>
            </w:r>
            <w:r>
              <w:rPr>
                <w:rFonts w:hint="eastAsia" w:ascii="宋体" w:hAnsi="宋体" w:eastAsia="宋体" w:cs="宋体"/>
                <w:b/>
                <w:color w:val="auto"/>
                <w:sz w:val="21"/>
                <w:szCs w:val="21"/>
                <w:highlight w:val="none"/>
                <w:lang w:eastAsia="zh-CN"/>
              </w:rPr>
              <w:t>磋商</w:t>
            </w:r>
            <w:r>
              <w:rPr>
                <w:rFonts w:hint="eastAsia" w:ascii="宋体" w:hAnsi="宋体" w:eastAsia="宋体" w:cs="宋体"/>
                <w:b/>
                <w:color w:val="auto"/>
                <w:sz w:val="21"/>
                <w:szCs w:val="21"/>
                <w:highlight w:val="none"/>
              </w:rPr>
              <w:t>报价不变，以原磋商报价作为供应商最后报价</w:t>
            </w:r>
            <w:r>
              <w:rPr>
                <w:rFonts w:hint="eastAsia" w:ascii="宋体" w:hAnsi="宋体" w:eastAsia="宋体" w:cs="宋体"/>
                <w:b/>
                <w:bCs/>
                <w:color w:val="auto"/>
                <w:sz w:val="21"/>
                <w:szCs w:val="21"/>
                <w:highlight w:val="none"/>
              </w:rPr>
              <w:t>；如供应商需要改变原磋商报价时，</w:t>
            </w:r>
            <w:r>
              <w:rPr>
                <w:rFonts w:hint="eastAsia" w:ascii="宋体" w:hAnsi="宋体" w:eastAsia="宋体" w:cs="宋体"/>
                <w:b/>
                <w:color w:val="auto"/>
                <w:sz w:val="21"/>
                <w:szCs w:val="21"/>
                <w:highlight w:val="none"/>
              </w:rPr>
              <w:t>供应商应预先准备好调整后的</w:t>
            </w:r>
            <w:r>
              <w:rPr>
                <w:rFonts w:hint="eastAsia" w:ascii="宋体" w:hAnsi="宋体" w:eastAsia="宋体" w:cs="宋体"/>
                <w:b/>
                <w:color w:val="auto"/>
                <w:sz w:val="21"/>
                <w:szCs w:val="21"/>
                <w:highlight w:val="none"/>
                <w:lang w:eastAsia="zh-CN"/>
              </w:rPr>
              <w:t>已标价的工程量清单</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14.1</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响应文件有效期</w:t>
            </w:r>
          </w:p>
        </w:tc>
        <w:tc>
          <w:tcPr>
            <w:tcW w:w="6912" w:type="dxa"/>
            <w:vAlign w:val="top"/>
          </w:tcPr>
          <w:p>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响应文件递交截止时间之日起90天，有效期不足的响应文件将被拒绝。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15</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cs="宋体"/>
                <w:color w:val="auto"/>
                <w:position w:val="-2"/>
                <w:sz w:val="21"/>
                <w:szCs w:val="21"/>
                <w:highlight w:val="none"/>
                <w:lang w:eastAsia="zh-CN"/>
              </w:rPr>
              <w:t>磋商</w:t>
            </w:r>
            <w:r>
              <w:rPr>
                <w:rFonts w:hint="eastAsia" w:ascii="宋体" w:hAnsi="宋体" w:eastAsia="宋体" w:cs="宋体"/>
                <w:color w:val="auto"/>
                <w:position w:val="-2"/>
                <w:sz w:val="21"/>
                <w:szCs w:val="21"/>
                <w:highlight w:val="none"/>
              </w:rPr>
              <w:t>保证金</w:t>
            </w:r>
          </w:p>
        </w:tc>
        <w:tc>
          <w:tcPr>
            <w:tcW w:w="6912" w:type="dxa"/>
            <w:vAlign w:val="top"/>
          </w:tcPr>
          <w:p>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本项目无需缴纳磋商保证金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1775" w:type="dxa"/>
            <w:vAlign w:val="center"/>
          </w:tcPr>
          <w:p>
            <w:pPr>
              <w:pStyle w:val="4"/>
              <w:pageBreakBefore w:val="0"/>
              <w:widowControl w:val="0"/>
              <w:kinsoku/>
              <w:wordWrap/>
              <w:overflowPunct/>
              <w:topLinePunct w:val="0"/>
              <w:autoSpaceDE/>
              <w:autoSpaceDN/>
              <w:bidi w:val="0"/>
              <w:adjustRightInd/>
              <w:spacing w:before="0" w:after="0" w:line="380" w:lineRule="exact"/>
              <w:ind w:left="0"/>
              <w:jc w:val="center"/>
              <w:textAlignment w:val="auto"/>
              <w:rPr>
                <w:rFonts w:hint="eastAsia" w:ascii="宋体" w:hAnsi="宋体" w:eastAsia="宋体" w:cs="宋体"/>
                <w:b w:val="0"/>
                <w:bCs/>
                <w:color w:val="auto"/>
                <w:sz w:val="21"/>
                <w:szCs w:val="21"/>
                <w:highlight w:val="none"/>
                <w:lang w:eastAsia="zh-CN"/>
              </w:rPr>
            </w:pPr>
            <w:bookmarkStart w:id="45" w:name="_Toc19911"/>
            <w:bookmarkStart w:id="46" w:name="_Toc19954"/>
            <w:bookmarkStart w:id="47" w:name="_Toc27452"/>
            <w:r>
              <w:rPr>
                <w:rFonts w:hint="eastAsia" w:ascii="宋体" w:hAnsi="宋体" w:eastAsia="宋体" w:cs="宋体"/>
                <w:b w:val="0"/>
                <w:bCs/>
                <w:color w:val="auto"/>
                <w:sz w:val="21"/>
                <w:szCs w:val="21"/>
                <w:highlight w:val="none"/>
              </w:rPr>
              <w:t>响应文件的</w:t>
            </w:r>
            <w:r>
              <w:rPr>
                <w:rFonts w:hint="eastAsia" w:ascii="宋体" w:hAnsi="宋体" w:eastAsia="宋体" w:cs="宋体"/>
                <w:b w:val="0"/>
                <w:bCs/>
                <w:color w:val="auto"/>
                <w:sz w:val="21"/>
                <w:szCs w:val="21"/>
                <w:highlight w:val="none"/>
                <w:lang w:eastAsia="zh-CN"/>
              </w:rPr>
              <w:t>制作</w:t>
            </w:r>
            <w:bookmarkEnd w:id="45"/>
            <w:bookmarkEnd w:id="46"/>
            <w:bookmarkEnd w:id="47"/>
          </w:p>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p>
        </w:tc>
        <w:tc>
          <w:tcPr>
            <w:tcW w:w="6912" w:type="dxa"/>
            <w:vAlign w:val="center"/>
          </w:tcPr>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16.3响应文件不得涂改，若有修改错漏处，须法定代表人（负责人）或授权委托人签字（或个人CA签章）。响应文件因字迹潦草或表达不清所引起的后果由供应商负责。</w:t>
            </w:r>
          </w:p>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16.4磋商前准备 </w:t>
            </w:r>
          </w:p>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16.4.1本项目实行在线磋商，采用电子响应文件。若供应商参与磋商，自行承担磋商一切费用。 </w:t>
            </w:r>
          </w:p>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16.4.2各供应商在截标前应确保成为广西政府采购云平台正式注册入库供应商，并完成CA数字证书申领。如因未注册入库、未办理CA数字证书等原因造成无法磋商或磋商失败等后果由供应商自行承担。</w:t>
            </w:r>
          </w:p>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w:t>
            </w:r>
          </w:p>
        </w:tc>
        <w:tc>
          <w:tcPr>
            <w:tcW w:w="6912" w:type="dxa"/>
            <w:vAlign w:val="center"/>
          </w:tcPr>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eastAsia="zh-CN"/>
              </w:rPr>
              <w:t>于202</w:t>
            </w:r>
            <w:r>
              <w:rPr>
                <w:rFonts w:hint="eastAsia" w:ascii="宋体" w:hAnsi="宋体" w:eastAsia="宋体" w:cs="宋体"/>
                <w:color w:val="auto"/>
                <w:sz w:val="21"/>
                <w:szCs w:val="21"/>
                <w:highlight w:val="none"/>
                <w:u w:val="single"/>
                <w:lang w:val="en-US" w:eastAsia="zh-CN"/>
              </w:rPr>
              <w:t>4</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22</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lang w:eastAsia="zh-CN"/>
              </w:rPr>
            </w:pPr>
            <w:r>
              <w:rPr>
                <w:rFonts w:hint="eastAsia" w:ascii="宋体" w:hAnsi="宋体" w:eastAsia="宋体" w:cs="宋体"/>
                <w:color w:val="auto"/>
                <w:position w:val="-2"/>
                <w:sz w:val="21"/>
                <w:szCs w:val="21"/>
                <w:highlight w:val="none"/>
                <w:lang w:val="en-US" w:eastAsia="zh-CN"/>
              </w:rPr>
              <w:t>9</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18.2</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lang w:eastAsia="zh-CN"/>
              </w:rPr>
              <w:t>响应文件解密时间</w:t>
            </w:r>
          </w:p>
        </w:tc>
        <w:tc>
          <w:tcPr>
            <w:tcW w:w="6912" w:type="dxa"/>
            <w:vAlign w:val="center"/>
          </w:tcPr>
          <w:p>
            <w:pPr>
              <w:pStyle w:val="7"/>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响应文件解密时间</w:t>
            </w:r>
            <w:r>
              <w:rPr>
                <w:rFonts w:hint="eastAsia" w:ascii="宋体" w:hAnsi="宋体" w:eastAsia="宋体" w:cs="宋体"/>
                <w:b w:val="0"/>
                <w:bCs w:val="0"/>
                <w:color w:val="auto"/>
                <w:kern w:val="2"/>
                <w:sz w:val="21"/>
                <w:szCs w:val="21"/>
                <w:highlight w:val="none"/>
                <w:lang w:eastAsia="zh-CN"/>
              </w:rPr>
              <w:t>：截标时间后</w:t>
            </w:r>
            <w:r>
              <w:rPr>
                <w:rFonts w:hint="eastAsia" w:ascii="宋体" w:hAnsi="宋体" w:eastAsia="宋体" w:cs="宋体"/>
                <w:b w:val="0"/>
                <w:bCs w:val="0"/>
                <w:color w:val="auto"/>
                <w:kern w:val="2"/>
                <w:sz w:val="21"/>
                <w:szCs w:val="21"/>
                <w:highlight w:val="none"/>
                <w:u w:val="none"/>
                <w:lang w:eastAsia="zh-CN"/>
              </w:rPr>
              <w:t>30</w:t>
            </w:r>
            <w:r>
              <w:rPr>
                <w:rFonts w:hint="eastAsia" w:ascii="宋体" w:hAnsi="宋体" w:eastAsia="宋体" w:cs="宋体"/>
                <w:b w:val="0"/>
                <w:bCs w:val="0"/>
                <w:color w:val="auto"/>
                <w:kern w:val="2"/>
                <w:sz w:val="21"/>
                <w:szCs w:val="21"/>
                <w:highlight w:val="none"/>
                <w:lang w:eastAsia="zh-CN"/>
              </w:rPr>
              <w:t>分钟内供应商可以登录广西政府采购云平台，用“项目采购-开标评标”功能进行解密响应文件。若供应商在规定时间内无法解密或解密失败，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kern w:val="2"/>
                <w:sz w:val="21"/>
                <w:szCs w:val="21"/>
                <w:highlight w:val="none"/>
                <w:lang w:eastAsia="zh-CN"/>
              </w:rPr>
              <w:t>【在接到无法解密或解密失败的通知后，供应商可根据自身实际情况按通知时要求的时间到桂林市公共资源交易中心</w:t>
            </w:r>
            <w:r>
              <w:rPr>
                <w:rFonts w:hint="eastAsia" w:ascii="宋体" w:hAnsi="宋体" w:cs="宋体"/>
                <w:b/>
                <w:bCs/>
                <w:color w:val="auto"/>
                <w:kern w:val="2"/>
                <w:sz w:val="21"/>
                <w:szCs w:val="21"/>
                <w:highlight w:val="none"/>
                <w:u w:val="single"/>
                <w:lang w:val="en-US" w:eastAsia="zh-CN"/>
              </w:rPr>
              <w:t xml:space="preserve"> 13 </w:t>
            </w:r>
            <w:r>
              <w:rPr>
                <w:rFonts w:hint="eastAsia" w:ascii="宋体" w:hAnsi="宋体" w:eastAsia="宋体" w:cs="宋体"/>
                <w:b/>
                <w:bCs/>
                <w:color w:val="auto"/>
                <w:kern w:val="2"/>
                <w:sz w:val="21"/>
                <w:szCs w:val="21"/>
                <w:highlight w:val="none"/>
                <w:lang w:eastAsia="zh-CN"/>
              </w:rPr>
              <w:t>号开标室现场提交或以电子邮件的形式（以通知时所告知的电子邮箱地址为准）提交电子备份响应文件】</w:t>
            </w:r>
            <w:r>
              <w:rPr>
                <w:rFonts w:hint="eastAsia" w:ascii="宋体" w:hAnsi="宋体" w:eastAsia="宋体" w:cs="宋体"/>
                <w:b w:val="0"/>
                <w:bCs w:val="0"/>
                <w:color w:val="auto"/>
                <w:kern w:val="2"/>
                <w:sz w:val="21"/>
                <w:szCs w:val="21"/>
                <w:highlight w:val="none"/>
                <w:lang w:eastAsia="zh-CN"/>
              </w:rPr>
              <w:t>，若供应商在规定时间内无法解密或解密失败且未提供电子备份响应文件的(包含提供的电子备份文件无效或无法解密的情况)，视为无效响应。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942" w:type="dxa"/>
            <w:vAlign w:val="center"/>
          </w:tcPr>
          <w:p>
            <w:pPr>
              <w:pageBreakBefore w:val="0"/>
              <w:widowControl w:val="0"/>
              <w:kinsoku/>
              <w:wordWrap/>
              <w:overflowPunct/>
              <w:topLinePunct w:val="0"/>
              <w:autoSpaceDE/>
              <w:autoSpaceDN/>
              <w:bidi w:val="0"/>
              <w:adjustRightInd/>
              <w:spacing w:line="380" w:lineRule="exact"/>
              <w:ind w:left="0" w:firstLine="105" w:firstLineChars="5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19.1</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磋商小组组成</w:t>
            </w:r>
          </w:p>
        </w:tc>
        <w:tc>
          <w:tcPr>
            <w:tcW w:w="6912" w:type="dxa"/>
            <w:vAlign w:val="center"/>
          </w:tcPr>
          <w:p>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w:t>
            </w:r>
            <w:r>
              <w:rPr>
                <w:rFonts w:hint="eastAsia" w:ascii="宋体" w:hAnsi="宋体"/>
                <w:color w:val="auto"/>
                <w:szCs w:val="21"/>
                <w:highlight w:val="none"/>
              </w:rPr>
              <w:t>技术、经济等</w:t>
            </w:r>
            <w:r>
              <w:rPr>
                <w:rFonts w:hint="eastAsia" w:ascii="宋体" w:hAnsi="宋体" w:eastAsia="宋体" w:cs="宋体"/>
                <w:color w:val="auto"/>
                <w:sz w:val="21"/>
                <w:szCs w:val="21"/>
                <w:highlight w:val="none"/>
              </w:rPr>
              <w:t>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磋商时间、地点、人员</w:t>
            </w:r>
          </w:p>
        </w:tc>
        <w:tc>
          <w:tcPr>
            <w:tcW w:w="6912" w:type="dxa"/>
            <w:vAlign w:val="top"/>
          </w:tcPr>
          <w:p>
            <w:pPr>
              <w:pageBreakBefore w:val="0"/>
              <w:widowControl w:val="0"/>
              <w:kinsoku/>
              <w:wordWrap/>
              <w:overflowPunct/>
              <w:topLinePunct w:val="0"/>
              <w:autoSpaceDE/>
              <w:autoSpaceDN/>
              <w:bidi w:val="0"/>
              <w:adjustRightInd/>
              <w:spacing w:line="380" w:lineRule="exact"/>
              <w:ind w:left="0" w:hanging="315" w:hangingChars="1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pPr>
              <w:pageBreakBefore w:val="0"/>
              <w:widowControl w:val="0"/>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pPr>
              <w:pageBreakBefore w:val="0"/>
              <w:widowControl w:val="0"/>
              <w:kinsoku/>
              <w:wordWrap/>
              <w:overflowPunct/>
              <w:topLinePunct w:val="0"/>
              <w:autoSpaceDE/>
              <w:autoSpaceDN/>
              <w:bidi w:val="0"/>
              <w:adjustRightInd/>
              <w:spacing w:line="380" w:lineRule="exact"/>
              <w:ind w:left="0" w:hanging="14" w:hangingChars="7"/>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pPr>
              <w:pageBreakBefore w:val="0"/>
              <w:widowControl w:val="0"/>
              <w:tabs>
                <w:tab w:val="left" w:pos="1140"/>
              </w:tabs>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p>
        </w:tc>
        <w:tc>
          <w:tcPr>
            <w:tcW w:w="1775" w:type="dxa"/>
            <w:vAlign w:val="center"/>
          </w:tcPr>
          <w:p>
            <w:pPr>
              <w:pStyle w:val="11"/>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评审办法</w:t>
            </w:r>
          </w:p>
        </w:tc>
        <w:tc>
          <w:tcPr>
            <w:tcW w:w="6912" w:type="dxa"/>
            <w:vAlign w:val="center"/>
          </w:tcPr>
          <w:p>
            <w:pPr>
              <w:pageBreakBefore w:val="0"/>
              <w:widowControl w:val="0"/>
              <w:tabs>
                <w:tab w:val="left" w:pos="1140"/>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具体详见第四章评审办法。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信用查询</w:t>
            </w:r>
          </w:p>
        </w:tc>
        <w:tc>
          <w:tcPr>
            <w:tcW w:w="6912" w:type="dxa"/>
            <w:vAlign w:val="center"/>
          </w:tcPr>
          <w:p>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pPr>
              <w:pageBreakBefore w:val="0"/>
              <w:widowControl w:val="0"/>
              <w:kinsoku/>
              <w:wordWrap/>
              <w:overflowPunct/>
              <w:topLinePunct w:val="0"/>
              <w:autoSpaceDE/>
              <w:autoSpaceDN/>
              <w:bidi w:val="0"/>
              <w:adjustRightInd/>
              <w:spacing w:line="380" w:lineRule="exact"/>
              <w:ind w:left="0" w:hanging="315" w:hanging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成交结果公告</w:t>
            </w:r>
          </w:p>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及成交通知书</w:t>
            </w:r>
          </w:p>
        </w:tc>
        <w:tc>
          <w:tcPr>
            <w:tcW w:w="6912" w:type="dxa"/>
            <w:vAlign w:val="top"/>
          </w:tcPr>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27.2在发布成交公告的同时，采购代理机构向成交供应商发出成交通知书。成交供应商自接到通知之日起七个工作日内，办理成交通知书领取手续。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912" w:type="dxa"/>
            <w:vAlign w:val="center"/>
          </w:tcPr>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根据《桂林市财政局关于贯彻落实政府采购优化营商环境百日攻坚行动方案的通知》（市财采〔2020〕24号）第四条的规定，本项目免收履约保证金。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29.1</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签订合同时间</w:t>
            </w:r>
          </w:p>
        </w:tc>
        <w:tc>
          <w:tcPr>
            <w:tcW w:w="6912" w:type="dxa"/>
            <w:vAlign w:val="top"/>
          </w:tcPr>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lang w:eastAsia="zh-CN"/>
              </w:rPr>
              <w:t>成交通知书</w:t>
            </w:r>
            <w:r>
              <w:rPr>
                <w:rFonts w:hint="eastAsia" w:ascii="宋体" w:hAnsi="宋体" w:eastAsia="宋体" w:cs="宋体"/>
                <w:bCs/>
                <w:color w:val="auto"/>
                <w:kern w:val="0"/>
                <w:sz w:val="21"/>
                <w:szCs w:val="21"/>
                <w:highlight w:val="none"/>
              </w:rPr>
              <w:t>发出之日起</w:t>
            </w:r>
            <w:r>
              <w:rPr>
                <w:rFonts w:hint="eastAsia" w:ascii="宋体" w:hAnsi="宋体" w:eastAsia="宋体" w:cs="宋体"/>
                <w:bCs/>
                <w:color w:val="auto"/>
                <w:kern w:val="0"/>
                <w:sz w:val="21"/>
                <w:szCs w:val="21"/>
                <w:highlight w:val="none"/>
                <w:lang w:val="en-US" w:eastAsia="zh-CN"/>
              </w:rPr>
              <w:t>8个工作日</w:t>
            </w:r>
            <w:r>
              <w:rPr>
                <w:rFonts w:hint="eastAsia" w:ascii="宋体" w:hAnsi="宋体" w:eastAsia="宋体" w:cs="宋体"/>
                <w:bCs/>
                <w:color w:val="auto"/>
                <w:kern w:val="0"/>
                <w:sz w:val="21"/>
                <w:szCs w:val="21"/>
                <w:highlight w:val="none"/>
              </w:rPr>
              <w:t>内签订合同</w:t>
            </w:r>
            <w:r>
              <w:rPr>
                <w:rFonts w:hint="eastAsia" w:ascii="宋体" w:hAnsi="宋体" w:eastAsia="宋体" w:cs="宋体"/>
                <w:color w:val="auto"/>
                <w:sz w:val="21"/>
                <w:szCs w:val="21"/>
                <w:highlight w:val="none"/>
              </w:rPr>
              <w:t>。成交供应商领取成交通知书后，应按规定与采购人签订合同。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合同备案存档</w:t>
            </w:r>
          </w:p>
        </w:tc>
        <w:tc>
          <w:tcPr>
            <w:tcW w:w="6912" w:type="dxa"/>
            <w:vAlign w:val="center"/>
          </w:tcPr>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eastAsia="zh-CN"/>
              </w:rPr>
              <w:t>广西建业中天工程咨询有限公司</w:t>
            </w:r>
            <w:r>
              <w:rPr>
                <w:rFonts w:hint="eastAsia" w:ascii="宋体" w:hAnsi="宋体" w:eastAsia="宋体" w:cs="宋体"/>
                <w:color w:val="auto"/>
                <w:sz w:val="21"/>
                <w:szCs w:val="21"/>
                <w:highlight w:val="none"/>
              </w:rPr>
              <w:t>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采购代理服务费</w:t>
            </w:r>
          </w:p>
        </w:tc>
        <w:tc>
          <w:tcPr>
            <w:tcW w:w="6912" w:type="dxa"/>
            <w:vAlign w:val="top"/>
          </w:tcPr>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人领取</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通知书前，向</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代理机构一次性付清</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代理服务费，本项目</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代理服务收费标准参照计价格[2002]1980号《招标代理服务收费管理暂行办法》</w:t>
            </w:r>
            <w:r>
              <w:rPr>
                <w:rFonts w:hint="eastAsia" w:ascii="宋体" w:hAnsi="宋体" w:eastAsia="宋体" w:cs="宋体"/>
                <w:color w:val="auto"/>
                <w:sz w:val="21"/>
                <w:szCs w:val="21"/>
                <w:highlight w:val="none"/>
                <w:lang w:eastAsia="zh-CN"/>
              </w:rPr>
              <w:t>工程类</w:t>
            </w:r>
            <w:r>
              <w:rPr>
                <w:rFonts w:hint="eastAsia" w:ascii="宋体" w:hAnsi="宋体" w:eastAsia="宋体" w:cs="宋体"/>
                <w:color w:val="auto"/>
                <w:sz w:val="21"/>
                <w:szCs w:val="21"/>
                <w:highlight w:val="none"/>
              </w:rPr>
              <w:t>收费标准向</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人收取（不足人民币</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000元的，按</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解释权</w:t>
            </w:r>
          </w:p>
        </w:tc>
        <w:tc>
          <w:tcPr>
            <w:tcW w:w="6912" w:type="dxa"/>
            <w:vAlign w:val="top"/>
          </w:tcPr>
          <w:p>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6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942"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1775" w:type="dxa"/>
            <w:vAlign w:val="center"/>
          </w:tcPr>
          <w:p>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监督管理机构</w:t>
            </w:r>
          </w:p>
        </w:tc>
        <w:tc>
          <w:tcPr>
            <w:tcW w:w="6912" w:type="dxa"/>
            <w:vAlign w:val="center"/>
          </w:tcPr>
          <w:p>
            <w:pPr>
              <w:pageBreakBefore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灌阳县财政局政府采购监督管理办公室</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eastAsia="zh-CN"/>
              </w:rPr>
              <w:t>0773-4250206</w:t>
            </w:r>
          </w:p>
        </w:tc>
      </w:tr>
    </w:tbl>
    <w:p>
      <w:pPr>
        <w:pStyle w:val="17"/>
        <w:ind w:left="0" w:leftChars="0" w:firstLine="0" w:firstLineChars="0"/>
        <w:rPr>
          <w:rFonts w:hint="eastAsia" w:ascii="宋体" w:hAnsi="宋体" w:eastAsia="宋体" w:cs="宋体"/>
          <w:b/>
          <w:color w:val="auto"/>
          <w:sz w:val="21"/>
          <w:szCs w:val="21"/>
          <w:highlight w:val="none"/>
        </w:rPr>
      </w:pPr>
    </w:p>
    <w:p>
      <w:pPr>
        <w:pStyle w:val="3"/>
        <w:pageBreakBefore w:val="0"/>
        <w:widowControl w:val="0"/>
        <w:tabs>
          <w:tab w:val="left" w:pos="567"/>
        </w:tabs>
        <w:kinsoku/>
        <w:wordWrap/>
        <w:overflowPunct/>
        <w:topLinePunct w:val="0"/>
        <w:bidi w:val="0"/>
        <w:spacing w:line="440" w:lineRule="exact"/>
        <w:jc w:val="both"/>
        <w:textAlignment w:val="auto"/>
        <w:rPr>
          <w:rFonts w:hint="eastAsia" w:ascii="宋体" w:hAnsi="宋体" w:eastAsia="宋体" w:cs="宋体"/>
          <w:b/>
          <w:bCs w:val="0"/>
          <w:color w:val="auto"/>
          <w:sz w:val="21"/>
          <w:szCs w:val="21"/>
          <w:highlight w:val="none"/>
        </w:rPr>
        <w:sectPr>
          <w:footerReference r:id="rId8" w:type="first"/>
          <w:footerReference r:id="rId7" w:type="default"/>
          <w:pgSz w:w="11906" w:h="16838"/>
          <w:pgMar w:top="1077" w:right="1115" w:bottom="1191" w:left="1131" w:header="851" w:footer="992" w:gutter="0"/>
          <w:pgNumType w:fmt="decimal"/>
          <w:cols w:space="720" w:num="1"/>
          <w:titlePg/>
          <w:docGrid w:type="lines" w:linePitch="312" w:charSpace="0"/>
        </w:sectPr>
      </w:pPr>
      <w:bookmarkStart w:id="48" w:name="_Toc27120"/>
      <w:bookmarkStart w:id="49" w:name="_Toc22792"/>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50" w:name="_Toc19520"/>
      <w:r>
        <w:rPr>
          <w:rFonts w:hint="eastAsia" w:ascii="宋体" w:hAnsi="宋体" w:eastAsia="宋体" w:cs="宋体"/>
          <w:b/>
          <w:bCs w:val="0"/>
          <w:color w:val="auto"/>
          <w:sz w:val="21"/>
          <w:szCs w:val="21"/>
          <w:highlight w:val="none"/>
        </w:rPr>
        <w:t>一、总则</w:t>
      </w:r>
      <w:bookmarkEnd w:id="48"/>
      <w:bookmarkEnd w:id="49"/>
      <w:bookmarkEnd w:id="50"/>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1" w:name="_Toc6626"/>
      <w:bookmarkStart w:id="52" w:name="_Toc3367"/>
      <w:r>
        <w:rPr>
          <w:rFonts w:hint="eastAsia" w:ascii="宋体" w:hAnsi="宋体" w:eastAsia="宋体" w:cs="宋体"/>
          <w:color w:val="auto"/>
          <w:sz w:val="21"/>
          <w:szCs w:val="21"/>
          <w:highlight w:val="none"/>
        </w:rPr>
        <w:t>1. 适应范围</w:t>
      </w:r>
      <w:bookmarkEnd w:id="51"/>
      <w:bookmarkEnd w:id="52"/>
    </w:p>
    <w:p>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项目名称及项目编号</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val="en-US" w:eastAsia="zh-CN"/>
        </w:rPr>
        <w:t>灌阳县西山瑶族乡2024年少数民族特色村寨与乡村旅游融合发展（民宿）项目</w:t>
      </w:r>
      <w:r>
        <w:rPr>
          <w:rFonts w:hint="eastAsia" w:ascii="宋体" w:hAnsi="宋体" w:eastAsia="宋体" w:cs="宋体"/>
          <w:color w:val="auto"/>
          <w:sz w:val="21"/>
          <w:szCs w:val="21"/>
          <w:highlight w:val="none"/>
        </w:rPr>
        <w:t xml:space="preserve">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GLZC2024-C2-270160-GXJY</w:t>
      </w:r>
    </w:p>
    <w:p>
      <w:pPr>
        <w:pageBreakBefore w:val="0"/>
        <w:widowControl w:val="0"/>
        <w:kinsoku/>
        <w:wordWrap/>
        <w:overflowPunct/>
        <w:topLinePunct w:val="0"/>
        <w:bidi w:val="0"/>
        <w:snapToGrid/>
        <w:spacing w:line="380" w:lineRule="exact"/>
        <w:ind w:left="0" w:leftChars="0" w:firstLine="411" w:firstLineChars="196"/>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1.2本竞争性磋商文件（以下简称磋商文件）适用于本磋商项目的磋商、评审、合同履约、验收、付款等行为（法律、法规另有规定的，从其规定）。</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3" w:name="_Toc2845"/>
      <w:bookmarkStart w:id="54" w:name="_Toc28336"/>
      <w:r>
        <w:rPr>
          <w:rFonts w:hint="eastAsia" w:ascii="宋体" w:hAnsi="宋体" w:eastAsia="宋体" w:cs="宋体"/>
          <w:color w:val="auto"/>
          <w:sz w:val="21"/>
          <w:szCs w:val="21"/>
          <w:highlight w:val="none"/>
        </w:rPr>
        <w:t>2. 定义</w:t>
      </w:r>
      <w:bookmarkEnd w:id="53"/>
      <w:bookmarkEnd w:id="54"/>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2.1“供应商”是指符合本次采购项目的供应商资格并提交响应文件、参加磋商的供应商。如果该供应商在本次磋商中成交，即成为“成交供应商”。</w:t>
      </w:r>
    </w:p>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2.2“货物”系指按磋商文件规定，供应商须向采购人提供的一切设备、保险、税金、备品备件、工具、手册及其它有关技术资料和材料。</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2.3“服务”系指按磋商文件规定，供应商须承担的安装、调试、技术协助、校准、培训、技术指导以及其他类似的义务。</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2.4“项目”系指供应商按磋商文件规定向采购人提供的货物和服务。</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2.5“书面形式”包括信函、传真、电报等。</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5" w:name="_Toc25441"/>
      <w:bookmarkStart w:id="56" w:name="_Toc13017"/>
      <w:r>
        <w:rPr>
          <w:rFonts w:hint="eastAsia" w:ascii="宋体" w:hAnsi="宋体" w:eastAsia="宋体" w:cs="宋体"/>
          <w:color w:val="auto"/>
          <w:sz w:val="21"/>
          <w:szCs w:val="21"/>
          <w:highlight w:val="none"/>
        </w:rPr>
        <w:t>3. 供应商资格</w:t>
      </w:r>
      <w:bookmarkEnd w:id="55"/>
      <w:bookmarkEnd w:id="56"/>
    </w:p>
    <w:p>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3.1</w:t>
      </w:r>
      <w:r>
        <w:rPr>
          <w:rFonts w:hint="eastAsia" w:ascii="宋体" w:hAnsi="宋体" w:eastAsia="宋体" w:cs="宋体"/>
          <w:color w:val="auto"/>
          <w:sz w:val="21"/>
          <w:szCs w:val="21"/>
          <w:highlight w:val="none"/>
        </w:rPr>
        <w:t>满足《中华人民共和国政府采购法》第二十二条规定</w:t>
      </w:r>
      <w:r>
        <w:rPr>
          <w:rFonts w:hint="eastAsia" w:ascii="宋体" w:hAnsi="宋体" w:eastAsia="宋体" w:cs="宋体"/>
          <w:bCs/>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val="en-US" w:eastAsia="zh-CN"/>
        </w:rPr>
      </w:pPr>
      <w:bookmarkStart w:id="57" w:name="_Toc16496"/>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落实政府采购政策需满足的资格要求：专门面向中小企业采购的项目（供应商应为中小微企业、监狱企业、残疾人福利性单位)</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bookmarkStart w:id="58" w:name="_Toc5736"/>
      <w:bookmarkStart w:id="59" w:name="_Toc4527"/>
      <w:bookmarkStart w:id="60" w:name="_Toc3452"/>
      <w:r>
        <w:rPr>
          <w:rFonts w:hint="eastAsia" w:ascii="宋体" w:hAnsi="宋体" w:eastAsia="宋体" w:cs="宋体"/>
          <w:b w:val="0"/>
          <w:bCs w:val="0"/>
          <w:color w:val="auto"/>
          <w:sz w:val="21"/>
          <w:szCs w:val="21"/>
          <w:highlight w:val="none"/>
          <w:lang w:val="en-US" w:eastAsia="zh-CN"/>
        </w:rPr>
        <w:t>3.3</w:t>
      </w:r>
      <w:r>
        <w:rPr>
          <w:rFonts w:hint="eastAsia" w:ascii="宋体" w:hAnsi="宋体" w:eastAsia="宋体" w:cs="宋体"/>
          <w:b w:val="0"/>
          <w:bCs w:val="0"/>
          <w:color w:val="auto"/>
          <w:sz w:val="21"/>
          <w:szCs w:val="21"/>
          <w:highlight w:val="none"/>
        </w:rPr>
        <w:t>本项目的特定资格要求：</w:t>
      </w:r>
      <w:bookmarkEnd w:id="58"/>
      <w:bookmarkEnd w:id="59"/>
      <w:bookmarkEnd w:id="60"/>
      <w:bookmarkStart w:id="61" w:name="_Toc9216"/>
      <w:r>
        <w:rPr>
          <w:rFonts w:hint="eastAsia" w:ascii="宋体" w:hAnsi="宋体" w:eastAsia="宋体" w:cs="宋体"/>
          <w:b w:val="0"/>
          <w:bCs w:val="0"/>
          <w:color w:val="auto"/>
          <w:sz w:val="21"/>
          <w:szCs w:val="21"/>
          <w:highlight w:val="none"/>
        </w:rPr>
        <w:t>供应商须具备建筑工程施工总承包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级）以上资质，并具有省级或以上建设行政主管部门颁发的建筑施工企业安全生产许可证，并在人员、设备、资金等方面具有相应的施工能力；拟派项目经理须具备建筑工程专业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eastAsia="宋体" w:cs="宋体"/>
          <w:color w:val="auto"/>
          <w:kern w:val="0"/>
          <w:sz w:val="21"/>
          <w:szCs w:val="21"/>
          <w:highlight w:val="none"/>
          <w:lang w:eastAsia="zh-CN"/>
        </w:rPr>
        <w:t>。</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磋商费用</w:t>
      </w:r>
      <w:bookmarkEnd w:id="57"/>
      <w:bookmarkEnd w:id="61"/>
    </w:p>
    <w:p>
      <w:pPr>
        <w:pageBreakBefore w:val="0"/>
        <w:widowControl w:val="0"/>
        <w:tabs>
          <w:tab w:val="left" w:pos="1635"/>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不论磋商结果如何，供应商均应自行承担所有与磋商有关的全部费用。</w:t>
      </w:r>
    </w:p>
    <w:p>
      <w:pPr>
        <w:pStyle w:val="4"/>
        <w:pageBreakBefore w:val="0"/>
        <w:widowControl w:val="0"/>
        <w:numPr>
          <w:ilvl w:val="0"/>
          <w:numId w:val="2"/>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2" w:name="_Toc31376"/>
      <w:bookmarkStart w:id="63" w:name="_Toc22877"/>
      <w:r>
        <w:rPr>
          <w:rFonts w:hint="eastAsia" w:ascii="宋体" w:hAnsi="宋体" w:eastAsia="宋体" w:cs="宋体"/>
          <w:color w:val="auto"/>
          <w:sz w:val="21"/>
          <w:szCs w:val="21"/>
          <w:highlight w:val="none"/>
        </w:rPr>
        <w:t>联合体要求</w:t>
      </w:r>
      <w:bookmarkEnd w:id="62"/>
      <w:bookmarkEnd w:id="63"/>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本项目不接受联合体参与磋商</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4" w:name="_Toc4152"/>
      <w:bookmarkStart w:id="65" w:name="_Toc18940"/>
      <w:r>
        <w:rPr>
          <w:rFonts w:hint="eastAsia" w:ascii="宋体" w:hAnsi="宋体" w:eastAsia="宋体" w:cs="宋体"/>
          <w:color w:val="auto"/>
          <w:sz w:val="21"/>
          <w:szCs w:val="21"/>
          <w:highlight w:val="none"/>
        </w:rPr>
        <w:t>6. 质疑和投诉</w:t>
      </w:r>
      <w:bookmarkEnd w:id="64"/>
      <w:bookmarkEnd w:id="65"/>
      <w:r>
        <w:rPr>
          <w:rFonts w:hint="eastAsia" w:ascii="宋体" w:hAnsi="宋体" w:eastAsia="宋体" w:cs="宋体"/>
          <w:color w:val="auto"/>
          <w:sz w:val="21"/>
          <w:szCs w:val="21"/>
          <w:highlight w:val="none"/>
        </w:rPr>
        <w:tab/>
      </w:r>
    </w:p>
    <w:p>
      <w:pPr>
        <w:pageBreakBefore w:val="0"/>
        <w:widowControl w:val="0"/>
        <w:tabs>
          <w:tab w:val="left" w:pos="2190"/>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u w:val="none"/>
        </w:rPr>
      </w:pPr>
      <w:bookmarkStart w:id="66" w:name="_Toc8195"/>
      <w:bookmarkStart w:id="67" w:name="_Toc26087"/>
      <w:r>
        <w:rPr>
          <w:rFonts w:hint="eastAsia" w:ascii="宋体" w:hAnsi="宋体" w:eastAsia="宋体" w:cs="宋体"/>
          <w:color w:val="auto"/>
          <w:sz w:val="21"/>
          <w:szCs w:val="21"/>
          <w:highlight w:val="none"/>
          <w:u w:val="none"/>
        </w:rPr>
        <w:t>6.1</w:t>
      </w:r>
      <w:r>
        <w:rPr>
          <w:rFonts w:hint="eastAsia" w:hAnsi="宋体"/>
          <w:color w:val="auto"/>
          <w:highlight w:val="none"/>
        </w:rPr>
        <w:t>供应商对政府采购活动事项有疑问的，可以向采购人、采购代理机构提出询问</w:t>
      </w:r>
      <w:r>
        <w:rPr>
          <w:rFonts w:hint="eastAsia" w:ascii="宋体" w:hAnsi="宋体" w:eastAsia="宋体" w:cs="宋体"/>
          <w:color w:val="auto"/>
          <w:sz w:val="21"/>
          <w:szCs w:val="21"/>
          <w:highlight w:val="none"/>
          <w:u w:val="none"/>
        </w:rPr>
        <w:t>。</w:t>
      </w:r>
    </w:p>
    <w:p>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2</w:t>
      </w:r>
      <w:r>
        <w:rPr>
          <w:rFonts w:ascii="宋体" w:hAnsi="宋体"/>
          <w:color w:val="auto"/>
          <w:szCs w:val="21"/>
          <w:highlight w:val="none"/>
        </w:rPr>
        <w:t>供应商认为磋商文件使自己的合法权益受到损害的，应当</w:t>
      </w:r>
      <w:r>
        <w:rPr>
          <w:rFonts w:hint="eastAsia" w:ascii="宋体" w:hAnsi="宋体"/>
          <w:color w:val="auto"/>
          <w:szCs w:val="21"/>
          <w:highlight w:val="none"/>
        </w:rPr>
        <w:t>在公告期限届满之日起</w:t>
      </w:r>
      <w:r>
        <w:rPr>
          <w:rFonts w:ascii="宋体" w:hAnsi="宋体"/>
          <w:color w:val="auto"/>
          <w:szCs w:val="21"/>
          <w:highlight w:val="none"/>
        </w:rPr>
        <w:t>七个工作日内，以书面形式向采购代理机构提出质疑。供应商认为采购过程或成交结果使自己的合法权益受到损害的，应当在</w:t>
      </w:r>
      <w:r>
        <w:rPr>
          <w:rFonts w:hint="eastAsia" w:ascii="宋体" w:hAnsi="宋体"/>
          <w:color w:val="auto"/>
          <w:szCs w:val="21"/>
          <w:highlight w:val="none"/>
        </w:rPr>
        <w:t>各</w:t>
      </w:r>
      <w:r>
        <w:rPr>
          <w:rFonts w:ascii="宋体" w:hAnsi="宋体"/>
          <w:color w:val="auto"/>
          <w:szCs w:val="21"/>
          <w:highlight w:val="none"/>
        </w:rPr>
        <w:t>采购程序环节结束之日或成交公告期限届满之日起七个工作日内，以书面形式</w:t>
      </w:r>
      <w:r>
        <w:rPr>
          <w:rFonts w:hint="eastAsia" w:ascii="宋体" w:hAnsi="宋体"/>
          <w:color w:val="auto"/>
          <w:szCs w:val="21"/>
          <w:highlight w:val="none"/>
        </w:rPr>
        <w:t>向</w:t>
      </w:r>
      <w:r>
        <w:rPr>
          <w:rFonts w:ascii="宋体" w:hAnsi="宋体"/>
          <w:color w:val="auto"/>
          <w:szCs w:val="21"/>
          <w:highlight w:val="none"/>
        </w:rPr>
        <w:t>采购代理机构提出质疑</w:t>
      </w:r>
      <w:r>
        <w:rPr>
          <w:rFonts w:hint="eastAsia" w:ascii="宋体" w:hAnsi="宋体" w:cs="宋体"/>
          <w:b/>
          <w:color w:val="auto"/>
          <w:szCs w:val="21"/>
          <w:highlight w:val="none"/>
        </w:rPr>
        <w:t>（“质疑函”格式见附表1）</w:t>
      </w:r>
      <w:r>
        <w:rPr>
          <w:rFonts w:ascii="宋体" w:hAnsi="宋体"/>
          <w:color w:val="auto"/>
          <w:szCs w:val="21"/>
          <w:highlight w:val="none"/>
        </w:rPr>
        <w:t>。</w:t>
      </w:r>
      <w:r>
        <w:rPr>
          <w:rFonts w:hint="eastAsia" w:ascii="宋体" w:hAnsi="宋体" w:cs="宋体"/>
          <w:color w:val="auto"/>
          <w:szCs w:val="21"/>
          <w:highlight w:val="none"/>
        </w:rPr>
        <w:t>否则，采购代理机构有权拒收。</w:t>
      </w:r>
    </w:p>
    <w:p>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pPr>
        <w:tabs>
          <w:tab w:val="left" w:pos="2190"/>
        </w:tabs>
        <w:wordWrap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供应商在法定质疑期内应一次性提出与项目相关的质疑，供应商在提出与项目相关的质疑前应当做好全面且详细的工作，采购代理机构不再受理供应商针对同一采购程序环节的再次质疑。</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3</w:t>
      </w:r>
      <w:r>
        <w:rPr>
          <w:rFonts w:hint="eastAsia" w:ascii="宋体" w:hAnsi="宋体"/>
          <w:color w:val="auto"/>
          <w:szCs w:val="21"/>
          <w:highlight w:val="none"/>
        </w:rPr>
        <w:t>供应商对采购代理机构的质疑答复不满意或者采购代理机构未在规定的时间内作出答复的，可以在答复期满后十五个工作日内向本级财政部门投诉</w:t>
      </w:r>
      <w:r>
        <w:rPr>
          <w:rFonts w:hint="eastAsia" w:ascii="宋体" w:hAnsi="宋体" w:cs="宋体"/>
          <w:b/>
          <w:color w:val="auto"/>
          <w:szCs w:val="21"/>
          <w:highlight w:val="none"/>
        </w:rPr>
        <w:t>（“投诉书”格式见附表2）</w:t>
      </w:r>
      <w:r>
        <w:rPr>
          <w:rFonts w:hint="eastAsia" w:ascii="宋体" w:hAnsi="宋体"/>
          <w:color w:val="auto"/>
          <w:szCs w:val="21"/>
          <w:highlight w:val="none"/>
        </w:rPr>
        <w:t>。</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4</w:t>
      </w:r>
      <w:r>
        <w:rPr>
          <w:rFonts w:hint="eastAsia" w:ascii="宋体" w:hAnsi="宋体"/>
          <w:color w:val="auto"/>
          <w:szCs w:val="21"/>
          <w:highlight w:val="none"/>
        </w:rPr>
        <w:t>供应商提出质疑、投诉，应当遵守中华人民共和国财政部令第</w:t>
      </w:r>
      <w:r>
        <w:rPr>
          <w:rFonts w:ascii="宋体" w:hAnsi="宋体"/>
          <w:color w:val="auto"/>
          <w:szCs w:val="21"/>
          <w:highlight w:val="none"/>
        </w:rPr>
        <w:t>94</w:t>
      </w:r>
      <w:r>
        <w:rPr>
          <w:rFonts w:hint="eastAsia" w:ascii="宋体" w:hAnsi="宋体"/>
          <w:color w:val="auto"/>
          <w:szCs w:val="21"/>
          <w:highlight w:val="none"/>
        </w:rPr>
        <w:t>号《政府采购质疑和投诉办法》的相关规定，且采用书面形式。质疑函、投诉书均应明确阐述磋商文件、采购过程或成交结果中使自己合法权益受到损害的实质性内容，并提供相关事实、依据和证据及其来源。</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供应商提出质疑应当提交质疑函和必要的证明材料，针对同一采购程序环节的质疑必须在法定质疑期内一次性提出。质疑函应当包括下列内容：</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（1）供应商的姓名或者名称、地址、邮编、联系人及联系电话；</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（2）质疑项目的名称、编号；</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（3）具体、明确的质疑事项和与质疑事项相关的请求；</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（4）事实依据；</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（5）必要的法律依据；</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（6）提出质疑的日期。</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供应商为自然人的，应当由本人签字；供应商为法人或者其他组织的，应当由法定代表人、主要负责人，或者其授权代表签字或者盖章，并加盖公章。</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接收质疑函方式：以书面形式</w:t>
      </w:r>
    </w:p>
    <w:p>
      <w:pPr>
        <w:tabs>
          <w:tab w:val="left" w:pos="2190"/>
        </w:tabs>
        <w:wordWrap w:val="0"/>
        <w:spacing w:line="36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rPr>
        <w:t>质疑联系部门及联系方式：</w:t>
      </w:r>
      <w:r>
        <w:rPr>
          <w:rFonts w:hint="eastAsia" w:ascii="宋体" w:hAnsi="宋体" w:cs="宋体"/>
          <w:color w:val="auto"/>
          <w:sz w:val="21"/>
          <w:szCs w:val="21"/>
          <w:highlight w:val="none"/>
          <w:u w:val="none"/>
          <w:lang w:val="en-US" w:eastAsia="zh-CN"/>
        </w:rPr>
        <w:t>广西建业中天工程咨询有限公司</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联系电话：</w:t>
      </w:r>
      <w:r>
        <w:rPr>
          <w:rFonts w:hint="eastAsia" w:ascii="宋体" w:hAnsi="宋体" w:cs="宋体"/>
          <w:color w:val="auto"/>
          <w:sz w:val="21"/>
          <w:szCs w:val="21"/>
          <w:highlight w:val="none"/>
          <w:u w:val="none"/>
          <w:lang w:val="en-US" w:eastAsia="zh-CN"/>
        </w:rPr>
        <w:t>0773-5899196</w:t>
      </w:r>
    </w:p>
    <w:bookmarkEnd w:id="66"/>
    <w:bookmarkEnd w:id="67"/>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8" w:name="_Toc5032"/>
      <w:bookmarkStart w:id="69" w:name="_Toc6998"/>
      <w:r>
        <w:rPr>
          <w:rFonts w:hint="eastAsia" w:ascii="宋体" w:hAnsi="宋体" w:eastAsia="宋体" w:cs="宋体"/>
          <w:color w:val="auto"/>
          <w:sz w:val="21"/>
          <w:szCs w:val="21"/>
          <w:highlight w:val="none"/>
        </w:rPr>
        <w:t>7. 转包与分包</w:t>
      </w:r>
      <w:bookmarkEnd w:id="68"/>
      <w:bookmarkEnd w:id="69"/>
    </w:p>
    <w:p>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sz w:val="21"/>
          <w:szCs w:val="21"/>
          <w:highlight w:val="none"/>
        </w:rPr>
        <w:t>7</w:t>
      </w:r>
      <w:r>
        <w:rPr>
          <w:rFonts w:hint="eastAsia" w:ascii="宋体" w:hAnsi="宋体" w:eastAsia="宋体" w:cs="宋体"/>
          <w:color w:val="auto"/>
          <w:kern w:val="0"/>
          <w:sz w:val="21"/>
          <w:szCs w:val="21"/>
          <w:highlight w:val="none"/>
          <w:shd w:val="clear" w:color="auto" w:fill="FFFFFF"/>
        </w:rPr>
        <w:t>.1本项目不允许转包。</w:t>
      </w:r>
    </w:p>
    <w:p>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7.2本项目不可以分包。</w:t>
      </w:r>
    </w:p>
    <w:p>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7.3本项目不允许挂靠。</w:t>
      </w:r>
    </w:p>
    <w:p>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7.4如发现有以上行为，采购人有权终止合同，所有损失由成交供应商承担。</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0" w:name="_Toc3368"/>
      <w:bookmarkStart w:id="71" w:name="_Toc15097"/>
      <w:r>
        <w:rPr>
          <w:rFonts w:hint="eastAsia" w:ascii="宋体" w:hAnsi="宋体" w:eastAsia="宋体" w:cs="宋体"/>
          <w:color w:val="auto"/>
          <w:sz w:val="21"/>
          <w:szCs w:val="21"/>
          <w:highlight w:val="none"/>
        </w:rPr>
        <w:t>8. 特别说明</w:t>
      </w:r>
      <w:bookmarkEnd w:id="70"/>
      <w:bookmarkEnd w:id="71"/>
    </w:p>
    <w:p>
      <w:pPr>
        <w:pageBreakBefore w:val="0"/>
        <w:widowControl w:val="0"/>
        <w:tabs>
          <w:tab w:val="left" w:pos="1635"/>
        </w:tabs>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8.1关联供应商不得参加同一合同项下政府采购活动，否则响应文件将被视为无效：</w:t>
      </w:r>
    </w:p>
    <w:p>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（1）单位负责人为同一人或者存在直接控股、管理关系的，不得参加同一合同项下的政府采购活动。</w:t>
      </w:r>
    </w:p>
    <w:p>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）为本采购项目提供整体设计、规范编制或者项目管理、监理、检测等服务的供应商，不得再参加本次采购活动。</w:t>
      </w:r>
    </w:p>
    <w:p>
      <w:pPr>
        <w:tabs>
          <w:tab w:val="left" w:pos="1635"/>
        </w:tabs>
        <w:wordWrap w:val="0"/>
        <w:spacing w:line="360" w:lineRule="exact"/>
        <w:ind w:firstLine="420" w:firstLineChars="200"/>
        <w:rPr>
          <w:rFonts w:ascii="宋体" w:hAnsi="宋体"/>
          <w:color w:val="auto"/>
          <w:szCs w:val="21"/>
          <w:highlight w:val="none"/>
        </w:rPr>
      </w:pPr>
      <w:bookmarkStart w:id="72" w:name="_Toc5168"/>
      <w:bookmarkStart w:id="73" w:name="_Toc29496"/>
      <w:bookmarkStart w:id="74" w:name="_Toc22498"/>
      <w:r>
        <w:rPr>
          <w:rFonts w:hint="eastAsia" w:ascii="宋体" w:hAnsi="宋体"/>
          <w:color w:val="auto"/>
          <w:szCs w:val="21"/>
          <w:highlight w:val="none"/>
        </w:rPr>
        <w:t>8.2供应商磋商所使用的资格、信誉、荣誉、业绩与企业认证必须为本法人所拥有，供应商磋商所使用的采购项目实施人员必须为供应商员工。</w:t>
      </w:r>
    </w:p>
    <w:p>
      <w:pPr>
        <w:tabs>
          <w:tab w:val="left" w:pos="1635"/>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8.3供应商应仔细阅读竞争性磋商文件的所有内容，按照竞争性磋商文件的要求提交响应文件，并对所提供的全部资料的真实性承担法律责任。</w:t>
      </w:r>
    </w:p>
    <w:p>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8.4供应商在采购活动中提供任何虚假材料，其响应文件作无效处理，并报监管部门查处；成交后发现的，成交供应商须依照《中华人民共和国消费者权益保护法》规定赔偿采购人，且民事赔偿并不免除违法供应商的行政与刑事责任。</w:t>
      </w:r>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二、磋商文件</w:t>
      </w:r>
      <w:bookmarkEnd w:id="72"/>
      <w:bookmarkEnd w:id="73"/>
      <w:bookmarkEnd w:id="74"/>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val="pt-BR"/>
        </w:rPr>
      </w:pPr>
      <w:bookmarkStart w:id="75" w:name="_Toc20057"/>
      <w:bookmarkStart w:id="76" w:name="_Toc18964"/>
      <w:r>
        <w:rPr>
          <w:rFonts w:hint="eastAsia" w:ascii="宋体" w:hAnsi="宋体" w:eastAsia="宋体" w:cs="宋体"/>
          <w:color w:val="auto"/>
          <w:sz w:val="21"/>
          <w:szCs w:val="21"/>
          <w:highlight w:val="none"/>
          <w:lang w:val="pt-BR"/>
        </w:rPr>
        <w:t xml:space="preserve">9. </w:t>
      </w:r>
      <w:r>
        <w:rPr>
          <w:rFonts w:hint="eastAsia" w:ascii="宋体" w:hAnsi="宋体" w:eastAsia="宋体" w:cs="宋体"/>
          <w:color w:val="auto"/>
          <w:sz w:val="21"/>
          <w:szCs w:val="21"/>
          <w:highlight w:val="none"/>
        </w:rPr>
        <w:t>磋商文件的构成</w:t>
      </w:r>
      <w:bookmarkEnd w:id="75"/>
      <w:bookmarkEnd w:id="76"/>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（1）竞争性磋商公告；</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（2）供应商须知；</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（3）工程量清单</w:t>
      </w:r>
      <w:r>
        <w:rPr>
          <w:rFonts w:hint="eastAsia" w:ascii="宋体" w:hAnsi="宋体" w:eastAsia="宋体" w:cs="宋体"/>
          <w:bCs/>
          <w:color w:val="auto"/>
          <w:sz w:val="21"/>
          <w:szCs w:val="21"/>
          <w:highlight w:val="none"/>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（4）评审办法；</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（5）采购合同（合同主要条款及格式）；</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（6）响应文件（格式）</w:t>
      </w:r>
      <w:r>
        <w:rPr>
          <w:rFonts w:hint="eastAsia" w:ascii="宋体" w:hAnsi="宋体" w:eastAsia="宋体" w:cs="宋体"/>
          <w:color w:val="auto"/>
          <w:sz w:val="21"/>
          <w:szCs w:val="21"/>
          <w:highlight w:val="none"/>
          <w:lang w:eastAsia="zh-CN"/>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bookmarkStart w:id="77" w:name="_Toc9103"/>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图纸。</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8" w:name="_Toc17932"/>
      <w:r>
        <w:rPr>
          <w:rFonts w:hint="eastAsia" w:ascii="宋体" w:hAnsi="宋体" w:eastAsia="宋体" w:cs="宋体"/>
          <w:color w:val="auto"/>
          <w:sz w:val="21"/>
          <w:szCs w:val="21"/>
          <w:highlight w:val="none"/>
        </w:rPr>
        <w:t>10. 磋商文件的澄清与修改</w:t>
      </w:r>
      <w:bookmarkEnd w:id="77"/>
      <w:bookmarkEnd w:id="78"/>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 提交首次响应文件截止之日前，采购代理机构可以对已发出的磋商文件进行必要澄清、答复、修改或补充，澄清或者修改的内容可能影响响应文件编制的，澄清或者修改的内容作为磋商文件的组成部分。采购代理机构应当在提交首次响应文件递交截止时间</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前在本项目竞争性磋商公告发布的同一媒体上发布更正公告，不足</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的，应当顺延首次响应文件递交截止时间。</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10.2</w:t>
      </w:r>
      <w:r>
        <w:rPr>
          <w:rFonts w:hint="eastAsia" w:ascii="宋体" w:hAnsi="宋体" w:eastAsia="宋体" w:cs="宋体"/>
          <w:b/>
          <w:bCs/>
          <w:color w:val="auto"/>
          <w:sz w:val="21"/>
          <w:szCs w:val="21"/>
          <w:highlight w:val="none"/>
        </w:rPr>
        <w:t>供应商应实时关注本项目信息公告发布媒体相关网站了解澄清、修改等与项目有关的内容，如因供应商未及时登录相关网站了解澄清、修改等与项目有关的内容，从而导致响应文件无效的，由供应商自行承担责任。</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10.3澄清或者修改的内容为磋商文件的组成部分。当澄清或者修改通知就同一内容的表述不一致时，以最后发出的文件为准。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 磋商文件的澄清或者修改都应该通过本项目采购代理机构以法定形式发布，采购人非通过本机构，不得擅自澄清或者修改磋商文件。</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10.5采购单位可以视采购具体情况，延长响应文件截止时间和磋商时间，在本项目竞争性磋商公告发布的同一媒体上发布变更公告。</w:t>
      </w:r>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79" w:name="_Toc20830"/>
      <w:bookmarkStart w:id="80" w:name="_Toc17820"/>
      <w:bookmarkStart w:id="81" w:name="_Toc26857"/>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三、竞争性磋商响应文件的编制</w:t>
      </w:r>
      <w:bookmarkEnd w:id="79"/>
      <w:bookmarkEnd w:id="80"/>
      <w:bookmarkEnd w:id="81"/>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b/>
          <w:color w:val="auto"/>
          <w:sz w:val="21"/>
          <w:szCs w:val="21"/>
          <w:highlight w:val="none"/>
          <w:lang w:val="en-US" w:eastAsia="zh-CN"/>
        </w:rPr>
      </w:pPr>
      <w:bookmarkStart w:id="82" w:name="_Toc19747"/>
      <w:r>
        <w:rPr>
          <w:rFonts w:hint="eastAsia" w:ascii="宋体" w:hAnsi="宋体" w:eastAsia="宋体" w:cs="宋体"/>
          <w:b/>
          <w:color w:val="auto"/>
          <w:sz w:val="21"/>
          <w:szCs w:val="21"/>
          <w:highlight w:val="none"/>
          <w:lang w:val="en-US" w:eastAsia="zh-CN"/>
        </w:rPr>
        <w:t>11.竞争性磋商响应文件编制基本要求</w:t>
      </w:r>
      <w:bookmarkEnd w:id="82"/>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11.1 本项目实行电子响应，供应商应准备电子响应文件：</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 xml:space="preserve">11.1.1 电子响应文件按广西政府采购云平台要求及本磋商文件要求制作、加密并递交。具体操作流程可参考《政府采购项目电子交易管理操作指南-供应商》，指南可在广西政府采购网（访问地址http://zfcg.gxzf.gov.cn/）—办事服务—下载专区下载。  </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竞争性磋商响应文件（以下简称响应文件）的组成及要求</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2.1</w:t>
      </w:r>
      <w:r>
        <w:rPr>
          <w:rFonts w:hint="eastAsia" w:ascii="宋体" w:hAnsi="宋体" w:eastAsia="宋体" w:cs="宋体"/>
          <w:b/>
          <w:bCs/>
          <w:color w:val="auto"/>
          <w:sz w:val="21"/>
          <w:szCs w:val="21"/>
          <w:highlight w:val="none"/>
        </w:rPr>
        <w:t>响应文件组成【格式见第六章“响应文件（格式）”】</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1.1</w:t>
      </w:r>
      <w:r>
        <w:rPr>
          <w:rFonts w:hint="eastAsia" w:ascii="宋体" w:hAnsi="宋体" w:eastAsia="宋体" w:cs="宋体"/>
          <w:b/>
          <w:bCs/>
          <w:color w:val="auto"/>
          <w:sz w:val="21"/>
          <w:szCs w:val="21"/>
          <w:highlight w:val="none"/>
        </w:rPr>
        <w:t>资格性响应证明材料：</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的授权委托书原件、委托代理人身份证正反面复印件以及由县级以上（含县级）社会养老保险经办机构出具的供应商为委托代理人交纳的响应文件递交截止时间前半年内任意连续三个月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cs="宋体"/>
          <w:b/>
          <w:bCs/>
          <w:color w:val="auto"/>
          <w:sz w:val="21"/>
          <w:szCs w:val="21"/>
          <w:highlight w:val="none"/>
          <w:lang w:eastAsia="zh-CN"/>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Cs/>
          <w:color w:val="auto"/>
          <w:kern w:val="0"/>
          <w:sz w:val="21"/>
          <w:szCs w:val="21"/>
          <w:highlight w:val="none"/>
          <w:lang w:val="en-US" w:eastAsia="zh-CN" w:bidi="ar-SA"/>
        </w:rPr>
        <w:t>、拟投入项目经理的注册建造师执业资格证书及安全生产考核合格证书（B类）</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6</w:t>
      </w:r>
      <w:r>
        <w:rPr>
          <w:rFonts w:hint="eastAsia" w:ascii="宋体" w:hAnsi="宋体" w:eastAsia="宋体" w:cs="宋体"/>
          <w:bCs/>
          <w:color w:val="auto"/>
          <w:kern w:val="0"/>
          <w:sz w:val="21"/>
          <w:szCs w:val="21"/>
          <w:highlight w:val="none"/>
          <w:lang w:val="en-US" w:eastAsia="zh-CN" w:bidi="ar-SA"/>
        </w:rPr>
        <w:t>）</w:t>
      </w:r>
      <w:r>
        <w:rPr>
          <w:rFonts w:hint="eastAsia" w:ascii="宋体" w:hAnsi="宋体" w:cs="Arial"/>
          <w:color w:val="auto"/>
          <w:kern w:val="0"/>
          <w:szCs w:val="21"/>
          <w:highlight w:val="none"/>
        </w:rPr>
        <w:t>项目经理无在建工程承诺书</w:t>
      </w:r>
      <w:r>
        <w:rPr>
          <w:rFonts w:hint="eastAsia" w:ascii="宋体" w:hAnsi="宋体"/>
          <w:b/>
          <w:color w:val="auto"/>
          <w:highlight w:val="none"/>
        </w:rPr>
        <w:t>（</w:t>
      </w:r>
      <w:r>
        <w:rPr>
          <w:rFonts w:hint="eastAsia" w:ascii="宋体" w:hAnsi="宋体" w:cs="宋体"/>
          <w:b/>
          <w:bCs/>
          <w:color w:val="auto"/>
          <w:highlight w:val="none"/>
        </w:rPr>
        <w:t>格式自拟，</w:t>
      </w:r>
      <w:r>
        <w:rPr>
          <w:rFonts w:hint="eastAsia" w:ascii="宋体" w:hAnsi="宋体"/>
          <w:b/>
          <w:color w:val="auto"/>
          <w:highlight w:val="none"/>
        </w:rPr>
        <w:t>必须提供）</w:t>
      </w:r>
      <w:r>
        <w:rPr>
          <w:rFonts w:hint="eastAsia" w:ascii="宋体" w:hAnsi="宋体" w:eastAsia="宋体" w:cs="宋体"/>
          <w:b/>
          <w:bCs w:val="0"/>
          <w:color w:val="auto"/>
          <w:kern w:val="0"/>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7</w:t>
      </w:r>
      <w:r>
        <w:rPr>
          <w:rFonts w:hint="eastAsia" w:ascii="宋体" w:hAnsi="宋体" w:eastAsia="宋体" w:cs="宋体"/>
          <w:color w:val="auto"/>
          <w:kern w:val="2"/>
          <w:sz w:val="21"/>
          <w:szCs w:val="21"/>
          <w:highlight w:val="none"/>
          <w:lang w:val="en-US" w:eastAsia="zh-CN" w:bidi="ar-SA"/>
        </w:rPr>
        <w:t>）供应商2022年度以来任意一个年度内的财务状况报告</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可</w:t>
      </w:r>
      <w:r>
        <w:rPr>
          <w:rFonts w:hint="eastAsia" w:ascii="宋体" w:hAnsi="宋体" w:eastAsia="宋体" w:cs="宋体"/>
          <w:b/>
          <w:bCs/>
          <w:color w:val="auto"/>
          <w:sz w:val="21"/>
          <w:szCs w:val="21"/>
          <w:highlight w:val="none"/>
          <w:lang w:eastAsia="zh-CN"/>
        </w:rPr>
        <w:t>以是供应商</w:t>
      </w:r>
      <w:r>
        <w:rPr>
          <w:rFonts w:hint="eastAsia" w:ascii="宋体" w:hAnsi="宋体" w:eastAsia="宋体" w:cs="宋体"/>
          <w:b/>
          <w:bCs/>
          <w:color w:val="auto"/>
          <w:sz w:val="21"/>
          <w:szCs w:val="21"/>
          <w:highlight w:val="none"/>
        </w:rPr>
        <w:t>自行编制也</w:t>
      </w:r>
      <w:r>
        <w:rPr>
          <w:rFonts w:hint="eastAsia" w:ascii="宋体" w:hAnsi="宋体" w:cs="宋体"/>
          <w:b/>
          <w:bCs/>
          <w:color w:val="auto"/>
          <w:sz w:val="21"/>
          <w:szCs w:val="21"/>
          <w:highlight w:val="none"/>
          <w:lang w:eastAsia="zh-CN"/>
        </w:rPr>
        <w:t>可以</w:t>
      </w:r>
      <w:r>
        <w:rPr>
          <w:rFonts w:hint="eastAsia" w:ascii="宋体" w:hAnsi="宋体" w:eastAsia="宋体" w:cs="宋体"/>
          <w:b/>
          <w:bCs/>
          <w:color w:val="auto"/>
          <w:sz w:val="21"/>
          <w:szCs w:val="21"/>
          <w:highlight w:val="none"/>
          <w:lang w:eastAsia="zh-CN"/>
        </w:rPr>
        <w:t>是</w:t>
      </w:r>
      <w:r>
        <w:rPr>
          <w:rFonts w:hint="eastAsia" w:ascii="宋体" w:hAnsi="宋体" w:eastAsia="宋体" w:cs="宋体"/>
          <w:b/>
          <w:bCs/>
          <w:color w:val="auto"/>
          <w:sz w:val="21"/>
          <w:szCs w:val="21"/>
          <w:highlight w:val="none"/>
        </w:rPr>
        <w:t>通过</w:t>
      </w:r>
      <w:r>
        <w:rPr>
          <w:rFonts w:hint="eastAsia" w:ascii="宋体" w:hAnsi="宋体" w:eastAsia="宋体" w:cs="宋体"/>
          <w:b/>
          <w:bCs/>
          <w:color w:val="auto"/>
          <w:sz w:val="21"/>
          <w:szCs w:val="21"/>
          <w:highlight w:val="none"/>
          <w:lang w:eastAsia="zh-CN"/>
        </w:rPr>
        <w:t>第三方</w:t>
      </w:r>
      <w:r>
        <w:rPr>
          <w:rFonts w:hint="eastAsia" w:ascii="宋体" w:hAnsi="宋体" w:eastAsia="宋体" w:cs="宋体"/>
          <w:b/>
          <w:bCs/>
          <w:color w:val="auto"/>
          <w:sz w:val="21"/>
          <w:szCs w:val="21"/>
          <w:highlight w:val="none"/>
        </w:rPr>
        <w:t>审计公司编制，如为自行编制至少须提供现金流量表、负债表及利润表</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8</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cs="宋体"/>
          <w:b/>
          <w:bCs/>
          <w:color w:val="auto"/>
          <w:sz w:val="21"/>
          <w:szCs w:val="21"/>
          <w:highlight w:val="none"/>
          <w:lang w:eastAsia="zh-CN"/>
        </w:rPr>
        <w:t>；</w:t>
      </w:r>
    </w:p>
    <w:p>
      <w:pPr>
        <w:pStyle w:val="17"/>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（9）《中小企业声明函》或《残疾人福利性单位声明函》或省级以上监狱管理局、戒毒管理局（含新疆生产建设兵团）出具的属于监狱企业的证明文件复印件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pPr>
        <w:pStyle w:val="17"/>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符合性响应证明材料：</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83" w:name="_Toc16312"/>
      <w:bookmarkStart w:id="84" w:name="_Toc28932"/>
      <w:bookmarkStart w:id="85" w:name="_Toc2809"/>
      <w:r>
        <w:rPr>
          <w:rFonts w:hint="eastAsia" w:ascii="宋体" w:hAnsi="宋体" w:eastAsia="宋体" w:cs="宋体"/>
          <w:color w:val="auto"/>
          <w:sz w:val="21"/>
          <w:szCs w:val="21"/>
          <w:highlight w:val="none"/>
          <w:lang w:val="en-US"/>
        </w:rPr>
        <w:t>（1）响应函</w:t>
      </w:r>
      <w:r>
        <w:rPr>
          <w:rFonts w:hint="eastAsia" w:ascii="宋体" w:hAnsi="宋体"/>
          <w:color w:val="auto"/>
          <w:szCs w:val="21"/>
          <w:highlight w:val="none"/>
        </w:rPr>
        <w:t>及响应函附录</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bookmarkEnd w:id="83"/>
      <w:r>
        <w:rPr>
          <w:rFonts w:hint="eastAsia" w:ascii="宋体" w:hAnsi="宋体" w:eastAsia="宋体" w:cs="宋体"/>
          <w:color w:val="auto"/>
          <w:sz w:val="21"/>
          <w:szCs w:val="21"/>
          <w:highlight w:val="none"/>
          <w:lang w:val="en-US" w:eastAsia="zh-CN"/>
        </w:rPr>
        <w:t>；</w:t>
      </w:r>
      <w:bookmarkEnd w:id="84"/>
      <w:bookmarkEnd w:id="85"/>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eastAsia="zh-CN"/>
        </w:rPr>
        <w:t>（</w:t>
      </w:r>
      <w:r>
        <w:rPr>
          <w:rFonts w:hint="eastAsia" w:ascii="宋体" w:hAnsi="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color w:val="auto"/>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pPr>
        <w:pageBreakBefore w:val="0"/>
        <w:widowControl w:val="0"/>
        <w:numPr>
          <w:ilvl w:val="0"/>
          <w:numId w:val="0"/>
        </w:numPr>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0"/>
          <w:sz w:val="21"/>
          <w:szCs w:val="21"/>
          <w:highlight w:val="none"/>
        </w:rPr>
        <w:t>（</w:t>
      </w:r>
      <w:r>
        <w:rPr>
          <w:rFonts w:hint="eastAsia" w:ascii="宋体" w:hAnsi="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color w:val="auto"/>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pPr>
        <w:pStyle w:val="17"/>
        <w:pageBreakBefore w:val="0"/>
        <w:widowControl w:val="0"/>
        <w:kinsoku/>
        <w:wordWrap/>
        <w:overflowPunct/>
        <w:topLinePunct w:val="0"/>
        <w:bidi w:val="0"/>
        <w:snapToGrid/>
        <w:spacing w:line="380" w:lineRule="exact"/>
        <w:ind w:left="0" w:leftChars="0" w:firstLine="42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1.3</w:t>
      </w:r>
      <w:r>
        <w:rPr>
          <w:rFonts w:hint="eastAsia" w:ascii="宋体" w:hAnsi="宋体" w:eastAsia="宋体" w:cs="宋体"/>
          <w:b/>
          <w:bCs/>
          <w:color w:val="auto"/>
          <w:sz w:val="21"/>
          <w:szCs w:val="21"/>
          <w:highlight w:val="none"/>
        </w:rPr>
        <w:t>其他有效证明材料</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2021</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w:t>
      </w:r>
      <w:r>
        <w:rPr>
          <w:rFonts w:hint="eastAsia" w:ascii="宋体" w:hAnsi="宋体" w:cs="宋体"/>
          <w:color w:val="auto"/>
          <w:sz w:val="21"/>
          <w:szCs w:val="21"/>
          <w:highlight w:val="none"/>
          <w:lang w:eastAsia="zh-CN"/>
        </w:rPr>
        <w:t>复印件</w:t>
      </w:r>
      <w:r>
        <w:rPr>
          <w:rFonts w:hint="eastAsia" w:ascii="宋体" w:hAnsi="宋体" w:eastAsia="宋体" w:cs="宋体"/>
          <w:color w:val="auto"/>
          <w:sz w:val="21"/>
          <w:szCs w:val="21"/>
          <w:highlight w:val="none"/>
        </w:rPr>
        <w:t>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color w:val="auto"/>
          <w:szCs w:val="21"/>
          <w:highlight w:val="none"/>
        </w:rPr>
        <w:t>供应商相关获奖证书、认证证书等复印件</w:t>
      </w:r>
      <w:r>
        <w:rPr>
          <w:rFonts w:hint="eastAsia" w:ascii="宋体" w:hAnsi="宋体"/>
          <w:b/>
          <w:color w:val="auto"/>
          <w:szCs w:val="21"/>
          <w:highlight w:val="none"/>
        </w:rPr>
        <w:t>（如有，请提供）</w:t>
      </w:r>
      <w:r>
        <w:rPr>
          <w:rFonts w:hint="eastAsia" w:ascii="宋体" w:hAnsi="宋体"/>
          <w:b/>
          <w:color w:val="auto"/>
          <w:szCs w:val="21"/>
          <w:highlight w:val="none"/>
          <w:lang w:eastAsia="zh-CN"/>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）供应商可结合本项目的自身情况自行提交其它相关证明材料。</w:t>
      </w:r>
    </w:p>
    <w:p>
      <w:pPr>
        <w:pageBreakBefore w:val="0"/>
        <w:widowControl w:val="0"/>
        <w:kinsoku/>
        <w:wordWrap/>
        <w:overflowPunct/>
        <w:topLinePunct w:val="0"/>
        <w:bidi w:val="0"/>
        <w:snapToGrid/>
        <w:spacing w:line="380" w:lineRule="exact"/>
        <w:ind w:left="0" w:leftChars="0" w:firstLine="42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供应商提供的以上相关证明材料属于“必须提供”的文件应加盖</w:t>
      </w:r>
      <w:r>
        <w:rPr>
          <w:rFonts w:hint="eastAsia" w:ascii="宋体" w:hAnsi="宋体" w:eastAsia="宋体" w:cs="宋体"/>
          <w:b/>
          <w:bCs/>
          <w:color w:val="auto"/>
          <w:sz w:val="21"/>
          <w:szCs w:val="21"/>
          <w:highlight w:val="none"/>
          <w:lang w:eastAsia="zh-CN"/>
        </w:rPr>
        <w:t>磋商供应商</w:t>
      </w:r>
      <w:r>
        <w:rPr>
          <w:rFonts w:hint="eastAsia" w:ascii="宋体" w:hAnsi="宋体" w:eastAsia="宋体" w:cs="宋体"/>
          <w:b/>
          <w:bCs/>
          <w:color w:val="auto"/>
          <w:sz w:val="21"/>
          <w:szCs w:val="21"/>
          <w:highlight w:val="none"/>
        </w:rPr>
        <w:t>CA签章，否则</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rPr>
        <w:t>无效。</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 xml:space="preserve">3 </w:t>
      </w:r>
      <w:r>
        <w:rPr>
          <w:rFonts w:hint="eastAsia" w:ascii="宋体" w:hAnsi="宋体" w:eastAsia="宋体" w:cs="宋体"/>
          <w:color w:val="auto"/>
          <w:sz w:val="21"/>
          <w:szCs w:val="21"/>
          <w:highlight w:val="none"/>
        </w:rPr>
        <w:t>供应商应按竞争性磋商文件第六章“响应文件（格式）”编制响应文件。</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特别说明：</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（1）响</w:t>
      </w:r>
      <w:r>
        <w:rPr>
          <w:rFonts w:hint="eastAsia" w:ascii="宋体" w:hAnsi="宋体" w:eastAsia="宋体" w:cs="宋体"/>
          <w:b/>
          <w:color w:val="auto"/>
          <w:sz w:val="21"/>
          <w:szCs w:val="21"/>
          <w:highlight w:val="none"/>
        </w:rPr>
        <w:t>应文件（电子响应文件），其中电子响应文件中所须加盖公章部分均采用CA签章。若磋商文件中有专门标注的某关联点，并要求供应商在电子</w:t>
      </w:r>
      <w:r>
        <w:rPr>
          <w:rFonts w:hint="eastAsia" w:ascii="宋体" w:hAnsi="宋体" w:eastAsia="宋体" w:cs="宋体"/>
          <w:b/>
          <w:color w:val="auto"/>
          <w:sz w:val="21"/>
          <w:szCs w:val="21"/>
          <w:highlight w:val="none"/>
          <w:lang w:eastAsia="zh-CN"/>
        </w:rPr>
        <w:t>响应</w:t>
      </w:r>
      <w:r>
        <w:rPr>
          <w:rFonts w:hint="eastAsia" w:ascii="宋体" w:hAnsi="宋体" w:eastAsia="宋体" w:cs="宋体"/>
          <w:b/>
          <w:color w:val="auto"/>
          <w:sz w:val="21"/>
          <w:szCs w:val="21"/>
          <w:highlight w:val="none"/>
        </w:rPr>
        <w:t>系统中作出磋商响应的，如供应商未对关联点进行响应或者在响应文件其它内容进行描述，造成电子评审不能查询的责任由供应商自行承担。</w:t>
      </w:r>
    </w:p>
    <w:p>
      <w:pPr>
        <w:pageBreakBefore w:val="0"/>
        <w:widowControl w:val="0"/>
        <w:numPr>
          <w:ilvl w:val="0"/>
          <w:numId w:val="0"/>
        </w:numPr>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highlight w:val="none"/>
          <w:lang w:val="en-US" w:eastAsia="zh-CN" w:bidi="ar-SA"/>
        </w:rPr>
        <w:t>（2）</w:t>
      </w:r>
      <w:r>
        <w:rPr>
          <w:rFonts w:hint="eastAsia" w:ascii="宋体" w:hAnsi="宋体" w:eastAsia="宋体" w:cs="宋体"/>
          <w:b/>
          <w:bCs/>
          <w:color w:val="auto"/>
          <w:sz w:val="21"/>
          <w:szCs w:val="21"/>
          <w:highlight w:val="none"/>
          <w:lang w:eastAsia="zh-CN"/>
        </w:rPr>
        <w:t>磋商文件</w:t>
      </w:r>
      <w:r>
        <w:rPr>
          <w:rFonts w:hint="eastAsia" w:ascii="宋体" w:hAnsi="宋体" w:eastAsia="宋体" w:cs="宋体"/>
          <w:b/>
          <w:bCs/>
          <w:color w:val="auto"/>
          <w:sz w:val="21"/>
          <w:szCs w:val="21"/>
          <w:highlight w:val="none"/>
        </w:rPr>
        <w:t>要求法定代表人（负责人）或委托代理人签字的部分必须签字然后扫描或者拍照做成 pdf 格式上传</w:t>
      </w:r>
      <w:r>
        <w:rPr>
          <w:rFonts w:hint="eastAsia" w:ascii="宋体" w:hAnsi="宋体" w:eastAsia="宋体" w:cs="宋体"/>
          <w:b/>
          <w:bCs/>
          <w:color w:val="auto"/>
          <w:sz w:val="21"/>
          <w:szCs w:val="21"/>
          <w:highlight w:val="none"/>
          <w:lang w:eastAsia="zh-CN"/>
        </w:rPr>
        <w:t>（或加盖个人</w:t>
      </w:r>
      <w:r>
        <w:rPr>
          <w:rFonts w:hint="eastAsia" w:ascii="宋体" w:hAnsi="宋体" w:eastAsia="宋体" w:cs="宋体"/>
          <w:b/>
          <w:bCs/>
          <w:color w:val="auto"/>
          <w:sz w:val="21"/>
          <w:szCs w:val="21"/>
          <w:highlight w:val="none"/>
          <w:lang w:val="en-US" w:eastAsia="zh-CN"/>
        </w:rPr>
        <w:t>CA签章</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，无签字的视为</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rPr>
        <w:t>无效。</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86" w:name="_Toc13660"/>
      <w:bookmarkStart w:id="87" w:name="_Toc2180"/>
      <w:r>
        <w:rPr>
          <w:rFonts w:hint="eastAsia" w:ascii="宋体" w:hAnsi="宋体" w:eastAsia="宋体" w:cs="宋体"/>
          <w:color w:val="auto"/>
          <w:sz w:val="21"/>
          <w:szCs w:val="21"/>
          <w:highlight w:val="none"/>
        </w:rPr>
        <w:t>12. 响应文件的语言及计量</w:t>
      </w:r>
      <w:bookmarkEnd w:id="86"/>
      <w:bookmarkEnd w:id="87"/>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 响应文件以及供应商与采购代理机构就有关磋商事宜的所有来往函电，均应以中文汉语书写。供应商提交的支持文件和印刷的文献可以使用别的语言，但其相应内容必须附有中文翻译文本，在解释响应文件时以中文翻译文本为主。</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 磋商计量单位，磋商文件已有明确规定的，使用磋商文件规定的计量单位；磋商文件没有规定的，应采用中华人民共和国法定计量单位（货币单位：人民币元），否则视同未响应。</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88" w:name="_Toc3058"/>
      <w:bookmarkStart w:id="89" w:name="_Toc10838"/>
      <w:r>
        <w:rPr>
          <w:rFonts w:hint="eastAsia" w:ascii="宋体" w:hAnsi="宋体" w:eastAsia="宋体" w:cs="宋体"/>
          <w:color w:val="auto"/>
          <w:sz w:val="21"/>
          <w:szCs w:val="21"/>
          <w:highlight w:val="none"/>
        </w:rPr>
        <w:t>13. 磋商报价及采购预算金额</w:t>
      </w:r>
      <w:bookmarkEnd w:id="88"/>
      <w:bookmarkEnd w:id="89"/>
    </w:p>
    <w:p>
      <w:pPr>
        <w:keepNext w:val="0"/>
        <w:keepLines w:val="0"/>
        <w:pageBreakBefore w:val="0"/>
        <w:widowControl w:val="0"/>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13.1磋商总报价应按采购文件中相关附表格式填写。</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供应商应在规定时间内在广西政府采购云平台系统上提交最后报价，超出评委设定的最后报价时限或其最后报价超出招标控制价导致已通过评审的响应文件无效的，按供应商在提交响应文件截止时间后撤回响应文件处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13.3供应商应按第六章“响应文件（格式）”的要求在响应函中进行报价并填写工程量清单相应表格。</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13.4供应商按照采购人提供的工程量清单填写本合同各工程子目的单价、合价和总额价。磋商小组将按照下述规定对磋商报价进行算术性错误修正及其他错误修正。</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13.4.1磋商报价有算术错误的，磋商小组按以下原则对磋商报价进行修正，修正的价格经供应商书面确认后具有约束力。供应商不接受修正价格的，磋商小组应否决其投标。</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（1）响应文件中的大写金额与小写金额不一致的，以大写金额为准；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（2）总价金额与依据单价计算出的结果不一致的，以单价金额为准修正总价，但单价金额小数点有明显错误的除外；</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（3）当单价与数量相乘不等于合价时，以单价计算为准，如果单价有明显的小数点位置差错，应以标出的合价为准，同时对单价予以修正；</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（4）当各子目的合价累计不等于总价时，应以各子目合价累计数为准，修正总价。</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13.4.2工程量清单中的磋商报价有其他错误的，磋商小组按以下原则对磋商报价进行修正，修正的价格经供应商书面确认后具有约束力。供应商不接受修正价格的，磋商小组应否决其投标。</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采购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采购人给定的工程量清单中多报了某个工程子目的单价、合价或总额价，或所报单价、合价或总额价增加了报价范围，则从磋商报价中扣除多报的工程子目报价或工程子目报价中增加了报价范围的部分报价。</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（3）当单价与数量的乘积与合价（金额）虽然一致，但供应商修改了该子目的工程数量，则其合价按采购人给定的工程数量乘以供应商所报单价予以修正。</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13.4.3修正后的最终磋商报价若超过招标控制价，磋商小组应否决其投标。</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13.5供应商应充分了解本项目的总体情况以及影响磋商报价的其他要素。</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13.6供应商在投标截止时间前修改响应函中的磋商报价，应同时修改响应文件“已标价工程量清单”中的相应报价。</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13.7供应商如果发现工程量清单中的数量与图纸中数量不一致时，应立即通知采购人核查，除非采购人予以更正，否则，应以工程量清单中列出的数量为准。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13.8在合同实施期间，供应商填写的单价、合价和总额价是否由于物价波动进行价格调整按照合同条款的规定处理。</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0" w:name="_Toc26881"/>
      <w:bookmarkStart w:id="91" w:name="_Toc30554"/>
      <w:r>
        <w:rPr>
          <w:rFonts w:hint="eastAsia" w:ascii="宋体" w:hAnsi="宋体" w:eastAsia="宋体" w:cs="宋体"/>
          <w:color w:val="auto"/>
          <w:sz w:val="21"/>
          <w:szCs w:val="21"/>
          <w:highlight w:val="none"/>
        </w:rPr>
        <w:t>14. 响应文件有效期</w:t>
      </w:r>
      <w:bookmarkEnd w:id="90"/>
      <w:bookmarkEnd w:id="91"/>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 响应文件有效期：响应文件递交截止时间之日起90天，有效期不足的响应文件将被拒绝。</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 出现特殊情况下，需要延长响应文件有效期的，采购代理机构</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通知供应商延长响应文件有效期。供应商同意延长的，但不能修改响应文件。供应商拒绝延长的，其响应文件无效。</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2" w:name="_Toc20698"/>
      <w:bookmarkStart w:id="93" w:name="_Toc22602"/>
      <w:r>
        <w:rPr>
          <w:rFonts w:hint="eastAsia" w:ascii="宋体" w:hAnsi="宋体" w:eastAsia="宋体" w:cs="宋体"/>
          <w:color w:val="auto"/>
          <w:sz w:val="21"/>
          <w:szCs w:val="21"/>
          <w:highlight w:val="none"/>
        </w:rPr>
        <w:t xml:space="preserve">15. </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w:t>
      </w:r>
      <w:bookmarkEnd w:id="92"/>
      <w:bookmarkEnd w:id="93"/>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本项目无需缴纳磋商保证金。</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94" w:name="_Toc387"/>
      <w:bookmarkStart w:id="95" w:name="_Toc30118"/>
      <w:r>
        <w:rPr>
          <w:rFonts w:hint="eastAsia" w:ascii="宋体" w:hAnsi="宋体" w:eastAsia="宋体" w:cs="宋体"/>
          <w:color w:val="auto"/>
          <w:sz w:val="21"/>
          <w:szCs w:val="21"/>
          <w:highlight w:val="none"/>
        </w:rPr>
        <w:t>16. 响应文件的</w:t>
      </w:r>
      <w:bookmarkEnd w:id="94"/>
      <w:r>
        <w:rPr>
          <w:rFonts w:hint="eastAsia" w:ascii="宋体" w:hAnsi="宋体" w:eastAsia="宋体" w:cs="宋体"/>
          <w:color w:val="auto"/>
          <w:sz w:val="21"/>
          <w:szCs w:val="21"/>
          <w:highlight w:val="none"/>
          <w:lang w:eastAsia="zh-CN"/>
        </w:rPr>
        <w:t>制作</w:t>
      </w:r>
      <w:bookmarkEnd w:id="95"/>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16.3响应文件不得涂改，若有修改错漏处，须法定代表人（负责人）或授权委托人签字（或个人CA签章）。响应文件因字迹潦草或表达不清所引起的后果由供应商负责。</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16.4磋商前准备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16.4.1本项目实行在线磋商，采用电子响应文件。若供应商参与磋商，自行承担磋商一切费用。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16.4.2各供应商在截标前应确保成为广西政府采购云平台正式注册入库供应商，并完成CA数字证书申领。如因未注册入库、未办理CA数字证书等原因造成无法磋商或磋商失败等后果由供应商自行承担。</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6" w:name="_Toc9738"/>
      <w:r>
        <w:rPr>
          <w:rFonts w:hint="eastAsia" w:ascii="宋体" w:hAnsi="宋体" w:eastAsia="宋体" w:cs="宋体"/>
          <w:color w:val="auto"/>
          <w:sz w:val="21"/>
          <w:szCs w:val="21"/>
          <w:highlight w:val="none"/>
        </w:rPr>
        <w:t>17. 响应文件的修改和撤回</w:t>
      </w:r>
      <w:bookmarkEnd w:id="96"/>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17.1 </w:t>
      </w:r>
      <w:r>
        <w:rPr>
          <w:rFonts w:hint="eastAsia" w:ascii="宋体" w:hAnsi="宋体" w:eastAsia="宋体" w:cs="宋体"/>
          <w:color w:val="auto"/>
          <w:sz w:val="21"/>
          <w:szCs w:val="21"/>
          <w:highlight w:val="none"/>
          <w:lang w:eastAsia="zh-CN"/>
        </w:rPr>
        <w:t>响应文件递交截止时间前可以撤回电子响应文件。补充或者修改电子响应文件的，应当先行撤回原文件，补充、修改后重新传输递交，响应文件递交截止时间前未完成传输的，视为撤回响应文件。</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 在响应文件递交截止时间后的响应文件有效期内，供应商不得撤回其响应文件。</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97" w:name="_Toc30156"/>
      <w:bookmarkStart w:id="98" w:name="_Toc24690"/>
      <w:r>
        <w:rPr>
          <w:rFonts w:hint="eastAsia" w:ascii="宋体" w:hAnsi="宋体" w:eastAsia="宋体" w:cs="宋体"/>
          <w:color w:val="auto"/>
          <w:sz w:val="21"/>
          <w:szCs w:val="21"/>
          <w:highlight w:val="none"/>
        </w:rPr>
        <w:t>18. 响应文件的递交</w:t>
      </w:r>
      <w:r>
        <w:rPr>
          <w:rFonts w:hint="eastAsia" w:ascii="宋体" w:hAnsi="宋体" w:eastAsia="宋体" w:cs="宋体"/>
          <w:color w:val="auto"/>
          <w:sz w:val="21"/>
          <w:szCs w:val="21"/>
          <w:highlight w:val="none"/>
          <w:lang w:eastAsia="zh-CN"/>
        </w:rPr>
        <w:t>和解密</w:t>
      </w:r>
      <w:bookmarkEnd w:id="97"/>
      <w:bookmarkEnd w:id="98"/>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18.1响应文件递交截止时间</w:t>
      </w:r>
      <w:r>
        <w:rPr>
          <w:rFonts w:hint="eastAsia" w:ascii="宋体" w:hAnsi="宋体" w:eastAsia="宋体" w:cs="宋体"/>
          <w:color w:val="auto"/>
          <w:sz w:val="21"/>
          <w:szCs w:val="21"/>
          <w:highlight w:val="none"/>
          <w:lang w:eastAsia="zh-CN"/>
        </w:rPr>
        <w:t>：于</w:t>
      </w:r>
      <w:r>
        <w:rPr>
          <w:rFonts w:hint="eastAsia" w:ascii="宋体" w:hAnsi="宋体" w:eastAsia="宋体" w:cs="宋体"/>
          <w:color w:val="auto"/>
          <w:sz w:val="21"/>
          <w:szCs w:val="21"/>
          <w:highlight w:val="none"/>
          <w:u w:val="single"/>
          <w:lang w:eastAsia="zh-CN"/>
        </w:rPr>
        <w:t>20</w:t>
      </w:r>
      <w:r>
        <w:rPr>
          <w:rFonts w:hint="eastAsia" w:ascii="宋体" w:hAnsi="宋体" w:eastAsia="宋体" w:cs="宋体"/>
          <w:color w:val="auto"/>
          <w:sz w:val="21"/>
          <w:szCs w:val="21"/>
          <w:highlight w:val="none"/>
          <w:u w:val="single"/>
          <w:lang w:val="en-US" w:eastAsia="zh-CN"/>
        </w:rPr>
        <w:t>24</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22</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18.2响应文件解密时间：截标时</w:t>
      </w:r>
      <w:r>
        <w:rPr>
          <w:rFonts w:hint="eastAsia" w:ascii="宋体" w:hAnsi="宋体" w:eastAsia="宋体" w:cs="宋体"/>
          <w:color w:val="auto"/>
          <w:sz w:val="21"/>
          <w:szCs w:val="21"/>
          <w:highlight w:val="none"/>
          <w:u w:val="none"/>
        </w:rPr>
        <w:t>间后30分钟内供应商可以登录广西政府采购云平台，用“项目采购-开标评标”功能进行解密磋商文件。若供应商在规定时间内无法解密或解密失败，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sz w:val="21"/>
          <w:szCs w:val="21"/>
          <w:highlight w:val="none"/>
          <w:u w:val="none"/>
        </w:rPr>
        <w:t>【在接到无法解密或解密失败的通知后，供应商可根据自身实际情况按通知时要求的时间到桂林市公共资源交易中心</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cs="宋体"/>
          <w:b/>
          <w:bCs/>
          <w:color w:val="auto"/>
          <w:sz w:val="21"/>
          <w:szCs w:val="21"/>
          <w:highlight w:val="none"/>
          <w:u w:val="single"/>
          <w:lang w:val="en-US" w:eastAsia="zh-CN"/>
        </w:rPr>
        <w:t>13</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none"/>
        </w:rPr>
        <w:t>号开标室现场提交或以电子邮件的形式（以通知时所告知的电子邮箱地址为准）提交电子备份响应文件】</w:t>
      </w:r>
      <w:r>
        <w:rPr>
          <w:rFonts w:hint="eastAsia" w:ascii="宋体" w:hAnsi="宋体" w:eastAsia="宋体" w:cs="宋体"/>
          <w:color w:val="auto"/>
          <w:sz w:val="21"/>
          <w:szCs w:val="21"/>
          <w:highlight w:val="none"/>
          <w:u w:val="none"/>
        </w:rPr>
        <w:t>，若供应商在规定时间内无法解密或解密失败且未提供电子备份响应文件的(包含提供的电子备份文件无效或无法解密的情况)，视为响应文件撤回</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除竞争性磋商文件另有规定外，供应商所递交的响应文件不予退还。</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18.4 </w:t>
      </w:r>
      <w:r>
        <w:rPr>
          <w:rFonts w:hint="eastAsia" w:ascii="宋体" w:hAnsi="宋体" w:eastAsia="宋体" w:cs="宋体"/>
          <w:color w:val="auto"/>
          <w:sz w:val="21"/>
          <w:szCs w:val="21"/>
          <w:highlight w:val="none"/>
        </w:rPr>
        <w:t>电子响应文件的相关说明</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（1）供应商进行电子</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应安装客户端软件，并按照采购文件和电子交易平台的要求编制并加密响应文件。供应商未按规定加密的响应文件，电子交易平台将拒收。供应商应当在</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截止时间前完成响应文件的传输递交，并可以补充、修改或者撤回响应文件。补充或者修改响应文件的，应当先行撤回原文件，补充、修改后重新传输递交。</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截止时间前未完成传输的，视为撤回响应文件。</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截止时间后递交的响应文件，电子交易平台将拒收。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（2）如有特殊情况，采购代理机构延长截止时间和开标时间，采购代理机构和供应商的权利和义务将受到新的截止时间和开标时间的约束。</w:t>
      </w:r>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99" w:name="_Toc2647"/>
      <w:bookmarkStart w:id="100" w:name="_Toc5807"/>
      <w:bookmarkStart w:id="101" w:name="_Toc2433"/>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四、竞争性磋商（简称磋商）与评审</w:t>
      </w:r>
      <w:bookmarkEnd w:id="99"/>
      <w:bookmarkEnd w:id="100"/>
      <w:bookmarkEnd w:id="101"/>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2" w:name="_Toc11021"/>
      <w:bookmarkStart w:id="103" w:name="_Toc31588"/>
      <w:r>
        <w:rPr>
          <w:rFonts w:hint="eastAsia" w:ascii="宋体" w:hAnsi="宋体" w:eastAsia="宋体" w:cs="宋体"/>
          <w:color w:val="auto"/>
          <w:sz w:val="21"/>
          <w:szCs w:val="21"/>
          <w:highlight w:val="none"/>
        </w:rPr>
        <w:t>19. 磋商小组组成及磋商时间、地点、人员</w:t>
      </w:r>
      <w:bookmarkEnd w:id="102"/>
      <w:bookmarkEnd w:id="103"/>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 磋商小组组成：</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 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人，技术、经济等专家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 磋商时间、地点、人员：</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bookmarkStart w:id="104" w:name="_Toc6288"/>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bookmarkEnd w:id="104"/>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5" w:name="_Toc21088"/>
      <w:bookmarkStart w:id="106" w:name="_Toc25258"/>
      <w:r>
        <w:rPr>
          <w:rFonts w:hint="eastAsia" w:ascii="宋体" w:hAnsi="宋体" w:eastAsia="宋体" w:cs="宋体"/>
          <w:color w:val="auto"/>
          <w:sz w:val="21"/>
          <w:szCs w:val="21"/>
          <w:highlight w:val="none"/>
        </w:rPr>
        <w:t>20. 评审原则</w:t>
      </w:r>
      <w:bookmarkEnd w:id="105"/>
      <w:bookmarkEnd w:id="106"/>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20.1 磋商小组必须坚持公平、公正、科学和择优的原则。</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 评审办法：综合评分法，具体详见第四章评审办法。</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 磋商小组应按磋商文件进行评审，不得擅自更改评审办法。</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 在评审过程中，磋商小组任何人不得对某个供应商发表任何倾向性意见，不得向其他磋商小组成员明示或者暗示自己的评审意见。</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20.5 磋商小组成员对需要共同认定的事项存在争议的，按照少数服从多数的原则作出结论。持不同意见的磋商小组成员应当在评审报告上签署不同意见并说明理由，否则视为同意。</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20.6 响应文件最后报价出现前后不一致的，除竞争性磋商文件另有规定外，按照下列规定修正：</w:t>
      </w:r>
    </w:p>
    <w:p>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响应文件中磋商报价表内容与响应文件中相应内容不一致的，以最后磋商报价表为准；</w:t>
      </w:r>
    </w:p>
    <w:p>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大写金额和小写金额不一致的，以大写金额为准；</w:t>
      </w:r>
    </w:p>
    <w:p>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单价金额小数点或者百分比有明显错位的，以报价表的总价为准，并修改单价；</w:t>
      </w:r>
    </w:p>
    <w:p>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同时出现两种以上不一致的，按照前款规定的顺序修正。修正后的报价（不得超出响应文件的范围或者改变响应文件的实质性内容）经磋商供应商确认后产生约束力，磋商供应商不确认的，作无效响应处理。</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7" w:name="_Toc21012"/>
      <w:bookmarkStart w:id="108" w:name="_Toc27193"/>
      <w:r>
        <w:rPr>
          <w:rFonts w:hint="eastAsia" w:ascii="宋体" w:hAnsi="宋体" w:eastAsia="宋体" w:cs="宋体"/>
          <w:color w:val="auto"/>
          <w:sz w:val="21"/>
          <w:szCs w:val="21"/>
          <w:highlight w:val="none"/>
        </w:rPr>
        <w:t>21. 评审程序及磋商要求</w:t>
      </w:r>
      <w:bookmarkEnd w:id="107"/>
      <w:bookmarkEnd w:id="108"/>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21.1磋商小组成员的通讯工具或相关电子设备交由桂林市公共资源交易中心统一保管后到达评标室，采购代理机构核实磋商小组成员身份，告知回避要求，宣布评审工作纪律和程序，</w:t>
      </w:r>
      <w:r>
        <w:rPr>
          <w:rFonts w:hint="eastAsia" w:hAnsi="宋体"/>
          <w:color w:val="auto"/>
          <w:szCs w:val="21"/>
          <w:highlight w:val="none"/>
        </w:rPr>
        <w:t>组织磋商小组推选磋商小组组长，采购人代表不得担任组长</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磋商小组应当对发布公告的竞争性磋商文件（简称磋商文件）进行确认，审查供应商的响应文件并作出评价；要求供应商解释或者澄清其响应文件；编写评审报告；告知采购人、采购代理机构在评审过程中发现的供应商的违法违规行为。</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21.3 磋商小组依据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 </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21.4 磋商小组在对供应商进行资格性审查时，将对供应商企业股东及出资等信息进行查询。根据 《 中华人民共和国政府采购法实施条例 》 第十八条第一款规定，审查中如发现供应商存在单位负责人为同一人或者存在直接控股、管理关系的不同供应商参加同一合同项下的政府采购活动的，按响应文件无效处理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21.4.1 查询渠道：《国家企业信用信息公示系统》（网址：www.gsxt.gov.cn/index.html）</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21.4.2 审查流程：</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（1）进入《国家企业信用信息公示系统》（网址：www.gsxt.gov.cn/index.html），输入企业名称，进入企业信息主页面；</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（2）查看主页“股东及出资信息”栏，或年报中的“股东及出资信息”栏信息；</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（3）将各供应商的股东及出资信息进行比对，得出审查结论；</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（4）将相关资料作为评审资料打印存档。</w:t>
      </w:r>
    </w:p>
    <w:p>
      <w:pPr>
        <w:tabs>
          <w:tab w:val="left" w:pos="1305"/>
        </w:tabs>
        <w:wordWrap w:val="0"/>
        <w:spacing w:line="360" w:lineRule="exact"/>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21.5 磋商小组如发现供应商提供的证明文件不齐全或不符合规定格式的，应一次性告知供应商，供应商应在规定的时间内</w:t>
      </w:r>
      <w:r>
        <w:rPr>
          <w:rFonts w:hint="eastAsia" w:ascii="宋体" w:hAnsi="宋体" w:eastAsia="宋体" w:cs="宋体"/>
          <w:b/>
          <w:bCs/>
          <w:color w:val="auto"/>
          <w:sz w:val="21"/>
          <w:szCs w:val="21"/>
          <w:highlight w:val="none"/>
          <w:lang w:eastAsia="zh-CN"/>
        </w:rPr>
        <w:t>线上</w:t>
      </w:r>
      <w:r>
        <w:rPr>
          <w:rFonts w:hint="eastAsia" w:ascii="宋体" w:hAnsi="宋体" w:eastAsia="宋体" w:cs="宋体"/>
          <w:b/>
          <w:bCs/>
          <w:color w:val="auto"/>
          <w:sz w:val="21"/>
          <w:szCs w:val="21"/>
          <w:highlight w:val="none"/>
        </w:rPr>
        <w:t>补正或更正。</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21.6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澄清、说明或者更正应由其法定代表人或相应的授权委托代表签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个人CA签章)</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根据磋商文件规定的程序、评定成交的标准等事项与实质性响应竞争性磋商文件要求的供应商进行磋商。未实质性响应磋商文件的响应文件按无效处理，磋商小组应当告知有关供应商。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磋商小组所有成员应当按已确定的磋商顺序集中与单一供应商分别进行磋商，并给予所有实质性响应竞争性磋商文件要求的供应商平等的磋商机会。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磋商中，磋商小组不得透露与磋商有关的其他供应商的技术资料、价格和其他信息。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磋商小组对磋商过程和重要磋商内容进行记录，磋商双方在记录上签字确认。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 xml:space="preserve"> 在磋商过程中，磋商小组可以根据磋商文件和磋商情况实质性变动项目需求中的技术、服务要求以及合同草案条款，但不得变动磋商文件中的其他内容。实质性变动的内容，须经采购人代表确认。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对磋商文件作出的实质性变动是磋商文件的有效组成部分，磋商小组应当及时</w:t>
      </w:r>
      <w:r>
        <w:rPr>
          <w:rFonts w:hint="eastAsia" w:ascii="宋体" w:hAnsi="宋体" w:eastAsia="宋体" w:cs="宋体"/>
          <w:color w:val="auto"/>
          <w:sz w:val="21"/>
          <w:szCs w:val="21"/>
          <w:highlight w:val="none"/>
          <w:lang w:eastAsia="zh-CN"/>
        </w:rPr>
        <w:t>通过</w:t>
      </w:r>
      <w:r>
        <w:rPr>
          <w:rFonts w:hint="eastAsia" w:ascii="宋体" w:hAnsi="宋体" w:eastAsia="宋体" w:cs="宋体"/>
          <w:color w:val="auto"/>
          <w:sz w:val="21"/>
          <w:szCs w:val="21"/>
          <w:highlight w:val="none"/>
        </w:rPr>
        <w:t>广西政府采购云平台</w:t>
      </w:r>
      <w:r>
        <w:rPr>
          <w:rFonts w:hint="eastAsia" w:ascii="宋体" w:hAnsi="宋体" w:eastAsia="宋体" w:cs="宋体"/>
          <w:color w:val="auto"/>
          <w:sz w:val="21"/>
          <w:szCs w:val="21"/>
          <w:highlight w:val="none"/>
          <w:lang w:eastAsia="zh-CN"/>
        </w:rPr>
        <w:t>同时</w:t>
      </w:r>
      <w:r>
        <w:rPr>
          <w:rFonts w:hint="eastAsia" w:ascii="宋体" w:hAnsi="宋体" w:eastAsia="宋体" w:cs="宋体"/>
          <w:color w:val="auto"/>
          <w:sz w:val="21"/>
          <w:szCs w:val="21"/>
          <w:highlight w:val="none"/>
        </w:rPr>
        <w:t xml:space="preserve">通知所有参加磋商的供应商。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供应商应当按照磋商文件的变动情况和磋商小组的要求重新提交响应文件，并由其法定代表人、负责人、</w:t>
      </w:r>
      <w:r>
        <w:rPr>
          <w:rFonts w:hint="eastAsia" w:ascii="宋体" w:hAnsi="宋体" w:eastAsia="宋体" w:cs="宋体"/>
          <w:color w:val="auto"/>
          <w:sz w:val="21"/>
          <w:szCs w:val="21"/>
          <w:highlight w:val="none"/>
          <w:lang w:eastAsia="zh-CN"/>
        </w:rPr>
        <w:t>自然人或相应的授权委托代表签字（个人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 xml:space="preserve">。逾时不交的，视同放弃磋商。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 xml:space="preserve"> 最后报价 </w:t>
      </w:r>
    </w:p>
    <w:p>
      <w:pPr>
        <w:wordWrap w:val="0"/>
        <w:spacing w:line="360" w:lineRule="exact"/>
        <w:ind w:firstLine="420" w:firstLineChars="200"/>
        <w:rPr>
          <w:rFonts w:ascii="宋体" w:hAnsi="宋体"/>
          <w:color w:val="auto"/>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 磋商文件能够详细列明采购标的的质量要求的，磋商结束后，磋商小组应当要求所有继续参加磋商的供应商在规定时间内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提交最后报价，提交最后报价的供应商不得少于 3 家。</w:t>
      </w:r>
      <w:r>
        <w:rPr>
          <w:rFonts w:hint="eastAsia" w:ascii="宋体" w:hAnsi="宋体"/>
          <w:b/>
          <w:color w:val="auto"/>
          <w:szCs w:val="21"/>
          <w:highlight w:val="none"/>
        </w:rPr>
        <w:t>在</w:t>
      </w:r>
      <w:r>
        <w:rPr>
          <w:rFonts w:ascii="宋体" w:hAnsi="宋体"/>
          <w:b/>
          <w:color w:val="auto"/>
          <w:szCs w:val="21"/>
          <w:highlight w:val="none"/>
        </w:rPr>
        <w:t>磋商</w:t>
      </w:r>
      <w:r>
        <w:rPr>
          <w:rFonts w:hint="eastAsia" w:ascii="宋体" w:hAnsi="宋体"/>
          <w:b/>
          <w:color w:val="auto"/>
          <w:szCs w:val="21"/>
          <w:highlight w:val="none"/>
        </w:rPr>
        <w:t>过程中，如供应商维持</w:t>
      </w:r>
      <w:r>
        <w:rPr>
          <w:rFonts w:ascii="宋体" w:hAnsi="宋体"/>
          <w:b/>
          <w:color w:val="auto"/>
          <w:szCs w:val="21"/>
          <w:highlight w:val="none"/>
        </w:rPr>
        <w:t>磋商</w:t>
      </w:r>
      <w:r>
        <w:rPr>
          <w:rFonts w:hint="eastAsia" w:ascii="宋体" w:hAnsi="宋体"/>
          <w:b/>
          <w:color w:val="auto"/>
          <w:szCs w:val="21"/>
          <w:highlight w:val="none"/>
        </w:rPr>
        <w:t>报价不变，以原</w:t>
      </w:r>
      <w:r>
        <w:rPr>
          <w:rFonts w:ascii="宋体" w:hAnsi="宋体"/>
          <w:b/>
          <w:color w:val="auto"/>
          <w:szCs w:val="21"/>
          <w:highlight w:val="none"/>
        </w:rPr>
        <w:t>磋商</w:t>
      </w:r>
      <w:r>
        <w:rPr>
          <w:rFonts w:hint="eastAsia" w:ascii="宋体" w:hAnsi="宋体"/>
          <w:b/>
          <w:color w:val="auto"/>
          <w:szCs w:val="21"/>
          <w:highlight w:val="none"/>
        </w:rPr>
        <w:t>报价作为供应商最后报价；如供应商需要改变原</w:t>
      </w:r>
      <w:r>
        <w:rPr>
          <w:rFonts w:ascii="宋体" w:hAnsi="宋体"/>
          <w:b/>
          <w:color w:val="auto"/>
          <w:szCs w:val="21"/>
          <w:highlight w:val="none"/>
        </w:rPr>
        <w:t>磋商</w:t>
      </w:r>
      <w:r>
        <w:rPr>
          <w:rFonts w:hint="eastAsia" w:ascii="宋体" w:hAnsi="宋体"/>
          <w:b/>
          <w:color w:val="auto"/>
          <w:szCs w:val="21"/>
          <w:highlight w:val="none"/>
        </w:rPr>
        <w:t>报价时，供应商应在最后报价时将预先准备好调整后的报价清单计价表，在采购代理机构开启新一轮报价时，通过“上传附件”功能上传。如供应商在</w:t>
      </w:r>
      <w:r>
        <w:rPr>
          <w:rFonts w:ascii="宋体" w:hAnsi="宋体"/>
          <w:b/>
          <w:color w:val="auto"/>
          <w:szCs w:val="21"/>
          <w:highlight w:val="none"/>
        </w:rPr>
        <w:t>磋商</w:t>
      </w:r>
      <w:r>
        <w:rPr>
          <w:rFonts w:hint="eastAsia" w:ascii="宋体" w:hAnsi="宋体"/>
          <w:b/>
          <w:color w:val="auto"/>
          <w:szCs w:val="21"/>
          <w:highlight w:val="none"/>
        </w:rPr>
        <w:t>过程中，改变原报价且未按</w:t>
      </w:r>
      <w:r>
        <w:rPr>
          <w:rFonts w:ascii="宋体" w:hAnsi="宋体"/>
          <w:b/>
          <w:color w:val="auto"/>
          <w:szCs w:val="21"/>
          <w:highlight w:val="none"/>
        </w:rPr>
        <w:t>磋商</w:t>
      </w:r>
      <w:r>
        <w:rPr>
          <w:rFonts w:hint="eastAsia" w:ascii="宋体" w:hAnsi="宋体"/>
          <w:b/>
          <w:color w:val="auto"/>
          <w:szCs w:val="21"/>
          <w:highlight w:val="none"/>
        </w:rPr>
        <w:t>文件要求提供调整后的报价清单计价表的，其报价不予认可，视供应商维持原</w:t>
      </w:r>
      <w:r>
        <w:rPr>
          <w:rFonts w:ascii="宋体" w:hAnsi="宋体"/>
          <w:b/>
          <w:color w:val="auto"/>
          <w:szCs w:val="21"/>
          <w:highlight w:val="none"/>
        </w:rPr>
        <w:t>磋商</w:t>
      </w:r>
      <w:r>
        <w:rPr>
          <w:rFonts w:hint="eastAsia" w:ascii="宋体" w:hAnsi="宋体"/>
          <w:b/>
          <w:color w:val="auto"/>
          <w:szCs w:val="21"/>
          <w:highlight w:val="none"/>
        </w:rPr>
        <w:t>报价不变。</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.2 根据《政府采购竞争性磋商采购方式管理暂行办法》（财库〔2014〕214号）第二十一条规定，市场竞争不充分的科研项目，以及需要扶持的科技成果转化项目，提交最后报价的供应商可以为2家。</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财政部关于政府采购竞争性磋商采购方式管理暂行办法有关问题的补充通知》（财库〔2015〕124号）的规定，如采购项目为政府购买服务项目（含政府和社会资本合作项目），在采购过程中符合要求的供应商（社会资本）只有2家的，竞争性磋商采购活动可以继续进行。采购过程中符合要求的供应商（社会资本）只有1家的，采购人或者采购代理机构应当终止竞争性磋商采购活动，发布项目终止公告并说明原因，重新开展采购活动。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kern w:val="0"/>
          <w:sz w:val="21"/>
          <w:szCs w:val="21"/>
          <w:highlight w:val="none"/>
        </w:rPr>
        <w:t>最后报价是供应商响应文件的有效组成部分</w:t>
      </w:r>
      <w:r>
        <w:rPr>
          <w:rFonts w:hint="eastAsia" w:ascii="宋体" w:hAnsi="宋体" w:eastAsia="宋体" w:cs="宋体"/>
          <w:color w:val="auto"/>
          <w:spacing w:val="-4"/>
          <w:sz w:val="21"/>
          <w:szCs w:val="21"/>
          <w:highlight w:val="none"/>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8.4</w:t>
      </w:r>
      <w:r>
        <w:rPr>
          <w:rFonts w:hint="eastAsia" w:ascii="宋体" w:hAnsi="宋体" w:eastAsia="宋体" w:cs="宋体"/>
          <w:color w:val="auto"/>
          <w:sz w:val="21"/>
          <w:szCs w:val="21"/>
          <w:highlight w:val="none"/>
        </w:rPr>
        <w:t xml:space="preserve">已提交响应文件的供应商，在提交最后报价之前，可以根据磋商情况书面退出磋商。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未书面退出磋商的供应商在规定时间内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 xml:space="preserve">提交最后报价，其最后报价超出采购预算导致已通过评审的响应文件无效的，按供应商在提交响应文件截止时间后撤回响应文件处理。 </w:t>
      </w:r>
    </w:p>
    <w:p>
      <w:pPr>
        <w:widowControl/>
        <w:tabs>
          <w:tab w:val="left" w:pos="540"/>
        </w:tabs>
        <w:wordWrap w:val="0"/>
        <w:spacing w:line="360" w:lineRule="exact"/>
        <w:ind w:firstLine="420" w:firstLineChars="200"/>
        <w:jc w:val="left"/>
        <w:rPr>
          <w:rFonts w:hint="eastAsia" w:ascii="宋体" w:hAnsi="宋体" w:cs="Arial"/>
          <w:color w:val="auto"/>
          <w:kern w:val="0"/>
          <w:szCs w:val="21"/>
          <w:highlight w:val="none"/>
        </w:rPr>
      </w:pPr>
      <w:r>
        <w:rPr>
          <w:rFonts w:hint="eastAsia" w:ascii="宋体" w:hAnsi="宋体"/>
          <w:color w:val="auto"/>
          <w:szCs w:val="21"/>
          <w:highlight w:val="none"/>
        </w:rPr>
        <w:t>21.9综合比较与评价</w:t>
      </w:r>
    </w:p>
    <w:p>
      <w:pPr>
        <w:tabs>
          <w:tab w:val="left" w:pos="1140"/>
        </w:tabs>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21.9.1 磋商小组按竞争性磋商文件中规定的评审办法，对资格性审查和符合性审查合格的响应文件进行商务和技术评估，综合比较与评价。</w:t>
      </w:r>
    </w:p>
    <w:p>
      <w:pPr>
        <w:tabs>
          <w:tab w:val="left" w:pos="1140"/>
        </w:tabs>
        <w:wordWrap w:val="0"/>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1.9.2采购代理机构对评审数据进行校对、核对，对畸高、畸低的重大差异评分提示磋商小组复核或书面说明理由。</w:t>
      </w:r>
    </w:p>
    <w:p>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21.10 在评审过程中出现法律法规和磋商文件均没有明确规定的情形时，由磋商小组现场协商解决，协商不一致的，由全体磋商小组投票表决，以得票率二分之一以上专家的意见为准。</w:t>
      </w:r>
    </w:p>
    <w:p>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21.11采购代理机构发现磋商小组有明显的违规倾向或歧视现象，或不按评审办法进行，或其他不正常行为的，应当及时制止。如制止无效，应及时向</w:t>
      </w:r>
      <w:r>
        <w:rPr>
          <w:rFonts w:hint="eastAsia" w:ascii="宋体" w:hAnsi="宋体" w:eastAsia="宋体" w:cs="宋体"/>
          <w:color w:val="auto"/>
          <w:sz w:val="21"/>
          <w:szCs w:val="21"/>
          <w:highlight w:val="none"/>
        </w:rPr>
        <w:t>政府采购监督管理机构</w:t>
      </w:r>
      <w:r>
        <w:rPr>
          <w:rFonts w:hint="eastAsia" w:ascii="宋体" w:hAnsi="宋体"/>
          <w:color w:val="auto"/>
          <w:szCs w:val="21"/>
          <w:highlight w:val="none"/>
        </w:rPr>
        <w:t>报告。</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09" w:name="_Toc18722"/>
      <w:bookmarkStart w:id="110" w:name="_Toc32470"/>
      <w:r>
        <w:rPr>
          <w:rFonts w:hint="eastAsia" w:ascii="宋体" w:hAnsi="宋体" w:eastAsia="宋体" w:cs="宋体"/>
          <w:color w:val="auto"/>
          <w:sz w:val="21"/>
          <w:szCs w:val="21"/>
          <w:highlight w:val="none"/>
        </w:rPr>
        <w:t xml:space="preserve">22. </w:t>
      </w:r>
      <w:bookmarkEnd w:id="109"/>
      <w:bookmarkEnd w:id="110"/>
      <w:r>
        <w:rPr>
          <w:rFonts w:hint="eastAsia" w:ascii="宋体" w:hAnsi="宋体" w:eastAsia="宋体" w:cs="宋体"/>
          <w:color w:val="auto"/>
          <w:sz w:val="21"/>
          <w:szCs w:val="21"/>
          <w:highlight w:val="none"/>
        </w:rPr>
        <w:t>推荐及确定成交候选供应商原则</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1" w:name="_Toc15332"/>
      <w:bookmarkStart w:id="112" w:name="_Toc21715"/>
      <w:r>
        <w:rPr>
          <w:rFonts w:hint="eastAsia" w:ascii="宋体" w:hAnsi="宋体" w:eastAsia="宋体" w:cs="宋体"/>
          <w:color w:val="auto"/>
          <w:sz w:val="21"/>
          <w:szCs w:val="21"/>
          <w:highlight w:val="none"/>
        </w:rPr>
        <w:t>23. 属于下列情况之一者，响应文件无效</w:t>
      </w:r>
      <w:bookmarkEnd w:id="111"/>
      <w:bookmarkEnd w:id="112"/>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（1）未按磋商文件规定完整</w:t>
      </w:r>
      <w:r>
        <w:rPr>
          <w:rFonts w:hint="eastAsia" w:ascii="宋体" w:hAnsi="宋体" w:eastAsia="宋体" w:cs="宋体"/>
          <w:color w:val="auto"/>
          <w:sz w:val="21"/>
          <w:szCs w:val="21"/>
          <w:highlight w:val="none"/>
          <w:lang w:val="en-US" w:eastAsia="zh-CN"/>
        </w:rPr>
        <w:t>线上</w:t>
      </w:r>
      <w:r>
        <w:rPr>
          <w:rFonts w:hint="eastAsia" w:ascii="宋体" w:hAnsi="宋体" w:eastAsia="宋体" w:cs="宋体"/>
          <w:color w:val="auto"/>
          <w:sz w:val="21"/>
          <w:szCs w:val="21"/>
          <w:highlight w:val="none"/>
        </w:rPr>
        <w:t>提交响应文件或未按规定要求</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val="en-US" w:eastAsia="zh-CN"/>
        </w:rPr>
        <w:t>签章</w:t>
      </w:r>
      <w:r>
        <w:rPr>
          <w:rFonts w:hint="eastAsia" w:ascii="宋体" w:hAnsi="宋体" w:eastAsia="宋体" w:cs="宋体"/>
          <w:color w:val="auto"/>
          <w:sz w:val="21"/>
          <w:szCs w:val="21"/>
          <w:highlight w:val="none"/>
        </w:rPr>
        <w:t>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（2）不具备磋商文件规定的资格要求的；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资格性审查时，磋商小组将进入《国家企业信用信息公示系统》对企业股东及出资等信息进行查询，对存在《中华人民共和国政府采购法实施条例》第十八条第一款情形的，即单位负责人为同一人或者存在直接控股、管理关系的不同供应商，不得参加同一合同项下的政府采购活动，其磋商文件将被视为无效文件；</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）响应文件未按磋商文件的内容和要求编制，或提供虚假材料的；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）响应文件有效期、质量要求、工期要求不能满足采购文件要求的；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）供应商未就工程量清单中的所有内容作完整唯一报价的；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）未在磋商小组规定的时间内提交响应文件(包括最后报价)的；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）超越了按照法律法规规定必须获得行政许可或者行政审批的经营范围的；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）未满足磋商文件实质性要求的或者响应文件有采购人不能接受的附加条件的；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）响应文件实质性要求未做变动，供应商最后报价高于第一次报价的；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）不符合法律、法规和磋商文件规定的其他实质性要求和条件的。</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供应商有下列情形之一的视为供应商相互串通磋商，响应文件将被视为无效</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（1）不同供应商的响应文件由同一单位或者个人编制；或不同供应商报名的IP地址一致的；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（2）不同供应商委托同一单位或者个人办理磋商事宜；</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（3）不同的供应商的响应文件载明的项目管理员为同一个人；</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（4）不同供应商的响应文件异常一致或竞标报价呈规律性差异；</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（5）不同供应商的响应文件相互混</w:t>
      </w:r>
      <w:r>
        <w:rPr>
          <w:rFonts w:hint="eastAsia" w:ascii="宋体" w:hAnsi="宋体" w:eastAsia="宋体" w:cs="宋体"/>
          <w:color w:val="auto"/>
          <w:sz w:val="21"/>
          <w:szCs w:val="21"/>
          <w:highlight w:val="none"/>
          <w:lang w:eastAsia="zh-CN"/>
        </w:rPr>
        <w:t>编</w:t>
      </w:r>
      <w:r>
        <w:rPr>
          <w:rFonts w:hint="eastAsia" w:ascii="宋体" w:hAnsi="宋体" w:eastAsia="宋体" w:cs="宋体"/>
          <w:color w:val="auto"/>
          <w:sz w:val="21"/>
          <w:szCs w:val="21"/>
          <w:highlight w:val="none"/>
        </w:rPr>
        <w:t>。</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3" w:name="_Toc27786"/>
      <w:bookmarkStart w:id="114" w:name="_Toc5714"/>
      <w:r>
        <w:rPr>
          <w:rFonts w:hint="eastAsia" w:ascii="宋体" w:hAnsi="宋体" w:eastAsia="宋体" w:cs="宋体"/>
          <w:color w:val="auto"/>
          <w:sz w:val="21"/>
          <w:szCs w:val="21"/>
          <w:highlight w:val="none"/>
        </w:rPr>
        <w:t>24. 出现下列情形之一的，采购人或者采购代理机构应当终止竞争性磋商采购活动，发布项目终止公告并说明原因，重新开展采购活动</w:t>
      </w:r>
      <w:bookmarkEnd w:id="113"/>
      <w:bookmarkEnd w:id="114"/>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（1）因情况变化，不再符合规定的竞争性磋商采购方式适用情形的；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（2）出现影响采购公正的违法、违规行为的； </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（3）在采购过程中符合竞争要求的供应商或者报价未超过采购预算的供应商不足3家的。</w:t>
      </w:r>
      <w:r>
        <w:rPr>
          <w:rFonts w:hint="eastAsia" w:ascii="宋体" w:hAnsi="宋体" w:eastAsia="宋体" w:cs="宋体"/>
          <w:b/>
          <w:bCs/>
          <w:color w:val="auto"/>
          <w:sz w:val="21"/>
          <w:szCs w:val="21"/>
          <w:highlight w:val="none"/>
        </w:rPr>
        <w:t xml:space="preserve">（除财库〔2014〕214 号《政府采购竞争性磋商采购方式管理暂行办法》第二十一条第三款规定的情形外） </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5" w:name="_Toc19910"/>
      <w:bookmarkStart w:id="116" w:name="_Toc19105"/>
      <w:r>
        <w:rPr>
          <w:rFonts w:hint="eastAsia" w:ascii="宋体" w:hAnsi="宋体" w:eastAsia="宋体" w:cs="宋体"/>
          <w:color w:val="auto"/>
          <w:sz w:val="21"/>
          <w:szCs w:val="21"/>
          <w:highlight w:val="none"/>
        </w:rPr>
        <w:t>25. 磋商过程的监控</w:t>
      </w:r>
      <w:bookmarkEnd w:id="115"/>
      <w:bookmarkEnd w:id="116"/>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本项目磋商过程实行全程录音、录像监控，供应商在磋商过程中所进行的试图影响磋商结果的不公正活动，可能导致其磋商被拒绝。</w:t>
      </w:r>
    </w:p>
    <w:p>
      <w:pPr>
        <w:pStyle w:val="4"/>
        <w:pageBreakBefore w:val="0"/>
        <w:widowControl w:val="0"/>
        <w:numPr>
          <w:ilvl w:val="0"/>
          <w:numId w:val="3"/>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7" w:name="_Toc14787"/>
      <w:bookmarkStart w:id="118" w:name="_Toc26291"/>
      <w:r>
        <w:rPr>
          <w:rFonts w:hint="eastAsia" w:ascii="宋体" w:hAnsi="宋体" w:eastAsia="宋体" w:cs="宋体"/>
          <w:color w:val="auto"/>
          <w:sz w:val="21"/>
          <w:szCs w:val="21"/>
          <w:highlight w:val="none"/>
        </w:rPr>
        <w:t>信用查询</w:t>
      </w:r>
      <w:bookmarkEnd w:id="117"/>
      <w:bookmarkEnd w:id="118"/>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9" w:name="_Toc25468"/>
      <w:bookmarkStart w:id="120" w:name="_Toc9438"/>
      <w:r>
        <w:rPr>
          <w:rFonts w:hint="eastAsia" w:ascii="宋体" w:hAnsi="宋体" w:eastAsia="宋体" w:cs="宋体"/>
          <w:color w:val="auto"/>
          <w:sz w:val="21"/>
          <w:szCs w:val="21"/>
          <w:highlight w:val="none"/>
        </w:rPr>
        <w:t>27. 成交结果公告及成交通知书</w:t>
      </w:r>
      <w:bookmarkEnd w:id="119"/>
      <w:bookmarkEnd w:id="120"/>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 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 在发布成交公告的同时，采购代理机构向成交供应商发出成交通知书。成交供应商自接到通知之日起七个工作日内，办理成交通知书领取手续。</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27.3 采购代理机构无义务向未成交的供应商解释未成交原因和退还响应文件。</w:t>
      </w:r>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1" w:name="_Toc6064"/>
      <w:bookmarkStart w:id="122" w:name="_Toc24102"/>
      <w:bookmarkStart w:id="123" w:name="_Toc25593"/>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五、签订合同</w:t>
      </w:r>
      <w:bookmarkEnd w:id="121"/>
      <w:bookmarkEnd w:id="122"/>
      <w:bookmarkEnd w:id="123"/>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4" w:name="_Toc26520"/>
      <w:bookmarkStart w:id="125" w:name="_Toc1032"/>
      <w:r>
        <w:rPr>
          <w:rFonts w:hint="eastAsia" w:ascii="宋体" w:hAnsi="宋体" w:eastAsia="宋体" w:cs="宋体"/>
          <w:color w:val="auto"/>
          <w:sz w:val="21"/>
          <w:szCs w:val="21"/>
          <w:highlight w:val="none"/>
        </w:rPr>
        <w:t>28. 履约保证金</w:t>
      </w:r>
      <w:bookmarkEnd w:id="124"/>
      <w:bookmarkEnd w:id="125"/>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126" w:name="_Toc22004"/>
      <w:bookmarkStart w:id="127" w:name="_Toc4956"/>
      <w:r>
        <w:rPr>
          <w:rFonts w:hint="eastAsia" w:ascii="宋体" w:hAnsi="宋体"/>
          <w:bCs/>
          <w:color w:val="auto"/>
          <w:szCs w:val="21"/>
          <w:highlight w:val="none"/>
        </w:rPr>
        <w:t>根据《桂林市财政局关于贯彻落实政府采购优化营商环境百日攻坚行动方案的通知》（市财采〔2020〕24号）第四条的规定，本项目免收履约保证金</w:t>
      </w:r>
      <w:r>
        <w:rPr>
          <w:rFonts w:hint="eastAsia" w:ascii="宋体" w:hAnsi="宋体" w:eastAsia="宋体" w:cs="宋体"/>
          <w:color w:val="auto"/>
          <w:sz w:val="21"/>
          <w:szCs w:val="21"/>
          <w:highlight w:val="none"/>
        </w:rPr>
        <w:t>。</w:t>
      </w:r>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 签订合同</w:t>
      </w:r>
      <w:bookmarkEnd w:id="126"/>
      <w:bookmarkEnd w:id="127"/>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29.1 签订合同时间：</w:t>
      </w:r>
      <w:r>
        <w:rPr>
          <w:rFonts w:hint="eastAsia" w:ascii="宋体" w:hAnsi="宋体" w:eastAsia="宋体" w:cs="宋体"/>
          <w:b/>
          <w:bCs/>
          <w:color w:val="auto"/>
          <w:sz w:val="21"/>
          <w:szCs w:val="21"/>
          <w:highlight w:val="none"/>
          <w:lang w:eastAsia="zh-CN"/>
        </w:rPr>
        <w:t>成交通知书</w:t>
      </w:r>
      <w:r>
        <w:rPr>
          <w:rFonts w:hint="eastAsia" w:ascii="宋体" w:hAnsi="宋体" w:eastAsia="宋体" w:cs="宋体"/>
          <w:b/>
          <w:bCs/>
          <w:color w:val="auto"/>
          <w:sz w:val="21"/>
          <w:szCs w:val="21"/>
          <w:highlight w:val="none"/>
        </w:rPr>
        <w:t>发出之日起8个工作日内签订合同。成交供应商领取成交通知书后，应按规定与采购人签订合同。</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29.2 如成交供应商有下列情形之一的，情节严重的，由财政部门将其列入不良行为记录名单，在一至三年内禁止参加政府采购活动，并予以通报。采购代理机构可从磋商小组推荐的成交候选人中按顺序重新确定成交供应商或重新组织采购。拒绝签订政府采购合同的成交供应商不得参加对该项目重新开展的采购活动。</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（1）成交后不与采购人签订合同的（不可抗力除外）；</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（2）将成交项目转让给他人，或者在响应文件中未说明，且未经采购人同意，将成交项目分包给他人的；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（3）拒绝履行合同义务的。</w:t>
      </w:r>
    </w:p>
    <w:p>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 合同备案存档：政府采购合同双方自签订之日起一个工作日内将合同原件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eastAsia="zh-CN"/>
        </w:rPr>
        <w:t>广西建业中天工程咨询有限公司</w:t>
      </w:r>
      <w:r>
        <w:rPr>
          <w:rFonts w:hint="eastAsia" w:ascii="宋体" w:hAnsi="宋体" w:eastAsia="宋体" w:cs="宋体"/>
          <w:color w:val="auto"/>
          <w:sz w:val="21"/>
          <w:szCs w:val="21"/>
          <w:highlight w:val="none"/>
        </w:rPr>
        <w:t>存档。</w:t>
      </w:r>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8" w:name="_Toc26986"/>
      <w:bookmarkStart w:id="129" w:name="_Toc16348"/>
      <w:bookmarkStart w:id="130" w:name="_Toc17898"/>
    </w:p>
    <w:p>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六、其他事项</w:t>
      </w:r>
      <w:bookmarkEnd w:id="128"/>
      <w:bookmarkEnd w:id="129"/>
      <w:bookmarkEnd w:id="130"/>
    </w:p>
    <w:p>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31" w:name="_Toc29572"/>
      <w:bookmarkStart w:id="132" w:name="_Toc28647"/>
      <w:r>
        <w:rPr>
          <w:rFonts w:hint="eastAsia" w:ascii="宋体" w:hAnsi="宋体" w:eastAsia="宋体" w:cs="宋体"/>
          <w:color w:val="auto"/>
          <w:sz w:val="21"/>
          <w:szCs w:val="21"/>
          <w:highlight w:val="none"/>
        </w:rPr>
        <w:t>30. 采购代理服务费</w:t>
      </w:r>
      <w:bookmarkEnd w:id="131"/>
      <w:bookmarkEnd w:id="132"/>
    </w:p>
    <w:p>
      <w:pPr>
        <w:pageBreakBefore w:val="0"/>
        <w:widowControl w:val="0"/>
        <w:kinsoku/>
        <w:wordWrap/>
        <w:overflowPunct/>
        <w:topLinePunct w:val="0"/>
        <w:bidi w:val="0"/>
        <w:snapToGrid/>
        <w:spacing w:line="380" w:lineRule="exact"/>
        <w:ind w:left="0" w:leftChars="0" w:firstLine="420"/>
        <w:textAlignment w:val="auto"/>
        <w:rPr>
          <w:rFonts w:hint="eastAsia" w:ascii="宋体" w:hAnsi="宋体" w:eastAsia="宋体" w:cs="宋体"/>
          <w:color w:val="auto"/>
          <w:sz w:val="21"/>
          <w:szCs w:val="21"/>
          <w:highlight w:val="none"/>
        </w:rPr>
      </w:pPr>
      <w:bookmarkStart w:id="133" w:name="_Toc12374"/>
      <w:r>
        <w:rPr>
          <w:rFonts w:hint="eastAsia" w:ascii="宋体" w:hAnsi="宋体" w:eastAsia="宋体" w:cs="宋体"/>
          <w:color w:val="auto"/>
          <w:sz w:val="21"/>
          <w:szCs w:val="21"/>
          <w:highlight w:val="none"/>
          <w:lang w:val="en-US" w:eastAsia="zh-CN"/>
        </w:rPr>
        <w:t>30.1</w:t>
      </w:r>
      <w:r>
        <w:rPr>
          <w:rFonts w:hint="eastAsia" w:ascii="宋体" w:hAnsi="宋体" w:eastAsia="宋体" w:cs="宋体"/>
          <w:color w:val="auto"/>
          <w:sz w:val="21"/>
          <w:szCs w:val="21"/>
          <w:highlight w:val="none"/>
        </w:rPr>
        <w:t>成交供应商领取成交通知书前，向</w:t>
      </w:r>
      <w:r>
        <w:rPr>
          <w:rFonts w:hint="eastAsia" w:ascii="宋体" w:hAnsi="宋体" w:cs="宋体"/>
          <w:color w:val="auto"/>
          <w:sz w:val="21"/>
          <w:szCs w:val="21"/>
          <w:highlight w:val="none"/>
          <w:lang w:eastAsia="zh-CN"/>
        </w:rPr>
        <w:t>广西建业中天工程咨询有限公司</w:t>
      </w:r>
      <w:r>
        <w:rPr>
          <w:rFonts w:hint="eastAsia" w:ascii="宋体" w:hAnsi="宋体" w:eastAsia="宋体" w:cs="宋体"/>
          <w:color w:val="auto"/>
          <w:sz w:val="21"/>
          <w:szCs w:val="21"/>
          <w:highlight w:val="none"/>
        </w:rPr>
        <w:t>一次性付清代理服务费。本项目招标代理服务收费标准参照计价格[2002]1980号《招标代理服务收费管理暂行办法》</w:t>
      </w:r>
      <w:r>
        <w:rPr>
          <w:rFonts w:hint="eastAsia" w:ascii="宋体" w:hAnsi="宋体" w:eastAsia="宋体" w:cs="宋体"/>
          <w:color w:val="auto"/>
          <w:sz w:val="21"/>
          <w:szCs w:val="21"/>
          <w:highlight w:val="none"/>
          <w:lang w:eastAsia="zh-CN"/>
        </w:rPr>
        <w:t>工程</w:t>
      </w:r>
      <w:r>
        <w:rPr>
          <w:rFonts w:hint="eastAsia" w:ascii="宋体" w:hAnsi="宋体" w:eastAsia="宋体" w:cs="宋体"/>
          <w:color w:val="auto"/>
          <w:sz w:val="21"/>
          <w:szCs w:val="21"/>
          <w:highlight w:val="none"/>
        </w:rPr>
        <w:t>类收费标准向</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收取（不足人民币</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000元的，按</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000元支付）。</w:t>
      </w:r>
    </w:p>
    <w:tbl>
      <w:tblPr>
        <w:tblStyle w:val="18"/>
        <w:tblW w:w="900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vAlign w:val="top"/>
          </w:tcPr>
          <w:p>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026" name="直接连接符 1026"/>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23.35pt;margin-top:0.85pt;height:51.45pt;width:115.25pt;z-index:251660288;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gFTNNYAAAAIAQAADwAAAAAAAAABACAAAAAiAAAAZHJzL2Rvd25yZXYu&#10;eG1sUEsBAhQAFAAAAAgAh07iQDnnG0P9AQAA+wMAAA4AAAAAAAAAAQAgAAAAJQEAAGRycy9lMm9E&#10;b2MueG1sUEsFBgAAAAAGAAYAWQEAAJQFAAAAAA==&#10;">
                      <v:fill on="f" focussize="0,0"/>
                      <v:stroke color="#000000" joinstyle="round"/>
                      <v:imagedata o:title=""/>
                      <o:lock v:ext="edit" aspectratio="f"/>
                    </v:line>
                  </w:pict>
                </mc:Fallback>
              </mc:AlternateContent>
            </w:r>
            <w:r>
              <w:rPr>
                <w:rFonts w:hint="eastAsia" w:ascii="宋体" w:hAnsi="宋体" w:eastAsia="宋体" w:cs="宋体"/>
                <w:color w:val="auto"/>
                <w:sz w:val="21"/>
                <w:szCs w:val="21"/>
                <w:highlight w:val="none"/>
              </w:rPr>
              <w:t>费率           服务类型</w:t>
            </w:r>
          </w:p>
          <w:p>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1027" name="直接连接符 1027"/>
                      <wp:cNvGraphicFramePr/>
                      <a:graphic xmlns:a="http://schemas.openxmlformats.org/drawingml/2006/main">
                        <a:graphicData uri="http://schemas.microsoft.com/office/word/2010/wordprocessingShape">
                          <wps:wsp>
                            <wps:cNvCnPr/>
                            <wps:spPr>
                              <a:xfrm>
                                <a:off x="0" y="0"/>
                                <a:ext cx="1828800" cy="396239"/>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5.4pt;margin-top:3.1pt;height:31.2pt;width:144pt;z-index:251661312;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AOr0TWAAAACAEAAA8AAAAAAAAAAQAgAAAAIgAAAGRycy9kb3ducmV2&#10;LnhtbFBLAQIUABQAAAAIAIdO4kDL+yLd/gEAAPsDAAAOAAAAAAAAAAEAIAAAACUBAABkcnMvZTJv&#10;RG9jLnhtbFBLBQYAAAAABgAGAFkBAACVBQAAAAA=&#10;">
                      <v:fill on="f" focussize="0,0"/>
                      <v:stroke color="#000000" joinstyle="round"/>
                      <v:imagedata o:title=""/>
                      <o:lock v:ext="edit" aspectratio="f"/>
                    </v:line>
                  </w:pict>
                </mc:Fallback>
              </mc:AlternateContent>
            </w:r>
          </w:p>
          <w:p>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中标金额（万元）</w:t>
            </w:r>
          </w:p>
        </w:tc>
        <w:tc>
          <w:tcPr>
            <w:tcW w:w="1841" w:type="dxa"/>
            <w:vAlign w:val="center"/>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货物招标</w:t>
            </w:r>
          </w:p>
        </w:tc>
        <w:tc>
          <w:tcPr>
            <w:tcW w:w="1992" w:type="dxa"/>
            <w:vAlign w:val="center"/>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服务招标</w:t>
            </w:r>
          </w:p>
        </w:tc>
        <w:tc>
          <w:tcPr>
            <w:tcW w:w="2293" w:type="dxa"/>
            <w:vAlign w:val="center"/>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vAlign w:val="top"/>
          </w:tcPr>
          <w:p>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100以下</w:t>
            </w:r>
          </w:p>
        </w:tc>
        <w:tc>
          <w:tcPr>
            <w:tcW w:w="1841"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992"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2293"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vAlign w:val="top"/>
          </w:tcPr>
          <w:p>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100-500</w:t>
            </w:r>
          </w:p>
        </w:tc>
        <w:tc>
          <w:tcPr>
            <w:tcW w:w="1841"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992"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2293"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500-1000</w:t>
            </w:r>
          </w:p>
        </w:tc>
        <w:tc>
          <w:tcPr>
            <w:tcW w:w="1841"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1992"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0.45%</w:t>
            </w:r>
          </w:p>
        </w:tc>
        <w:tc>
          <w:tcPr>
            <w:tcW w:w="2293"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1000-5000</w:t>
            </w:r>
          </w:p>
        </w:tc>
        <w:tc>
          <w:tcPr>
            <w:tcW w:w="1841"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p>
        </w:tc>
        <w:tc>
          <w:tcPr>
            <w:tcW w:w="1992"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2293"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5000-10000</w:t>
            </w:r>
          </w:p>
        </w:tc>
        <w:tc>
          <w:tcPr>
            <w:tcW w:w="1841"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1992"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w:t>
            </w:r>
          </w:p>
        </w:tc>
        <w:tc>
          <w:tcPr>
            <w:tcW w:w="2293" w:type="dxa"/>
            <w:vAlign w:val="top"/>
          </w:tcPr>
          <w:p>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p>
        </w:tc>
      </w:tr>
    </w:tbl>
    <w:p>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注：招标代理服务收费按差额定率累进法计算。</w:t>
      </w:r>
    </w:p>
    <w:p>
      <w:pPr>
        <w:pageBreakBefore w:val="0"/>
        <w:widowControl w:val="0"/>
        <w:kinsoku/>
        <w:wordWrap/>
        <w:overflowPunct/>
        <w:topLinePunct w:val="0"/>
        <w:bidi w:val="0"/>
        <w:snapToGrid/>
        <w:spacing w:before="0" w:after="0" w:line="380" w:lineRule="exact"/>
        <w:ind w:left="0" w:leftChars="0" w:firstLine="422"/>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30.2</w:t>
      </w:r>
      <w:r>
        <w:rPr>
          <w:rFonts w:hint="eastAsia" w:ascii="宋体" w:hAnsi="宋体" w:eastAsia="宋体" w:cs="宋体"/>
          <w:b w:val="0"/>
          <w:bCs/>
          <w:color w:val="auto"/>
          <w:sz w:val="21"/>
          <w:szCs w:val="21"/>
          <w:highlight w:val="none"/>
        </w:rPr>
        <w:t>招标代理服务费缴纳账户：</w:t>
      </w:r>
    </w:p>
    <w:p>
      <w:pPr>
        <w:pageBreakBefore w:val="0"/>
        <w:widowControl w:val="0"/>
        <w:kinsoku/>
        <w:wordWrap/>
        <w:overflowPunct/>
        <w:topLinePunct w:val="0"/>
        <w:bidi w:val="0"/>
        <w:snapToGrid/>
        <w:spacing w:line="380" w:lineRule="exact"/>
        <w:ind w:left="0" w:leftChars="0" w:firstLine="420" w:firstLineChars="200"/>
        <w:textAlignment w:val="auto"/>
        <w:rPr>
          <w:rStyle w:val="25"/>
          <w:rFonts w:hint="eastAsia" w:ascii="宋体" w:hAnsi="宋体" w:eastAsia="宋体" w:cs="宋体"/>
          <w:b w:val="0"/>
          <w:bCs/>
          <w:color w:val="auto"/>
          <w:sz w:val="21"/>
          <w:szCs w:val="21"/>
          <w:highlight w:val="none"/>
          <w:lang w:val="en-US"/>
        </w:rPr>
      </w:pPr>
      <w:bookmarkStart w:id="134" w:name="_Toc9779"/>
      <w:r>
        <w:rPr>
          <w:rStyle w:val="25"/>
          <w:rFonts w:hint="eastAsia" w:ascii="宋体" w:hAnsi="宋体" w:eastAsia="宋体" w:cs="宋体"/>
          <w:b w:val="0"/>
          <w:bCs/>
          <w:color w:val="auto"/>
          <w:sz w:val="21"/>
          <w:szCs w:val="21"/>
          <w:highlight w:val="none"/>
          <w:lang w:val="en-US"/>
        </w:rPr>
        <w:t>开户名称：</w:t>
      </w:r>
      <w:r>
        <w:rPr>
          <w:rFonts w:hint="eastAsia" w:ascii="宋体" w:hAnsi="宋体" w:eastAsia="宋体" w:cs="宋体"/>
          <w:color w:val="auto"/>
          <w:highlight w:val="none"/>
          <w:u w:val="single"/>
        </w:rPr>
        <w:t>广西建业中天工程咨询有限公司桂林直属分公司</w:t>
      </w:r>
    </w:p>
    <w:p>
      <w:pPr>
        <w:pageBreakBefore w:val="0"/>
        <w:widowControl w:val="0"/>
        <w:kinsoku/>
        <w:wordWrap/>
        <w:overflowPunct/>
        <w:topLinePunct w:val="0"/>
        <w:bidi w:val="0"/>
        <w:snapToGrid/>
        <w:spacing w:line="380" w:lineRule="exact"/>
        <w:ind w:left="0" w:leftChars="0" w:firstLine="420" w:firstLineChars="200"/>
        <w:textAlignment w:val="auto"/>
        <w:rPr>
          <w:rStyle w:val="25"/>
          <w:rFonts w:hint="eastAsia" w:ascii="宋体" w:hAnsi="宋体" w:eastAsia="宋体" w:cs="宋体"/>
          <w:b w:val="0"/>
          <w:bCs/>
          <w:color w:val="auto"/>
          <w:sz w:val="21"/>
          <w:szCs w:val="21"/>
          <w:highlight w:val="none"/>
          <w:lang w:val="en-US"/>
        </w:rPr>
      </w:pPr>
      <w:r>
        <w:rPr>
          <w:rStyle w:val="25"/>
          <w:rFonts w:hint="eastAsia" w:ascii="宋体" w:hAnsi="宋体" w:eastAsia="宋体" w:cs="宋体"/>
          <w:b w:val="0"/>
          <w:bCs/>
          <w:color w:val="auto"/>
          <w:sz w:val="21"/>
          <w:szCs w:val="21"/>
          <w:highlight w:val="none"/>
          <w:lang w:val="en-US"/>
        </w:rPr>
        <w:t>开户银行：</w:t>
      </w:r>
      <w:r>
        <w:rPr>
          <w:rFonts w:hint="eastAsia" w:ascii="宋体" w:hAnsi="宋体" w:eastAsia="宋体" w:cs="宋体"/>
          <w:color w:val="auto"/>
          <w:highlight w:val="none"/>
          <w:u w:val="single"/>
        </w:rPr>
        <w:t>桂林银行城南支行</w:t>
      </w:r>
    </w:p>
    <w:p>
      <w:pPr>
        <w:pageBreakBefore w:val="0"/>
        <w:widowControl w:val="0"/>
        <w:kinsoku/>
        <w:wordWrap/>
        <w:overflowPunct/>
        <w:topLinePunct w:val="0"/>
        <w:bidi w:val="0"/>
        <w:snapToGrid/>
        <w:spacing w:line="380" w:lineRule="exact"/>
        <w:ind w:left="0" w:leftChars="0" w:firstLine="420" w:firstLineChars="200"/>
        <w:textAlignment w:val="auto"/>
        <w:rPr>
          <w:rStyle w:val="25"/>
          <w:rFonts w:hint="eastAsia" w:ascii="宋体" w:hAnsi="宋体" w:eastAsia="宋体" w:cs="宋体"/>
          <w:b w:val="0"/>
          <w:bCs/>
          <w:color w:val="auto"/>
          <w:sz w:val="21"/>
          <w:szCs w:val="21"/>
          <w:highlight w:val="none"/>
          <w:lang w:val="en-US"/>
        </w:rPr>
      </w:pPr>
      <w:r>
        <w:rPr>
          <w:rStyle w:val="25"/>
          <w:rFonts w:hint="eastAsia" w:ascii="宋体" w:hAnsi="宋体" w:eastAsia="宋体" w:cs="宋体"/>
          <w:b w:val="0"/>
          <w:bCs/>
          <w:color w:val="auto"/>
          <w:sz w:val="21"/>
          <w:szCs w:val="21"/>
          <w:highlight w:val="none"/>
          <w:lang w:val="en-US"/>
        </w:rPr>
        <w:t>账    号：</w:t>
      </w:r>
      <w:r>
        <w:rPr>
          <w:rFonts w:hint="eastAsia" w:ascii="宋体" w:hAnsi="宋体" w:eastAsia="宋体" w:cs="宋体"/>
          <w:color w:val="auto"/>
          <w:highlight w:val="none"/>
          <w:u w:val="single"/>
        </w:rPr>
        <w:t>6600 1204 7081 1000 10</w:t>
      </w:r>
    </w:p>
    <w:p>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Style w:val="25"/>
          <w:rFonts w:hint="eastAsia" w:ascii="宋体" w:hAnsi="宋体" w:eastAsia="宋体" w:cs="宋体"/>
          <w:color w:val="auto"/>
          <w:sz w:val="21"/>
          <w:szCs w:val="21"/>
          <w:highlight w:val="none"/>
        </w:rPr>
        <w:t>31. 解释权</w:t>
      </w:r>
      <w:bookmarkEnd w:id="133"/>
      <w:bookmarkEnd w:id="134"/>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color w:val="auto"/>
          <w:sz w:val="21"/>
          <w:szCs w:val="21"/>
          <w:highlight w:val="none"/>
        </w:rPr>
      </w:pPr>
      <w:bookmarkStart w:id="135" w:name="_Toc32738"/>
      <w:r>
        <w:rPr>
          <w:rStyle w:val="25"/>
          <w:rFonts w:hint="eastAsia" w:ascii="宋体" w:hAnsi="宋体" w:eastAsia="宋体" w:cs="宋体"/>
          <w:color w:val="auto"/>
          <w:sz w:val="21"/>
          <w:szCs w:val="21"/>
          <w:highlight w:val="none"/>
        </w:rPr>
        <w:t>32. 监督管理机构</w:t>
      </w:r>
      <w:bookmarkEnd w:id="135"/>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灌阳县财政局政府采购监督管理办公室</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eastAsia="zh-CN"/>
        </w:rPr>
        <w:t>0773-4250206</w:t>
      </w:r>
    </w:p>
    <w:p>
      <w:pPr>
        <w:pageBreakBefore w:val="0"/>
        <w:widowControl w:val="0"/>
        <w:kinsoku/>
        <w:wordWrap/>
        <w:overflowPunct/>
        <w:topLinePunct w:val="0"/>
        <w:bidi w:val="0"/>
        <w:snapToGrid w:val="0"/>
        <w:spacing w:line="440" w:lineRule="exact"/>
        <w:ind w:firstLine="422"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33.</w:t>
      </w:r>
      <w:r>
        <w:rPr>
          <w:rStyle w:val="25"/>
          <w:rFonts w:hint="eastAsia" w:ascii="宋体" w:hAnsi="宋体" w:eastAsia="宋体" w:cs="宋体"/>
          <w:color w:val="auto"/>
          <w:sz w:val="21"/>
          <w:szCs w:val="21"/>
          <w:highlight w:val="none"/>
        </w:rPr>
        <w:t xml:space="preserve"> </w:t>
      </w:r>
      <w:r>
        <w:rPr>
          <w:rFonts w:hint="eastAsia" w:ascii="宋体" w:hAnsi="宋体" w:cs="宋体"/>
          <w:b/>
          <w:bCs/>
          <w:color w:val="auto"/>
          <w:sz w:val="21"/>
          <w:szCs w:val="21"/>
          <w:highlight w:val="none"/>
          <w:lang w:val="en-US" w:eastAsia="zh-CN"/>
        </w:rPr>
        <w:t xml:space="preserve">《广西线上“政采贷”政策告知函》详见附表4。 </w:t>
      </w:r>
      <w:r>
        <w:rPr>
          <w:rFonts w:hint="eastAsia" w:ascii="宋体" w:hAnsi="宋体" w:cs="宋体"/>
          <w:color w:val="auto"/>
          <w:sz w:val="21"/>
          <w:szCs w:val="21"/>
          <w:highlight w:val="none"/>
          <w:lang w:val="en-US" w:eastAsia="zh-CN"/>
        </w:rPr>
        <w:t xml:space="preserve"> </w:t>
      </w:r>
    </w:p>
    <w:p>
      <w:pPr>
        <w:pageBreakBefore w:val="0"/>
        <w:widowControl w:val="0"/>
        <w:kinsoku/>
        <w:wordWrap/>
        <w:overflowPunct/>
        <w:topLinePunct w:val="0"/>
        <w:bidi w:val="0"/>
        <w:spacing w:line="440" w:lineRule="exact"/>
        <w:textAlignment w:val="auto"/>
        <w:rPr>
          <w:rFonts w:hint="eastAsia" w:ascii="宋体" w:hAnsi="宋体" w:eastAsia="宋体" w:cs="宋体"/>
          <w:color w:val="auto"/>
          <w:sz w:val="21"/>
          <w:szCs w:val="21"/>
          <w:highlight w:val="none"/>
          <w:lang w:eastAsia="zh-CN"/>
        </w:rPr>
      </w:pPr>
    </w:p>
    <w:p>
      <w:pPr>
        <w:pStyle w:val="10"/>
        <w:rPr>
          <w:rFonts w:hint="eastAsia" w:ascii="宋体" w:hAnsi="宋体" w:eastAsia="宋体" w:cs="宋体"/>
          <w:color w:val="auto"/>
          <w:sz w:val="21"/>
          <w:szCs w:val="21"/>
          <w:highlight w:val="none"/>
          <w:lang w:eastAsia="zh-CN"/>
        </w:rPr>
      </w:pPr>
    </w:p>
    <w:p>
      <w:pPr>
        <w:pStyle w:val="10"/>
        <w:rPr>
          <w:rFonts w:hint="eastAsia" w:ascii="宋体" w:hAnsi="宋体" w:eastAsia="宋体" w:cs="宋体"/>
          <w:color w:val="auto"/>
          <w:sz w:val="21"/>
          <w:szCs w:val="21"/>
          <w:highlight w:val="none"/>
          <w:lang w:eastAsia="zh-CN"/>
        </w:rPr>
      </w:pPr>
    </w:p>
    <w:p>
      <w:pPr>
        <w:pStyle w:val="10"/>
        <w:rPr>
          <w:rFonts w:hint="eastAsia" w:ascii="宋体" w:hAnsi="宋体" w:eastAsia="宋体" w:cs="宋体"/>
          <w:color w:val="auto"/>
          <w:sz w:val="21"/>
          <w:szCs w:val="21"/>
          <w:highlight w:val="none"/>
          <w:lang w:eastAsia="zh-CN"/>
        </w:rPr>
      </w:pPr>
    </w:p>
    <w:p>
      <w:pPr>
        <w:snapToGrid w:val="0"/>
        <w:rPr>
          <w:rFonts w:hint="eastAsia" w:ascii="宋体" w:hAnsi="宋体" w:eastAsia="宋体" w:cs="宋体"/>
          <w:b/>
          <w:color w:val="auto"/>
          <w:kern w:val="0"/>
          <w:sz w:val="21"/>
          <w:szCs w:val="21"/>
          <w:highlight w:val="none"/>
        </w:rPr>
      </w:pPr>
    </w:p>
    <w:p>
      <w:pPr>
        <w:snapToGrid w:val="0"/>
        <w:rPr>
          <w:rFonts w:hint="eastAsia" w:ascii="宋体" w:hAnsi="宋体" w:eastAsia="宋体" w:cs="宋体"/>
          <w:b/>
          <w:color w:val="auto"/>
          <w:kern w:val="0"/>
          <w:sz w:val="21"/>
          <w:szCs w:val="21"/>
          <w:highlight w:val="none"/>
        </w:rPr>
      </w:pPr>
    </w:p>
    <w:p>
      <w:pPr>
        <w:snapToGrid w:val="0"/>
        <w:rPr>
          <w:rFonts w:hint="eastAsia" w:ascii="宋体" w:hAnsi="宋体" w:eastAsia="宋体" w:cs="宋体"/>
          <w:b/>
          <w:color w:val="auto"/>
          <w:kern w:val="0"/>
          <w:sz w:val="21"/>
          <w:szCs w:val="21"/>
          <w:highlight w:val="none"/>
        </w:rPr>
        <w:sectPr>
          <w:pgSz w:w="11906" w:h="16838"/>
          <w:pgMar w:top="1418" w:right="1115" w:bottom="1418" w:left="1131" w:header="851" w:footer="992" w:gutter="0"/>
          <w:pgNumType w:fmt="decimal"/>
          <w:cols w:space="720" w:num="1"/>
          <w:titlePg/>
          <w:docGrid w:type="lines" w:linePitch="312" w:charSpace="0"/>
        </w:sectPr>
      </w:pPr>
    </w:p>
    <w:p>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附表1：</w:t>
      </w:r>
    </w:p>
    <w:p>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质疑函（格式）</w:t>
      </w:r>
    </w:p>
    <w:p>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一、质疑供应商基本信息：</w:t>
      </w:r>
    </w:p>
    <w:p>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质疑供应商：</w:t>
      </w:r>
    </w:p>
    <w:p>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授权代表：</w:t>
      </w:r>
    </w:p>
    <w:p>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联系电话：</w:t>
      </w:r>
    </w:p>
    <w:p>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二、质疑项目基本情况：</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项目的名称：</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项目的编号：</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采购人名称：</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w:t>
      </w:r>
    </w:p>
    <w:p>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□采购文件   采购文件获取日期：</w:t>
      </w:r>
    </w:p>
    <w:p>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□采购过程   </w:t>
      </w:r>
    </w:p>
    <w:p>
      <w:pPr>
        <w:spacing w:line="360" w:lineRule="exact"/>
        <w:ind w:left="25" w:leftChars="12" w:firstLine="308" w:firstLineChars="14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 xml:space="preserve">□成交结果   </w:t>
      </w:r>
    </w:p>
    <w:p>
      <w:pPr>
        <w:spacing w:line="36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三、质疑事项具体内容</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质疑事项1：</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事实依据：</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法律依据：</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质疑事项2</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四、与质疑事项相关的质疑请求：</w:t>
      </w: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pPr>
        <w:spacing w:line="360" w:lineRule="exact"/>
        <w:ind w:left="25" w:leftChars="12" w:firstLine="308" w:firstLineChars="147"/>
        <w:rPr>
          <w:rFonts w:hint="eastAsia" w:ascii="宋体" w:hAnsi="宋体" w:eastAsia="宋体" w:cs="宋体"/>
          <w:color w:val="auto"/>
          <w:kern w:val="0"/>
          <w:sz w:val="21"/>
          <w:szCs w:val="21"/>
          <w:highlight w:val="none"/>
        </w:rPr>
      </w:pP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pPr>
        <w:spacing w:line="360" w:lineRule="exact"/>
        <w:ind w:left="25" w:leftChars="12" w:firstLine="308" w:firstLineChars="147"/>
        <w:rPr>
          <w:rFonts w:hint="eastAsia" w:ascii="宋体" w:hAnsi="宋体" w:eastAsia="宋体" w:cs="宋体"/>
          <w:color w:val="auto"/>
          <w:kern w:val="0"/>
          <w:sz w:val="21"/>
          <w:szCs w:val="21"/>
          <w:highlight w:val="none"/>
        </w:rPr>
      </w:pPr>
    </w:p>
    <w:p>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pPr>
        <w:snapToGrid w:val="0"/>
        <w:spacing w:line="340" w:lineRule="exact"/>
        <w:rPr>
          <w:rFonts w:hint="eastAsia" w:ascii="宋体" w:hAnsi="宋体" w:eastAsia="宋体" w:cs="宋体"/>
          <w:b/>
          <w:color w:val="auto"/>
          <w:kern w:val="0"/>
          <w:sz w:val="21"/>
          <w:szCs w:val="21"/>
          <w:highlight w:val="none"/>
        </w:rPr>
      </w:pPr>
    </w:p>
    <w:p>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1.供应商提出质疑时，应提交质疑函和必要的证明材料</w:t>
      </w:r>
      <w:r>
        <w:rPr>
          <w:rFonts w:hint="eastAsia" w:ascii="宋体" w:hAnsi="宋体" w:eastAsia="宋体" w:cs="宋体"/>
          <w:b/>
          <w:bCs/>
          <w:color w:val="auto"/>
          <w:kern w:val="0"/>
          <w:sz w:val="21"/>
          <w:szCs w:val="21"/>
          <w:highlight w:val="none"/>
        </w:rPr>
        <w:t>。</w:t>
      </w:r>
    </w:p>
    <w:p>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3.质疑函的质疑事项应具体、明确，并有必要的事实依据和法律依据。</w:t>
      </w:r>
    </w:p>
    <w:p>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4.质疑函的质疑请求应与质疑事项相关。</w:t>
      </w:r>
    </w:p>
    <w:p>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6.质疑供应商为法人或者其他组织的，质疑函应由法定代表人、主要负责人，或者其授权代表签字或者盖章，并加盖公章。</w:t>
      </w:r>
    </w:p>
    <w:p>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附表2：</w:t>
      </w:r>
    </w:p>
    <w:p>
      <w:pPr>
        <w:spacing w:line="460" w:lineRule="exact"/>
        <w:jc w:val="center"/>
        <w:rPr>
          <w:rFonts w:hint="eastAsia" w:ascii="宋体" w:hAnsi="宋体" w:eastAsia="宋体" w:cs="宋体"/>
          <w:color w:val="auto"/>
          <w:kern w:val="0"/>
          <w:sz w:val="21"/>
          <w:szCs w:val="21"/>
          <w:highlight w:val="none"/>
        </w:rPr>
      </w:pPr>
    </w:p>
    <w:p>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投诉书（格式）</w:t>
      </w:r>
    </w:p>
    <w:p>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一、投诉相关主体基本情况：</w:t>
      </w:r>
    </w:p>
    <w:p>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供应商：</w:t>
      </w:r>
    </w:p>
    <w:p>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法定代表人/主要负责人：</w:t>
      </w:r>
    </w:p>
    <w:p>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联系电话：</w:t>
      </w:r>
    </w:p>
    <w:p>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授权代表：联系电话：</w:t>
      </w:r>
    </w:p>
    <w:p>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被投诉人1：</w:t>
      </w:r>
    </w:p>
    <w:p>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联系人：联系电话：</w:t>
      </w:r>
    </w:p>
    <w:p>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被投诉人2：</w:t>
      </w:r>
    </w:p>
    <w:p>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相关供应商：</w:t>
      </w:r>
    </w:p>
    <w:p>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地址：邮编：</w:t>
      </w:r>
    </w:p>
    <w:p>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二、投诉项目基本情况：</w:t>
      </w:r>
    </w:p>
    <w:p>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项目的名称：</w:t>
      </w:r>
    </w:p>
    <w:p>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项目的编号：</w:t>
      </w:r>
    </w:p>
    <w:p>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采购人名称：</w:t>
      </w:r>
    </w:p>
    <w:p>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代理机构名称：</w:t>
      </w:r>
    </w:p>
    <w:p>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采购文件公告：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pPr>
        <w:spacing w:line="400" w:lineRule="exact"/>
        <w:ind w:left="25" w:leftChars="12" w:firstLine="413" w:firstLineChars="197"/>
        <w:rPr>
          <w:rFonts w:hint="eastAsia" w:ascii="宋体" w:hAnsi="宋体" w:eastAsia="宋体" w:cs="宋体"/>
          <w:b/>
          <w:color w:val="auto"/>
          <w:kern w:val="0"/>
          <w:sz w:val="21"/>
          <w:szCs w:val="21"/>
          <w:highlight w:val="none"/>
        </w:rPr>
      </w:pPr>
      <w:r>
        <w:rPr>
          <w:rFonts w:hint="eastAsia" w:ascii="宋体" w:hAnsi="宋体" w:eastAsia="宋体" w:cs="宋体"/>
          <w:bCs/>
          <w:color w:val="auto"/>
          <w:kern w:val="0"/>
          <w:sz w:val="21"/>
          <w:szCs w:val="21"/>
          <w:highlight w:val="none"/>
        </w:rPr>
        <w:t>采购结果公告：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三、质疑基本情况</w:t>
      </w:r>
    </w:p>
    <w:p>
      <w:pPr>
        <w:spacing w:line="400" w:lineRule="exact"/>
        <w:ind w:left="25" w:leftChars="12" w:firstLine="833" w:firstLineChars="3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投诉人于年月日，向提出质疑，质疑事项为：</w:t>
      </w:r>
    </w:p>
    <w:p>
      <w:pPr>
        <w:spacing w:line="400" w:lineRule="exact"/>
        <w:rPr>
          <w:rFonts w:hint="eastAsia" w:ascii="宋体" w:hAnsi="宋体" w:eastAsia="宋体" w:cs="宋体"/>
          <w:bCs/>
          <w:color w:val="auto"/>
          <w:kern w:val="0"/>
          <w:sz w:val="21"/>
          <w:szCs w:val="21"/>
          <w:highlight w:val="none"/>
          <w:u w:val="single"/>
        </w:rPr>
      </w:pPr>
    </w:p>
    <w:p>
      <w:pPr>
        <w:spacing w:line="400" w:lineRule="exact"/>
        <w:rPr>
          <w:rFonts w:hint="eastAsia" w:ascii="宋体" w:hAnsi="宋体" w:eastAsia="宋体" w:cs="宋体"/>
          <w:bCs/>
          <w:color w:val="auto"/>
          <w:kern w:val="0"/>
          <w:sz w:val="21"/>
          <w:szCs w:val="21"/>
          <w:highlight w:val="none"/>
          <w:u w:val="single"/>
        </w:rPr>
      </w:pPr>
    </w:p>
    <w:p>
      <w:pPr>
        <w:spacing w:line="400" w:lineRule="exac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u w:val="single"/>
        </w:rPr>
        <w:t>采购人/代理机构</w:t>
      </w:r>
      <w:r>
        <w:rPr>
          <w:rFonts w:hint="eastAsia" w:ascii="宋体" w:hAnsi="宋体" w:eastAsia="宋体" w:cs="宋体"/>
          <w:bCs/>
          <w:color w:val="auto"/>
          <w:kern w:val="0"/>
          <w:sz w:val="21"/>
          <w:szCs w:val="21"/>
          <w:highlight w:val="none"/>
        </w:rPr>
        <w:t>于</w:t>
      </w:r>
      <w:r>
        <w:rPr>
          <w:rFonts w:hint="eastAsia" w:ascii="宋体" w:hAnsi="宋体" w:eastAsia="宋体" w:cs="宋体"/>
          <w:color w:val="auto"/>
          <w:kern w:val="0"/>
          <w:sz w:val="21"/>
          <w:szCs w:val="21"/>
          <w:highlight w:val="none"/>
        </w:rPr>
        <w:t>年月日，</w:t>
      </w:r>
      <w:r>
        <w:rPr>
          <w:rFonts w:hint="eastAsia" w:ascii="宋体" w:hAnsi="宋体" w:eastAsia="宋体" w:cs="宋体"/>
          <w:bCs/>
          <w:color w:val="auto"/>
          <w:kern w:val="0"/>
          <w:sz w:val="21"/>
          <w:szCs w:val="21"/>
          <w:highlight w:val="none"/>
        </w:rPr>
        <w:t xml:space="preserve">就质疑事项作出了答复/没有在法定期限内作出答复。                                                                                             </w:t>
      </w:r>
    </w:p>
    <w:p>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四、投诉事项具体内容</w:t>
      </w:r>
    </w:p>
    <w:p>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投诉事项1：</w:t>
      </w:r>
    </w:p>
    <w:p>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事实依据：</w:t>
      </w:r>
    </w:p>
    <w:p>
      <w:pPr>
        <w:spacing w:line="400" w:lineRule="exact"/>
        <w:ind w:left="25" w:leftChars="12" w:firstLine="413" w:firstLineChars="197"/>
        <w:rPr>
          <w:rFonts w:hint="eastAsia" w:ascii="宋体" w:hAnsi="宋体" w:eastAsia="宋体" w:cs="宋体"/>
          <w:color w:val="auto"/>
          <w:kern w:val="0"/>
          <w:sz w:val="21"/>
          <w:szCs w:val="21"/>
          <w:highlight w:val="none"/>
        </w:rPr>
      </w:pPr>
    </w:p>
    <w:p>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法律依据：</w:t>
      </w:r>
    </w:p>
    <w:p>
      <w:pPr>
        <w:spacing w:line="400" w:lineRule="exact"/>
        <w:ind w:left="25" w:leftChars="12" w:firstLine="308" w:firstLineChars="147"/>
        <w:rPr>
          <w:rFonts w:hint="eastAsia" w:ascii="宋体" w:hAnsi="宋体" w:eastAsia="宋体" w:cs="宋体"/>
          <w:bCs/>
          <w:color w:val="auto"/>
          <w:kern w:val="0"/>
          <w:sz w:val="21"/>
          <w:szCs w:val="21"/>
          <w:highlight w:val="none"/>
          <w:u w:val="single"/>
        </w:rPr>
      </w:pPr>
    </w:p>
    <w:p>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 xml:space="preserve">投诉事项2  </w:t>
      </w:r>
    </w:p>
    <w:p>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五、与投诉事项相关的投诉请求：</w:t>
      </w:r>
    </w:p>
    <w:p>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pPr>
        <w:spacing w:line="400" w:lineRule="exact"/>
        <w:ind w:left="25" w:leftChars="12" w:firstLine="308" w:firstLineChars="147"/>
        <w:rPr>
          <w:rFonts w:hint="eastAsia" w:ascii="宋体" w:hAnsi="宋体" w:eastAsia="宋体" w:cs="宋体"/>
          <w:color w:val="auto"/>
          <w:kern w:val="0"/>
          <w:sz w:val="21"/>
          <w:szCs w:val="21"/>
          <w:highlight w:val="none"/>
        </w:rPr>
      </w:pPr>
    </w:p>
    <w:p>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pPr>
        <w:spacing w:line="400" w:lineRule="exact"/>
        <w:ind w:left="25" w:leftChars="12" w:firstLine="308" w:firstLineChars="147"/>
        <w:rPr>
          <w:rFonts w:hint="eastAsia" w:ascii="宋体" w:hAnsi="宋体" w:eastAsia="宋体" w:cs="宋体"/>
          <w:color w:val="auto"/>
          <w:kern w:val="0"/>
          <w:sz w:val="21"/>
          <w:szCs w:val="21"/>
          <w:highlight w:val="none"/>
        </w:rPr>
      </w:pPr>
    </w:p>
    <w:p>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pPr>
        <w:spacing w:line="360" w:lineRule="exact"/>
        <w:ind w:left="25" w:leftChars="12" w:firstLine="413" w:firstLineChars="197"/>
        <w:rPr>
          <w:rFonts w:hint="eastAsia" w:ascii="宋体" w:hAnsi="宋体" w:eastAsia="宋体" w:cs="宋体"/>
          <w:color w:val="auto"/>
          <w:kern w:val="0"/>
          <w:sz w:val="21"/>
          <w:szCs w:val="21"/>
          <w:highlight w:val="none"/>
        </w:rPr>
      </w:pPr>
    </w:p>
    <w:p>
      <w:pPr>
        <w:snapToGrid w:val="0"/>
        <w:spacing w:line="340" w:lineRule="exact"/>
        <w:rPr>
          <w:rFonts w:hint="eastAsia" w:ascii="宋体" w:hAnsi="宋体" w:eastAsia="宋体" w:cs="宋体"/>
          <w:b/>
          <w:color w:val="auto"/>
          <w:kern w:val="0"/>
          <w:sz w:val="21"/>
          <w:szCs w:val="21"/>
          <w:highlight w:val="none"/>
        </w:rPr>
      </w:pPr>
    </w:p>
    <w:p>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kern w:val="0"/>
          <w:sz w:val="21"/>
          <w:szCs w:val="21"/>
          <w:highlight w:val="none"/>
        </w:rPr>
        <w:t>。</w:t>
      </w:r>
    </w:p>
    <w:p>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3.投诉书应简要列明质疑事项，质疑函、质疑答复等作为附件材料提供。</w:t>
      </w:r>
    </w:p>
    <w:p>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4.投诉书的投诉事项应具体、明确，并有必要的事实依据和法律依据。</w:t>
      </w:r>
    </w:p>
    <w:p>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5.投诉书的投诉请求应与投诉事项相关。</w:t>
      </w:r>
    </w:p>
    <w:p>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6.</w:t>
      </w:r>
      <w:r>
        <w:rPr>
          <w:rFonts w:hint="eastAsia" w:ascii="宋体" w:hAnsi="宋体" w:eastAsia="宋体" w:cs="宋体"/>
          <w:b/>
          <w:color w:val="auto"/>
          <w:sz w:val="21"/>
          <w:szCs w:val="21"/>
          <w:highlight w:val="none"/>
        </w:rPr>
        <w:t>投诉人为法人或者其他组织的，投诉书应由法定代表人、主要负责人，或者其授权代表签字或者盖章，并加盖公章。</w:t>
      </w:r>
    </w:p>
    <w:p>
      <w:pPr>
        <w:spacing w:line="340" w:lineRule="exact"/>
        <w:ind w:left="25" w:leftChars="12" w:firstLine="310" w:firstLineChars="147"/>
        <w:rPr>
          <w:rFonts w:hint="eastAsia" w:ascii="宋体" w:hAnsi="宋体" w:eastAsia="宋体" w:cs="宋体"/>
          <w:b/>
          <w:color w:val="auto"/>
          <w:kern w:val="0"/>
          <w:sz w:val="21"/>
          <w:szCs w:val="21"/>
          <w:highlight w:val="no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pPr>
        <w:rPr>
          <w:color w:val="auto"/>
          <w:highlight w:val="none"/>
        </w:rPr>
      </w:pPr>
    </w:p>
    <w:p>
      <w:pPr>
        <w:pStyle w:val="8"/>
        <w:rPr>
          <w:color w:val="auto"/>
          <w:highlight w:val="none"/>
        </w:rPr>
      </w:pPr>
    </w:p>
    <w:p>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 3:</w:t>
      </w:r>
    </w:p>
    <w:p>
      <w:pPr>
        <w:pStyle w:val="8"/>
        <w:keepNext w:val="0"/>
        <w:keepLines w:val="0"/>
        <w:pageBreakBefore w:val="0"/>
        <w:widowControl w:val="0"/>
        <w:kinsoku/>
        <w:wordWrap/>
        <w:overflowPunct/>
        <w:topLinePunct w:val="0"/>
        <w:autoSpaceDE/>
        <w:autoSpaceDN/>
        <w:bidi w:val="0"/>
        <w:adjustRightInd/>
        <w:snapToGrid/>
        <w:spacing w:after="0" w:line="400" w:lineRule="atLeast"/>
        <w:ind w:left="0"/>
        <w:jc w:val="center"/>
        <w:textAlignment w:val="auto"/>
        <w:rPr>
          <w:color w:val="auto"/>
          <w:sz w:val="24"/>
          <w:szCs w:val="24"/>
          <w:highlight w:val="none"/>
        </w:rPr>
      </w:pPr>
      <w:r>
        <w:rPr>
          <w:color w:val="auto"/>
          <w:spacing w:val="9"/>
          <w:sz w:val="24"/>
          <w:szCs w:val="24"/>
          <w:highlight w:val="none"/>
          <w14:textOutline w14:w="5793" w14:cap="sq" w14:cmpd="sng">
            <w14:solidFill>
              <w14:srgbClr w14:val="000000"/>
            </w14:solidFill>
            <w14:prstDash w14:val="solid"/>
            <w14:bevel/>
          </w14:textOutline>
        </w:rPr>
        <w:t>政府采购项目合同验收报告（格式）</w:t>
      </w:r>
    </w:p>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65" w:line="229" w:lineRule="auto"/>
        <w:jc w:val="right"/>
        <w:rPr>
          <w:rFonts w:ascii="仿宋" w:hAnsi="仿宋" w:eastAsia="仿宋" w:cs="仿宋"/>
          <w:color w:val="auto"/>
          <w:sz w:val="20"/>
          <w:szCs w:val="20"/>
          <w:highlight w:val="none"/>
        </w:rPr>
      </w:pPr>
      <w:r>
        <w:rPr>
          <w:rFonts w:ascii="仿宋" w:hAnsi="仿宋" w:eastAsia="仿宋" w:cs="仿宋"/>
          <w:color w:val="auto"/>
          <w:spacing w:val="7"/>
          <w:sz w:val="20"/>
          <w:szCs w:val="20"/>
          <w:highlight w:val="none"/>
        </w:rPr>
        <w:t>根据政府采购项目（</w:t>
      </w:r>
      <w:r>
        <w:rPr>
          <w:rFonts w:ascii="仿宋" w:hAnsi="仿宋" w:eastAsia="仿宋" w:cs="仿宋"/>
          <w:color w:val="auto"/>
          <w:spacing w:val="7"/>
          <w:sz w:val="20"/>
          <w:szCs w:val="20"/>
          <w:highlight w:val="none"/>
          <w:u w:val="single" w:color="auto"/>
        </w:rPr>
        <w:t>采购合同编号</w:t>
      </w:r>
      <w:r>
        <w:rPr>
          <w:rFonts w:ascii="仿宋" w:hAnsi="仿宋" w:eastAsia="仿宋" w:cs="仿宋"/>
          <w:color w:val="auto"/>
          <w:spacing w:val="2"/>
          <w:sz w:val="20"/>
          <w:szCs w:val="20"/>
          <w:highlight w:val="none"/>
          <w:u w:val="single" w:color="auto"/>
        </w:rPr>
        <w:t>：</w:t>
      </w:r>
      <w:r>
        <w:rPr>
          <w:rFonts w:ascii="仿宋" w:hAnsi="仿宋" w:eastAsia="仿宋" w:cs="仿宋"/>
          <w:color w:val="auto"/>
          <w:spacing w:val="17"/>
          <w:sz w:val="20"/>
          <w:szCs w:val="20"/>
          <w:highlight w:val="none"/>
          <w:u w:val="single" w:color="auto"/>
        </w:rPr>
        <w:t xml:space="preserve"> </w:t>
      </w:r>
      <w:r>
        <w:rPr>
          <w:rFonts w:ascii="仿宋" w:hAnsi="仿宋" w:eastAsia="仿宋" w:cs="仿宋"/>
          <w:color w:val="auto"/>
          <w:spacing w:val="-70"/>
          <w:sz w:val="20"/>
          <w:szCs w:val="20"/>
          <w:highlight w:val="none"/>
        </w:rPr>
        <w:t xml:space="preserve"> </w:t>
      </w:r>
      <w:r>
        <w:rPr>
          <w:rFonts w:ascii="仿宋" w:hAnsi="仿宋" w:eastAsia="仿宋" w:cs="仿宋"/>
          <w:color w:val="auto"/>
          <w:spacing w:val="2"/>
          <w:sz w:val="20"/>
          <w:szCs w:val="20"/>
          <w:highlight w:val="none"/>
        </w:rPr>
        <w:t>）</w:t>
      </w:r>
      <w:r>
        <w:rPr>
          <w:rFonts w:ascii="仿宋" w:hAnsi="仿宋" w:eastAsia="仿宋" w:cs="仿宋"/>
          <w:color w:val="auto"/>
          <w:spacing w:val="7"/>
          <w:sz w:val="20"/>
          <w:szCs w:val="20"/>
          <w:highlight w:val="none"/>
        </w:rPr>
        <w:t>的约定，我单位对（</w:t>
      </w:r>
      <w:r>
        <w:rPr>
          <w:rFonts w:ascii="仿宋" w:hAnsi="仿宋" w:eastAsia="仿宋" w:cs="仿宋"/>
          <w:color w:val="auto"/>
          <w:spacing w:val="53"/>
          <w:sz w:val="20"/>
          <w:szCs w:val="20"/>
          <w:highlight w:val="none"/>
          <w:u w:val="single" w:color="auto"/>
        </w:rPr>
        <w:t xml:space="preserve"> </w:t>
      </w:r>
      <w:r>
        <w:rPr>
          <w:rFonts w:ascii="仿宋" w:hAnsi="仿宋" w:eastAsia="仿宋" w:cs="仿宋"/>
          <w:color w:val="auto"/>
          <w:spacing w:val="7"/>
          <w:sz w:val="20"/>
          <w:szCs w:val="20"/>
          <w:highlight w:val="none"/>
          <w:u w:val="single" w:color="auto"/>
        </w:rPr>
        <w:t>项目名称</w:t>
      </w:r>
      <w:r>
        <w:rPr>
          <w:rFonts w:ascii="仿宋" w:hAnsi="仿宋" w:eastAsia="仿宋" w:cs="仿宋"/>
          <w:color w:val="auto"/>
          <w:spacing w:val="38"/>
          <w:sz w:val="20"/>
          <w:szCs w:val="20"/>
          <w:highlight w:val="none"/>
          <w:u w:val="single" w:color="auto"/>
        </w:rPr>
        <w:t xml:space="preserve"> </w:t>
      </w:r>
      <w:r>
        <w:rPr>
          <w:rFonts w:ascii="仿宋" w:hAnsi="仿宋" w:eastAsia="仿宋" w:cs="仿宋"/>
          <w:color w:val="auto"/>
          <w:spacing w:val="7"/>
          <w:sz w:val="20"/>
          <w:szCs w:val="20"/>
          <w:highlight w:val="none"/>
        </w:rPr>
        <w:t>）政府采购项目中</w:t>
      </w:r>
      <w:r>
        <w:rPr>
          <w:rFonts w:ascii="仿宋" w:hAnsi="仿宋" w:eastAsia="仿宋" w:cs="仿宋"/>
          <w:color w:val="auto"/>
          <w:spacing w:val="6"/>
          <w:sz w:val="20"/>
          <w:szCs w:val="20"/>
          <w:highlight w:val="none"/>
        </w:rPr>
        <w:t>标（或成</w:t>
      </w:r>
    </w:p>
    <w:p>
      <w:pPr>
        <w:spacing w:before="73" w:line="221" w:lineRule="auto"/>
        <w:rPr>
          <w:rFonts w:ascii="仿宋" w:hAnsi="仿宋" w:eastAsia="仿宋" w:cs="仿宋"/>
          <w:color w:val="auto"/>
          <w:sz w:val="20"/>
          <w:szCs w:val="20"/>
          <w:highlight w:val="none"/>
        </w:rPr>
      </w:pPr>
      <w:r>
        <w:rPr>
          <w:rFonts w:ascii="仿宋" w:hAnsi="仿宋" w:eastAsia="仿宋" w:cs="仿宋"/>
          <w:color w:val="auto"/>
          <w:spacing w:val="6"/>
          <w:sz w:val="20"/>
          <w:szCs w:val="20"/>
          <w:highlight w:val="none"/>
        </w:rPr>
        <w:t>交）供应商</w:t>
      </w:r>
      <w:r>
        <w:rPr>
          <w:rFonts w:ascii="仿宋" w:hAnsi="仿宋" w:eastAsia="仿宋" w:cs="仿宋"/>
          <w:color w:val="auto"/>
          <w:spacing w:val="6"/>
          <w:sz w:val="20"/>
          <w:szCs w:val="20"/>
          <w:highlight w:val="none"/>
          <w:u w:val="single" w:color="auto"/>
        </w:rPr>
        <w:t>（</w:t>
      </w:r>
      <w:r>
        <w:rPr>
          <w:rFonts w:ascii="仿宋" w:hAnsi="仿宋" w:eastAsia="仿宋" w:cs="仿宋"/>
          <w:color w:val="auto"/>
          <w:spacing w:val="72"/>
          <w:sz w:val="20"/>
          <w:szCs w:val="20"/>
          <w:highlight w:val="none"/>
          <w:u w:val="single" w:color="auto"/>
        </w:rPr>
        <w:t xml:space="preserve"> </w:t>
      </w:r>
      <w:r>
        <w:rPr>
          <w:rFonts w:ascii="仿宋" w:hAnsi="仿宋" w:eastAsia="仿宋" w:cs="仿宋"/>
          <w:color w:val="auto"/>
          <w:spacing w:val="6"/>
          <w:sz w:val="20"/>
          <w:szCs w:val="20"/>
          <w:highlight w:val="none"/>
          <w:u w:val="single" w:color="auto"/>
        </w:rPr>
        <w:t>公司名称</w:t>
      </w:r>
      <w:r>
        <w:rPr>
          <w:rFonts w:ascii="仿宋" w:hAnsi="仿宋" w:eastAsia="仿宋" w:cs="仿宋"/>
          <w:color w:val="auto"/>
          <w:spacing w:val="38"/>
          <w:sz w:val="20"/>
          <w:szCs w:val="20"/>
          <w:highlight w:val="none"/>
          <w:u w:val="single" w:color="auto"/>
        </w:rPr>
        <w:t xml:space="preserve"> </w:t>
      </w:r>
      <w:r>
        <w:rPr>
          <w:rFonts w:ascii="仿宋" w:hAnsi="仿宋" w:eastAsia="仿宋" w:cs="仿宋"/>
          <w:color w:val="auto"/>
          <w:spacing w:val="6"/>
          <w:sz w:val="20"/>
          <w:szCs w:val="20"/>
          <w:highlight w:val="none"/>
          <w:u w:val="single" w:color="auto"/>
        </w:rPr>
        <w:t xml:space="preserve">） </w:t>
      </w:r>
      <w:r>
        <w:rPr>
          <w:rFonts w:ascii="仿宋" w:hAnsi="仿宋" w:eastAsia="仿宋" w:cs="仿宋"/>
          <w:color w:val="auto"/>
          <w:spacing w:val="-84"/>
          <w:sz w:val="20"/>
          <w:szCs w:val="20"/>
          <w:highlight w:val="none"/>
        </w:rPr>
        <w:t xml:space="preserve"> </w:t>
      </w:r>
      <w:r>
        <w:rPr>
          <w:rFonts w:ascii="仿宋" w:hAnsi="仿宋" w:eastAsia="仿宋" w:cs="仿宋"/>
          <w:color w:val="auto"/>
          <w:spacing w:val="6"/>
          <w:sz w:val="20"/>
          <w:szCs w:val="20"/>
          <w:highlight w:val="none"/>
        </w:rPr>
        <w:t>提供的货物（或工程、服务）进行了验收，验收情况如下：</w:t>
      </w:r>
    </w:p>
    <w:tbl>
      <w:tblPr>
        <w:tblStyle w:val="47"/>
        <w:tblW w:w="8449" w:type="dxa"/>
        <w:tblInd w:w="57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38"/>
        <w:gridCol w:w="1917"/>
        <w:gridCol w:w="695"/>
        <w:gridCol w:w="102"/>
        <w:gridCol w:w="2100"/>
        <w:gridCol w:w="178"/>
        <w:gridCol w:w="684"/>
        <w:gridCol w:w="14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3255" w:type="dxa"/>
            <w:gridSpan w:val="2"/>
            <w:vAlign w:val="top"/>
          </w:tcPr>
          <w:p>
            <w:pPr>
              <w:pStyle w:val="46"/>
              <w:spacing w:before="172" w:line="228" w:lineRule="auto"/>
              <w:ind w:left="1103"/>
              <w:rPr>
                <w:color w:val="auto"/>
                <w:highlight w:val="none"/>
              </w:rPr>
            </w:pPr>
            <w:r>
              <w:rPr>
                <w:color w:val="auto"/>
                <w:spacing w:val="6"/>
                <w:highlight w:val="none"/>
              </w:rPr>
              <w:t>验收方式：</w:t>
            </w:r>
          </w:p>
        </w:tc>
        <w:tc>
          <w:tcPr>
            <w:tcW w:w="5194" w:type="dxa"/>
            <w:gridSpan w:val="6"/>
            <w:vAlign w:val="top"/>
          </w:tcPr>
          <w:p>
            <w:pPr>
              <w:pStyle w:val="46"/>
              <w:spacing w:before="172" w:line="196" w:lineRule="auto"/>
              <w:ind w:left="1823"/>
              <w:rPr>
                <w:color w:val="auto"/>
                <w:highlight w:val="none"/>
              </w:rPr>
            </w:pPr>
            <w:r>
              <w:rPr>
                <w:rFonts w:ascii="微软雅黑" w:hAnsi="微软雅黑" w:eastAsia="微软雅黑" w:cs="微软雅黑"/>
                <w:color w:val="auto"/>
                <w:spacing w:val="-15"/>
                <w:highlight w:val="none"/>
              </w:rPr>
              <w:t>口</w:t>
            </w:r>
            <w:r>
              <w:rPr>
                <w:rFonts w:ascii="微软雅黑" w:hAnsi="微软雅黑" w:eastAsia="微软雅黑" w:cs="微软雅黑"/>
                <w:color w:val="auto"/>
                <w:spacing w:val="-13"/>
                <w:highlight w:val="none"/>
              </w:rPr>
              <w:t xml:space="preserve"> </w:t>
            </w:r>
            <w:r>
              <w:rPr>
                <w:color w:val="auto"/>
                <w:spacing w:val="-15"/>
                <w:highlight w:val="none"/>
              </w:rPr>
              <w:t>自行验收</w:t>
            </w:r>
            <w:r>
              <w:rPr>
                <w:color w:val="auto"/>
                <w:spacing w:val="23"/>
                <w:highlight w:val="none"/>
              </w:rPr>
              <w:t xml:space="preserve"> </w:t>
            </w:r>
            <w:r>
              <w:rPr>
                <w:rFonts w:ascii="微软雅黑" w:hAnsi="微软雅黑" w:eastAsia="微软雅黑" w:cs="微软雅黑"/>
                <w:color w:val="auto"/>
                <w:spacing w:val="-15"/>
                <w:highlight w:val="none"/>
              </w:rPr>
              <w:t>口</w:t>
            </w:r>
            <w:r>
              <w:rPr>
                <w:color w:val="auto"/>
                <w:spacing w:val="-15"/>
                <w:highlight w:val="none"/>
              </w:rPr>
              <w:t>委托验收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1338" w:type="dxa"/>
            <w:vAlign w:val="top"/>
          </w:tcPr>
          <w:p>
            <w:pPr>
              <w:pStyle w:val="46"/>
              <w:spacing w:before="234" w:line="229" w:lineRule="auto"/>
              <w:ind w:left="458"/>
              <w:rPr>
                <w:color w:val="auto"/>
                <w:highlight w:val="none"/>
              </w:rPr>
            </w:pPr>
            <w:r>
              <w:rPr>
                <w:color w:val="auto"/>
                <w:spacing w:val="5"/>
                <w:highlight w:val="none"/>
              </w:rPr>
              <w:t>序号</w:t>
            </w:r>
          </w:p>
        </w:tc>
        <w:tc>
          <w:tcPr>
            <w:tcW w:w="1917" w:type="dxa"/>
            <w:vAlign w:val="top"/>
          </w:tcPr>
          <w:p>
            <w:pPr>
              <w:pStyle w:val="46"/>
              <w:spacing w:before="234" w:line="230" w:lineRule="auto"/>
              <w:ind w:left="698"/>
              <w:rPr>
                <w:color w:val="auto"/>
                <w:highlight w:val="none"/>
              </w:rPr>
            </w:pPr>
            <w:r>
              <w:rPr>
                <w:color w:val="auto"/>
                <w:highlight w:val="none"/>
              </w:rPr>
              <w:t>名</w:t>
            </w:r>
            <w:r>
              <w:rPr>
                <w:color w:val="auto"/>
                <w:spacing w:val="12"/>
                <w:highlight w:val="none"/>
              </w:rPr>
              <w:t xml:space="preserve"> </w:t>
            </w:r>
            <w:r>
              <w:rPr>
                <w:color w:val="auto"/>
                <w:highlight w:val="none"/>
              </w:rPr>
              <w:t>称</w:t>
            </w:r>
          </w:p>
        </w:tc>
        <w:tc>
          <w:tcPr>
            <w:tcW w:w="2897" w:type="dxa"/>
            <w:gridSpan w:val="3"/>
            <w:vAlign w:val="top"/>
          </w:tcPr>
          <w:p>
            <w:pPr>
              <w:pStyle w:val="46"/>
              <w:spacing w:before="75" w:line="227" w:lineRule="auto"/>
              <w:ind w:left="91"/>
              <w:rPr>
                <w:color w:val="auto"/>
                <w:highlight w:val="none"/>
              </w:rPr>
            </w:pPr>
            <w:r>
              <w:rPr>
                <w:color w:val="auto"/>
                <w:spacing w:val="8"/>
                <w:highlight w:val="none"/>
              </w:rPr>
              <w:t>货物型号规格、标准及配置等</w:t>
            </w:r>
          </w:p>
          <w:p>
            <w:pPr>
              <w:pStyle w:val="46"/>
              <w:spacing w:before="73" w:line="220" w:lineRule="auto"/>
              <w:ind w:left="411"/>
              <w:rPr>
                <w:color w:val="auto"/>
                <w:highlight w:val="none"/>
              </w:rPr>
            </w:pPr>
            <w:r>
              <w:rPr>
                <w:color w:val="auto"/>
                <w:spacing w:val="7"/>
                <w:highlight w:val="none"/>
              </w:rPr>
              <w:t>（或服务内容、标准）</w:t>
            </w:r>
          </w:p>
        </w:tc>
        <w:tc>
          <w:tcPr>
            <w:tcW w:w="862" w:type="dxa"/>
            <w:gridSpan w:val="2"/>
            <w:vAlign w:val="top"/>
          </w:tcPr>
          <w:p>
            <w:pPr>
              <w:pStyle w:val="46"/>
              <w:spacing w:before="234" w:line="228" w:lineRule="auto"/>
              <w:ind w:left="227"/>
              <w:rPr>
                <w:color w:val="auto"/>
                <w:highlight w:val="none"/>
              </w:rPr>
            </w:pPr>
            <w:r>
              <w:rPr>
                <w:color w:val="auto"/>
                <w:spacing w:val="3"/>
                <w:highlight w:val="none"/>
              </w:rPr>
              <w:t>数量</w:t>
            </w:r>
          </w:p>
        </w:tc>
        <w:tc>
          <w:tcPr>
            <w:tcW w:w="1435" w:type="dxa"/>
            <w:vAlign w:val="top"/>
          </w:tcPr>
          <w:p>
            <w:pPr>
              <w:pStyle w:val="46"/>
              <w:spacing w:before="234" w:line="228" w:lineRule="auto"/>
              <w:ind w:left="459"/>
              <w:rPr>
                <w:color w:val="auto"/>
                <w:highlight w:val="none"/>
              </w:rPr>
            </w:pPr>
            <w:r>
              <w:rPr>
                <w:color w:val="auto"/>
                <w:highlight w:val="none"/>
              </w:rPr>
              <w:t>金</w:t>
            </w:r>
            <w:r>
              <w:rPr>
                <w:color w:val="auto"/>
                <w:spacing w:val="13"/>
                <w:highlight w:val="none"/>
              </w:rPr>
              <w:t xml:space="preserve"> </w:t>
            </w:r>
            <w:r>
              <w:rPr>
                <w:color w:val="auto"/>
                <w:highlight w:val="none"/>
              </w:rPr>
              <w:t>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pPr>
              <w:rPr>
                <w:rFonts w:ascii="Arial"/>
                <w:color w:val="auto"/>
                <w:sz w:val="21"/>
                <w:highlight w:val="none"/>
              </w:rPr>
            </w:pPr>
          </w:p>
        </w:tc>
        <w:tc>
          <w:tcPr>
            <w:tcW w:w="1917" w:type="dxa"/>
            <w:vAlign w:val="top"/>
          </w:tcPr>
          <w:p>
            <w:pPr>
              <w:rPr>
                <w:rFonts w:ascii="Arial"/>
                <w:color w:val="auto"/>
                <w:sz w:val="21"/>
                <w:highlight w:val="none"/>
              </w:rPr>
            </w:pPr>
          </w:p>
        </w:tc>
        <w:tc>
          <w:tcPr>
            <w:tcW w:w="2897" w:type="dxa"/>
            <w:gridSpan w:val="3"/>
            <w:vAlign w:val="top"/>
          </w:tcPr>
          <w:p>
            <w:pPr>
              <w:rPr>
                <w:rFonts w:ascii="Arial"/>
                <w:color w:val="auto"/>
                <w:sz w:val="21"/>
                <w:highlight w:val="none"/>
              </w:rPr>
            </w:pPr>
          </w:p>
        </w:tc>
        <w:tc>
          <w:tcPr>
            <w:tcW w:w="862" w:type="dxa"/>
            <w:gridSpan w:val="2"/>
            <w:vAlign w:val="top"/>
          </w:tcPr>
          <w:p>
            <w:pPr>
              <w:rPr>
                <w:rFonts w:ascii="Arial"/>
                <w:color w:val="auto"/>
                <w:sz w:val="21"/>
                <w:highlight w:val="none"/>
              </w:rPr>
            </w:pPr>
          </w:p>
        </w:tc>
        <w:tc>
          <w:tcPr>
            <w:tcW w:w="1435" w:type="dxa"/>
            <w:vAlign w:val="top"/>
          </w:tcPr>
          <w:p>
            <w:pPr>
              <w:rPr>
                <w:rFonts w:ascii="Arial"/>
                <w:color w:val="auto"/>
                <w:sz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pPr>
              <w:rPr>
                <w:rFonts w:ascii="Arial"/>
                <w:color w:val="auto"/>
                <w:sz w:val="21"/>
                <w:highlight w:val="none"/>
              </w:rPr>
            </w:pPr>
          </w:p>
        </w:tc>
        <w:tc>
          <w:tcPr>
            <w:tcW w:w="1917" w:type="dxa"/>
            <w:vAlign w:val="top"/>
          </w:tcPr>
          <w:p>
            <w:pPr>
              <w:rPr>
                <w:rFonts w:ascii="Arial"/>
                <w:color w:val="auto"/>
                <w:sz w:val="21"/>
                <w:highlight w:val="none"/>
              </w:rPr>
            </w:pPr>
          </w:p>
        </w:tc>
        <w:tc>
          <w:tcPr>
            <w:tcW w:w="2897" w:type="dxa"/>
            <w:gridSpan w:val="3"/>
            <w:vAlign w:val="top"/>
          </w:tcPr>
          <w:p>
            <w:pPr>
              <w:rPr>
                <w:rFonts w:ascii="Arial"/>
                <w:color w:val="auto"/>
                <w:sz w:val="21"/>
                <w:highlight w:val="none"/>
              </w:rPr>
            </w:pPr>
          </w:p>
        </w:tc>
        <w:tc>
          <w:tcPr>
            <w:tcW w:w="862" w:type="dxa"/>
            <w:gridSpan w:val="2"/>
            <w:vAlign w:val="top"/>
          </w:tcPr>
          <w:p>
            <w:pPr>
              <w:rPr>
                <w:rFonts w:ascii="Arial"/>
                <w:color w:val="auto"/>
                <w:sz w:val="21"/>
                <w:highlight w:val="none"/>
              </w:rPr>
            </w:pPr>
          </w:p>
        </w:tc>
        <w:tc>
          <w:tcPr>
            <w:tcW w:w="1435" w:type="dxa"/>
            <w:vAlign w:val="top"/>
          </w:tcPr>
          <w:p>
            <w:pPr>
              <w:rPr>
                <w:rFonts w:ascii="Arial"/>
                <w:color w:val="auto"/>
                <w:sz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1338" w:type="dxa"/>
            <w:vAlign w:val="top"/>
          </w:tcPr>
          <w:p>
            <w:pPr>
              <w:rPr>
                <w:rFonts w:ascii="Arial"/>
                <w:color w:val="auto"/>
                <w:sz w:val="21"/>
                <w:highlight w:val="none"/>
              </w:rPr>
            </w:pPr>
          </w:p>
        </w:tc>
        <w:tc>
          <w:tcPr>
            <w:tcW w:w="1917" w:type="dxa"/>
            <w:vAlign w:val="top"/>
          </w:tcPr>
          <w:p>
            <w:pPr>
              <w:rPr>
                <w:rFonts w:ascii="Arial"/>
                <w:color w:val="auto"/>
                <w:sz w:val="21"/>
                <w:highlight w:val="none"/>
              </w:rPr>
            </w:pPr>
          </w:p>
        </w:tc>
        <w:tc>
          <w:tcPr>
            <w:tcW w:w="2897" w:type="dxa"/>
            <w:gridSpan w:val="3"/>
            <w:vAlign w:val="top"/>
          </w:tcPr>
          <w:p>
            <w:pPr>
              <w:rPr>
                <w:rFonts w:ascii="Arial"/>
                <w:color w:val="auto"/>
                <w:sz w:val="21"/>
                <w:highlight w:val="none"/>
              </w:rPr>
            </w:pPr>
          </w:p>
        </w:tc>
        <w:tc>
          <w:tcPr>
            <w:tcW w:w="862" w:type="dxa"/>
            <w:gridSpan w:val="2"/>
            <w:vAlign w:val="top"/>
          </w:tcPr>
          <w:p>
            <w:pPr>
              <w:rPr>
                <w:rFonts w:ascii="Arial"/>
                <w:color w:val="auto"/>
                <w:sz w:val="21"/>
                <w:highlight w:val="none"/>
              </w:rPr>
            </w:pPr>
          </w:p>
        </w:tc>
        <w:tc>
          <w:tcPr>
            <w:tcW w:w="1435" w:type="dxa"/>
            <w:vAlign w:val="top"/>
          </w:tcPr>
          <w:p>
            <w:pPr>
              <w:rPr>
                <w:rFonts w:ascii="Arial"/>
                <w:color w:val="auto"/>
                <w:sz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6152" w:type="dxa"/>
            <w:gridSpan w:val="5"/>
            <w:vAlign w:val="top"/>
          </w:tcPr>
          <w:p>
            <w:pPr>
              <w:pStyle w:val="46"/>
              <w:spacing w:before="161" w:line="229" w:lineRule="auto"/>
              <w:ind w:left="2821"/>
              <w:rPr>
                <w:color w:val="auto"/>
                <w:highlight w:val="none"/>
              </w:rPr>
            </w:pPr>
            <w:r>
              <w:rPr>
                <w:color w:val="auto"/>
                <w:highlight w:val="none"/>
              </w:rPr>
              <w:t>合</w:t>
            </w:r>
            <w:r>
              <w:rPr>
                <w:color w:val="auto"/>
                <w:spacing w:val="13"/>
                <w:highlight w:val="none"/>
              </w:rPr>
              <w:t xml:space="preserve"> </w:t>
            </w:r>
            <w:r>
              <w:rPr>
                <w:color w:val="auto"/>
                <w:highlight w:val="none"/>
              </w:rPr>
              <w:t>计</w:t>
            </w:r>
          </w:p>
        </w:tc>
        <w:tc>
          <w:tcPr>
            <w:tcW w:w="862" w:type="dxa"/>
            <w:gridSpan w:val="2"/>
            <w:vAlign w:val="top"/>
          </w:tcPr>
          <w:p>
            <w:pPr>
              <w:rPr>
                <w:rFonts w:ascii="Arial"/>
                <w:color w:val="auto"/>
                <w:sz w:val="21"/>
                <w:highlight w:val="none"/>
              </w:rPr>
            </w:pPr>
          </w:p>
        </w:tc>
        <w:tc>
          <w:tcPr>
            <w:tcW w:w="1435" w:type="dxa"/>
            <w:vAlign w:val="top"/>
          </w:tcPr>
          <w:p>
            <w:pPr>
              <w:rPr>
                <w:rFonts w:ascii="Arial"/>
                <w:color w:val="auto"/>
                <w:sz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8449" w:type="dxa"/>
            <w:gridSpan w:val="8"/>
            <w:vAlign w:val="top"/>
          </w:tcPr>
          <w:p>
            <w:pPr>
              <w:pStyle w:val="46"/>
              <w:spacing w:before="238" w:line="228" w:lineRule="auto"/>
              <w:ind w:left="15"/>
              <w:rPr>
                <w:color w:val="auto"/>
                <w:highlight w:val="none"/>
              </w:rPr>
            </w:pPr>
            <w:r>
              <w:rPr>
                <w:color w:val="auto"/>
                <w:spacing w:val="6"/>
                <w:highlight w:val="none"/>
              </w:rPr>
              <w:t>合计大写金额：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1338" w:type="dxa"/>
            <w:vAlign w:val="top"/>
          </w:tcPr>
          <w:p>
            <w:pPr>
              <w:pStyle w:val="46"/>
              <w:spacing w:before="240" w:line="227" w:lineRule="auto"/>
              <w:ind w:left="44"/>
              <w:rPr>
                <w:color w:val="auto"/>
                <w:highlight w:val="none"/>
              </w:rPr>
            </w:pPr>
            <w:r>
              <w:rPr>
                <w:color w:val="auto"/>
                <w:spacing w:val="7"/>
                <w:highlight w:val="none"/>
              </w:rPr>
              <w:t>实际供货日期</w:t>
            </w:r>
          </w:p>
        </w:tc>
        <w:tc>
          <w:tcPr>
            <w:tcW w:w="2714" w:type="dxa"/>
            <w:gridSpan w:val="3"/>
            <w:vAlign w:val="top"/>
          </w:tcPr>
          <w:p>
            <w:pPr>
              <w:rPr>
                <w:rFonts w:ascii="Arial"/>
                <w:color w:val="auto"/>
                <w:sz w:val="21"/>
                <w:highlight w:val="none"/>
              </w:rPr>
            </w:pPr>
          </w:p>
        </w:tc>
        <w:tc>
          <w:tcPr>
            <w:tcW w:w="2278" w:type="dxa"/>
            <w:gridSpan w:val="2"/>
            <w:vAlign w:val="top"/>
          </w:tcPr>
          <w:p>
            <w:pPr>
              <w:pStyle w:val="46"/>
              <w:spacing w:before="240" w:line="227" w:lineRule="auto"/>
              <w:ind w:left="324"/>
              <w:rPr>
                <w:color w:val="auto"/>
                <w:highlight w:val="none"/>
              </w:rPr>
            </w:pPr>
            <w:r>
              <w:rPr>
                <w:color w:val="auto"/>
                <w:spacing w:val="8"/>
                <w:highlight w:val="none"/>
              </w:rPr>
              <w:t>合同交货验收日期</w:t>
            </w:r>
          </w:p>
        </w:tc>
        <w:tc>
          <w:tcPr>
            <w:tcW w:w="2119" w:type="dxa"/>
            <w:gridSpan w:val="2"/>
            <w:vAlign w:val="top"/>
          </w:tcPr>
          <w:p>
            <w:pPr>
              <w:rPr>
                <w:rFonts w:ascii="Arial"/>
                <w:color w:val="auto"/>
                <w:sz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38" w:type="dxa"/>
            <w:vAlign w:val="top"/>
          </w:tcPr>
          <w:p>
            <w:pPr>
              <w:rPr>
                <w:rFonts w:ascii="Arial"/>
                <w:color w:val="auto"/>
                <w:sz w:val="21"/>
                <w:highlight w:val="none"/>
              </w:rPr>
            </w:pPr>
          </w:p>
        </w:tc>
        <w:tc>
          <w:tcPr>
            <w:tcW w:w="2714" w:type="dxa"/>
            <w:gridSpan w:val="3"/>
            <w:vAlign w:val="top"/>
          </w:tcPr>
          <w:p>
            <w:pPr>
              <w:rPr>
                <w:rFonts w:ascii="Arial"/>
                <w:color w:val="auto"/>
                <w:sz w:val="21"/>
                <w:highlight w:val="none"/>
              </w:rPr>
            </w:pPr>
          </w:p>
        </w:tc>
        <w:tc>
          <w:tcPr>
            <w:tcW w:w="2278" w:type="dxa"/>
            <w:gridSpan w:val="2"/>
            <w:vAlign w:val="top"/>
          </w:tcPr>
          <w:p>
            <w:pPr>
              <w:rPr>
                <w:rFonts w:ascii="Arial"/>
                <w:color w:val="auto"/>
                <w:sz w:val="21"/>
                <w:highlight w:val="none"/>
              </w:rPr>
            </w:pPr>
          </w:p>
        </w:tc>
        <w:tc>
          <w:tcPr>
            <w:tcW w:w="2119" w:type="dxa"/>
            <w:gridSpan w:val="2"/>
            <w:vAlign w:val="top"/>
          </w:tcPr>
          <w:p>
            <w:pPr>
              <w:rPr>
                <w:rFonts w:ascii="Arial"/>
                <w:color w:val="auto"/>
                <w:sz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338" w:type="dxa"/>
            <w:vAlign w:val="top"/>
          </w:tcPr>
          <w:p>
            <w:pPr>
              <w:spacing w:line="332" w:lineRule="auto"/>
              <w:rPr>
                <w:rFonts w:ascii="Arial"/>
                <w:color w:val="auto"/>
                <w:sz w:val="21"/>
                <w:highlight w:val="none"/>
              </w:rPr>
            </w:pPr>
          </w:p>
          <w:p>
            <w:pPr>
              <w:pStyle w:val="46"/>
              <w:spacing w:before="65" w:line="263" w:lineRule="auto"/>
              <w:ind w:left="113" w:right="171" w:hanging="3"/>
              <w:rPr>
                <w:color w:val="auto"/>
                <w:highlight w:val="none"/>
              </w:rPr>
            </w:pPr>
            <w:r>
              <w:rPr>
                <w:color w:val="auto"/>
                <w:spacing w:val="8"/>
                <w:highlight w:val="none"/>
              </w:rPr>
              <w:t>验收具体内</w:t>
            </w:r>
            <w:r>
              <w:rPr>
                <w:color w:val="auto"/>
                <w:highlight w:val="none"/>
              </w:rPr>
              <w:t xml:space="preserve"> 容</w:t>
            </w:r>
          </w:p>
        </w:tc>
        <w:tc>
          <w:tcPr>
            <w:tcW w:w="7111" w:type="dxa"/>
            <w:gridSpan w:val="7"/>
            <w:vAlign w:val="top"/>
          </w:tcPr>
          <w:p>
            <w:pPr>
              <w:pStyle w:val="46"/>
              <w:spacing w:before="79" w:line="255" w:lineRule="auto"/>
              <w:ind w:left="103" w:right="103" w:firstLine="9"/>
              <w:rPr>
                <w:rFonts w:ascii="微软雅黑" w:hAnsi="微软雅黑" w:eastAsia="微软雅黑" w:cs="微软雅黑"/>
                <w:color w:val="auto"/>
                <w:highlight w:val="none"/>
              </w:rPr>
            </w:pPr>
            <w:r>
              <w:rPr>
                <w:color w:val="auto"/>
                <w:spacing w:val="8"/>
                <w:highlight w:val="none"/>
              </w:rPr>
              <w:t>（应按采购合同、采购文件、投标响应文件及验收方案等进行验收；并核对</w:t>
            </w:r>
            <w:r>
              <w:rPr>
                <w:color w:val="auto"/>
                <w:spacing w:val="14"/>
                <w:highlight w:val="none"/>
              </w:rPr>
              <w:t xml:space="preserve"> </w:t>
            </w:r>
            <w:r>
              <w:rPr>
                <w:color w:val="auto"/>
                <w:spacing w:val="9"/>
                <w:highlight w:val="none"/>
              </w:rPr>
              <w:t>中标或者成交供应商在安装调试等方面是否违反合同</w:t>
            </w:r>
            <w:r>
              <w:rPr>
                <w:color w:val="auto"/>
                <w:spacing w:val="8"/>
                <w:highlight w:val="none"/>
              </w:rPr>
              <w:t>约定或服务规范要求、</w:t>
            </w:r>
            <w:r>
              <w:rPr>
                <w:color w:val="auto"/>
                <w:highlight w:val="none"/>
              </w:rPr>
              <w:t xml:space="preserve"> </w:t>
            </w:r>
            <w:r>
              <w:rPr>
                <w:color w:val="auto"/>
                <w:spacing w:val="9"/>
                <w:highlight w:val="none"/>
              </w:rPr>
              <w:t xml:space="preserve">提供的质量保证证明材料是否齐全、应有的配件及附件是否达到合同约定  </w:t>
            </w:r>
            <w:r>
              <w:rPr>
                <w:color w:val="auto"/>
                <w:spacing w:val="11"/>
                <w:highlight w:val="none"/>
              </w:rPr>
              <w:t>等。可附件</w:t>
            </w:r>
            <w:r>
              <w:rPr>
                <w:rFonts w:ascii="微软雅黑" w:hAnsi="微软雅黑" w:eastAsia="微软雅黑" w:cs="微软雅黑"/>
                <w:color w:val="auto"/>
                <w:spacing w:val="11"/>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4" w:hRule="atLeast"/>
        </w:trPr>
        <w:tc>
          <w:tcPr>
            <w:tcW w:w="1338" w:type="dxa"/>
            <w:vMerge w:val="restart"/>
            <w:tcBorders>
              <w:bottom w:val="nil"/>
            </w:tcBorders>
            <w:vAlign w:val="top"/>
          </w:tcPr>
          <w:p>
            <w:pPr>
              <w:spacing w:line="267" w:lineRule="auto"/>
              <w:rPr>
                <w:rFonts w:ascii="Arial"/>
                <w:color w:val="auto"/>
                <w:sz w:val="21"/>
                <w:highlight w:val="none"/>
              </w:rPr>
            </w:pPr>
          </w:p>
          <w:p>
            <w:pPr>
              <w:spacing w:line="268" w:lineRule="auto"/>
              <w:rPr>
                <w:rFonts w:ascii="Arial"/>
                <w:color w:val="auto"/>
                <w:sz w:val="21"/>
                <w:highlight w:val="none"/>
              </w:rPr>
            </w:pPr>
          </w:p>
          <w:p>
            <w:pPr>
              <w:spacing w:line="268" w:lineRule="auto"/>
              <w:rPr>
                <w:rFonts w:ascii="Arial"/>
                <w:color w:val="auto"/>
                <w:sz w:val="21"/>
                <w:highlight w:val="none"/>
              </w:rPr>
            </w:pPr>
          </w:p>
          <w:p>
            <w:pPr>
              <w:pStyle w:val="46"/>
              <w:spacing w:before="66" w:line="261" w:lineRule="auto"/>
              <w:ind w:left="114" w:right="171" w:hanging="4"/>
              <w:rPr>
                <w:color w:val="auto"/>
                <w:highlight w:val="none"/>
              </w:rPr>
            </w:pPr>
            <w:r>
              <w:rPr>
                <w:color w:val="auto"/>
                <w:spacing w:val="8"/>
                <w:highlight w:val="none"/>
              </w:rPr>
              <w:t>验收小组意</w:t>
            </w:r>
            <w:r>
              <w:rPr>
                <w:color w:val="auto"/>
                <w:highlight w:val="none"/>
              </w:rPr>
              <w:t xml:space="preserve"> 见</w:t>
            </w:r>
          </w:p>
        </w:tc>
        <w:tc>
          <w:tcPr>
            <w:tcW w:w="7111" w:type="dxa"/>
            <w:gridSpan w:val="7"/>
            <w:vAlign w:val="top"/>
          </w:tcPr>
          <w:p>
            <w:pPr>
              <w:spacing w:line="247" w:lineRule="auto"/>
              <w:rPr>
                <w:rFonts w:ascii="Arial"/>
                <w:color w:val="auto"/>
                <w:sz w:val="21"/>
                <w:highlight w:val="none"/>
              </w:rPr>
            </w:pPr>
          </w:p>
          <w:p>
            <w:pPr>
              <w:spacing w:line="248" w:lineRule="auto"/>
              <w:rPr>
                <w:rFonts w:ascii="Arial"/>
                <w:color w:val="auto"/>
                <w:sz w:val="21"/>
                <w:highlight w:val="none"/>
              </w:rPr>
            </w:pPr>
          </w:p>
          <w:p>
            <w:pPr>
              <w:pStyle w:val="46"/>
              <w:spacing w:before="65" w:line="228" w:lineRule="auto"/>
              <w:ind w:left="5"/>
              <w:rPr>
                <w:color w:val="auto"/>
                <w:highlight w:val="none"/>
              </w:rPr>
            </w:pPr>
            <w:r>
              <w:rPr>
                <w:color w:val="auto"/>
                <w:spacing w:val="7"/>
                <w:highlight w:val="none"/>
              </w:rPr>
              <w:t>验收结论性意见：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1338" w:type="dxa"/>
            <w:vMerge w:val="continue"/>
            <w:tcBorders>
              <w:top w:val="nil"/>
            </w:tcBorders>
            <w:vAlign w:val="top"/>
          </w:tcPr>
          <w:p>
            <w:pPr>
              <w:rPr>
                <w:rFonts w:ascii="Arial"/>
                <w:color w:val="auto"/>
                <w:sz w:val="21"/>
                <w:highlight w:val="none"/>
              </w:rPr>
            </w:pPr>
          </w:p>
        </w:tc>
        <w:tc>
          <w:tcPr>
            <w:tcW w:w="7111" w:type="dxa"/>
            <w:gridSpan w:val="7"/>
            <w:vAlign w:val="top"/>
          </w:tcPr>
          <w:p>
            <w:pPr>
              <w:pStyle w:val="46"/>
              <w:spacing w:before="85" w:line="600" w:lineRule="exact"/>
              <w:ind w:left="7"/>
              <w:rPr>
                <w:color w:val="auto"/>
                <w:highlight w:val="none"/>
              </w:rPr>
            </w:pPr>
            <w:r>
              <w:rPr>
                <w:color w:val="auto"/>
                <w:spacing w:val="8"/>
                <w:position w:val="30"/>
                <w:highlight w:val="none"/>
              </w:rPr>
              <w:t>有异议的意见和说明理由：</w:t>
            </w:r>
          </w:p>
          <w:p>
            <w:pPr>
              <w:pStyle w:val="46"/>
              <w:spacing w:line="210" w:lineRule="auto"/>
              <w:ind w:left="6"/>
              <w:rPr>
                <w:color w:val="auto"/>
                <w:highlight w:val="none"/>
              </w:rPr>
            </w:pPr>
            <w:r>
              <w:rPr>
                <w:color w:val="auto"/>
                <w:spacing w:val="3"/>
                <w:highlight w:val="none"/>
              </w:rPr>
              <w:t>签字：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8449" w:type="dxa"/>
            <w:gridSpan w:val="8"/>
            <w:vAlign w:val="top"/>
          </w:tcPr>
          <w:p>
            <w:pPr>
              <w:pStyle w:val="46"/>
              <w:spacing w:before="178" w:line="228" w:lineRule="auto"/>
              <w:ind w:left="110"/>
              <w:rPr>
                <w:color w:val="auto"/>
                <w:highlight w:val="none"/>
              </w:rPr>
            </w:pPr>
            <w:r>
              <w:rPr>
                <w:color w:val="auto"/>
                <w:spacing w:val="7"/>
                <w:highlight w:val="none"/>
              </w:rPr>
              <w:t>验收小组成员签字：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8449" w:type="dxa"/>
            <w:gridSpan w:val="8"/>
            <w:vAlign w:val="top"/>
          </w:tcPr>
          <w:p>
            <w:pPr>
              <w:pStyle w:val="46"/>
              <w:spacing w:before="87" w:line="600" w:lineRule="exact"/>
              <w:ind w:left="111"/>
              <w:rPr>
                <w:color w:val="auto"/>
                <w:highlight w:val="none"/>
              </w:rPr>
            </w:pPr>
            <w:r>
              <w:rPr>
                <w:color w:val="auto"/>
                <w:spacing w:val="8"/>
                <w:position w:val="30"/>
                <w:highlight w:val="none"/>
              </w:rPr>
              <w:t>监督人员或其他相关人员签字：</w:t>
            </w:r>
          </w:p>
          <w:p>
            <w:pPr>
              <w:pStyle w:val="46"/>
              <w:spacing w:line="209" w:lineRule="auto"/>
              <w:ind w:left="113"/>
              <w:rPr>
                <w:color w:val="auto"/>
                <w:highlight w:val="none"/>
              </w:rPr>
            </w:pPr>
            <w:r>
              <w:rPr>
                <w:color w:val="auto"/>
                <w:spacing w:val="8"/>
                <w:highlight w:val="none"/>
              </w:rPr>
              <w:t>或受邀机构的意见（盖章</w:t>
            </w:r>
            <w:r>
              <w:rPr>
                <w:color w:val="auto"/>
                <w:spacing w:val="4"/>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3950" w:type="dxa"/>
            <w:gridSpan w:val="3"/>
            <w:tcBorders>
              <w:right w:val="single" w:color="000000" w:sz="2" w:space="0"/>
            </w:tcBorders>
            <w:vAlign w:val="top"/>
          </w:tcPr>
          <w:p>
            <w:pPr>
              <w:pStyle w:val="46"/>
              <w:spacing w:before="89" w:line="600" w:lineRule="exact"/>
              <w:ind w:left="130"/>
              <w:rPr>
                <w:color w:val="auto"/>
                <w:highlight w:val="none"/>
              </w:rPr>
            </w:pPr>
            <w:r>
              <w:rPr>
                <w:color w:val="auto"/>
                <w:spacing w:val="7"/>
                <w:position w:val="30"/>
                <w:highlight w:val="none"/>
              </w:rPr>
              <w:t>中标或者成交供应商负责人签字或盖章：</w:t>
            </w:r>
          </w:p>
          <w:p>
            <w:pPr>
              <w:pStyle w:val="46"/>
              <w:spacing w:before="1" w:line="215" w:lineRule="auto"/>
              <w:ind w:left="111"/>
              <w:rPr>
                <w:color w:val="auto"/>
                <w:highlight w:val="none"/>
              </w:rPr>
            </w:pPr>
            <w:r>
              <w:rPr>
                <w:color w:val="auto"/>
                <w:spacing w:val="3"/>
                <w:highlight w:val="none"/>
              </w:rPr>
              <w:t>联系电话：</w:t>
            </w:r>
            <w:r>
              <w:rPr>
                <w:color w:val="auto"/>
                <w:spacing w:val="25"/>
                <w:highlight w:val="none"/>
              </w:rPr>
              <w:t xml:space="preserve"> </w:t>
            </w:r>
            <w:r>
              <w:rPr>
                <w:color w:val="auto"/>
                <w:spacing w:val="3"/>
                <w:highlight w:val="none"/>
              </w:rPr>
              <w:t>年</w:t>
            </w:r>
            <w:r>
              <w:rPr>
                <w:color w:val="auto"/>
                <w:spacing w:val="12"/>
                <w:highlight w:val="none"/>
              </w:rPr>
              <w:t xml:space="preserve">  </w:t>
            </w:r>
            <w:r>
              <w:rPr>
                <w:color w:val="auto"/>
                <w:spacing w:val="3"/>
                <w:highlight w:val="none"/>
              </w:rPr>
              <w:t>月</w:t>
            </w:r>
            <w:r>
              <w:rPr>
                <w:color w:val="auto"/>
                <w:spacing w:val="27"/>
                <w:highlight w:val="none"/>
              </w:rPr>
              <w:t xml:space="preserve">  </w:t>
            </w:r>
            <w:r>
              <w:rPr>
                <w:color w:val="auto"/>
                <w:spacing w:val="3"/>
                <w:highlight w:val="none"/>
              </w:rPr>
              <w:t>日</w:t>
            </w:r>
          </w:p>
        </w:tc>
        <w:tc>
          <w:tcPr>
            <w:tcW w:w="4499" w:type="dxa"/>
            <w:gridSpan w:val="5"/>
            <w:tcBorders>
              <w:left w:val="single" w:color="000000" w:sz="2" w:space="0"/>
            </w:tcBorders>
            <w:vAlign w:val="top"/>
          </w:tcPr>
          <w:p>
            <w:pPr>
              <w:pStyle w:val="46"/>
              <w:spacing w:before="89" w:line="600" w:lineRule="exact"/>
              <w:ind w:left="209"/>
              <w:rPr>
                <w:color w:val="auto"/>
                <w:highlight w:val="none"/>
              </w:rPr>
            </w:pPr>
            <w:r>
              <w:rPr>
                <w:color w:val="auto"/>
                <w:spacing w:val="9"/>
                <w:position w:val="30"/>
                <w:highlight w:val="none"/>
              </w:rPr>
              <w:t>采购人或受托机构的意见（盖章</w:t>
            </w:r>
            <w:r>
              <w:rPr>
                <w:color w:val="auto"/>
                <w:spacing w:val="1"/>
                <w:position w:val="30"/>
                <w:highlight w:val="none"/>
              </w:rPr>
              <w:t>）：</w:t>
            </w:r>
          </w:p>
          <w:p>
            <w:pPr>
              <w:pStyle w:val="46"/>
              <w:spacing w:before="1" w:line="215" w:lineRule="auto"/>
              <w:ind w:left="210"/>
              <w:rPr>
                <w:color w:val="auto"/>
                <w:highlight w:val="none"/>
              </w:rPr>
            </w:pPr>
            <w:r>
              <w:rPr>
                <w:color w:val="auto"/>
                <w:spacing w:val="3"/>
                <w:highlight w:val="none"/>
              </w:rPr>
              <w:t>联系电话：</w:t>
            </w:r>
            <w:r>
              <w:rPr>
                <w:color w:val="auto"/>
                <w:spacing w:val="25"/>
                <w:highlight w:val="none"/>
              </w:rPr>
              <w:t xml:space="preserve"> </w:t>
            </w:r>
            <w:r>
              <w:rPr>
                <w:color w:val="auto"/>
                <w:spacing w:val="3"/>
                <w:highlight w:val="none"/>
              </w:rPr>
              <w:t>年</w:t>
            </w:r>
            <w:r>
              <w:rPr>
                <w:color w:val="auto"/>
                <w:spacing w:val="12"/>
                <w:highlight w:val="none"/>
              </w:rPr>
              <w:t xml:space="preserve">  </w:t>
            </w:r>
            <w:r>
              <w:rPr>
                <w:color w:val="auto"/>
                <w:spacing w:val="3"/>
                <w:highlight w:val="none"/>
              </w:rPr>
              <w:t>月</w:t>
            </w:r>
            <w:r>
              <w:rPr>
                <w:color w:val="auto"/>
                <w:spacing w:val="27"/>
                <w:highlight w:val="none"/>
              </w:rPr>
              <w:t xml:space="preserve">  </w:t>
            </w:r>
            <w:r>
              <w:rPr>
                <w:color w:val="auto"/>
                <w:spacing w:val="3"/>
                <w:highlight w:val="none"/>
              </w:rPr>
              <w:t>日</w:t>
            </w:r>
          </w:p>
        </w:tc>
      </w:tr>
    </w:tbl>
    <w:p>
      <w:pPr>
        <w:rPr>
          <w:rFonts w:ascii="Arial"/>
          <w:color w:val="auto"/>
          <w:sz w:val="21"/>
          <w:highlight w:val="none"/>
        </w:rPr>
      </w:pPr>
    </w:p>
    <w:p>
      <w:pPr>
        <w:rPr>
          <w:rFonts w:ascii="Arial" w:hAnsi="Arial" w:eastAsia="Arial" w:cs="Arial"/>
          <w:color w:val="auto"/>
          <w:sz w:val="21"/>
          <w:szCs w:val="21"/>
          <w:highlight w:val="none"/>
        </w:rPr>
        <w:sectPr>
          <w:footerReference r:id="rId9" w:type="default"/>
          <w:pgSz w:w="11906" w:h="16839"/>
          <w:pgMar w:top="1431" w:right="1158" w:bottom="1362" w:left="1151" w:header="0" w:footer="1200" w:gutter="0"/>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231"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pacing w:val="-6"/>
          <w:sz w:val="24"/>
          <w:szCs w:val="24"/>
          <w:highlight w:val="none"/>
        </w:rPr>
        <w:t>附表</w:t>
      </w:r>
      <w:r>
        <w:rPr>
          <w:rFonts w:hint="eastAsia" w:ascii="宋体" w:hAnsi="宋体" w:cs="宋体"/>
          <w:b/>
          <w:bCs/>
          <w:color w:val="auto"/>
          <w:spacing w:val="-6"/>
          <w:sz w:val="24"/>
          <w:szCs w:val="24"/>
          <w:highlight w:val="none"/>
          <w:lang w:val="en-US" w:eastAsia="zh-CN"/>
        </w:rPr>
        <w:t>4</w:t>
      </w:r>
      <w:r>
        <w:rPr>
          <w:rFonts w:hint="eastAsia" w:ascii="宋体" w:hAnsi="宋体" w:eastAsia="宋体" w:cs="宋体"/>
          <w:b/>
          <w:bCs/>
          <w:color w:val="auto"/>
          <w:spacing w:val="-6"/>
          <w:sz w:val="24"/>
          <w:szCs w:val="24"/>
          <w:highlight w:val="none"/>
        </w:rPr>
        <w:t>：《广西线上“政采贷”政策告知函》</w:t>
      </w:r>
    </w:p>
    <w:p>
      <w:pPr>
        <w:rPr>
          <w:rFonts w:hint="eastAsia" w:ascii="宋体" w:hAnsi="宋体" w:eastAsia="宋体" w:cs="宋体"/>
          <w:color w:val="auto"/>
          <w:sz w:val="21"/>
          <w:szCs w:val="21"/>
          <w:highlight w:val="none"/>
          <w:lang w:eastAsia="zh-CN"/>
        </w:rPr>
      </w:pPr>
      <w:bookmarkStart w:id="136" w:name="_Toc27104"/>
      <w:r>
        <w:rPr>
          <w:rFonts w:ascii="宋体" w:hAnsi="宋体" w:cs="宋体"/>
          <w:b/>
          <w:color w:val="auto"/>
          <w:kern w:val="0"/>
          <w:sz w:val="32"/>
          <w:szCs w:val="32"/>
          <w:highlight w:val="none"/>
        </w:rPr>
        <w:drawing>
          <wp:inline distT="0" distB="0" distL="114300" distR="114300">
            <wp:extent cx="5902960" cy="8350885"/>
            <wp:effectExtent l="0" t="0" r="254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5902960" cy="8350885"/>
                    </a:xfrm>
                    <a:prstGeom prst="rect">
                      <a:avLst/>
                    </a:prstGeom>
                    <a:noFill/>
                    <a:ln>
                      <a:noFill/>
                    </a:ln>
                  </pic:spPr>
                </pic:pic>
              </a:graphicData>
            </a:graphic>
          </wp:inline>
        </w:drawing>
      </w:r>
      <w:bookmarkEnd w:id="136"/>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sz w:val="21"/>
          <w:szCs w:val="21"/>
          <w:highlight w:val="none"/>
        </w:rPr>
      </w:pPr>
      <w:bookmarkStart w:id="137" w:name="_Toc28939"/>
      <w:bookmarkStart w:id="138" w:name="_Toc2989"/>
    </w:p>
    <w:p>
      <w:pPr>
        <w:rPr>
          <w:rFonts w:hint="eastAsia"/>
          <w:color w:val="auto"/>
          <w:highlight w:val="none"/>
        </w:rPr>
      </w:pP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sz w:val="28"/>
          <w:szCs w:val="28"/>
          <w:highlight w:val="none"/>
          <w:lang w:eastAsia="zh-CN"/>
        </w:rPr>
      </w:pPr>
      <w:bookmarkStart w:id="139" w:name="_Toc23263"/>
      <w:r>
        <w:rPr>
          <w:rFonts w:hint="eastAsia" w:ascii="宋体" w:hAnsi="宋体" w:eastAsia="宋体" w:cs="宋体"/>
          <w:color w:val="auto"/>
          <w:sz w:val="28"/>
          <w:szCs w:val="28"/>
          <w:highlight w:val="none"/>
        </w:rPr>
        <w:t xml:space="preserve">第三章 </w:t>
      </w:r>
      <w:r>
        <w:rPr>
          <w:rFonts w:hint="eastAsia" w:ascii="宋体" w:hAnsi="宋体" w:eastAsia="宋体" w:cs="宋体"/>
          <w:color w:val="auto"/>
          <w:sz w:val="28"/>
          <w:szCs w:val="28"/>
          <w:highlight w:val="none"/>
          <w:lang w:eastAsia="zh-CN"/>
        </w:rPr>
        <w:t>工程量清单</w:t>
      </w:r>
      <w:bookmarkEnd w:id="137"/>
      <w:bookmarkEnd w:id="139"/>
    </w:p>
    <w:p>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auto"/>
          <w:kern w:val="21"/>
          <w:sz w:val="21"/>
          <w:szCs w:val="21"/>
          <w:highlight w:val="none"/>
        </w:rPr>
      </w:pPr>
      <w:bookmarkStart w:id="140" w:name="_Toc160609998"/>
      <w:bookmarkStart w:id="141" w:name="_Toc164138057"/>
      <w:bookmarkStart w:id="142" w:name="_Toc194308407"/>
      <w:r>
        <w:rPr>
          <w:rFonts w:hint="eastAsia" w:ascii="宋体" w:hAnsi="宋体" w:eastAsia="宋体" w:cs="宋体"/>
          <w:b/>
          <w:color w:val="auto"/>
          <w:sz w:val="21"/>
          <w:szCs w:val="21"/>
          <w:highlight w:val="none"/>
        </w:rPr>
        <w:t>一、工程量清单说明</w:t>
      </w:r>
      <w:r>
        <w:rPr>
          <w:rFonts w:hint="eastAsia" w:ascii="宋体" w:hAnsi="宋体" w:eastAsia="宋体" w:cs="宋体"/>
          <w:color w:val="auto"/>
          <w:kern w:val="21"/>
          <w:sz w:val="21"/>
          <w:szCs w:val="21"/>
          <w:highlight w:val="none"/>
        </w:rPr>
        <w:t>：</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1.</w:t>
      </w:r>
      <w:r>
        <w:rPr>
          <w:rFonts w:hint="eastAsia" w:ascii="宋体" w:hAnsi="宋体" w:eastAsia="宋体" w:cs="宋体"/>
          <w:color w:val="auto"/>
          <w:sz w:val="21"/>
          <w:szCs w:val="21"/>
          <w:highlight w:val="none"/>
        </w:rPr>
        <w:t>工程量清单中所列工程量系发包人按照现有图纸及有关资料依据建设行政主管部门所颁布的计量规则计算的，它是竞争性磋商文件的组成部分，仅作为磋商报价的共同基础</w:t>
      </w:r>
      <w:r>
        <w:rPr>
          <w:rFonts w:hint="eastAsia" w:ascii="宋体" w:hAnsi="宋体" w:eastAsia="宋体" w:cs="宋体"/>
          <w:color w:val="auto"/>
          <w:kern w:val="21"/>
          <w:sz w:val="21"/>
          <w:szCs w:val="21"/>
          <w:highlight w:val="none"/>
        </w:rPr>
        <w:t>，不作为最终结算与支付的依据</w:t>
      </w:r>
      <w:r>
        <w:rPr>
          <w:rFonts w:hint="eastAsia" w:ascii="宋体" w:hAnsi="宋体" w:eastAsia="宋体" w:cs="宋体"/>
          <w:color w:val="auto"/>
          <w:sz w:val="21"/>
          <w:szCs w:val="21"/>
          <w:highlight w:val="none"/>
        </w:rPr>
        <w:t>。成交后结算支付，以经</w:t>
      </w:r>
      <w:r>
        <w:rPr>
          <w:rFonts w:hint="eastAsia" w:ascii="宋体" w:hAnsi="宋体" w:eastAsia="宋体" w:cs="宋体"/>
          <w:color w:val="auto"/>
          <w:sz w:val="21"/>
          <w:szCs w:val="21"/>
          <w:highlight w:val="none"/>
          <w:u w:val="single"/>
        </w:rPr>
        <w:t xml:space="preserve"> </w:t>
      </w:r>
      <w:r>
        <w:rPr>
          <w:rFonts w:hint="eastAsia" w:ascii="宋体" w:hAnsi="宋体" w:eastAsia="宋体" w:cs="宋体"/>
          <w:bCs/>
          <w:color w:val="auto"/>
          <w:sz w:val="21"/>
          <w:szCs w:val="21"/>
          <w:highlight w:val="none"/>
          <w:u w:val="single"/>
        </w:rPr>
        <w:t xml:space="preserve">审图公司  </w:t>
      </w:r>
      <w:r>
        <w:rPr>
          <w:rFonts w:hint="eastAsia" w:ascii="宋体" w:hAnsi="宋体" w:eastAsia="宋体" w:cs="宋体"/>
          <w:color w:val="auto"/>
          <w:sz w:val="21"/>
          <w:szCs w:val="21"/>
          <w:highlight w:val="none"/>
        </w:rPr>
        <w:t>审定的设计图纸和设计变更实际工程量为依据，按成交单位的磋商所报的工程量清单的单价支付费用。</w:t>
      </w:r>
    </w:p>
    <w:p>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21"/>
          <w:sz w:val="21"/>
          <w:szCs w:val="21"/>
          <w:highlight w:val="none"/>
        </w:rPr>
        <w:t>2.</w:t>
      </w:r>
      <w:r>
        <w:rPr>
          <w:rFonts w:hint="eastAsia" w:ascii="宋体" w:hAnsi="宋体" w:eastAsia="宋体" w:cs="宋体"/>
          <w:b/>
          <w:bCs/>
          <w:color w:val="auto"/>
          <w:kern w:val="0"/>
          <w:sz w:val="21"/>
          <w:szCs w:val="21"/>
          <w:highlight w:val="none"/>
        </w:rPr>
        <w:t>本工程计价及结算参考依据</w:t>
      </w:r>
      <w:r>
        <w:rPr>
          <w:rFonts w:hint="eastAsia" w:ascii="宋体" w:hAnsi="宋体" w:eastAsia="宋体" w:cs="宋体"/>
          <w:color w:val="auto"/>
          <w:kern w:val="0"/>
          <w:sz w:val="21"/>
          <w:szCs w:val="21"/>
          <w:highlight w:val="none"/>
        </w:rPr>
        <w:t>：</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建设工程工程量清单计价规范广西壮族自治区实施细则》（GB50500-2013）、《建设工程工程量计算规范广西壮族自治区实施细则》（GB50854~50862-2013）（2015修订本）、2013年《广西壮族自治区建筑装饰装修工程消耗量定额》及相应配套费用定额、2015年《广西壮族自治区安装工程消耗量定额》及相应配套费用定额、2011年《广西壮族自治区拆除工程消耗量定额》及相应配套费用定额、2022年《广西壮族自治区市政工程消耗量定额》及相应配套费用定额、2021年《广西壮族自治区园林工程消耗量定额》及相应配套费用定额、自治区住房城乡建设厅《关于建筑业实施营业税改增值税后广西壮族自治区建设工程计价依据调整的通知》（桂建标【2016】17号）、自治区住房城乡建设厅《关于调整建设工程定额人工费及有关费率的通知》（桂建标【2023】07号）、自治区住房城乡建设厅《关于调整建设工程计价增值税税率的通知》（桂建标【2019】12号）。</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（2）材料价格按桂林市造价站发布的2024年第1期《桂林市建设工程造价信息》计取，无信息价时按市场询价。</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3.在有数量标出的子目中，有价标的工程量清单中的每一细目须填入单价和合价。</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没有填写单价和合价的细目，其费用应视为已分配在相关工程细目的单价与合价之中。</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4.工程量清单中的任何算术性错误，磋商小组将按下述原则予以调整。</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(a)如果用数字表示的数额与用文字表示的数额不一致时，以文字数额为准。</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(b)当单价与数量的乘积与总额之间不一致时，通常以标出的单价为准，除非磋商小组认为有明显的小数点出错，此时应以标出的总额为准，并修改单价。</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5.</w:t>
      </w:r>
      <w:r>
        <w:rPr>
          <w:rFonts w:hint="eastAsia" w:ascii="宋体" w:hAnsi="宋体" w:eastAsia="宋体" w:cs="宋体"/>
          <w:color w:val="auto"/>
          <w:sz w:val="21"/>
          <w:szCs w:val="21"/>
          <w:highlight w:val="none"/>
        </w:rPr>
        <w:t>供应商应按招标工程量清单填报价格。项目编码、项目名称、项目特征、计量单位、工程量必须与招标工程量清单一致，投标人不得对招标工程量清单项目进行增减调整。</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6.</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如发现工程预算控制价中计算存在明显误差或有遗漏的，应在规定的时间前向采购人或采购代理机构提出书面异议或修正要求。</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7.</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应对</w:t>
      </w:r>
      <w:r>
        <w:rPr>
          <w:rFonts w:hint="eastAsia" w:ascii="宋体" w:hAnsi="宋体" w:eastAsia="宋体" w:cs="宋体"/>
          <w:color w:val="auto"/>
          <w:sz w:val="21"/>
          <w:szCs w:val="21"/>
          <w:highlight w:val="none"/>
        </w:rPr>
        <w:t>竞争性磋商文件</w:t>
      </w:r>
      <w:r>
        <w:rPr>
          <w:rFonts w:hint="eastAsia" w:ascii="宋体" w:hAnsi="宋体" w:eastAsia="宋体" w:cs="宋体"/>
          <w:color w:val="auto"/>
          <w:kern w:val="21"/>
          <w:sz w:val="21"/>
          <w:szCs w:val="21"/>
          <w:highlight w:val="none"/>
        </w:rPr>
        <w:t>中工程量清单所列的各项内容和要求作实质性响应，报价不得低于企业成本。</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8.</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应采用综合单价进行工程量清单报价，不得采用总价让利或以百分比让利等形式进行报价。</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kern w:val="0"/>
          <w:sz w:val="21"/>
          <w:szCs w:val="21"/>
          <w:highlight w:val="none"/>
        </w:rPr>
        <w:t>暂列金额的数量及拟用子目的说明（如有）：应按采购人在其他项目清单中列出的金额填写，不得变动。</w:t>
      </w:r>
    </w:p>
    <w:p>
      <w:pPr>
        <w:keepNext w:val="0"/>
        <w:keepLines w:val="0"/>
        <w:pageBreakBefore w:val="0"/>
        <w:tabs>
          <w:tab w:val="left" w:pos="210"/>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10.暂估价的数量及拟用子目的说明（如有）：材料暂估价应按采购人在其他项目清单中列出的单价计入综合单价；专业工程暂估价应按采购人在其他项目清单中列出的金额填写。</w:t>
      </w:r>
    </w:p>
    <w:p>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二、磋商报价说明</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1.工程量清单中的每一子目须填入单价或价格，且只允许有一个报价。</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2.符合合同条款规定的全部费用应认为已被计入有标价的工程量清单所列各子目之中，未列子目不予计量的工作，其费用应视为已分摊在本合同工程的有关子目的单价或总价之中。</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3.工程量清单中各项金额均以人民币（元）结算。</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 xml:space="preserve">4.供应商应采用综合单价进行工程量清单报价，不得采用总价让利或以百分比让利等形式进行报价。                          </w:t>
      </w:r>
    </w:p>
    <w:p>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三、注意事项及要求：</w:t>
      </w:r>
    </w:p>
    <w:p>
      <w:pPr>
        <w:keepNext w:val="0"/>
        <w:keepLines w:val="0"/>
        <w:pageBreakBefore w:val="0"/>
        <w:tabs>
          <w:tab w:val="left" w:pos="21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1.严格按国家标准及本项目工程量清单、主管部门规定要求施工；</w:t>
      </w:r>
    </w:p>
    <w:p>
      <w:pPr>
        <w:pStyle w:val="7"/>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2.要求工期</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single"/>
        </w:rPr>
        <w:t>自合同签订之日起</w:t>
      </w:r>
      <w:r>
        <w:rPr>
          <w:rFonts w:hint="eastAsia" w:ascii="宋体" w:hAnsi="宋体" w:cs="宋体"/>
          <w:color w:val="auto"/>
          <w:sz w:val="21"/>
          <w:szCs w:val="21"/>
          <w:highlight w:val="none"/>
          <w:u w:val="single"/>
          <w:lang w:val="en-US" w:eastAsia="zh-CN"/>
        </w:rPr>
        <w:t>90</w:t>
      </w:r>
      <w:r>
        <w:rPr>
          <w:rFonts w:hint="eastAsia" w:ascii="宋体" w:hAnsi="宋体" w:eastAsia="宋体" w:cs="宋体"/>
          <w:color w:val="auto"/>
          <w:sz w:val="21"/>
          <w:szCs w:val="21"/>
          <w:highlight w:val="none"/>
          <w:u w:val="single"/>
        </w:rPr>
        <w:t>个日历天内完工</w:t>
      </w:r>
      <w:r>
        <w:rPr>
          <w:rFonts w:hint="eastAsia" w:ascii="宋体" w:hAnsi="宋体" w:eastAsia="宋体" w:cs="宋体"/>
          <w:color w:val="auto"/>
          <w:sz w:val="21"/>
          <w:szCs w:val="21"/>
          <w:highlight w:val="none"/>
        </w:rPr>
        <w:t>；</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3.质量标准：</w:t>
      </w:r>
      <w:r>
        <w:rPr>
          <w:rFonts w:hint="eastAsia" w:ascii="宋体" w:hAnsi="宋体" w:eastAsia="宋体" w:cs="宋体"/>
          <w:color w:val="auto"/>
          <w:sz w:val="21"/>
          <w:szCs w:val="21"/>
          <w:highlight w:val="none"/>
          <w:u w:val="single"/>
        </w:rPr>
        <w:t>达到国家施工验收规范合格标准</w:t>
      </w:r>
      <w:r>
        <w:rPr>
          <w:rFonts w:hint="eastAsia" w:ascii="宋体" w:hAnsi="宋体" w:eastAsia="宋体" w:cs="宋体"/>
          <w:color w:val="auto"/>
          <w:sz w:val="21"/>
          <w:szCs w:val="21"/>
          <w:highlight w:val="none"/>
        </w:rPr>
        <w:t>。</w:t>
      </w:r>
    </w:p>
    <w:p>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
          <w:bCs w:val="0"/>
          <w:color w:val="auto"/>
          <w:sz w:val="21"/>
          <w:szCs w:val="21"/>
          <w:highlight w:val="none"/>
        </w:rPr>
        <w:t>本工程预算控制价（最高磋商限价）为人民币</w:t>
      </w:r>
      <w:r>
        <w:rPr>
          <w:rFonts w:hint="eastAsia" w:hAnsi="宋体" w:cs="宋体"/>
          <w:b/>
          <w:bCs/>
          <w:color w:val="auto"/>
          <w:kern w:val="0"/>
          <w:sz w:val="21"/>
          <w:szCs w:val="21"/>
          <w:highlight w:val="none"/>
          <w:u w:val="single"/>
          <w:shd w:val="clear" w:color="auto" w:fill="auto"/>
          <w:lang w:val="en-US" w:eastAsia="zh-CN"/>
        </w:rPr>
        <w:t>968988.26</w:t>
      </w:r>
      <w:r>
        <w:rPr>
          <w:rFonts w:hint="eastAsia" w:ascii="宋体" w:hAnsi="宋体" w:eastAsia="宋体" w:cs="宋体"/>
          <w:b/>
          <w:bCs/>
          <w:color w:val="auto"/>
          <w:kern w:val="0"/>
          <w:sz w:val="21"/>
          <w:szCs w:val="21"/>
          <w:highlight w:val="none"/>
          <w:u w:val="none"/>
          <w:shd w:val="clear" w:color="auto" w:fill="auto"/>
          <w:lang w:val="en-US" w:eastAsia="zh-CN"/>
        </w:rPr>
        <w:t>元</w:t>
      </w:r>
      <w:r>
        <w:rPr>
          <w:rFonts w:hint="eastAsia" w:ascii="宋体" w:hAnsi="宋体" w:eastAsia="宋体" w:cs="宋体"/>
          <w:b/>
          <w:color w:val="auto"/>
          <w:spacing w:val="-4"/>
          <w:sz w:val="21"/>
          <w:szCs w:val="21"/>
          <w:highlight w:val="none"/>
        </w:rPr>
        <w:t>，供应商磋商总报价不得高于本工程最高磋商限价，否则被视为无效报价，无效报价将不予评审。</w:t>
      </w:r>
    </w:p>
    <w:p>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四、项目所属行业：</w:t>
      </w:r>
      <w:r>
        <w:rPr>
          <w:rFonts w:hint="eastAsia" w:ascii="宋体" w:hAnsi="宋体" w:eastAsia="宋体" w:cs="宋体"/>
          <w:b/>
          <w:color w:val="auto"/>
          <w:kern w:val="0"/>
          <w:sz w:val="21"/>
          <w:szCs w:val="21"/>
          <w:highlight w:val="none"/>
        </w:rPr>
        <w:t>所属行业依照《中小企业划型标准规定》（工信部联企业〔2011〕300号）及《国民经济行业分类》（GB/T4754-2017）的有关规定执行，本工程在《统计上大中小微型企业划分标准》中所属行业均为</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single"/>
        </w:rPr>
        <w:t>建筑业</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none"/>
        </w:rPr>
        <w:t>。</w:t>
      </w:r>
    </w:p>
    <w:p>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五、工程量清单（自行下载）。</w:t>
      </w:r>
    </w:p>
    <w:p>
      <w:pPr>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p>
    <w:p>
      <w:pPr>
        <w:pStyle w:val="11"/>
        <w:keepNext w:val="0"/>
        <w:keepLines w:val="0"/>
        <w:pageBreakBefore w:val="0"/>
        <w:widowControl w:val="0"/>
        <w:kinsoku/>
        <w:wordWrap/>
        <w:overflowPunct/>
        <w:topLinePunct w:val="0"/>
        <w:autoSpaceDE/>
        <w:autoSpaceDN/>
        <w:bidi w:val="0"/>
        <w:snapToGrid/>
        <w:spacing w:line="380" w:lineRule="exact"/>
        <w:textAlignment w:val="auto"/>
        <w:rPr>
          <w:rFonts w:hint="eastAsia" w:ascii="宋体" w:hAnsi="宋体" w:eastAsia="宋体" w:cs="宋体"/>
          <w:b/>
          <w:color w:val="auto"/>
          <w:sz w:val="21"/>
          <w:szCs w:val="21"/>
          <w:highlight w:val="none"/>
        </w:rPr>
      </w:pPr>
    </w:p>
    <w:bookmarkEnd w:id="138"/>
    <w:bookmarkEnd w:id="140"/>
    <w:bookmarkEnd w:id="141"/>
    <w:bookmarkEnd w:id="142"/>
    <w:p>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bookmarkStart w:id="143" w:name="_Toc5828"/>
    </w:p>
    <w:p>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pPr>
        <w:rPr>
          <w:rFonts w:hint="eastAsia"/>
          <w:color w:val="auto"/>
          <w:highlight w:val="none"/>
          <w:lang w:eastAsia="zh-CN"/>
        </w:rPr>
      </w:pPr>
    </w:p>
    <w:p>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p>
    <w:p>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pPr>
        <w:rPr>
          <w:rFonts w:hint="eastAsia" w:ascii="宋体" w:hAnsi="宋体" w:eastAsia="宋体" w:cs="宋体"/>
          <w:color w:val="auto"/>
          <w:sz w:val="28"/>
          <w:szCs w:val="28"/>
          <w:highlight w:val="none"/>
          <w:lang w:eastAsia="zh-CN"/>
        </w:rPr>
      </w:pPr>
    </w:p>
    <w:p>
      <w:pPr>
        <w:rPr>
          <w:rFonts w:hint="eastAsia" w:ascii="宋体" w:hAnsi="宋体" w:eastAsia="宋体" w:cs="宋体"/>
          <w:color w:val="auto"/>
          <w:sz w:val="28"/>
          <w:szCs w:val="28"/>
          <w:highlight w:val="none"/>
          <w:lang w:eastAsia="zh-CN"/>
        </w:rPr>
      </w:pPr>
    </w:p>
    <w:p>
      <w:pPr>
        <w:pStyle w:val="5"/>
        <w:rPr>
          <w:rFonts w:hint="eastAsia" w:ascii="宋体" w:hAnsi="宋体" w:eastAsia="宋体" w:cs="宋体"/>
          <w:color w:val="auto"/>
          <w:sz w:val="28"/>
          <w:szCs w:val="28"/>
          <w:highlight w:val="none"/>
          <w:lang w:eastAsia="zh-CN"/>
        </w:rPr>
      </w:pPr>
    </w:p>
    <w:p>
      <w:pPr>
        <w:rPr>
          <w:rFonts w:hint="eastAsia" w:ascii="宋体" w:hAnsi="宋体" w:eastAsia="宋体" w:cs="宋体"/>
          <w:color w:val="auto"/>
          <w:sz w:val="28"/>
          <w:szCs w:val="28"/>
          <w:highlight w:val="none"/>
          <w:lang w:eastAsia="zh-CN"/>
        </w:rPr>
      </w:pPr>
    </w:p>
    <w:p>
      <w:pPr>
        <w:pStyle w:val="5"/>
        <w:rPr>
          <w:rFonts w:hint="eastAsia" w:ascii="宋体" w:hAnsi="宋体" w:eastAsia="宋体" w:cs="宋体"/>
          <w:color w:val="auto"/>
          <w:sz w:val="28"/>
          <w:szCs w:val="28"/>
          <w:highlight w:val="none"/>
          <w:lang w:eastAsia="zh-CN"/>
        </w:rPr>
      </w:pPr>
    </w:p>
    <w:p>
      <w:pPr>
        <w:rPr>
          <w:rFonts w:hint="eastAsia" w:ascii="宋体" w:hAnsi="宋体" w:eastAsia="宋体" w:cs="宋体"/>
          <w:color w:val="auto"/>
          <w:sz w:val="28"/>
          <w:szCs w:val="28"/>
          <w:highlight w:val="none"/>
          <w:lang w:eastAsia="zh-CN"/>
        </w:rPr>
      </w:pPr>
    </w:p>
    <w:p>
      <w:pPr>
        <w:pStyle w:val="5"/>
        <w:rPr>
          <w:rFonts w:hint="eastAsia" w:ascii="宋体" w:hAnsi="宋体" w:eastAsia="宋体" w:cs="宋体"/>
          <w:color w:val="auto"/>
          <w:sz w:val="28"/>
          <w:szCs w:val="28"/>
          <w:highlight w:val="none"/>
          <w:lang w:eastAsia="zh-CN"/>
        </w:rPr>
      </w:pPr>
    </w:p>
    <w:p>
      <w:pPr>
        <w:rPr>
          <w:rFonts w:hint="eastAsia" w:ascii="宋体" w:hAnsi="宋体" w:eastAsia="宋体" w:cs="宋体"/>
          <w:color w:val="auto"/>
          <w:sz w:val="28"/>
          <w:szCs w:val="28"/>
          <w:highlight w:val="none"/>
          <w:lang w:eastAsia="zh-CN"/>
        </w:rPr>
      </w:pPr>
    </w:p>
    <w:p>
      <w:pPr>
        <w:rPr>
          <w:rFonts w:hint="eastAsia" w:ascii="宋体" w:hAnsi="宋体" w:eastAsia="宋体" w:cs="宋体"/>
          <w:color w:val="auto"/>
          <w:sz w:val="28"/>
          <w:szCs w:val="28"/>
          <w:highlight w:val="none"/>
          <w:lang w:eastAsia="zh-CN"/>
        </w:rPr>
      </w:pPr>
    </w:p>
    <w:p>
      <w:pPr>
        <w:rPr>
          <w:rFonts w:hint="eastAsia" w:ascii="宋体" w:hAnsi="宋体" w:eastAsia="宋体" w:cs="宋体"/>
          <w:color w:val="auto"/>
          <w:sz w:val="28"/>
          <w:szCs w:val="28"/>
          <w:highlight w:val="none"/>
          <w:lang w:eastAsia="zh-CN"/>
        </w:rPr>
      </w:pPr>
    </w:p>
    <w:p>
      <w:pPr>
        <w:rPr>
          <w:rFonts w:hint="eastAsia" w:ascii="宋体" w:hAnsi="宋体" w:eastAsia="宋体" w:cs="宋体"/>
          <w:color w:val="auto"/>
          <w:sz w:val="28"/>
          <w:szCs w:val="28"/>
          <w:highlight w:val="none"/>
          <w:lang w:eastAsia="zh-CN"/>
        </w:rPr>
      </w:pPr>
    </w:p>
    <w:p>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lang w:eastAsia="zh-CN"/>
        </w:rPr>
        <w:t>第四章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评审办法</w:t>
      </w:r>
      <w:bookmarkEnd w:id="143"/>
    </w:p>
    <w:p>
      <w:pPr>
        <w:pStyle w:val="11"/>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一、评审依据及方式</w:t>
      </w:r>
      <w:r>
        <w:rPr>
          <w:rFonts w:hint="eastAsia" w:ascii="宋体" w:hAnsi="宋体" w:eastAsia="宋体" w:cs="宋体"/>
          <w:b/>
          <w:bCs/>
          <w:color w:val="auto"/>
          <w:sz w:val="21"/>
          <w:szCs w:val="21"/>
          <w:highlight w:val="none"/>
          <w:lang w:eastAsia="zh-CN"/>
        </w:rPr>
        <w:t>；</w:t>
      </w:r>
    </w:p>
    <w:p>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1.评审依据：磋商小组以竞争性磋商文件和响应文件为评审依据，</w:t>
      </w:r>
      <w:r>
        <w:rPr>
          <w:rFonts w:hint="eastAsia" w:ascii="宋体" w:hAnsi="宋体" w:eastAsia="宋体" w:cs="宋体"/>
          <w:color w:val="auto"/>
          <w:sz w:val="21"/>
          <w:szCs w:val="21"/>
          <w:highlight w:val="none"/>
          <w:lang w:val="en-US" w:eastAsia="zh-CN"/>
        </w:rPr>
        <w:t>对磋商供应商的响应文件按百分制打分</w:t>
      </w:r>
      <w:r>
        <w:rPr>
          <w:rFonts w:hint="eastAsia" w:ascii="宋体" w:hAnsi="宋体" w:eastAsia="宋体" w:cs="宋体"/>
          <w:color w:val="auto"/>
          <w:sz w:val="21"/>
          <w:szCs w:val="21"/>
          <w:highlight w:val="none"/>
        </w:rPr>
        <w:t>。</w:t>
      </w:r>
    </w:p>
    <w:p>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2.评审方式：以封闭方式进行评审。</w:t>
      </w:r>
    </w:p>
    <w:p>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3.根据财库〔2012〕69号文规定，采购人和采购代理机构，磋商小组成员要严格遵守政府采购相关法律制度，依法履行各自职责，公正、客观、审慎地组织和参与评审工作。</w:t>
      </w:r>
    </w:p>
    <w:p>
      <w:pPr>
        <w:pStyle w:val="11"/>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二、评审办法</w:t>
      </w:r>
    </w:p>
    <w:p>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（一）对进入详评的，采用综合评分法。</w:t>
      </w:r>
    </w:p>
    <w:p>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（二）计分办法（按四舍五入取至小数点后二位）。</w:t>
      </w:r>
    </w:p>
    <w:p>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lang w:val="en-US" w:eastAsia="zh-CN"/>
        </w:rPr>
        <w:t>1</w:t>
      </w:r>
      <w:r>
        <w:rPr>
          <w:rFonts w:hint="eastAsia" w:hAnsi="宋体" w:cs="宋体"/>
          <w:b/>
          <w:bCs w:val="0"/>
          <w:color w:val="auto"/>
          <w:sz w:val="21"/>
          <w:szCs w:val="21"/>
          <w:highlight w:val="none"/>
          <w:lang w:val="en-US" w:eastAsia="zh-CN"/>
        </w:rPr>
        <w:t>、</w:t>
      </w:r>
      <w:r>
        <w:rPr>
          <w:rFonts w:hint="eastAsia" w:ascii="宋体" w:hAnsi="宋体" w:eastAsia="宋体" w:cs="宋体"/>
          <w:b/>
          <w:color w:val="auto"/>
          <w:sz w:val="21"/>
          <w:szCs w:val="21"/>
          <w:highlight w:val="none"/>
        </w:rPr>
        <w:t>价格分……………………………………………………………………………</w:t>
      </w:r>
      <w:r>
        <w:rPr>
          <w:rFonts w:hint="eastAsia" w:ascii="宋体" w:hAnsi="宋体" w:eastAsia="宋体" w:cs="宋体"/>
          <w:b/>
          <w:bCs w:val="0"/>
          <w:color w:val="auto"/>
          <w:sz w:val="21"/>
          <w:szCs w:val="21"/>
          <w:highlight w:val="none"/>
        </w:rPr>
        <w:t>……</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满分30</w:t>
      </w:r>
      <w:r>
        <w:rPr>
          <w:rFonts w:hint="eastAsia" w:ascii="宋体" w:hAnsi="宋体" w:eastAsia="宋体" w:cs="宋体"/>
          <w:b/>
          <w:color w:val="auto"/>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b w:val="0"/>
          <w:bCs/>
          <w:color w:val="auto"/>
          <w:sz w:val="21"/>
          <w:szCs w:val="21"/>
          <w:highlight w:val="none"/>
        </w:rPr>
        <w:t>（供应商应为中小微企业、监狱企业、残疾人福利性单位)，不再执行价格评审优惠的扶持政策。即评标价=最终报价。</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按照《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符合《关于促进残疾人就业政府采购政策的通知》(财库〔2017〕141号)规定条件，认定为残疾人福利性单位的，在政府采购活动中，残疾人福利性单位视同小型、微型企业。残疾人福利性单位参加政府采购活动时，应当提供该通知规定的《残疾人福利性单位声明函》，并对声明的真实性负责。</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人为残疾人福利性单位的，随</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结果公告其《残疾人福利性单位声明函》，接受社会监督。</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（2）以进入评审的最低的评标价为</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（3）某供应商价格分 = 供应商最低评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报价（金额）/某供应商评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报价（金额）×</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pPr>
        <w:keepNext w:val="0"/>
        <w:keepLines w:val="0"/>
        <w:pageBreakBefore w:val="0"/>
        <w:widowControl w:val="0"/>
        <w:tabs>
          <w:tab w:val="left" w:pos="4214"/>
        </w:tabs>
        <w:kinsoku/>
        <w:wordWrap/>
        <w:overflowPunct/>
        <w:topLinePunct w:val="0"/>
        <w:autoSpaceDE/>
        <w:autoSpaceDN/>
        <w:bidi w:val="0"/>
        <w:adjustRightInd/>
        <w:snapToGrid/>
        <w:spacing w:line="380" w:lineRule="exact"/>
        <w:ind w:firstLine="422" w:firstLineChars="200"/>
        <w:textAlignment w:val="auto"/>
        <w:rPr>
          <w:rFonts w:hint="eastAsia" w:ascii="宋体" w:hAnsi="宋体"/>
          <w:b/>
          <w:color w:val="auto"/>
          <w:szCs w:val="21"/>
          <w:highlight w:val="none"/>
        </w:rPr>
      </w:pPr>
      <w:r>
        <w:rPr>
          <w:rFonts w:hint="eastAsia" w:ascii="宋体" w:hAnsi="宋体"/>
          <w:b/>
          <w:color w:val="auto"/>
          <w:szCs w:val="21"/>
          <w:highlight w:val="none"/>
        </w:rPr>
        <w:t>2、</w:t>
      </w:r>
      <w:r>
        <w:rPr>
          <w:rFonts w:hint="eastAsia" w:ascii="宋体" w:hAnsi="宋体"/>
          <w:b/>
          <w:bCs/>
          <w:color w:val="auto"/>
          <w:szCs w:val="21"/>
          <w:highlight w:val="none"/>
        </w:rPr>
        <w:t>施工组织设计</w:t>
      </w:r>
      <w:r>
        <w:rPr>
          <w:rFonts w:hint="eastAsia" w:ascii="宋体" w:hAnsi="宋体"/>
          <w:b/>
          <w:color w:val="auto"/>
          <w:szCs w:val="21"/>
          <w:highlight w:val="none"/>
        </w:rPr>
        <w:t>……………………………………………………………………</w:t>
      </w:r>
      <w:r>
        <w:rPr>
          <w:rFonts w:hint="eastAsia" w:ascii="宋体" w:hAnsi="宋体"/>
          <w:b/>
          <w:bCs/>
          <w:color w:val="auto"/>
          <w:szCs w:val="21"/>
          <w:highlight w:val="none"/>
        </w:rPr>
        <w:t>……</w:t>
      </w:r>
      <w:r>
        <w:rPr>
          <w:rFonts w:hint="eastAsia" w:ascii="宋体" w:hAnsi="宋体"/>
          <w:b/>
          <w:color w:val="auto"/>
          <w:szCs w:val="21"/>
          <w:highlight w:val="none"/>
        </w:rPr>
        <w:t>……满分</w:t>
      </w:r>
      <w:r>
        <w:rPr>
          <w:rFonts w:hint="eastAsia" w:ascii="宋体" w:hAnsi="宋体"/>
          <w:b/>
          <w:color w:val="auto"/>
          <w:szCs w:val="21"/>
          <w:highlight w:val="none"/>
          <w:lang w:val="en-US" w:eastAsia="zh-CN"/>
        </w:rPr>
        <w:t>6</w:t>
      </w:r>
      <w:r>
        <w:rPr>
          <w:rFonts w:hint="eastAsia" w:ascii="宋体" w:hAnsi="宋体"/>
          <w:b/>
          <w:color w:val="auto"/>
          <w:szCs w:val="21"/>
          <w:highlight w:val="none"/>
        </w:rPr>
        <w:t>0分</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（1）总体概述（满分</w:t>
      </w:r>
      <w:r>
        <w:rPr>
          <w:rFonts w:hint="eastAsia" w:ascii="宋体" w:hAnsi="宋体"/>
          <w:b/>
          <w:bCs/>
          <w:color w:val="auto"/>
          <w:szCs w:val="21"/>
          <w:highlight w:val="none"/>
          <w:lang w:val="en-US" w:eastAsia="zh-CN"/>
        </w:rPr>
        <w:t>3</w:t>
      </w:r>
      <w:r>
        <w:rPr>
          <w:rFonts w:hint="eastAsia" w:ascii="宋体" w:hAnsi="宋体"/>
          <w:b/>
          <w:bCs/>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一档（0分）：对项目认识不足，表达不清晰，措施不具体；施工段划分不合理。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二档（1分）：对项目总体有认识，有一定的措施但部分不具体；施工段划分较合理，符合规范要求。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三档（2分）：对项目总体有一定认识，表达清晰、完整，措施具体有效；施工段划分清晰，符合规范要求。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四档（3分）：对项目总体有深刻认识，表达清晰、完整、严谨、合理，措施先进、具体、有效、成熟；施工段划分清晰、合理，符合规范要求。</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（2）主要施工方法（满分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一档（0分）：各主要分部施工方法不能满足项目需求，没有施工技术方案，不能指导具体施工并确保安全；</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二档（3分）：各主要分部施工方法能满足项目需求，有施工技术方案，能指导具体施工并确保安全；</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三档（6分）：各主要分部施工方法符合项目实际，有较详尽的施工技术方案，工艺较好、方法科学合理、可行，能指导具体施工并确保安全；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四档（10分）：各主要分部施工方法符合项目实际，有详尽的施工技术方案，工艺先进、方法科学合理、可行，能指导具体施工并确保安全。</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（3）施工进度、施工进度计划和各阶段进度的保证措施（满分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一档（0分）：关键线路不准确，计划编制不合理，关键节点的控制不可行；</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二档（3分）：关键线路基本准确，计划编制合理，关键节点的控制措施基本可行；</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三档（6分）：关键线路清晰、准确、完整，计划编制可行，关键节点的控制措施合理、可行；</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四档（10分）：关键线路清晰、准确、完整，计划编制合理、可行，关键节点的控制措施有力、合理、可行。</w:t>
      </w:r>
      <w:bookmarkStart w:id="870" w:name="_GoBack"/>
      <w:bookmarkEnd w:id="870"/>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（4）劳动力、材料和机械、检测设备投入计划及其保证措施（满分</w:t>
      </w:r>
      <w:r>
        <w:rPr>
          <w:rFonts w:hint="eastAsia" w:ascii="宋体" w:hAnsi="宋体"/>
          <w:b/>
          <w:bCs/>
          <w:color w:val="auto"/>
          <w:szCs w:val="21"/>
          <w:highlight w:val="none"/>
          <w:lang w:val="en-US" w:eastAsia="zh-CN"/>
        </w:rPr>
        <w:t>5</w:t>
      </w:r>
      <w:r>
        <w:rPr>
          <w:rFonts w:hint="eastAsia" w:ascii="宋体" w:hAnsi="宋体"/>
          <w:b/>
          <w:bCs/>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一档（0分）：投入计划与进度计划不呼应，不能满足施工需要；</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二档（1分）：投入计划与进度计划呼应，基本满足施工需要，调配投入计划基本合理；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三档（3分）：投入计划与进度计划呼应，基本满足施工需要，调配投入计划基本合理、准确；</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四档（5分）：投入计划与进度计划呼应，较好满足施工需要，调配投入计划合理、准确。 </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（5）关键施工技术、工艺及工程实施的重点、难点和解决方案（满分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一档（0分）：对项目关键技术有表述，对重点、难点有建议，解决方案不可行。</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 xml:space="preserve">二档（3分）：对项目关键技术有一定了解，对重点、难点有建议，解决方案基本可行。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 xml:space="preserve">三档（6分）：对项目关键技术、工艺有深入的表达，对重点、难点有合理的建议，解决方案经济、安全、基本可行。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 xml:space="preserve">四档（10分）：对项目关键技术、工艺有深入的表达，对重点、难点有先进合理的施工措施并有可行的安全措施，解决方案完整、经济、安全、切实可行，措施得力。 </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（6）安全文明施工措施（满分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一档（0分）：安全文明措施不得力，采用规范不正确。</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二档（3分）：有基本合理的措施，采用规范正确。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三档（6分）：针对项目实际情况，有合理的措施且具体、完整，采用规范正确。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四档（10分）：针对项目实际情况，有先进、具体、完整、可行的实施措施，采用规范正确、清晰。 </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（7）质量保证与承诺（满分</w:t>
      </w:r>
      <w:r>
        <w:rPr>
          <w:rFonts w:hint="eastAsia" w:ascii="宋体" w:hAnsi="宋体"/>
          <w:b/>
          <w:bCs/>
          <w:color w:val="auto"/>
          <w:szCs w:val="21"/>
          <w:highlight w:val="none"/>
          <w:lang w:val="en-US" w:eastAsia="zh-CN"/>
        </w:rPr>
        <w:t>9</w:t>
      </w:r>
      <w:r>
        <w:rPr>
          <w:rFonts w:hint="eastAsia" w:ascii="宋体" w:hAnsi="宋体"/>
          <w:b/>
          <w:bCs/>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一档（0分）：措施不可行。</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二档（3分）：针对项目实际提出先进、可行、具体的保证措施，满足招标文件的质量要求。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三档（6分）：具体措施可行，满足采购文件的质量要求。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olor w:val="auto"/>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9</w:t>
      </w:r>
      <w:r>
        <w:rPr>
          <w:rFonts w:hint="eastAsia" w:ascii="宋体" w:hAnsi="宋体" w:eastAsia="宋体" w:cs="宋体"/>
          <w:b w:val="0"/>
          <w:bCs/>
          <w:color w:val="auto"/>
          <w:sz w:val="21"/>
          <w:szCs w:val="21"/>
          <w:highlight w:val="none"/>
        </w:rPr>
        <w:t xml:space="preserve">分）：针对项目实际提出先进、可行、具体的保证措施，超过采购文件的质量要求及施工验收规范要求。 </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（8）新技术应用与承诺（满分</w:t>
      </w:r>
      <w:r>
        <w:rPr>
          <w:rFonts w:hint="eastAsia" w:ascii="宋体" w:hAnsi="宋体"/>
          <w:b/>
          <w:bCs/>
          <w:color w:val="auto"/>
          <w:szCs w:val="21"/>
          <w:highlight w:val="none"/>
          <w:lang w:val="en-US" w:eastAsia="zh-CN"/>
        </w:rPr>
        <w:t>3</w:t>
      </w:r>
      <w:r>
        <w:rPr>
          <w:rFonts w:hint="eastAsia" w:ascii="宋体" w:hAnsi="宋体"/>
          <w:b/>
          <w:bCs/>
          <w:color w:val="auto"/>
          <w:szCs w:val="21"/>
          <w:highlight w:val="none"/>
        </w:rPr>
        <w:t>分）</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一档（0分）：采用的新技术针对性不强或验证材料不可靠，对节约投资和工期没有具体收益。</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 xml:space="preserve">分）：有新技术措施，但验证材料不充分，对节约投资和工期可能有一定收益，对采用新技术可能产生的风险预见不足。 </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分）：针对项目实际，提出采用新技术的具体措施。新技术的验证材料可靠，对节约投资和工期有保证措施。对采用新技术可能产生的风险有一定的预见。</w:t>
      </w:r>
    </w:p>
    <w:p>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分）：针对项目实际，提出采用新技术的具体措施。新技术的验证材料可靠，对节约投资和工期的保证措施得力、具体、严谨。对采用新技术可能产生的风险预见充分，对新技术的实施有安全生产的可靠方案。</w:t>
      </w:r>
    </w:p>
    <w:p>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cs="宋体"/>
          <w:b/>
          <w:bCs/>
          <w:color w:val="auto"/>
          <w:kern w:val="2"/>
          <w:sz w:val="21"/>
          <w:szCs w:val="21"/>
          <w:highlight w:val="none"/>
          <w:lang w:val="en-US" w:eastAsia="zh-CN" w:bidi="ar-SA"/>
        </w:rPr>
        <w:t>3、</w:t>
      </w:r>
      <w:r>
        <w:rPr>
          <w:rFonts w:hint="eastAsia" w:ascii="宋体" w:hAnsi="宋体" w:eastAsia="宋体" w:cs="宋体"/>
          <w:b/>
          <w:bCs/>
          <w:color w:val="auto"/>
          <w:sz w:val="21"/>
          <w:szCs w:val="21"/>
          <w:highlight w:val="none"/>
          <w:lang w:val="en-US" w:eastAsia="zh-CN"/>
        </w:rPr>
        <w:t>业绩分</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lang w:eastAsia="zh-CN"/>
        </w:rPr>
        <w:t>满分</w:t>
      </w:r>
      <w:r>
        <w:rPr>
          <w:rFonts w:hint="eastAsia" w:ascii="宋体" w:hAnsi="宋体" w:eastAsia="宋体" w:cs="宋体"/>
          <w:b/>
          <w:bCs/>
          <w:color w:val="auto"/>
          <w:sz w:val="21"/>
          <w:szCs w:val="21"/>
          <w:highlight w:val="none"/>
          <w:lang w:val="en-US" w:eastAsia="zh-CN"/>
        </w:rPr>
        <w:t>1</w:t>
      </w:r>
      <w:r>
        <w:rPr>
          <w:rFonts w:hint="eastAsia" w:ascii="宋体" w:hAnsi="宋体" w:cs="宋体"/>
          <w:b/>
          <w:bCs/>
          <w:color w:val="auto"/>
          <w:sz w:val="21"/>
          <w:szCs w:val="21"/>
          <w:highlight w:val="none"/>
          <w:lang w:val="en-US" w:eastAsia="zh-CN"/>
        </w:rPr>
        <w:t>0</w:t>
      </w:r>
      <w:r>
        <w:rPr>
          <w:rFonts w:hint="eastAsia" w:ascii="宋体" w:hAnsi="宋体" w:eastAsia="宋体" w:cs="宋体"/>
          <w:b/>
          <w:bCs/>
          <w:color w:val="auto"/>
          <w:sz w:val="21"/>
          <w:szCs w:val="21"/>
          <w:highlight w:val="none"/>
        </w:rPr>
        <w:t>分</w:t>
      </w:r>
    </w:p>
    <w:p>
      <w:pPr>
        <w:pStyle w:val="27"/>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供应商202</w:t>
      </w:r>
      <w:r>
        <w:rPr>
          <w:rFonts w:hint="eastAsia"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lang w:val="en-US" w:eastAsia="zh-CN"/>
        </w:rPr>
        <w:t>年以来具有本工程类似业绩的每个得5分，满分10分[（业绩证明材料须提供中标（成交）通知书或施工承包合同协议书复印并加盖供应商公章（CA签章）]。</w:t>
      </w:r>
    </w:p>
    <w:p>
      <w:pPr>
        <w:pStyle w:val="27"/>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cs="宋体"/>
          <w:b/>
          <w:color w:val="auto"/>
          <w:sz w:val="21"/>
          <w:szCs w:val="21"/>
          <w:highlight w:val="none"/>
          <w:lang w:val="en-US" w:eastAsia="zh-CN"/>
        </w:rPr>
        <w:t>4、</w:t>
      </w:r>
      <w:r>
        <w:rPr>
          <w:rFonts w:hint="eastAsia" w:ascii="宋体" w:hAnsi="宋体" w:eastAsia="宋体" w:cs="宋体"/>
          <w:b/>
          <w:color w:val="auto"/>
          <w:sz w:val="21"/>
          <w:szCs w:val="21"/>
          <w:highlight w:val="none"/>
          <w:lang w:val="en-US" w:eastAsia="zh-CN"/>
        </w:rPr>
        <w:t>综合得分＝1+2+3</w:t>
      </w:r>
    </w:p>
    <w:p>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三、</w:t>
      </w:r>
      <w:r>
        <w:rPr>
          <w:rFonts w:hint="eastAsia" w:ascii="宋体" w:hAnsi="宋体" w:eastAsia="宋体" w:cs="宋体"/>
          <w:b/>
          <w:color w:val="auto"/>
          <w:sz w:val="21"/>
          <w:szCs w:val="21"/>
          <w:highlight w:val="none"/>
        </w:rPr>
        <w:t>推荐成交候选</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原则</w:t>
      </w:r>
    </w:p>
    <w:p>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四、特别说明</w:t>
      </w:r>
    </w:p>
    <w:p>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u w:val="double"/>
        </w:rPr>
      </w:pPr>
      <w:r>
        <w:rPr>
          <w:rFonts w:hint="eastAsia" w:ascii="宋体" w:hAnsi="宋体"/>
          <w:b/>
          <w:bCs/>
          <w:color w:val="auto"/>
          <w:szCs w:val="21"/>
          <w:highlight w:val="none"/>
          <w:u w:val="double"/>
        </w:rPr>
        <w:t>评审时，磋商小组</w:t>
      </w:r>
      <w:r>
        <w:rPr>
          <w:rFonts w:ascii="宋体" w:hAnsi="宋体"/>
          <w:b/>
          <w:bCs/>
          <w:color w:val="auto"/>
          <w:szCs w:val="21"/>
          <w:highlight w:val="none"/>
          <w:u w:val="double"/>
        </w:rPr>
        <w:t>认为</w:t>
      </w:r>
      <w:r>
        <w:rPr>
          <w:rFonts w:hint="eastAsia" w:ascii="宋体" w:hAnsi="宋体"/>
          <w:b/>
          <w:bCs/>
          <w:color w:val="auto"/>
          <w:szCs w:val="21"/>
          <w:highlight w:val="none"/>
          <w:u w:val="double"/>
        </w:rPr>
        <w:t>供应商</w:t>
      </w:r>
      <w:r>
        <w:rPr>
          <w:rFonts w:ascii="宋体" w:hAnsi="宋体"/>
          <w:b/>
          <w:bCs/>
          <w:color w:val="auto"/>
          <w:szCs w:val="21"/>
          <w:highlight w:val="none"/>
          <w:u w:val="double"/>
        </w:rPr>
        <w:t>的报价明显低于其他通过符合性审查</w:t>
      </w:r>
      <w:r>
        <w:rPr>
          <w:rFonts w:hint="eastAsia" w:ascii="宋体" w:hAnsi="宋体"/>
          <w:b/>
          <w:bCs/>
          <w:color w:val="auto"/>
          <w:szCs w:val="21"/>
          <w:highlight w:val="none"/>
          <w:u w:val="double"/>
        </w:rPr>
        <w:t>供应商</w:t>
      </w:r>
      <w:r>
        <w:rPr>
          <w:rFonts w:ascii="宋体" w:hAnsi="宋体"/>
          <w:b/>
          <w:bCs/>
          <w:color w:val="auto"/>
          <w:szCs w:val="21"/>
          <w:highlight w:val="none"/>
          <w:u w:val="double"/>
        </w:rPr>
        <w:t>的报价，有可能影响产品质量或者不能诚信履约的，应当要求其在评标现场合理的时间内提供书面说明，必要时提交相关证明材料；</w:t>
      </w:r>
      <w:r>
        <w:rPr>
          <w:rFonts w:hint="eastAsia" w:ascii="宋体" w:hAnsi="宋体"/>
          <w:b/>
          <w:bCs/>
          <w:color w:val="auto"/>
          <w:szCs w:val="21"/>
          <w:highlight w:val="none"/>
          <w:u w:val="double"/>
        </w:rPr>
        <w:t>供应商</w:t>
      </w:r>
      <w:r>
        <w:rPr>
          <w:rFonts w:ascii="宋体" w:hAnsi="宋体"/>
          <w:b/>
          <w:bCs/>
          <w:color w:val="auto"/>
          <w:szCs w:val="21"/>
          <w:highlight w:val="none"/>
          <w:u w:val="double"/>
        </w:rPr>
        <w:t>不能证明其报价合理性的，</w:t>
      </w:r>
      <w:r>
        <w:rPr>
          <w:rFonts w:hint="eastAsia" w:ascii="宋体" w:hAnsi="宋体"/>
          <w:b/>
          <w:bCs/>
          <w:color w:val="auto"/>
          <w:szCs w:val="21"/>
          <w:highlight w:val="none"/>
          <w:u w:val="double"/>
        </w:rPr>
        <w:t>磋商小组</w:t>
      </w:r>
      <w:r>
        <w:rPr>
          <w:rFonts w:ascii="宋体" w:hAnsi="宋体"/>
          <w:b/>
          <w:bCs/>
          <w:color w:val="auto"/>
          <w:szCs w:val="21"/>
          <w:highlight w:val="none"/>
          <w:u w:val="double"/>
        </w:rPr>
        <w:t>应当将其作为无效投标处理。</w:t>
      </w: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
        <w:numPr>
          <w:ilvl w:val="0"/>
          <w:numId w:val="0"/>
        </w:numPr>
        <w:tabs>
          <w:tab w:val="left" w:pos="0"/>
        </w:tabs>
        <w:autoSpaceDE w:val="0"/>
        <w:autoSpaceDN w:val="0"/>
        <w:adjustRightInd w:val="0"/>
        <w:spacing w:before="0" w:after="0" w:line="360" w:lineRule="auto"/>
        <w:jc w:val="center"/>
        <w:rPr>
          <w:rFonts w:hint="eastAsia" w:ascii="宋体" w:hAnsi="宋体" w:eastAsia="宋体" w:cs="宋体"/>
          <w:color w:val="auto"/>
          <w:sz w:val="28"/>
          <w:szCs w:val="28"/>
          <w:highlight w:val="none"/>
        </w:rPr>
      </w:pPr>
      <w:bookmarkStart w:id="144" w:name="_Toc25717"/>
      <w:bookmarkStart w:id="145" w:name="_Toc4774"/>
      <w:bookmarkStart w:id="146" w:name="_Toc8466"/>
      <w:bookmarkStart w:id="147" w:name="_Toc5821"/>
      <w:r>
        <w:rPr>
          <w:rFonts w:hint="eastAsia" w:ascii="宋体" w:hAnsi="宋体" w:eastAsia="宋体" w:cs="宋体"/>
          <w:color w:val="auto"/>
          <w:sz w:val="28"/>
          <w:szCs w:val="28"/>
          <w:highlight w:val="none"/>
          <w:lang w:eastAsia="zh-CN"/>
        </w:rPr>
        <w:t>第五章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采购合同（合同主要条款及格式）</w:t>
      </w:r>
      <w:bookmarkEnd w:id="144"/>
      <w:bookmarkEnd w:id="145"/>
      <w:bookmarkEnd w:id="146"/>
      <w:bookmarkEnd w:id="147"/>
    </w:p>
    <w:p>
      <w:pPr>
        <w:pStyle w:val="28"/>
        <w:numPr>
          <w:ilvl w:val="0"/>
          <w:numId w:val="4"/>
        </w:numPr>
        <w:spacing w:line="340" w:lineRule="exact"/>
        <w:jc w:val="center"/>
        <w:rPr>
          <w:rFonts w:hint="eastAsia" w:ascii="宋体" w:hAnsi="宋体" w:eastAsia="宋体" w:cs="宋体"/>
          <w:color w:val="auto"/>
          <w:sz w:val="21"/>
          <w:szCs w:val="21"/>
          <w:highlight w:val="none"/>
        </w:rPr>
      </w:pPr>
      <w:bookmarkStart w:id="148" w:name="_Toc522201558"/>
      <w:bookmarkStart w:id="149" w:name="_Toc30988"/>
      <w:bookmarkStart w:id="150" w:name="_Toc256000031"/>
      <w:bookmarkStart w:id="151" w:name="_Toc10014"/>
      <w:bookmarkStart w:id="152" w:name="_Toc24269"/>
      <w:r>
        <w:rPr>
          <w:rFonts w:hint="eastAsia" w:ascii="宋体" w:hAnsi="宋体" w:eastAsia="宋体" w:cs="宋体"/>
          <w:color w:val="auto"/>
          <w:sz w:val="21"/>
          <w:szCs w:val="21"/>
          <w:highlight w:val="none"/>
        </w:rPr>
        <w:t>合同协议书</w:t>
      </w:r>
      <w:bookmarkEnd w:id="148"/>
      <w:bookmarkEnd w:id="149"/>
      <w:bookmarkEnd w:id="150"/>
    </w:p>
    <w:p>
      <w:pPr>
        <w:pStyle w:val="28"/>
        <w:numPr>
          <w:ilvl w:val="0"/>
          <w:numId w:val="0"/>
        </w:numPr>
        <w:spacing w:line="340" w:lineRule="exact"/>
        <w:jc w:val="both"/>
        <w:rPr>
          <w:rFonts w:hint="eastAsia" w:ascii="宋体" w:hAnsi="宋体" w:eastAsia="宋体" w:cs="宋体"/>
          <w:color w:val="auto"/>
          <w:sz w:val="21"/>
          <w:szCs w:val="21"/>
          <w:highlight w:val="none"/>
        </w:rPr>
      </w:pPr>
    </w:p>
    <w:p>
      <w:pPr>
        <w:pStyle w:val="32"/>
        <w:adjustRightInd w:val="0"/>
        <w:snapToGrid w:val="0"/>
        <w:spacing w:line="40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发包人（全称）：</w:t>
      </w:r>
      <w:r>
        <w:rPr>
          <w:rFonts w:hint="eastAsia" w:ascii="宋体" w:hAnsi="宋体" w:cs="宋体"/>
          <w:color w:val="auto"/>
          <w:sz w:val="21"/>
          <w:szCs w:val="21"/>
          <w:highlight w:val="none"/>
          <w:u w:val="single"/>
          <w:lang w:eastAsia="zh-CN"/>
        </w:rPr>
        <w:t>中国共产党灌阳县委员会统一战线工作部</w:t>
      </w:r>
      <w:r>
        <w:rPr>
          <w:rFonts w:hint="eastAsia" w:ascii="宋体" w:hAnsi="宋体" w:eastAsia="宋体" w:cs="宋体"/>
          <w:color w:val="auto"/>
          <w:sz w:val="21"/>
          <w:szCs w:val="21"/>
          <w:highlight w:val="none"/>
          <w:lang w:val="en-US" w:eastAsia="zh-CN"/>
        </w:rPr>
        <w:t xml:space="preserve"> </w:t>
      </w:r>
    </w:p>
    <w:p>
      <w:pPr>
        <w:pStyle w:val="32"/>
        <w:adjustRightInd w:val="0"/>
        <w:snapToGrid w:val="0"/>
        <w:spacing w:line="4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承包人（全称）：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w:t>
      </w:r>
      <w:r>
        <w:rPr>
          <w:rFonts w:hint="eastAsia" w:ascii="宋体" w:hAnsi="宋体" w:eastAsia="宋体" w:cs="宋体"/>
          <w:color w:val="auto"/>
          <w:sz w:val="21"/>
          <w:szCs w:val="21"/>
          <w:highlight w:val="none"/>
          <w:lang w:eastAsia="zh-CN"/>
        </w:rPr>
        <w:t>民法典</w:t>
      </w:r>
      <w:r>
        <w:rPr>
          <w:rFonts w:hint="eastAsia" w:ascii="宋体" w:hAnsi="宋体" w:eastAsia="宋体" w:cs="宋体"/>
          <w:color w:val="auto"/>
          <w:sz w:val="21"/>
          <w:szCs w:val="21"/>
          <w:highlight w:val="none"/>
        </w:rPr>
        <w:t>》、《中华人民共和国建筑法》及有关法律规定，遵循平等、自愿、公平和诚实信用的原则，双方就</w:t>
      </w:r>
      <w:r>
        <w:rPr>
          <w:rFonts w:hint="eastAsia" w:ascii="宋体" w:hAnsi="宋体" w:cs="宋体"/>
          <w:color w:val="auto"/>
          <w:sz w:val="21"/>
          <w:szCs w:val="21"/>
          <w:highlight w:val="none"/>
          <w:u w:val="single"/>
          <w:lang w:val="en-US" w:eastAsia="zh-CN"/>
        </w:rPr>
        <w:t>灌阳县西山瑶族乡2024年少数民族特色村寨与乡村旅游融合发展（民宿）项目</w:t>
      </w:r>
      <w:r>
        <w:rPr>
          <w:rFonts w:hint="eastAsia" w:ascii="宋体" w:hAnsi="宋体" w:eastAsia="宋体" w:cs="宋体"/>
          <w:color w:val="auto"/>
          <w:sz w:val="21"/>
          <w:szCs w:val="21"/>
          <w:highlight w:val="none"/>
        </w:rPr>
        <w:t>及有关事项协商一致，共同达成如下协议：</w:t>
      </w:r>
      <w:bookmarkStart w:id="153" w:name="_Toc351203481"/>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54" w:name="_Toc406419153"/>
      <w:bookmarkStart w:id="155" w:name="_Toc406522028"/>
      <w:bookmarkStart w:id="156" w:name="_Toc20764"/>
      <w:bookmarkStart w:id="157" w:name="_Toc522201559"/>
      <w:bookmarkStart w:id="158" w:name="_Toc17678"/>
      <w:r>
        <w:rPr>
          <w:rFonts w:hint="eastAsia" w:ascii="宋体" w:hAnsi="宋体" w:eastAsia="宋体" w:cs="宋体"/>
          <w:b/>
          <w:color w:val="auto"/>
          <w:sz w:val="21"/>
          <w:szCs w:val="21"/>
          <w:highlight w:val="none"/>
        </w:rPr>
        <w:t>一、工程概况</w:t>
      </w:r>
      <w:bookmarkEnd w:id="153"/>
      <w:bookmarkEnd w:id="154"/>
      <w:bookmarkEnd w:id="155"/>
      <w:bookmarkEnd w:id="156"/>
      <w:bookmarkEnd w:id="157"/>
      <w:bookmarkEnd w:id="158"/>
    </w:p>
    <w:p>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1.工程名称：</w:t>
      </w:r>
      <w:r>
        <w:rPr>
          <w:rFonts w:hint="eastAsia" w:ascii="宋体" w:hAnsi="宋体" w:cs="宋体"/>
          <w:color w:val="auto"/>
          <w:sz w:val="21"/>
          <w:szCs w:val="21"/>
          <w:highlight w:val="none"/>
          <w:u w:val="single"/>
          <w:lang w:val="en-US" w:eastAsia="zh-CN"/>
        </w:rPr>
        <w:t>灌阳县西山瑶族乡2024年少数民族特色村寨与乡村旅游融合发展（民宿）项目</w:t>
      </w:r>
    </w:p>
    <w:p>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2.工程地点：</w:t>
      </w:r>
      <w:r>
        <w:rPr>
          <w:rFonts w:hint="eastAsia" w:ascii="宋体" w:hAnsi="宋体" w:cs="宋体"/>
          <w:color w:val="auto"/>
          <w:sz w:val="21"/>
          <w:szCs w:val="21"/>
          <w:highlight w:val="none"/>
          <w:u w:val="single"/>
          <w:lang w:val="en-US" w:eastAsia="zh-CN"/>
        </w:rPr>
        <w:t>灌阳县西山瑶族乡</w:t>
      </w:r>
    </w:p>
    <w:p>
      <w:pPr>
        <w:pStyle w:val="32"/>
        <w:adjustRightInd w:val="0"/>
        <w:snapToGrid w:val="0"/>
        <w:spacing w:line="400" w:lineRule="exact"/>
        <w:ind w:firstLine="45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3.资金来源：</w:t>
      </w:r>
      <w:r>
        <w:rPr>
          <w:rFonts w:hint="eastAsia" w:ascii="宋体" w:hAnsi="宋体" w:eastAsia="宋体" w:cs="宋体"/>
          <w:color w:val="auto"/>
          <w:sz w:val="21"/>
          <w:szCs w:val="21"/>
          <w:highlight w:val="none"/>
          <w:u w:val="single"/>
          <w:lang w:val="en-US" w:eastAsia="zh-CN"/>
        </w:rPr>
        <w:t>财政资金</w:t>
      </w:r>
    </w:p>
    <w:p>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.工程内容：</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Style w:val="32"/>
        <w:adjustRightInd w:val="0"/>
        <w:snapToGrid w:val="0"/>
        <w:spacing w:line="400" w:lineRule="exact"/>
        <w:ind w:firstLine="459"/>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.工程承包范围：</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59" w:name="_Toc351203482"/>
      <w:bookmarkStart w:id="160" w:name="_Toc522201560"/>
      <w:bookmarkStart w:id="161" w:name="_Toc349"/>
      <w:bookmarkStart w:id="162" w:name="_Toc406419154"/>
      <w:bookmarkStart w:id="163" w:name="_Toc406522029"/>
      <w:bookmarkStart w:id="164" w:name="_Toc3754"/>
      <w:r>
        <w:rPr>
          <w:rFonts w:hint="eastAsia" w:ascii="宋体" w:hAnsi="宋体" w:eastAsia="宋体" w:cs="宋体"/>
          <w:b/>
          <w:color w:val="auto"/>
          <w:sz w:val="21"/>
          <w:szCs w:val="21"/>
          <w:highlight w:val="none"/>
        </w:rPr>
        <w:t>二、合同工期</w:t>
      </w:r>
      <w:bookmarkEnd w:id="159"/>
      <w:bookmarkEnd w:id="160"/>
      <w:bookmarkEnd w:id="161"/>
      <w:bookmarkEnd w:id="162"/>
      <w:bookmarkEnd w:id="163"/>
      <w:bookmarkEnd w:id="164"/>
    </w:p>
    <w:p>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计划开工日期：</w:t>
      </w:r>
      <w:r>
        <w:rPr>
          <w:rFonts w:hint="eastAsia" w:ascii="宋体" w:hAnsi="宋体" w:eastAsia="宋体" w:cs="宋体"/>
          <w:color w:val="auto"/>
          <w:sz w:val="21"/>
          <w:szCs w:val="21"/>
          <w:highlight w:val="none"/>
          <w:u w:val="single"/>
          <w:lang w:val="en-US" w:eastAsia="zh-CN"/>
        </w:rPr>
        <w:t>2024</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日。（实际开工日期以开工令为准）</w:t>
      </w:r>
    </w:p>
    <w:p>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计划竣工日期：</w:t>
      </w:r>
      <w:r>
        <w:rPr>
          <w:rFonts w:hint="eastAsia" w:ascii="宋体" w:hAnsi="宋体" w:eastAsia="宋体" w:cs="宋体"/>
          <w:color w:val="auto"/>
          <w:sz w:val="21"/>
          <w:szCs w:val="21"/>
          <w:highlight w:val="none"/>
          <w:u w:val="single"/>
          <w:lang w:val="en-US" w:eastAsia="zh-CN"/>
        </w:rPr>
        <w:t>2024</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工期总日历天数：</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0</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天。工期总日历天数与根据前述计划开竣工日期计算的工期天数不一致的，以工期总日历天数为准。</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65" w:name="_Toc21915"/>
      <w:bookmarkStart w:id="166" w:name="_Toc15140"/>
      <w:bookmarkStart w:id="167" w:name="_Toc406522030"/>
      <w:bookmarkStart w:id="168" w:name="_Toc351203483"/>
      <w:bookmarkStart w:id="169" w:name="_Toc522201561"/>
      <w:bookmarkStart w:id="170" w:name="_Toc406419155"/>
      <w:r>
        <w:rPr>
          <w:rFonts w:hint="eastAsia" w:ascii="宋体" w:hAnsi="宋体" w:eastAsia="宋体" w:cs="宋体"/>
          <w:b/>
          <w:color w:val="auto"/>
          <w:sz w:val="21"/>
          <w:szCs w:val="21"/>
          <w:highlight w:val="none"/>
        </w:rPr>
        <w:t>三、质量标准</w:t>
      </w:r>
      <w:bookmarkEnd w:id="165"/>
      <w:bookmarkEnd w:id="166"/>
      <w:bookmarkEnd w:id="167"/>
      <w:bookmarkEnd w:id="168"/>
      <w:bookmarkEnd w:id="169"/>
      <w:bookmarkEnd w:id="170"/>
    </w:p>
    <w:p>
      <w:pPr>
        <w:tabs>
          <w:tab w:val="left" w:pos="210"/>
        </w:tabs>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质量标准：</w:t>
      </w:r>
      <w:r>
        <w:rPr>
          <w:rFonts w:hint="eastAsia" w:ascii="宋体" w:hAnsi="宋体" w:eastAsia="宋体" w:cs="宋体"/>
          <w:color w:val="auto"/>
          <w:sz w:val="21"/>
          <w:szCs w:val="21"/>
          <w:highlight w:val="none"/>
          <w:lang w:eastAsia="zh-CN"/>
        </w:rPr>
        <w:t>达到国家施工验收规范合格标准</w:t>
      </w:r>
      <w:r>
        <w:rPr>
          <w:rFonts w:hint="eastAsia" w:ascii="宋体" w:hAnsi="宋体" w:eastAsia="宋体" w:cs="宋体"/>
          <w:color w:val="auto"/>
          <w:sz w:val="21"/>
          <w:szCs w:val="21"/>
          <w:highlight w:val="none"/>
        </w:rPr>
        <w:t>。</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71" w:name="_Toc8031"/>
      <w:bookmarkStart w:id="172" w:name="_Toc522201562"/>
      <w:bookmarkStart w:id="173" w:name="_Toc20328"/>
      <w:bookmarkStart w:id="174" w:name="_Toc406419156"/>
      <w:bookmarkStart w:id="175" w:name="_Toc351203484"/>
      <w:bookmarkStart w:id="176" w:name="_Toc406522031"/>
      <w:r>
        <w:rPr>
          <w:rFonts w:hint="eastAsia" w:ascii="宋体" w:hAnsi="宋体" w:eastAsia="宋体" w:cs="宋体"/>
          <w:b/>
          <w:color w:val="auto"/>
          <w:sz w:val="21"/>
          <w:szCs w:val="21"/>
          <w:highlight w:val="none"/>
        </w:rPr>
        <w:t>四、签约合同价与合同价格形式</w:t>
      </w:r>
      <w:bookmarkEnd w:id="171"/>
      <w:bookmarkEnd w:id="172"/>
      <w:bookmarkEnd w:id="173"/>
      <w:bookmarkEnd w:id="174"/>
      <w:bookmarkEnd w:id="175"/>
      <w:bookmarkEnd w:id="176"/>
    </w:p>
    <w:p>
      <w:pPr>
        <w:pStyle w:val="32"/>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签约合同价为：人民币大写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(小写¥</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元)。以实际完成工程量编制结算报告，</w:t>
      </w:r>
      <w:r>
        <w:rPr>
          <w:rFonts w:hint="eastAsia" w:ascii="宋体" w:hAnsi="宋体" w:cs="宋体"/>
          <w:color w:val="auto"/>
          <w:sz w:val="21"/>
          <w:szCs w:val="21"/>
          <w:highlight w:val="none"/>
          <w:lang w:eastAsia="zh-CN"/>
        </w:rPr>
        <w:t>报告</w:t>
      </w:r>
      <w:r>
        <w:rPr>
          <w:rFonts w:hint="eastAsia" w:ascii="宋体" w:hAnsi="宋体" w:eastAsia="宋体" w:cs="宋体"/>
          <w:color w:val="auto"/>
          <w:sz w:val="21"/>
          <w:szCs w:val="21"/>
          <w:highlight w:val="none"/>
        </w:rPr>
        <w:t>由建设单位委托具有造价咨询资质单位审核的双方确认的结算造价作为本项目正式合同价进行结算。</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合同价格形式：</w:t>
      </w:r>
      <w:r>
        <w:rPr>
          <w:rFonts w:hint="eastAsia" w:ascii="宋体" w:hAnsi="宋体" w:eastAsia="宋体" w:cs="宋体"/>
          <w:color w:val="auto"/>
          <w:sz w:val="21"/>
          <w:szCs w:val="21"/>
          <w:highlight w:val="none"/>
          <w:u w:val="single"/>
        </w:rPr>
        <w:t>采用固定综合单价合同形式</w:t>
      </w:r>
      <w:r>
        <w:rPr>
          <w:rFonts w:hint="eastAsia" w:ascii="宋体" w:hAnsi="宋体" w:eastAsia="宋体" w:cs="宋体"/>
          <w:color w:val="auto"/>
          <w:sz w:val="21"/>
          <w:szCs w:val="21"/>
          <w:highlight w:val="none"/>
        </w:rPr>
        <w:t>。</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77" w:name="_Toc351203485"/>
      <w:bookmarkStart w:id="178" w:name="_Toc10860"/>
      <w:bookmarkStart w:id="179" w:name="_Toc522201563"/>
      <w:bookmarkStart w:id="180" w:name="_Toc406419157"/>
      <w:bookmarkStart w:id="181" w:name="_Toc406522032"/>
      <w:bookmarkStart w:id="182" w:name="_Toc2133"/>
      <w:r>
        <w:rPr>
          <w:rFonts w:hint="eastAsia" w:ascii="宋体" w:hAnsi="宋体" w:eastAsia="宋体" w:cs="宋体"/>
          <w:b/>
          <w:color w:val="auto"/>
          <w:sz w:val="21"/>
          <w:szCs w:val="21"/>
          <w:highlight w:val="none"/>
        </w:rPr>
        <w:t>五、</w:t>
      </w:r>
      <w:bookmarkEnd w:id="177"/>
      <w:r>
        <w:rPr>
          <w:rFonts w:hint="eastAsia" w:ascii="宋体" w:hAnsi="宋体" w:eastAsia="宋体" w:cs="宋体"/>
          <w:b/>
          <w:color w:val="auto"/>
          <w:sz w:val="21"/>
          <w:szCs w:val="21"/>
          <w:highlight w:val="none"/>
        </w:rPr>
        <w:t>项目经理</w:t>
      </w:r>
      <w:bookmarkEnd w:id="178"/>
      <w:bookmarkEnd w:id="179"/>
      <w:bookmarkEnd w:id="180"/>
      <w:bookmarkEnd w:id="181"/>
      <w:bookmarkEnd w:id="182"/>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承包人项目经理：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联系方式：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83" w:name="_Toc23735"/>
      <w:bookmarkStart w:id="184" w:name="_Toc406419158"/>
      <w:bookmarkStart w:id="185" w:name="_Toc351203486"/>
      <w:bookmarkStart w:id="186" w:name="_Toc406522033"/>
      <w:bookmarkStart w:id="187" w:name="_Toc522201564"/>
      <w:bookmarkStart w:id="188" w:name="_Toc29699"/>
      <w:r>
        <w:rPr>
          <w:rFonts w:hint="eastAsia" w:ascii="宋体" w:hAnsi="宋体" w:eastAsia="宋体" w:cs="宋体"/>
          <w:b/>
          <w:color w:val="auto"/>
          <w:sz w:val="21"/>
          <w:szCs w:val="21"/>
          <w:highlight w:val="none"/>
        </w:rPr>
        <w:t>六、合同文件构成</w:t>
      </w:r>
      <w:bookmarkEnd w:id="183"/>
      <w:bookmarkEnd w:id="184"/>
      <w:bookmarkEnd w:id="185"/>
      <w:bookmarkEnd w:id="186"/>
      <w:bookmarkEnd w:id="187"/>
      <w:bookmarkEnd w:id="188"/>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bookmarkStart w:id="189" w:name="_Toc406522034"/>
      <w:bookmarkStart w:id="190" w:name="_Toc406419159"/>
      <w:bookmarkStart w:id="191" w:name="_Toc7021"/>
      <w:bookmarkStart w:id="192" w:name="_Toc351203487"/>
      <w:r>
        <w:rPr>
          <w:rFonts w:hint="eastAsia" w:ascii="宋体" w:hAnsi="宋体" w:eastAsia="宋体" w:cs="宋体"/>
          <w:color w:val="auto"/>
          <w:sz w:val="21"/>
          <w:szCs w:val="21"/>
          <w:highlight w:val="none"/>
        </w:rPr>
        <w:t>本协议书与下列文件一起构成合同文件：</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（1）中标通知书（如果有）；</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（2）投标函及其附录（如果有）； </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（3）专用合同条款及其附件；</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（4）通用合同条款；</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（5）技术标准和要求；</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（6）图纸；</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（7）已标价工程量清单或预算书；</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（8）其他合同文件。</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在合同订立及履行过程中形成的与合同有关的文件均构成合同文件组成部分。</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上述各项合同文件包括合同当事人就该项合同文件所作出的补充和修改，属于同一类内容的文件，应以最新签署的为准。专用合同条款及其附件须经合同当事人签字或盖章。</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93" w:name="_Toc522201565"/>
      <w:bookmarkStart w:id="194" w:name="_Toc4424"/>
      <w:r>
        <w:rPr>
          <w:rFonts w:hint="eastAsia" w:ascii="宋体" w:hAnsi="宋体" w:eastAsia="宋体" w:cs="宋体"/>
          <w:b/>
          <w:color w:val="auto"/>
          <w:sz w:val="21"/>
          <w:szCs w:val="21"/>
          <w:highlight w:val="none"/>
        </w:rPr>
        <w:t>七、承诺</w:t>
      </w:r>
      <w:bookmarkEnd w:id="189"/>
      <w:bookmarkEnd w:id="190"/>
      <w:bookmarkEnd w:id="191"/>
      <w:bookmarkEnd w:id="192"/>
      <w:bookmarkEnd w:id="193"/>
      <w:bookmarkEnd w:id="194"/>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bookmarkStart w:id="195" w:name="_Toc351203488"/>
      <w:bookmarkStart w:id="196" w:name="_Toc406419160"/>
      <w:bookmarkStart w:id="197" w:name="_Toc406522035"/>
      <w:bookmarkStart w:id="198" w:name="_Toc11962"/>
      <w:r>
        <w:rPr>
          <w:rFonts w:hint="eastAsia" w:ascii="宋体" w:hAnsi="宋体" w:eastAsia="宋体" w:cs="宋体"/>
          <w:color w:val="auto"/>
          <w:sz w:val="21"/>
          <w:szCs w:val="21"/>
          <w:highlight w:val="none"/>
        </w:rPr>
        <w:t>1.发包人承诺按照法律规定履行项目审批手续、筹集工程建设资金并按照合同约定的期限和方式支付合同价款。</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2.承包人承诺按照法律规定及合同约定组织完成工程施工，确保工程质量和安全，不进行转包及违法分包，并在缺陷责任期及保修期内承担相应的工程维修责任。</w:t>
      </w:r>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3.发包人和承包人通过招投标形式签订合同的，双方理解并承诺不再就同一工程另行签订与合同实质性内容相背离的协议。</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99" w:name="_Toc522201566"/>
      <w:bookmarkStart w:id="200" w:name="_Toc28024"/>
      <w:r>
        <w:rPr>
          <w:rFonts w:hint="eastAsia" w:ascii="宋体" w:hAnsi="宋体" w:eastAsia="宋体" w:cs="宋体"/>
          <w:b/>
          <w:color w:val="auto"/>
          <w:sz w:val="21"/>
          <w:szCs w:val="21"/>
          <w:highlight w:val="none"/>
        </w:rPr>
        <w:t>八、词语含义</w:t>
      </w:r>
      <w:bookmarkEnd w:id="195"/>
      <w:bookmarkEnd w:id="196"/>
      <w:bookmarkEnd w:id="197"/>
      <w:bookmarkEnd w:id="198"/>
      <w:bookmarkEnd w:id="199"/>
      <w:bookmarkEnd w:id="200"/>
    </w:p>
    <w:p>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本协议书中词语含义与第二部分通用合同条款中赋予的含义相同。</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01" w:name="_Toc406419161"/>
      <w:bookmarkStart w:id="202" w:name="_Toc522201567"/>
      <w:bookmarkStart w:id="203" w:name="_Toc351203489"/>
      <w:bookmarkStart w:id="204" w:name="_Toc32285"/>
      <w:bookmarkStart w:id="205" w:name="_Toc22011"/>
      <w:bookmarkStart w:id="206" w:name="_Toc406522036"/>
      <w:r>
        <w:rPr>
          <w:rFonts w:hint="eastAsia" w:ascii="宋体" w:hAnsi="宋体" w:eastAsia="宋体" w:cs="宋体"/>
          <w:b/>
          <w:color w:val="auto"/>
          <w:sz w:val="21"/>
          <w:szCs w:val="21"/>
          <w:highlight w:val="none"/>
        </w:rPr>
        <w:t>九、签订时间</w:t>
      </w:r>
      <w:bookmarkEnd w:id="201"/>
      <w:bookmarkEnd w:id="202"/>
      <w:bookmarkEnd w:id="203"/>
      <w:bookmarkEnd w:id="204"/>
      <w:bookmarkEnd w:id="205"/>
      <w:bookmarkEnd w:id="206"/>
    </w:p>
    <w:p>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本合同于</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年</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月</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日签订。</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07" w:name="_Toc3692"/>
      <w:bookmarkStart w:id="208" w:name="_Toc22784"/>
      <w:bookmarkStart w:id="209" w:name="_Toc522201568"/>
      <w:bookmarkStart w:id="210" w:name="_Toc406522037"/>
      <w:bookmarkStart w:id="211" w:name="_Toc406419162"/>
      <w:bookmarkStart w:id="212" w:name="_Toc351203490"/>
      <w:r>
        <w:rPr>
          <w:rFonts w:hint="eastAsia" w:ascii="宋体" w:hAnsi="宋体" w:eastAsia="宋体" w:cs="宋体"/>
          <w:b/>
          <w:color w:val="auto"/>
          <w:sz w:val="21"/>
          <w:szCs w:val="21"/>
          <w:highlight w:val="none"/>
        </w:rPr>
        <w:t>十、签订地点</w:t>
      </w:r>
      <w:bookmarkEnd w:id="207"/>
      <w:bookmarkEnd w:id="208"/>
      <w:bookmarkEnd w:id="209"/>
      <w:bookmarkEnd w:id="210"/>
      <w:bookmarkEnd w:id="211"/>
      <w:bookmarkEnd w:id="212"/>
    </w:p>
    <w:p>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本合同在</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签订。</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13" w:name="_Toc522201569"/>
      <w:bookmarkStart w:id="214" w:name="_Toc351203491"/>
      <w:bookmarkStart w:id="215" w:name="_Toc406522038"/>
      <w:bookmarkStart w:id="216" w:name="_Toc27791"/>
      <w:bookmarkStart w:id="217" w:name="_Toc406419163"/>
      <w:bookmarkStart w:id="218" w:name="_Toc9576"/>
      <w:r>
        <w:rPr>
          <w:rFonts w:hint="eastAsia" w:ascii="宋体" w:hAnsi="宋体" w:eastAsia="宋体" w:cs="宋体"/>
          <w:b/>
          <w:color w:val="auto"/>
          <w:sz w:val="21"/>
          <w:szCs w:val="21"/>
          <w:highlight w:val="none"/>
        </w:rPr>
        <w:t>十一、补充协议</w:t>
      </w:r>
      <w:bookmarkEnd w:id="213"/>
      <w:bookmarkEnd w:id="214"/>
      <w:bookmarkEnd w:id="215"/>
      <w:bookmarkEnd w:id="216"/>
      <w:bookmarkEnd w:id="217"/>
      <w:bookmarkEnd w:id="218"/>
    </w:p>
    <w:p>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合同未尽事宜，合同当事人另行签订补充协议，补充协议是合同的组成部分。</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19" w:name="_Toc406522039"/>
      <w:bookmarkStart w:id="220" w:name="_Toc522201570"/>
      <w:bookmarkStart w:id="221" w:name="_Toc32443"/>
      <w:bookmarkStart w:id="222" w:name="_Toc406419164"/>
      <w:bookmarkStart w:id="223" w:name="_Toc9517"/>
      <w:bookmarkStart w:id="224" w:name="_Toc351203492"/>
      <w:r>
        <w:rPr>
          <w:rFonts w:hint="eastAsia" w:ascii="宋体" w:hAnsi="宋体" w:eastAsia="宋体" w:cs="宋体"/>
          <w:b/>
          <w:color w:val="auto"/>
          <w:sz w:val="21"/>
          <w:szCs w:val="21"/>
          <w:highlight w:val="none"/>
        </w:rPr>
        <w:t>十二、合同生效</w:t>
      </w:r>
      <w:bookmarkEnd w:id="219"/>
      <w:bookmarkEnd w:id="220"/>
      <w:bookmarkEnd w:id="221"/>
      <w:bookmarkEnd w:id="222"/>
      <w:bookmarkEnd w:id="223"/>
      <w:bookmarkEnd w:id="224"/>
    </w:p>
    <w:p>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本合同自</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color w:val="auto"/>
          <w:sz w:val="21"/>
          <w:szCs w:val="21"/>
          <w:highlight w:val="none"/>
          <w:u w:val="single"/>
        </w:rPr>
        <w:t>双方法定代表人或其委托代理人签字或盖章并加盖单位</w:t>
      </w:r>
      <w:r>
        <w:rPr>
          <w:rFonts w:hint="eastAsia" w:ascii="宋体" w:hAnsi="宋体" w:eastAsia="宋体" w:cs="宋体"/>
          <w:color w:val="auto"/>
          <w:sz w:val="21"/>
          <w:szCs w:val="21"/>
          <w:highlight w:val="none"/>
          <w:u w:val="single"/>
          <w:lang w:eastAsia="zh-CN"/>
        </w:rPr>
        <w:t>公</w:t>
      </w:r>
      <w:r>
        <w:rPr>
          <w:rFonts w:hint="eastAsia" w:ascii="宋体" w:hAnsi="宋体" w:eastAsia="宋体" w:cs="宋体"/>
          <w:color w:val="auto"/>
          <w:sz w:val="21"/>
          <w:szCs w:val="21"/>
          <w:highlight w:val="none"/>
          <w:u w:val="single"/>
        </w:rPr>
        <w:t>章后</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生效。</w:t>
      </w:r>
    </w:p>
    <w:p>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25" w:name="_Toc406419165"/>
      <w:bookmarkStart w:id="226" w:name="_Toc14945"/>
      <w:bookmarkStart w:id="227" w:name="_Toc16804"/>
      <w:bookmarkStart w:id="228" w:name="_Toc351203493"/>
      <w:bookmarkStart w:id="229" w:name="_Toc406522040"/>
      <w:bookmarkStart w:id="230" w:name="_Toc522201571"/>
      <w:r>
        <w:rPr>
          <w:rFonts w:hint="eastAsia" w:ascii="宋体" w:hAnsi="宋体" w:eastAsia="宋体" w:cs="宋体"/>
          <w:b/>
          <w:color w:val="auto"/>
          <w:sz w:val="21"/>
          <w:szCs w:val="21"/>
          <w:highlight w:val="none"/>
        </w:rPr>
        <w:t>十三、合同份数</w:t>
      </w:r>
      <w:bookmarkEnd w:id="225"/>
      <w:bookmarkEnd w:id="226"/>
      <w:bookmarkEnd w:id="227"/>
      <w:bookmarkEnd w:id="228"/>
      <w:bookmarkEnd w:id="229"/>
      <w:bookmarkEnd w:id="230"/>
    </w:p>
    <w:p>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本合同一式</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份，均具有同等法律效力，发包人执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份，承包人执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份，招标代理机构执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w:t>
      </w:r>
    </w:p>
    <w:p>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p>
    <w:tbl>
      <w:tblPr>
        <w:tblStyle w:val="19"/>
        <w:tblW w:w="8900" w:type="dxa"/>
        <w:tblInd w:w="4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3"/>
        <w:gridCol w:w="45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发包人：（公章）</w:t>
            </w:r>
          </w:p>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c>
          <w:tcPr>
            <w:tcW w:w="4597" w:type="dxa"/>
            <w:vAlign w:val="top"/>
          </w:tcPr>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承包人：（公章）</w:t>
            </w:r>
          </w:p>
          <w:p>
            <w:pPr>
              <w:pStyle w:val="8"/>
              <w:rPr>
                <w:rFonts w:hint="eastAsia" w:ascii="宋体" w:hAnsi="宋体" w:eastAsia="宋体" w:cs="宋体"/>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ascii="宋体" w:hAnsi="宋体" w:eastAsia="宋体" w:cs="宋体"/>
                <w:color w:val="auto"/>
                <w:sz w:val="21"/>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ascii="宋体" w:hAnsi="宋体" w:eastAsia="宋体" w:cs="宋体"/>
                <w:color w:val="auto"/>
                <w:sz w:val="21"/>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统一社会信用代码：</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统一社会信用代码：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r>
              <w:rPr>
                <w:rFonts w:hint="eastAsia" w:ascii="宋体" w:hAnsi="宋体" w:eastAsia="宋体" w:cs="宋体"/>
                <w:color w:val="auto"/>
                <w:sz w:val="21"/>
                <w:szCs w:val="21"/>
                <w:highlight w:val="none"/>
                <w:u w:val="non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邮政编码：</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邮政编码：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电话：</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传真：</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传真：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电子信箱：</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电子信箱：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开户银行：</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开户银行：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pPr>
              <w:spacing w:line="360" w:lineRule="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账号：</w:t>
            </w:r>
          </w:p>
        </w:tc>
        <w:tc>
          <w:tcPr>
            <w:tcW w:w="4597" w:type="dxa"/>
            <w:vAlign w:val="top"/>
          </w:tcPr>
          <w:p>
            <w:pPr>
              <w:spacing w:line="360" w:lineRule="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 xml:space="preserve">账号： </w:t>
            </w:r>
          </w:p>
        </w:tc>
      </w:tr>
    </w:tbl>
    <w:p>
      <w:pPr>
        <w:pStyle w:val="32"/>
        <w:adjustRightInd w:val="0"/>
        <w:snapToGrid w:val="0"/>
        <w:spacing w:line="400" w:lineRule="exact"/>
        <w:jc w:val="center"/>
        <w:rPr>
          <w:rFonts w:hint="eastAsia" w:ascii="宋体" w:hAnsi="宋体" w:eastAsia="宋体" w:cs="宋体"/>
          <w:b/>
          <w:bCs/>
          <w:color w:val="auto"/>
          <w:sz w:val="21"/>
          <w:szCs w:val="21"/>
          <w:highlight w:val="none"/>
        </w:rPr>
      </w:pPr>
    </w:p>
    <w:p>
      <w:pPr>
        <w:pStyle w:val="28"/>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br w:type="page"/>
      </w:r>
      <w:bookmarkStart w:id="231" w:name="_Toc2370"/>
      <w:bookmarkStart w:id="232" w:name="_Toc256000032"/>
      <w:bookmarkStart w:id="233" w:name="_Toc351203494"/>
      <w:bookmarkStart w:id="234" w:name="_Toc30906"/>
      <w:bookmarkStart w:id="235" w:name="_Toc522201572"/>
      <w:r>
        <w:rPr>
          <w:rFonts w:hint="eastAsia" w:ascii="宋体" w:hAnsi="宋体" w:eastAsia="宋体" w:cs="宋体"/>
          <w:color w:val="auto"/>
          <w:sz w:val="21"/>
          <w:szCs w:val="21"/>
          <w:highlight w:val="none"/>
        </w:rPr>
        <w:t>第二部分 通用合同条款</w:t>
      </w:r>
      <w:bookmarkEnd w:id="231"/>
      <w:bookmarkEnd w:id="232"/>
      <w:bookmarkEnd w:id="233"/>
      <w:bookmarkEnd w:id="234"/>
      <w:bookmarkEnd w:id="235"/>
      <w:bookmarkStart w:id="236" w:name="_Toc337558727"/>
    </w:p>
    <w:bookmarkEnd w:id="236"/>
    <w:p>
      <w:pPr>
        <w:pStyle w:val="4"/>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b w:val="0"/>
          <w:bCs w:val="0"/>
          <w:color w:val="auto"/>
          <w:sz w:val="21"/>
          <w:szCs w:val="21"/>
          <w:highlight w:val="none"/>
        </w:rPr>
      </w:pPr>
      <w:bookmarkStart w:id="237" w:name="_Toc16978"/>
    </w:p>
    <w:p>
      <w:pPr>
        <w:pStyle w:val="4"/>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本工程的施工合同通用条款按国家工商行政管理局和建设部颁布的：《建设工程施工合同（示范文本）》（GF-2017-0201）通用条款执行。</w:t>
      </w:r>
      <w:bookmarkEnd w:id="237"/>
    </w:p>
    <w:p>
      <w:pPr>
        <w:pStyle w:val="31"/>
        <w:ind w:left="63" w:right="63"/>
        <w:rPr>
          <w:rFonts w:hint="eastAsia" w:ascii="宋体" w:hAnsi="宋体" w:eastAsia="宋体" w:cs="宋体"/>
          <w:color w:val="auto"/>
          <w:sz w:val="21"/>
          <w:szCs w:val="21"/>
          <w:highlight w:val="none"/>
        </w:rPr>
        <w:sectPr>
          <w:footerReference r:id="rId10" w:type="default"/>
          <w:pgSz w:w="11906" w:h="16838"/>
          <w:pgMar w:top="1134" w:right="1134" w:bottom="1134" w:left="1418" w:header="851" w:footer="992" w:gutter="0"/>
          <w:pgNumType w:fmt="decimal"/>
          <w:cols w:space="720" w:num="1"/>
          <w:docGrid w:type="lines" w:linePitch="312" w:charSpace="0"/>
        </w:sectPr>
      </w:pPr>
    </w:p>
    <w:p>
      <w:pPr>
        <w:pStyle w:val="28"/>
        <w:spacing w:line="400" w:lineRule="atLeast"/>
        <w:jc w:val="center"/>
        <w:rPr>
          <w:rFonts w:hint="eastAsia" w:ascii="宋体" w:hAnsi="宋体" w:eastAsia="宋体" w:cs="宋体"/>
          <w:color w:val="auto"/>
          <w:sz w:val="21"/>
          <w:szCs w:val="21"/>
          <w:highlight w:val="none"/>
        </w:rPr>
      </w:pPr>
      <w:bookmarkStart w:id="238" w:name="_Toc256000171"/>
      <w:bookmarkStart w:id="239" w:name="_Toc20404"/>
      <w:r>
        <w:rPr>
          <w:rFonts w:hint="eastAsia" w:ascii="宋体" w:hAnsi="宋体" w:eastAsia="宋体" w:cs="宋体"/>
          <w:color w:val="auto"/>
          <w:sz w:val="21"/>
          <w:szCs w:val="21"/>
          <w:highlight w:val="none"/>
        </w:rPr>
        <w:t>第三部分 专用合同条款</w:t>
      </w:r>
      <w:bookmarkEnd w:id="238"/>
      <w:bookmarkEnd w:id="239"/>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240" w:name="_Toc351203633"/>
      <w:bookmarkStart w:id="241" w:name="_Toc267251492"/>
      <w:bookmarkStart w:id="242" w:name="_Toc267251509"/>
      <w:bookmarkStart w:id="243" w:name="_Toc267251508"/>
      <w:bookmarkStart w:id="244" w:name="_Toc267251507"/>
      <w:bookmarkStart w:id="245" w:name="_Toc267251510"/>
      <w:bookmarkStart w:id="246" w:name="_Toc267251515"/>
      <w:bookmarkStart w:id="247" w:name="_Toc267251498"/>
      <w:bookmarkStart w:id="248" w:name="_Toc267251503"/>
      <w:bookmarkStart w:id="249" w:name="_Toc267251513"/>
      <w:bookmarkStart w:id="250" w:name="_Toc267251494"/>
      <w:bookmarkStart w:id="251" w:name="_Toc267251501"/>
      <w:bookmarkStart w:id="252" w:name="_Toc267251511"/>
      <w:bookmarkStart w:id="253" w:name="_Toc267251491"/>
      <w:bookmarkStart w:id="254" w:name="_Toc267251495"/>
      <w:bookmarkStart w:id="255" w:name="_Toc267251499"/>
      <w:bookmarkStart w:id="256" w:name="_Toc267251493"/>
      <w:bookmarkStart w:id="257" w:name="_Toc267251504"/>
      <w:bookmarkStart w:id="258" w:name="_Toc267251496"/>
      <w:bookmarkStart w:id="259" w:name="_Toc267251502"/>
      <w:bookmarkStart w:id="260" w:name="_Toc267251497"/>
      <w:bookmarkStart w:id="261" w:name="_Toc267251506"/>
      <w:bookmarkStart w:id="262" w:name="_Toc267251514"/>
      <w:r>
        <w:rPr>
          <w:rFonts w:hint="eastAsia" w:ascii="宋体" w:hAnsi="宋体" w:eastAsia="宋体" w:cs="宋体"/>
          <w:b w:val="0"/>
          <w:color w:val="auto"/>
          <w:sz w:val="21"/>
          <w:szCs w:val="21"/>
          <w:highlight w:val="none"/>
        </w:rPr>
        <w:t>1</w:t>
      </w:r>
      <w:bookmarkStart w:id="263" w:name="_Toc296346657"/>
      <w:bookmarkStart w:id="264" w:name="_Toc296944495"/>
      <w:bookmarkStart w:id="265" w:name="_Toc297048342"/>
      <w:bookmarkStart w:id="266" w:name="_Toc297120456"/>
      <w:bookmarkStart w:id="267" w:name="_Toc292559361"/>
      <w:bookmarkStart w:id="268" w:name="_Toc296347155"/>
      <w:bookmarkStart w:id="269" w:name="_Toc296891196"/>
      <w:bookmarkStart w:id="270" w:name="_Toc296503156"/>
      <w:bookmarkStart w:id="271" w:name="_Toc296890984"/>
      <w:bookmarkStart w:id="272" w:name="_Toc292559866"/>
      <w:r>
        <w:rPr>
          <w:rFonts w:hint="eastAsia" w:ascii="宋体" w:hAnsi="宋体" w:eastAsia="宋体" w:cs="宋体"/>
          <w:b w:val="0"/>
          <w:color w:val="auto"/>
          <w:sz w:val="21"/>
          <w:szCs w:val="21"/>
          <w:highlight w:val="none"/>
        </w:rPr>
        <w:t>. 一般约定</w:t>
      </w:r>
      <w:bookmarkEnd w:id="240"/>
    </w:p>
    <w:bookmarkEnd w:id="263"/>
    <w:bookmarkEnd w:id="264"/>
    <w:bookmarkEnd w:id="265"/>
    <w:bookmarkEnd w:id="266"/>
    <w:bookmarkEnd w:id="267"/>
    <w:bookmarkEnd w:id="268"/>
    <w:bookmarkEnd w:id="269"/>
    <w:bookmarkEnd w:id="270"/>
    <w:bookmarkEnd w:id="271"/>
    <w:bookmarkEnd w:id="272"/>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词语定义</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1.1.1合同</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1.1.1.10其他合同文件包括：</w:t>
      </w:r>
      <w:r>
        <w:rPr>
          <w:rFonts w:hint="eastAsia" w:ascii="宋体" w:hAnsi="宋体" w:eastAsia="宋体" w:cs="宋体"/>
          <w:color w:val="auto"/>
          <w:kern w:val="0"/>
          <w:sz w:val="21"/>
          <w:szCs w:val="21"/>
          <w:highlight w:val="none"/>
          <w:u w:val="single"/>
        </w:rPr>
        <w:t>（1）本合同协议书；（2）中标通知书；（3）投标书及其附件；（4）本合同专用条款及补充条款；（5）本合同通用条款；（6）标准、规范及有关技术文件；（7）图纸（含图纸修改通知单及图纸设计变更文件）；（8）工程量清单；（9）本工程预算控制价造价成果文件、招标文件及其他合同文件（10）履行合同过程中双方书面确认的对合同内容有实际影响的会议纪要、签证、设计变更等资料</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 合同当事人及其他相关方</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1.1.2.4监理人：</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资质类别和等级：</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1.1.2.5 设计人：</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资质类别和等级：</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 工程和设备</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1.1.3.7 作为施工现场组成部分的其他场所包括：</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1.1.3.9 永久占地包括： </w:t>
      </w:r>
      <w:r>
        <w:rPr>
          <w:rFonts w:hint="eastAsia" w:ascii="宋体" w:hAnsi="宋体" w:eastAsia="宋体" w:cs="宋体"/>
          <w:color w:val="auto"/>
          <w:sz w:val="21"/>
          <w:szCs w:val="21"/>
          <w:highlight w:val="none"/>
          <w:u w:val="single"/>
        </w:rPr>
        <w:t>按合同约定建造并移交给发包人的工程（包括工程设备）                       所占用的土地</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1.1.3.10 临时占地包括：</w:t>
      </w:r>
      <w:r>
        <w:rPr>
          <w:rFonts w:hint="eastAsia" w:ascii="宋体" w:hAnsi="宋体" w:eastAsia="宋体" w:cs="宋体"/>
          <w:color w:val="auto"/>
          <w:sz w:val="21"/>
          <w:szCs w:val="21"/>
          <w:highlight w:val="none"/>
          <w:u w:val="single"/>
        </w:rPr>
        <w:t>为完成合同约定的永久工程所修建的各类临时性工程及设施所占用的土地，由承包人根据现场踏勘情况结合施工现场所处位置自行解决</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1.3法律 </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适用于合同的其他规范性文件：</w:t>
      </w:r>
      <w:r>
        <w:rPr>
          <w:rFonts w:hint="eastAsia" w:ascii="宋体" w:hAnsi="宋体" w:eastAsia="宋体" w:cs="宋体"/>
          <w:color w:val="auto"/>
          <w:sz w:val="21"/>
          <w:szCs w:val="21"/>
          <w:highlight w:val="none"/>
          <w:u w:val="single"/>
        </w:rPr>
        <w:t xml:space="preserve"> 《中华人民共和国民法典》、《中华人民共和国建筑法》、《建设工程质量管理条例》、《建设工程安全管理条例》及现行的国家法律、行政法规及部门规章，工程所在地政府、行政主管部门的有关法规和规章及规范性文件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 标准和规范</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1.4.1适用于工程的标准规范包括：</w:t>
      </w:r>
      <w:r>
        <w:rPr>
          <w:rFonts w:hint="eastAsia" w:ascii="宋体" w:hAnsi="宋体" w:eastAsia="宋体" w:cs="宋体"/>
          <w:color w:val="auto"/>
          <w:sz w:val="21"/>
          <w:szCs w:val="21"/>
          <w:highlight w:val="none"/>
          <w:u w:val="single"/>
        </w:rPr>
        <w:t>国家及工程所在地省市颁布的与本合同工程有关的现行的法律、行政法规、技术标准及规范。国家和本地方没有规定的，按发包人指定的规范、标准执行</w:t>
      </w:r>
      <w:r>
        <w:rPr>
          <w:rFonts w:hint="eastAsia" w:ascii="宋体" w:hAnsi="宋体" w:eastAsia="宋体" w:cs="宋体"/>
          <w:b w:val="0"/>
          <w:bCs/>
          <w:color w:val="auto"/>
          <w:sz w:val="21"/>
          <w:szCs w:val="21"/>
          <w:highlight w:val="none"/>
          <w:u w:val="none"/>
        </w:rPr>
        <w:t>。</w:t>
      </w:r>
    </w:p>
    <w:p>
      <w:pPr>
        <w:pStyle w:val="48"/>
        <w:pageBreakBefore w:val="0"/>
        <w:widowControl w:val="0"/>
        <w:kinsoku/>
        <w:wordWrap/>
        <w:overflowPunct/>
        <w:topLinePunct w:val="0"/>
        <w:bidi w:val="0"/>
        <w:snapToGrid/>
        <w:spacing w:before="0" w:after="0" w:line="360" w:lineRule="exact"/>
        <w:ind w:left="0" w:leftChars="0" w:right="0" w:rightChars="0" w:firstLine="420" w:firstLineChars="200"/>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1.4.2 发包人提供国外标准、规范的名称：</w:t>
      </w:r>
      <w:r>
        <w:rPr>
          <w:rFonts w:hint="eastAsia" w:ascii="宋体" w:hAnsi="宋体" w:eastAsia="宋体" w:cs="宋体"/>
          <w:b/>
          <w:color w:val="auto"/>
          <w:sz w:val="21"/>
          <w:szCs w:val="21"/>
          <w:highlight w:val="none"/>
          <w:u w:val="single"/>
        </w:rPr>
        <w:t>无。</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发包人提供国外标准、规范的份数：</w:t>
      </w:r>
      <w:r>
        <w:rPr>
          <w:rFonts w:hint="eastAsia" w:ascii="宋体" w:hAnsi="宋体" w:eastAsia="宋体" w:cs="宋体"/>
          <w:color w:val="auto"/>
          <w:kern w:val="0"/>
          <w:sz w:val="21"/>
          <w:szCs w:val="21"/>
          <w:highlight w:val="none"/>
          <w:u w:val="single"/>
        </w:rPr>
        <w:t xml:space="preserve">  无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1.4.3发包人对工程的技术标准和功能要求的特殊要求：</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 合同文件的优先顺序</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b/>
          <w:color w:val="auto"/>
          <w:kern w:val="0"/>
          <w:sz w:val="21"/>
          <w:szCs w:val="21"/>
          <w:highlight w:val="none"/>
          <w:u w:val="single"/>
        </w:rPr>
      </w:pPr>
      <w:r>
        <w:rPr>
          <w:rFonts w:hint="eastAsia" w:ascii="宋体" w:hAnsi="宋体" w:eastAsia="宋体" w:cs="宋体"/>
          <w:color w:val="auto"/>
          <w:sz w:val="21"/>
          <w:szCs w:val="21"/>
          <w:highlight w:val="none"/>
        </w:rPr>
        <w:t>合同文件组成及优先顺序为：</w:t>
      </w:r>
      <w:r>
        <w:rPr>
          <w:rFonts w:hint="eastAsia" w:ascii="宋体" w:hAnsi="宋体" w:eastAsia="宋体" w:cs="宋体"/>
          <w:b/>
          <w:color w:val="auto"/>
          <w:sz w:val="21"/>
          <w:szCs w:val="21"/>
          <w:highlight w:val="none"/>
          <w:u w:val="single"/>
        </w:rPr>
        <w:t>（1）本合同协议书（2）中标通知书（3）报价文件及其附件（4）本合同专用条款（5）本合同通用条款（6）技术标准和要求（7）图纸（含图纸修改通知单及图纸设计变更文件）（8）已标价工程量清单（9）本工程预算控制价造价成果文件。</w:t>
      </w:r>
      <w:r>
        <w:rPr>
          <w:rFonts w:hint="eastAsia" w:ascii="宋体" w:hAnsi="宋体" w:eastAsia="宋体" w:cs="宋体"/>
          <w:b/>
          <w:color w:val="auto"/>
          <w:kern w:val="0"/>
          <w:sz w:val="21"/>
          <w:szCs w:val="21"/>
          <w:highlight w:val="none"/>
          <w:u w:val="single"/>
        </w:rPr>
        <w:t>（10）招标文件（11）其他合同文件。</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 图纸和承包人文件</w:t>
      </w:r>
      <w:r>
        <w:rPr>
          <w:rFonts w:hint="eastAsia" w:ascii="宋体" w:hAnsi="宋体" w:eastAsia="宋体" w:cs="宋体"/>
          <w:color w:val="auto"/>
          <w:sz w:val="21"/>
          <w:szCs w:val="21"/>
          <w:highlight w:val="none"/>
        </w:rPr>
        <w:tab/>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 图纸的提供</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发包人向承包人提供图纸的期限：</w:t>
      </w:r>
      <w:r>
        <w:rPr>
          <w:rFonts w:hint="eastAsia" w:ascii="宋体" w:hAnsi="宋体" w:eastAsia="宋体" w:cs="宋体"/>
          <w:color w:val="auto"/>
          <w:sz w:val="21"/>
          <w:szCs w:val="21"/>
          <w:highlight w:val="none"/>
          <w:u w:val="single"/>
        </w:rPr>
        <w:t xml:space="preserve">合同签订生效后7天内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发包人向承包人提供图纸的数量：</w:t>
      </w:r>
      <w:r>
        <w:rPr>
          <w:rFonts w:hint="eastAsia" w:ascii="宋体" w:hAnsi="宋体" w:eastAsia="宋体" w:cs="宋体"/>
          <w:color w:val="auto"/>
          <w:sz w:val="21"/>
          <w:szCs w:val="21"/>
          <w:highlight w:val="none"/>
          <w:u w:val="single"/>
        </w:rPr>
        <w:t>合同签订生效后五天内向承包人免费提供施工图叁份</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发包人向承包人提供图纸的内容：</w:t>
      </w:r>
      <w:r>
        <w:rPr>
          <w:rFonts w:hint="eastAsia" w:ascii="宋体" w:hAnsi="宋体" w:eastAsia="宋体" w:cs="宋体"/>
          <w:color w:val="auto"/>
          <w:sz w:val="21"/>
          <w:szCs w:val="21"/>
          <w:highlight w:val="none"/>
          <w:u w:val="single"/>
        </w:rPr>
        <w:t xml:space="preserve">       施工图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 承包人文件</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需要由承包人提供的文件，包括：</w:t>
      </w:r>
      <w:r>
        <w:rPr>
          <w:rFonts w:hint="eastAsia" w:ascii="宋体" w:hAnsi="宋体" w:eastAsia="宋体" w:cs="宋体"/>
          <w:color w:val="auto"/>
          <w:sz w:val="21"/>
          <w:szCs w:val="21"/>
          <w:highlight w:val="none"/>
          <w:u w:val="single"/>
        </w:rPr>
        <w:t xml:space="preserve">     施工图以外的大样图、加工图、标准图等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承包人提供的文件的期限为：</w:t>
      </w:r>
      <w:r>
        <w:rPr>
          <w:rFonts w:hint="eastAsia" w:ascii="宋体" w:hAnsi="宋体" w:eastAsia="宋体" w:cs="宋体"/>
          <w:color w:val="auto"/>
          <w:sz w:val="21"/>
          <w:szCs w:val="21"/>
          <w:highlight w:val="none"/>
          <w:u w:val="single"/>
        </w:rPr>
        <w:t xml:space="preserve">      </w:t>
      </w:r>
      <w:r>
        <w:rPr>
          <w:rFonts w:hint="eastAsia" w:ascii="宋体" w:hAnsi="宋体" w:eastAsia="宋体" w:cs="宋体"/>
          <w:b/>
          <w:color w:val="auto"/>
          <w:sz w:val="21"/>
          <w:szCs w:val="21"/>
          <w:highlight w:val="none"/>
          <w:u w:val="single"/>
        </w:rPr>
        <w:t>施工前7天内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承包人提供的文件的数量为：</w:t>
      </w:r>
      <w:r>
        <w:rPr>
          <w:rFonts w:hint="eastAsia" w:ascii="宋体" w:hAnsi="宋体" w:eastAsia="宋体" w:cs="宋体"/>
          <w:color w:val="auto"/>
          <w:sz w:val="21"/>
          <w:szCs w:val="21"/>
          <w:highlight w:val="none"/>
          <w:u w:val="single"/>
        </w:rPr>
        <w:t xml:space="preserve">       8份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承包人提供的文件的形式为：</w:t>
      </w:r>
      <w:r>
        <w:rPr>
          <w:rFonts w:hint="eastAsia" w:ascii="宋体" w:hAnsi="宋体" w:eastAsia="宋体" w:cs="宋体"/>
          <w:color w:val="auto"/>
          <w:sz w:val="21"/>
          <w:szCs w:val="21"/>
          <w:highlight w:val="none"/>
          <w:u w:val="single"/>
        </w:rPr>
        <w:t xml:space="preserve">       纸质版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发包人审批承包人文件的期限：</w:t>
      </w:r>
      <w:r>
        <w:rPr>
          <w:rFonts w:hint="eastAsia" w:ascii="宋体" w:hAnsi="宋体" w:eastAsia="宋体" w:cs="宋体"/>
          <w:color w:val="auto"/>
          <w:sz w:val="21"/>
          <w:szCs w:val="21"/>
          <w:highlight w:val="none"/>
          <w:u w:val="single"/>
        </w:rPr>
        <w:t xml:space="preserve">       7天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1.6.5 现场图纸准备</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关于现场图纸准备的约定：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 联络</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1.7.1发包人和承包人应当在</w:t>
      </w:r>
      <w:r>
        <w:rPr>
          <w:rFonts w:hint="eastAsia" w:ascii="宋体" w:hAnsi="宋体" w:eastAsia="宋体" w:cs="宋体"/>
          <w:color w:val="auto"/>
          <w:sz w:val="21"/>
          <w:szCs w:val="21"/>
          <w:highlight w:val="none"/>
          <w:u w:val="single"/>
        </w:rPr>
        <w:t xml:space="preserve">     7   </w:t>
      </w:r>
      <w:r>
        <w:rPr>
          <w:rFonts w:hint="eastAsia" w:ascii="宋体" w:hAnsi="宋体" w:eastAsia="宋体" w:cs="宋体"/>
          <w:color w:val="auto"/>
          <w:kern w:val="0"/>
          <w:sz w:val="21"/>
          <w:szCs w:val="21"/>
          <w:highlight w:val="none"/>
        </w:rPr>
        <w:t>天内将与合同有关的通知、批准、证明、证书、指示、指令、要求、请求、同意、意见、确定和决定等书面函件送达对方当事人。</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1.7.2 发包人接收文件的地点：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发包人指定的接收人为：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承包人接收文件的地点：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承包人指定的接收人为：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监理人接收文件的地点：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监理人指定的接收人为：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 交通运输</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273" w:name="_Toc318581155"/>
      <w:bookmarkStart w:id="274" w:name="_Toc300934943"/>
      <w:bookmarkStart w:id="275" w:name="_Toc312677986"/>
      <w:bookmarkStart w:id="276" w:name="_Toc304295521"/>
      <w:bookmarkStart w:id="277" w:name="_Toc303539100"/>
      <w:r>
        <w:rPr>
          <w:rFonts w:hint="eastAsia" w:ascii="宋体" w:hAnsi="宋体" w:eastAsia="宋体" w:cs="宋体"/>
          <w:color w:val="auto"/>
          <w:sz w:val="21"/>
          <w:szCs w:val="21"/>
          <w:highlight w:val="none"/>
        </w:rPr>
        <w:t>.10.1 出入现场的权利</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关于出入现场的权利的约定：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bookmarkEnd w:id="273"/>
    <w:bookmarkEnd w:id="274"/>
    <w:bookmarkEnd w:id="275"/>
    <w:bookmarkEnd w:id="276"/>
    <w:bookmarkEnd w:id="277"/>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278" w:name="_Toc318581156"/>
      <w:bookmarkStart w:id="279" w:name="_Toc312677987"/>
      <w:bookmarkStart w:id="280" w:name="_Toc303539101"/>
      <w:bookmarkStart w:id="281" w:name="_Toc300934944"/>
      <w:bookmarkStart w:id="282" w:name="_Toc304295522"/>
      <w:r>
        <w:rPr>
          <w:rFonts w:hint="eastAsia" w:ascii="宋体" w:hAnsi="宋体" w:eastAsia="宋体" w:cs="宋体"/>
          <w:color w:val="auto"/>
          <w:sz w:val="21"/>
          <w:szCs w:val="21"/>
          <w:highlight w:val="none"/>
        </w:rPr>
        <w:t>.10.3 场内交通</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关于场外交通和场内交通的边界的约定：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关于发包人向承包人免费提供满足工程施工需要的场内道路和交通设施的约定：</w:t>
      </w:r>
      <w:r>
        <w:rPr>
          <w:rFonts w:hint="eastAsia" w:ascii="宋体" w:hAnsi="宋体" w:eastAsia="宋体" w:cs="宋体"/>
          <w:color w:val="auto"/>
          <w:sz w:val="21"/>
          <w:szCs w:val="21"/>
          <w:highlight w:val="none"/>
          <w:u w:val="single"/>
        </w:rPr>
        <w:t xml:space="preserve">由承包人负责场内道路和交通设施的修建并承担相应费用     </w:t>
      </w:r>
      <w:r>
        <w:rPr>
          <w:rFonts w:hint="eastAsia" w:ascii="宋体" w:hAnsi="宋体" w:eastAsia="宋体" w:cs="宋体"/>
          <w:color w:val="auto"/>
          <w:sz w:val="21"/>
          <w:szCs w:val="21"/>
          <w:highlight w:val="none"/>
        </w:rPr>
        <w:t>。</w:t>
      </w:r>
      <w:bookmarkEnd w:id="278"/>
      <w:bookmarkEnd w:id="279"/>
      <w:bookmarkEnd w:id="280"/>
      <w:bookmarkEnd w:id="281"/>
      <w:bookmarkEnd w:id="282"/>
      <w:r>
        <w:rPr>
          <w:rFonts w:hint="eastAsia" w:ascii="宋体" w:hAnsi="宋体" w:eastAsia="宋体" w:cs="宋体"/>
          <w:color w:val="auto"/>
          <w:sz w:val="21"/>
          <w:szCs w:val="21"/>
          <w:highlight w:val="none"/>
        </w:rPr>
        <w:t xml:space="preserve">  </w:t>
      </w:r>
      <w:bookmarkStart w:id="283" w:name="_Toc318581157"/>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1.10.4超大件和超重件的运输</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运输超大件或超重件所需的道路和桥梁临时加固改造费用和其他有关费用由</w:t>
      </w:r>
      <w:r>
        <w:rPr>
          <w:rFonts w:hint="eastAsia" w:ascii="宋体" w:hAnsi="宋体" w:eastAsia="宋体" w:cs="宋体"/>
          <w:color w:val="auto"/>
          <w:sz w:val="21"/>
          <w:szCs w:val="21"/>
          <w:highlight w:val="none"/>
          <w:u w:val="single"/>
        </w:rPr>
        <w:t xml:space="preserve">  承包人  </w:t>
      </w:r>
      <w:r>
        <w:rPr>
          <w:rFonts w:hint="eastAsia" w:ascii="宋体" w:hAnsi="宋体" w:eastAsia="宋体" w:cs="宋体"/>
          <w:color w:val="auto"/>
          <w:sz w:val="21"/>
          <w:szCs w:val="21"/>
          <w:highlight w:val="none"/>
        </w:rPr>
        <w:t>承担。</w:t>
      </w:r>
    </w:p>
    <w:bookmarkEnd w:id="283"/>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 知识产权</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auto"/>
          <w:sz w:val="21"/>
          <w:szCs w:val="21"/>
          <w:highlight w:val="none"/>
          <w:u w:val="single"/>
        </w:rPr>
        <w:t>著作权属于发包人</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关于发包人提供的上述文件的使用限制的要求：</w:t>
      </w:r>
      <w:r>
        <w:rPr>
          <w:rFonts w:hint="eastAsia" w:ascii="宋体" w:hAnsi="宋体" w:eastAsia="宋体" w:cs="宋体"/>
          <w:color w:val="auto"/>
          <w:sz w:val="21"/>
          <w:szCs w:val="21"/>
          <w:highlight w:val="none"/>
          <w:u w:val="single"/>
        </w:rPr>
        <w:t>未经发包人同意，承包人不得为了合同以外的目的而复制、使用上述文件或将之提供给任何第三方</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1.11.2 关于承包人为实施工程所编制文件的著作权的归属：</w:t>
      </w:r>
      <w:r>
        <w:rPr>
          <w:rFonts w:hint="eastAsia" w:ascii="宋体" w:hAnsi="宋体" w:eastAsia="宋体" w:cs="宋体"/>
          <w:color w:val="auto"/>
          <w:sz w:val="21"/>
          <w:szCs w:val="21"/>
          <w:highlight w:val="none"/>
          <w:u w:val="single"/>
        </w:rPr>
        <w:t>除署名以外著作权属于发包人</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关于承包人提供的上述文件的使用限制的要求：</w:t>
      </w:r>
      <w:r>
        <w:rPr>
          <w:rFonts w:hint="eastAsia" w:ascii="宋体" w:hAnsi="宋体" w:eastAsia="宋体" w:cs="宋体"/>
          <w:color w:val="auto"/>
          <w:sz w:val="21"/>
          <w:szCs w:val="21"/>
          <w:highlight w:val="none"/>
          <w:u w:val="single"/>
        </w:rPr>
        <w:t>未经发包人同意，承包人不得为了合同以外的目的而复制、使用上述文件或将之提供给任何第三方</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1.11.4 承包人在施工过程中所采用的专利、专有技术、技术秘密的使用费的承担方式：</w:t>
      </w:r>
      <w:r>
        <w:rPr>
          <w:rFonts w:hint="eastAsia" w:ascii="宋体" w:hAnsi="宋体" w:eastAsia="宋体" w:cs="宋体"/>
          <w:color w:val="auto"/>
          <w:sz w:val="21"/>
          <w:szCs w:val="21"/>
          <w:highlight w:val="none"/>
          <w:u w:val="single"/>
        </w:rPr>
        <w:t>由承包人承担</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1.13工程量清单错误的修正</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出现工程量清单错误时，是否调整合同价格：</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允许调整合同价格的工程量偏差范围：</w:t>
      </w:r>
      <w:r>
        <w:rPr>
          <w:rFonts w:hint="eastAsia" w:ascii="宋体" w:hAnsi="宋体" w:eastAsia="宋体" w:cs="宋体"/>
          <w:color w:val="auto"/>
          <w:sz w:val="21"/>
          <w:szCs w:val="21"/>
          <w:highlight w:val="none"/>
          <w:u w:val="single"/>
        </w:rPr>
        <w:t xml:space="preserve"> 超出15%  </w:t>
      </w:r>
      <w:r>
        <w:rPr>
          <w:rFonts w:hint="eastAsia" w:ascii="宋体" w:hAnsi="宋体" w:eastAsia="宋体" w:cs="宋体"/>
          <w:color w:val="auto"/>
          <w:kern w:val="0"/>
          <w:sz w:val="21"/>
          <w:szCs w:val="21"/>
          <w:highlight w:val="none"/>
        </w:rPr>
        <w:t>。</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284" w:name="_Toc351203634"/>
      <w:r>
        <w:rPr>
          <w:rFonts w:hint="eastAsia" w:ascii="宋体" w:hAnsi="宋体" w:eastAsia="宋体" w:cs="宋体"/>
          <w:b w:val="0"/>
          <w:color w:val="auto"/>
          <w:sz w:val="21"/>
          <w:szCs w:val="21"/>
          <w:highlight w:val="none"/>
        </w:rPr>
        <w:t>2</w:t>
      </w:r>
      <w:bookmarkStart w:id="285" w:name="_Toc292559362"/>
      <w:bookmarkStart w:id="286" w:name="_Toc296944496"/>
      <w:bookmarkStart w:id="287" w:name="_Toc296890985"/>
      <w:bookmarkStart w:id="288" w:name="_Toc292559867"/>
      <w:bookmarkStart w:id="289" w:name="_Toc296891197"/>
      <w:bookmarkStart w:id="290" w:name="_Toc297120457"/>
      <w:bookmarkStart w:id="291" w:name="_Toc296347156"/>
      <w:bookmarkStart w:id="292" w:name="_Toc297048343"/>
      <w:bookmarkStart w:id="293" w:name="_Toc296503157"/>
      <w:bookmarkStart w:id="294" w:name="_Toc296346658"/>
      <w:r>
        <w:rPr>
          <w:rFonts w:hint="eastAsia" w:ascii="宋体" w:hAnsi="宋体" w:eastAsia="宋体" w:cs="宋体"/>
          <w:b w:val="0"/>
          <w:color w:val="auto"/>
          <w:sz w:val="21"/>
          <w:szCs w:val="21"/>
          <w:highlight w:val="none"/>
        </w:rPr>
        <w:t>. 发包人</w:t>
      </w:r>
      <w:bookmarkEnd w:id="284"/>
    </w:p>
    <w:bookmarkEnd w:id="285"/>
    <w:bookmarkEnd w:id="286"/>
    <w:bookmarkEnd w:id="287"/>
    <w:bookmarkEnd w:id="288"/>
    <w:bookmarkEnd w:id="289"/>
    <w:bookmarkEnd w:id="290"/>
    <w:bookmarkEnd w:id="291"/>
    <w:bookmarkEnd w:id="292"/>
    <w:bookmarkEnd w:id="293"/>
    <w:bookmarkEnd w:id="294"/>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 发包人代表</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发包人代表：</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    务：</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发包人对发包人代表的授权范围如下：</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 施工现场、施工条件和基础资料的提供</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2.4.1 提供施工现场</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关于发包人移交施工现场的期限要求：</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2.4.2 提供施工条件</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关于发包人应负责提供施工所需要的条件，包括：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 资金来源证明及支付担保</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发包人提供资金来源证明的期限要求：</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发包人是否提供支付担保：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发包人提供支付担保的形式：</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295" w:name="_Toc351203635"/>
      <w:r>
        <w:rPr>
          <w:rFonts w:hint="eastAsia" w:ascii="宋体" w:hAnsi="宋体" w:eastAsia="宋体" w:cs="宋体"/>
          <w:b w:val="0"/>
          <w:color w:val="auto"/>
          <w:sz w:val="21"/>
          <w:szCs w:val="21"/>
          <w:highlight w:val="none"/>
        </w:rPr>
        <w:t>3</w:t>
      </w:r>
      <w:bookmarkStart w:id="296" w:name="_Toc296891198"/>
      <w:bookmarkStart w:id="297" w:name="_Toc297120458"/>
      <w:bookmarkStart w:id="298" w:name="_Toc296346659"/>
      <w:bookmarkStart w:id="299" w:name="_Toc292559363"/>
      <w:bookmarkStart w:id="300" w:name="_Toc292559868"/>
      <w:bookmarkStart w:id="301" w:name="_Toc296944497"/>
      <w:bookmarkStart w:id="302" w:name="_Toc296503158"/>
      <w:bookmarkStart w:id="303" w:name="_Toc296890986"/>
      <w:bookmarkStart w:id="304" w:name="_Toc296347157"/>
      <w:bookmarkStart w:id="305" w:name="_Toc297048344"/>
      <w:r>
        <w:rPr>
          <w:rFonts w:hint="eastAsia" w:ascii="宋体" w:hAnsi="宋体" w:eastAsia="宋体" w:cs="宋体"/>
          <w:b w:val="0"/>
          <w:color w:val="auto"/>
          <w:sz w:val="21"/>
          <w:szCs w:val="21"/>
          <w:highlight w:val="none"/>
        </w:rPr>
        <w:t>. 承包人</w:t>
      </w:r>
      <w:bookmarkEnd w:id="295"/>
    </w:p>
    <w:bookmarkEnd w:id="296"/>
    <w:bookmarkEnd w:id="297"/>
    <w:bookmarkEnd w:id="298"/>
    <w:bookmarkEnd w:id="299"/>
    <w:bookmarkEnd w:id="300"/>
    <w:bookmarkEnd w:id="301"/>
    <w:bookmarkEnd w:id="302"/>
    <w:bookmarkEnd w:id="303"/>
    <w:bookmarkEnd w:id="304"/>
    <w:bookmarkEnd w:id="305"/>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 承包人的一般义务</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r>
        <w:rPr>
          <w:rFonts w:hint="eastAsia" w:ascii="宋体" w:hAnsi="宋体" w:eastAsia="宋体" w:cs="宋体"/>
          <w:color w:val="auto"/>
          <w:sz w:val="21"/>
          <w:szCs w:val="21"/>
          <w:highlight w:val="none"/>
        </w:rPr>
        <w:t>承包人提交的竣工资料的内容：</w:t>
      </w:r>
      <w:r>
        <w:rPr>
          <w:rFonts w:hint="eastAsia" w:ascii="宋体" w:hAnsi="宋体" w:eastAsia="宋体" w:cs="宋体"/>
          <w:color w:val="auto"/>
          <w:position w:val="-2"/>
          <w:sz w:val="21"/>
          <w:szCs w:val="21"/>
          <w:highlight w:val="none"/>
          <w:u w:val="single"/>
        </w:rPr>
        <w:t>①工程具备竣工验收条件，承包人按工程竣工验收有关规定，向发包人提交符合归档要求内容装订成册的完整竣工资料及竣工验收报告、工程竣工图；②承包人所提交的竣工资料必须符合《建设工程文件归档整理规范》要求，并在结算审批时出具符合规定的《工程档案验收合格证明》及建设单位接收档案资料清单证明。</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承包人需要提交的竣工资料套数：</w:t>
      </w:r>
      <w:r>
        <w:rPr>
          <w:rFonts w:hint="eastAsia" w:ascii="宋体" w:hAnsi="宋体" w:eastAsia="宋体" w:cs="宋体"/>
          <w:color w:val="auto"/>
          <w:sz w:val="21"/>
          <w:szCs w:val="21"/>
          <w:highlight w:val="none"/>
          <w:u w:val="single"/>
        </w:rPr>
        <w:t xml:space="preserve">全套竣工资料一式4份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承包人提交的竣工资料的费用承担：</w:t>
      </w:r>
      <w:r>
        <w:rPr>
          <w:rFonts w:hint="eastAsia" w:ascii="宋体" w:hAnsi="宋体" w:eastAsia="宋体" w:cs="宋体"/>
          <w:color w:val="auto"/>
          <w:sz w:val="21"/>
          <w:szCs w:val="21"/>
          <w:highlight w:val="none"/>
          <w:u w:val="single"/>
        </w:rPr>
        <w:t>由承包人承担相关费用</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承包人提交的竣工资料移交时间：</w:t>
      </w:r>
      <w:r>
        <w:rPr>
          <w:rFonts w:hint="eastAsia" w:ascii="宋体" w:hAnsi="宋体" w:eastAsia="宋体" w:cs="宋体"/>
          <w:color w:val="auto"/>
          <w:sz w:val="21"/>
          <w:szCs w:val="21"/>
          <w:highlight w:val="none"/>
          <w:u w:val="single"/>
        </w:rPr>
        <w:t xml:space="preserve"> 工程竣工验收合格后14天内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承包人提交的竣工资料形式要求：</w:t>
      </w:r>
      <w:r>
        <w:rPr>
          <w:rFonts w:hint="eastAsia" w:ascii="宋体" w:hAnsi="宋体" w:eastAsia="宋体" w:cs="宋体"/>
          <w:color w:val="auto"/>
          <w:sz w:val="21"/>
          <w:szCs w:val="21"/>
          <w:highlight w:val="none"/>
          <w:u w:val="single"/>
        </w:rPr>
        <w:t xml:space="preserve">   纸质版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（6）承包人应履行的其他义务：</w:t>
      </w:r>
      <w:r>
        <w:rPr>
          <w:rFonts w:hint="eastAsia" w:ascii="宋体" w:hAnsi="宋体" w:eastAsia="宋体" w:cs="宋体"/>
          <w:color w:val="auto"/>
          <w:sz w:val="21"/>
          <w:szCs w:val="21"/>
          <w:highlight w:val="none"/>
          <w:u w:val="single"/>
        </w:rPr>
        <w:t>①承包人应当主动配合发包人协调与施工现场周边农村及村民的关系，确保项目施工顺利进行；②农民工工资按桂劳社发[2009]50号文件执行</w:t>
      </w:r>
      <w:r>
        <w:rPr>
          <w:rFonts w:hint="eastAsia" w:ascii="宋体" w:hAnsi="宋体" w:eastAsia="宋体" w:cs="宋体"/>
          <w:color w:val="auto"/>
          <w:kern w:val="0"/>
          <w:sz w:val="21"/>
          <w:szCs w:val="21"/>
          <w:highlight w:val="none"/>
          <w:u w:val="single"/>
        </w:rPr>
        <w:t>，中标单位应按时支付农民工工资，发包人支付到合同价款的80％时，承包人应全部支付完农民工工资，之后如有农民工到发包方单位及上级部门反映索要工资现象视为违约，每发生一次扣最终结算价的1％，发包方可从应向承包方支付的款项中扣除；③</w:t>
      </w:r>
      <w:r>
        <w:rPr>
          <w:rFonts w:hint="eastAsia" w:ascii="宋体" w:hAnsi="宋体" w:eastAsia="宋体" w:cs="宋体"/>
          <w:color w:val="auto"/>
          <w:sz w:val="21"/>
          <w:szCs w:val="21"/>
          <w:highlight w:val="none"/>
          <w:u w:val="single"/>
        </w:rPr>
        <w:t>本工程必须是中标人独立完成，不得转包。如一经发现转包，发包人有权终止合同，依法另行选择承包人，原承包人无条件退出现场；④发包人另行发包的招标范围以外的工程，承包人必须无条件配合；⑤承包人在承包工程施工期间所发生的一切责任事故，全部由承包人承担经济责任和法律责任</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 xml:space="preserve"> </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 项目经理</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3.2.1 </w:t>
      </w:r>
      <w:r>
        <w:rPr>
          <w:rFonts w:hint="eastAsia" w:ascii="宋体" w:hAnsi="宋体" w:eastAsia="宋体" w:cs="宋体"/>
          <w:color w:val="auto"/>
          <w:sz w:val="21"/>
          <w:szCs w:val="21"/>
          <w:highlight w:val="none"/>
        </w:rPr>
        <w:t>项目经理：</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建造师执业资格等级：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建造师注册证书号：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建造师执业印章号：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安全生产考核合格证书号：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承包人对项目经理的授权范围如下：</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关于项目经理每月在施工现场的时间要求：</w:t>
      </w:r>
      <w:r>
        <w:rPr>
          <w:rFonts w:hint="eastAsia" w:ascii="宋体" w:hAnsi="宋体" w:eastAsia="宋体" w:cs="宋体"/>
          <w:color w:val="auto"/>
          <w:sz w:val="21"/>
          <w:szCs w:val="21"/>
          <w:highlight w:val="none"/>
          <w:u w:val="single"/>
        </w:rPr>
        <w:t xml:space="preserve">  不少于22</w:t>
      </w:r>
      <w:r>
        <w:rPr>
          <w:rFonts w:hint="eastAsia" w:ascii="宋体" w:hAnsi="宋体" w:eastAsia="宋体" w:cs="宋体"/>
          <w:color w:val="auto"/>
          <w:sz w:val="21"/>
          <w:szCs w:val="21"/>
          <w:highlight w:val="none"/>
          <w:u w:val="single"/>
          <w:lang w:val="en-US" w:eastAsia="zh-CN"/>
        </w:rPr>
        <w:t>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承包人未提交劳动合同，以及没有为项目经理缴纳社会保险证明的违约责任：</w:t>
      </w:r>
      <w:r>
        <w:rPr>
          <w:rFonts w:hint="eastAsia" w:ascii="宋体" w:hAnsi="宋体" w:eastAsia="宋体" w:cs="宋体"/>
          <w:color w:val="auto"/>
          <w:sz w:val="21"/>
          <w:szCs w:val="21"/>
          <w:highlight w:val="none"/>
          <w:u w:val="single"/>
        </w:rPr>
        <w:t xml:space="preserve">  发包人有权更换项目经理直至解除承包合同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项目经理未经批准，擅自离开施工现场的违约责任：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3.2.3 承包人擅自更换项目经理的违约责任：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u w:val="single"/>
        </w:rPr>
        <w:t>承包人若不能按投标书的承诺派驻项目经理必须承担违约责任：若经发包人检查发现人员不齐、不符合要求的，发包人发出整改通知书，承包人按整改通知书进行整改，若整改仍不符合要求，则扣款2</w:t>
      </w:r>
      <w:r>
        <w:rPr>
          <w:rFonts w:hint="eastAsia" w:ascii="宋体" w:hAnsi="宋体" w:eastAsia="宋体" w:cs="宋体"/>
          <w:color w:val="auto"/>
          <w:kern w:val="0"/>
          <w:sz w:val="21"/>
          <w:szCs w:val="21"/>
          <w:highlight w:val="none"/>
          <w:u w:val="single"/>
          <w:lang w:val="en-US" w:eastAsia="zh-CN"/>
        </w:rPr>
        <w:t>000</w:t>
      </w:r>
      <w:r>
        <w:rPr>
          <w:rFonts w:hint="eastAsia" w:ascii="宋体" w:hAnsi="宋体" w:eastAsia="宋体" w:cs="宋体"/>
          <w:color w:val="auto"/>
          <w:kern w:val="0"/>
          <w:sz w:val="21"/>
          <w:szCs w:val="21"/>
          <w:highlight w:val="none"/>
          <w:u w:val="single"/>
        </w:rPr>
        <w:t>元；若未经发包人同意，承包人擅自更换注册建造师，每更换一次，扣款2</w:t>
      </w:r>
      <w:r>
        <w:rPr>
          <w:rFonts w:hint="eastAsia" w:ascii="宋体" w:hAnsi="宋体" w:eastAsia="宋体" w:cs="宋体"/>
          <w:color w:val="auto"/>
          <w:kern w:val="0"/>
          <w:sz w:val="21"/>
          <w:szCs w:val="21"/>
          <w:highlight w:val="none"/>
          <w:u w:val="single"/>
          <w:lang w:val="en-US" w:eastAsia="zh-CN"/>
        </w:rPr>
        <w:t>000</w:t>
      </w:r>
      <w:r>
        <w:rPr>
          <w:rFonts w:hint="eastAsia" w:ascii="宋体" w:hAnsi="宋体" w:eastAsia="宋体" w:cs="宋体"/>
          <w:color w:val="auto"/>
          <w:kern w:val="0"/>
          <w:sz w:val="21"/>
          <w:szCs w:val="21"/>
          <w:highlight w:val="none"/>
          <w:u w:val="single"/>
        </w:rPr>
        <w:t>元；直至实现承诺。</w:t>
      </w:r>
      <w:r>
        <w:rPr>
          <w:rFonts w:hint="eastAsia" w:ascii="宋体" w:hAnsi="宋体" w:eastAsia="宋体" w:cs="宋体"/>
          <w:color w:val="auto"/>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3.2.4 承包人无正当理由拒绝更换项目经理的违约责任：</w:t>
      </w:r>
      <w:r>
        <w:rPr>
          <w:rFonts w:hint="eastAsia" w:ascii="宋体" w:hAnsi="宋体" w:eastAsia="宋体" w:cs="宋体"/>
          <w:color w:val="auto"/>
          <w:kern w:val="0"/>
          <w:sz w:val="21"/>
          <w:szCs w:val="21"/>
          <w:highlight w:val="none"/>
          <w:u w:val="single"/>
        </w:rPr>
        <w:t>解除承包合同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 承包人人员</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3.3.1 承包人提交项目管理机构及施工现场管理人员安排报告的期限：</w:t>
      </w:r>
      <w:r>
        <w:rPr>
          <w:rFonts w:hint="eastAsia" w:ascii="宋体" w:hAnsi="宋体" w:eastAsia="宋体" w:cs="宋体"/>
          <w:color w:val="auto"/>
          <w:sz w:val="21"/>
          <w:szCs w:val="21"/>
          <w:highlight w:val="none"/>
          <w:u w:val="single"/>
        </w:rPr>
        <w:t>按通用条款执行，无特殊约定</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3.3.3 承包人无正当理由拒绝撤换主要施工管理人员的违约责任：</w:t>
      </w:r>
      <w:r>
        <w:rPr>
          <w:rFonts w:hint="eastAsia" w:ascii="宋体" w:hAnsi="宋体" w:eastAsia="宋体" w:cs="宋体"/>
          <w:color w:val="auto"/>
          <w:kern w:val="0"/>
          <w:sz w:val="21"/>
          <w:szCs w:val="21"/>
          <w:highlight w:val="none"/>
          <w:u w:val="single"/>
        </w:rPr>
        <w:t>解除承包合同。</w:t>
      </w:r>
      <w:r>
        <w:rPr>
          <w:rFonts w:hint="eastAsia" w:ascii="宋体" w:hAnsi="宋体" w:eastAsia="宋体" w:cs="宋体"/>
          <w:color w:val="auto"/>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3.3.4 承包人主要施工管理人员离开施工现场的批准要求：</w:t>
      </w:r>
      <w:r>
        <w:rPr>
          <w:rFonts w:hint="eastAsia" w:ascii="宋体" w:hAnsi="宋体" w:eastAsia="宋体" w:cs="宋体"/>
          <w:color w:val="auto"/>
          <w:sz w:val="21"/>
          <w:szCs w:val="21"/>
          <w:highlight w:val="none"/>
          <w:u w:val="single"/>
        </w:rPr>
        <w:t xml:space="preserve"> 按通用条款执行，无特殊约定</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3.3.5承包人擅自更换主要施工管理人员的违约责任：</w:t>
      </w:r>
      <w:r>
        <w:rPr>
          <w:rFonts w:hint="eastAsia" w:ascii="宋体" w:hAnsi="宋体" w:eastAsia="宋体" w:cs="宋体"/>
          <w:color w:val="auto"/>
          <w:kern w:val="0"/>
          <w:sz w:val="21"/>
          <w:szCs w:val="21"/>
          <w:highlight w:val="none"/>
          <w:u w:val="single"/>
        </w:rPr>
        <w:t>承包人若不能按投标书的承诺派驻主要技术管理人员及施工人员，必须承担违约责任：若经发包人检查发现人员不齐、不符合要求的，发包人发出整改通知书，承包人按整改通知书进行整改，若整改仍不符合要求，</w:t>
      </w:r>
      <w:r>
        <w:rPr>
          <w:rFonts w:hint="eastAsia" w:ascii="宋体" w:hAnsi="宋体" w:eastAsia="宋体" w:cs="宋体"/>
          <w:color w:val="auto"/>
          <w:sz w:val="21"/>
          <w:szCs w:val="21"/>
          <w:highlight w:val="none"/>
          <w:u w:val="single"/>
        </w:rPr>
        <w:t>发包人有权终止合同，原承包人无条件退出现场</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承包人主要施工管理人员擅自离开施工现场的违约责任：</w:t>
      </w:r>
      <w:r>
        <w:rPr>
          <w:rFonts w:hint="eastAsia" w:ascii="宋体" w:hAnsi="宋体" w:eastAsia="宋体" w:cs="宋体"/>
          <w:color w:val="auto"/>
          <w:sz w:val="21"/>
          <w:szCs w:val="21"/>
          <w:highlight w:val="none"/>
          <w:u w:val="single"/>
        </w:rPr>
        <w:t>解除承包合同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bookmarkStart w:id="306" w:name="_Toc296891199"/>
      <w:bookmarkStart w:id="307" w:name="_Toc296347158"/>
      <w:bookmarkStart w:id="308" w:name="_Toc292559869"/>
      <w:bookmarkStart w:id="309" w:name="_Toc296346660"/>
      <w:bookmarkStart w:id="310" w:name="_Toc300934945"/>
      <w:bookmarkStart w:id="311" w:name="_Toc297123492"/>
      <w:bookmarkStart w:id="312" w:name="_Toc297120459"/>
      <w:bookmarkStart w:id="313" w:name="_Toc296890987"/>
      <w:bookmarkStart w:id="314" w:name="_Toc297048345"/>
      <w:bookmarkStart w:id="315" w:name="_Toc297216151"/>
      <w:bookmarkStart w:id="316" w:name="_Toc304295523"/>
      <w:bookmarkStart w:id="317" w:name="_Toc312677988"/>
      <w:bookmarkStart w:id="318" w:name="_Toc292559364"/>
      <w:bookmarkStart w:id="319" w:name="_Toc296503159"/>
      <w:bookmarkStart w:id="320" w:name="_Toc303539102"/>
      <w:bookmarkStart w:id="321" w:name="_Toc296944498"/>
      <w:r>
        <w:rPr>
          <w:rFonts w:hint="eastAsia" w:ascii="宋体" w:hAnsi="宋体" w:eastAsia="宋体" w:cs="宋体"/>
          <w:color w:val="auto"/>
          <w:sz w:val="21"/>
          <w:szCs w:val="21"/>
          <w:highlight w:val="none"/>
        </w:rPr>
        <w:t>.5 分包</w:t>
      </w:r>
    </w:p>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bookmarkStart w:id="322" w:name="_Toc296503160"/>
      <w:bookmarkStart w:id="323" w:name="_Toc296890988"/>
      <w:bookmarkStart w:id="324" w:name="_Toc297120460"/>
      <w:bookmarkStart w:id="325" w:name="_Toc297216152"/>
      <w:bookmarkStart w:id="326" w:name="_Toc296346661"/>
      <w:bookmarkStart w:id="327" w:name="_Toc297048346"/>
      <w:bookmarkStart w:id="328" w:name="_Toc297123493"/>
      <w:bookmarkStart w:id="329" w:name="_Toc296347159"/>
      <w:bookmarkStart w:id="330" w:name="_Toc292559870"/>
      <w:bookmarkStart w:id="331" w:name="_Toc300934946"/>
      <w:bookmarkStart w:id="332" w:name="_Toc296891200"/>
      <w:bookmarkStart w:id="333" w:name="_Toc292559365"/>
      <w:bookmarkStart w:id="334" w:name="_Toc303539103"/>
      <w:bookmarkStart w:id="335" w:name="_Toc304295524"/>
      <w:bookmarkStart w:id="336" w:name="_Toc296944499"/>
      <w:bookmarkStart w:id="337" w:name="_Toc312677989"/>
      <w:bookmarkStart w:id="338" w:name="_Toc318581158"/>
      <w:r>
        <w:rPr>
          <w:rFonts w:hint="eastAsia" w:ascii="宋体" w:hAnsi="宋体" w:eastAsia="宋体" w:cs="宋体"/>
          <w:color w:val="auto"/>
          <w:sz w:val="21"/>
          <w:szCs w:val="21"/>
          <w:highlight w:val="none"/>
        </w:rPr>
        <w:t>.5.1 分包的一般约定</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禁止分包的工程包括：</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主体结构、关键性工作的范围：</w:t>
      </w:r>
      <w:r>
        <w:rPr>
          <w:rFonts w:hint="eastAsia" w:ascii="宋体" w:hAnsi="宋体" w:eastAsia="宋体" w:cs="宋体"/>
          <w:color w:val="auto"/>
          <w:sz w:val="21"/>
          <w:szCs w:val="21"/>
          <w:highlight w:val="none"/>
          <w:u w:val="single"/>
        </w:rPr>
        <w:t xml:space="preserve">  按照国家有关规定执行  </w:t>
      </w:r>
      <w:r>
        <w:rPr>
          <w:rFonts w:hint="eastAsia" w:ascii="宋体" w:hAnsi="宋体" w:eastAsia="宋体" w:cs="宋体"/>
          <w:color w:val="auto"/>
          <w:sz w:val="21"/>
          <w:szCs w:val="21"/>
          <w:highlight w:val="none"/>
        </w:rPr>
        <w:t>。</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Start w:id="339" w:name="_Toc296503161"/>
      <w:bookmarkStart w:id="340" w:name="_Toc296890989"/>
      <w:bookmarkStart w:id="341" w:name="_Toc297048347"/>
      <w:bookmarkStart w:id="342" w:name="_Toc300934947"/>
      <w:bookmarkStart w:id="343" w:name="_Toc296944500"/>
      <w:bookmarkStart w:id="344" w:name="_Toc296346662"/>
      <w:bookmarkStart w:id="345" w:name="_Toc303539104"/>
      <w:bookmarkStart w:id="346" w:name="_Toc297123494"/>
      <w:bookmarkStart w:id="347" w:name="_Toc296891201"/>
      <w:bookmarkStart w:id="348" w:name="_Toc297216153"/>
      <w:bookmarkStart w:id="349" w:name="_Toc296347160"/>
      <w:bookmarkStart w:id="350" w:name="_Toc297120461"/>
      <w:bookmarkStart w:id="351" w:name="_Toc304295525"/>
    </w:p>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bookmarkStart w:id="352" w:name="_Toc318581159"/>
      <w:bookmarkStart w:id="353" w:name="_Toc312677990"/>
      <w:r>
        <w:rPr>
          <w:rFonts w:hint="eastAsia" w:ascii="宋体" w:hAnsi="宋体" w:eastAsia="宋体" w:cs="宋体"/>
          <w:color w:val="auto"/>
          <w:sz w:val="21"/>
          <w:szCs w:val="21"/>
          <w:highlight w:val="none"/>
        </w:rPr>
        <w:t>.5.2分包的确定</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允许分包的专业工程包括：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其他关于分包的约定：</w:t>
      </w:r>
      <w:r>
        <w:rPr>
          <w:rFonts w:hint="eastAsia" w:ascii="宋体" w:hAnsi="宋体" w:eastAsia="宋体" w:cs="宋体"/>
          <w:color w:val="auto"/>
          <w:sz w:val="21"/>
          <w:szCs w:val="21"/>
          <w:highlight w:val="none"/>
          <w:u w:val="single"/>
        </w:rPr>
        <w:t xml:space="preserve">     按照国家有关规定执行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3.5.4 分包合同价款</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关于分包合同价款支付的约定：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bookmarkEnd w:id="352"/>
    <w:bookmarkEnd w:id="353"/>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 工程照管与成品、半成品保护</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承包人负责照管工程及工程相关的材料、工程设备的起始时间：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 履约担保</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承包人是否提供履约担保：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否</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承包人提供履约担保的形式、金额及期限的：</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54" w:name="_Toc351203636"/>
      <w:r>
        <w:rPr>
          <w:rFonts w:hint="eastAsia" w:ascii="宋体" w:hAnsi="宋体" w:eastAsia="宋体" w:cs="宋体"/>
          <w:b w:val="0"/>
          <w:color w:val="auto"/>
          <w:sz w:val="21"/>
          <w:szCs w:val="21"/>
          <w:highlight w:val="none"/>
        </w:rPr>
        <w:t>4</w:t>
      </w:r>
      <w:bookmarkStart w:id="355" w:name="_Toc296944501"/>
      <w:bookmarkStart w:id="356" w:name="_Toc296503162"/>
      <w:bookmarkStart w:id="357" w:name="_Toc296347161"/>
      <w:bookmarkStart w:id="358" w:name="_Toc296346663"/>
      <w:bookmarkStart w:id="359" w:name="_Toc296891202"/>
      <w:bookmarkStart w:id="360" w:name="_Toc297048348"/>
      <w:bookmarkStart w:id="361" w:name="_Toc267251413"/>
      <w:bookmarkStart w:id="362" w:name="_Toc296890990"/>
      <w:bookmarkStart w:id="363" w:name="_Toc297120462"/>
      <w:bookmarkStart w:id="364" w:name="_Toc292559366"/>
      <w:bookmarkStart w:id="365" w:name="_Toc292559871"/>
      <w:r>
        <w:rPr>
          <w:rFonts w:hint="eastAsia" w:ascii="宋体" w:hAnsi="宋体" w:eastAsia="宋体" w:cs="宋体"/>
          <w:b w:val="0"/>
          <w:color w:val="auto"/>
          <w:sz w:val="21"/>
          <w:szCs w:val="21"/>
          <w:highlight w:val="none"/>
        </w:rPr>
        <w:t>. 监</w:t>
      </w:r>
      <w:bookmarkEnd w:id="355"/>
      <w:bookmarkEnd w:id="356"/>
      <w:bookmarkEnd w:id="357"/>
      <w:bookmarkEnd w:id="358"/>
      <w:bookmarkEnd w:id="359"/>
      <w:bookmarkEnd w:id="360"/>
      <w:bookmarkEnd w:id="361"/>
      <w:bookmarkEnd w:id="362"/>
      <w:bookmarkEnd w:id="363"/>
      <w:bookmarkEnd w:id="364"/>
      <w:bookmarkEnd w:id="365"/>
      <w:r>
        <w:rPr>
          <w:rFonts w:hint="eastAsia" w:ascii="宋体" w:hAnsi="宋体" w:eastAsia="宋体" w:cs="宋体"/>
          <w:b w:val="0"/>
          <w:color w:val="auto"/>
          <w:sz w:val="21"/>
          <w:szCs w:val="21"/>
          <w:highlight w:val="none"/>
        </w:rPr>
        <w:t>理人</w:t>
      </w:r>
      <w:bookmarkEnd w:id="354"/>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4.1监理人的一般规定</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关于监理人的监理内容：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关于监理人的监理权限：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关于监理人在施工现场的办公场所、生活场所的提供和费用承担的约定：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 监理人员</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总监理工程师：</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    务：</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监理工程师执业资格证书号：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关于监理人的其他约定：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 商定或确定</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366" w:name="_Toc267251418"/>
      <w:r>
        <w:rPr>
          <w:rFonts w:hint="eastAsia" w:ascii="宋体" w:hAnsi="宋体" w:eastAsia="宋体" w:cs="宋体"/>
          <w:color w:val="auto"/>
          <w:sz w:val="21"/>
          <w:szCs w:val="21"/>
          <w:highlight w:val="none"/>
        </w:rPr>
        <w:t>在发包人和承包人不能通过协商达成一致意见时，发包人授权监理人对以下事项进行确定：</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67" w:name="_Toc351203637"/>
      <w:r>
        <w:rPr>
          <w:rFonts w:hint="eastAsia" w:ascii="宋体" w:hAnsi="宋体" w:eastAsia="宋体" w:cs="宋体"/>
          <w:b w:val="0"/>
          <w:color w:val="auto"/>
          <w:sz w:val="21"/>
          <w:szCs w:val="21"/>
          <w:highlight w:val="none"/>
        </w:rPr>
        <w:t>5</w:t>
      </w:r>
      <w:bookmarkEnd w:id="366"/>
      <w:bookmarkStart w:id="368" w:name="_Toc296503163"/>
      <w:bookmarkStart w:id="369" w:name="_Toc297120463"/>
      <w:bookmarkStart w:id="370" w:name="_Toc296347162"/>
      <w:bookmarkStart w:id="371" w:name="_Toc296890991"/>
      <w:bookmarkStart w:id="372" w:name="_Toc296346664"/>
      <w:bookmarkStart w:id="373" w:name="_Toc296891203"/>
      <w:bookmarkStart w:id="374" w:name="_Toc297048349"/>
      <w:bookmarkStart w:id="375" w:name="_Toc296944502"/>
      <w:bookmarkStart w:id="376" w:name="_Toc292559367"/>
      <w:bookmarkStart w:id="377" w:name="_Toc292559872"/>
      <w:r>
        <w:rPr>
          <w:rFonts w:hint="eastAsia" w:ascii="宋体" w:hAnsi="宋体" w:eastAsia="宋体" w:cs="宋体"/>
          <w:b w:val="0"/>
          <w:color w:val="auto"/>
          <w:sz w:val="21"/>
          <w:szCs w:val="21"/>
          <w:highlight w:val="none"/>
        </w:rPr>
        <w:t>. 工程质量</w:t>
      </w:r>
      <w:bookmarkEnd w:id="367"/>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 质量要求</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5</w:t>
      </w:r>
      <w:bookmarkStart w:id="378" w:name="_Toc297216155"/>
      <w:bookmarkStart w:id="379" w:name="_Toc303539106"/>
      <w:bookmarkStart w:id="380" w:name="_Toc297123496"/>
      <w:bookmarkStart w:id="381" w:name="_Toc312677997"/>
      <w:bookmarkStart w:id="382" w:name="_Toc300934949"/>
      <w:bookmarkStart w:id="383" w:name="_Toc304295527"/>
      <w:bookmarkStart w:id="384" w:name="_Toc318581164"/>
      <w:r>
        <w:rPr>
          <w:rFonts w:hint="eastAsia" w:ascii="宋体" w:hAnsi="宋体" w:eastAsia="宋体" w:cs="宋体"/>
          <w:color w:val="auto"/>
          <w:sz w:val="21"/>
          <w:szCs w:val="21"/>
          <w:highlight w:val="none"/>
        </w:rPr>
        <w:t>.1.1 特殊质量标准和要求：</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关于工程奖项的约定：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 隐蔽工程检查</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5.3.2承包人提前通知监理人隐蔽工程检查的期限的约定：</w:t>
      </w:r>
      <w:r>
        <w:rPr>
          <w:rFonts w:hint="eastAsia" w:ascii="宋体" w:hAnsi="宋体" w:eastAsia="宋体" w:cs="宋体"/>
          <w:color w:val="auto"/>
          <w:kern w:val="0"/>
          <w:sz w:val="21"/>
          <w:szCs w:val="21"/>
          <w:highlight w:val="none"/>
          <w:u w:val="single"/>
        </w:rPr>
        <w:t>任何部位的工程需要覆盖或隐蔽前，均应提前24小时通知监理工程师及建设工程质量监督站进行中间验收并拍照，没有监理工程师及质量监督站的批准，均不得隐蔽或验收。</w:t>
      </w:r>
      <w:r>
        <w:rPr>
          <w:rFonts w:hint="eastAsia" w:ascii="宋体" w:hAnsi="宋体" w:eastAsia="宋体" w:cs="宋体"/>
          <w:color w:val="auto"/>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监理人不能按时进行检查时，应提前</w:t>
      </w:r>
      <w:r>
        <w:rPr>
          <w:rFonts w:hint="eastAsia" w:ascii="宋体" w:hAnsi="宋体" w:eastAsia="宋体" w:cs="宋体"/>
          <w:color w:val="auto"/>
          <w:sz w:val="21"/>
          <w:szCs w:val="21"/>
          <w:highlight w:val="none"/>
          <w:u w:val="single"/>
        </w:rPr>
        <w:t xml:space="preserve">  24  </w:t>
      </w:r>
      <w:r>
        <w:rPr>
          <w:rFonts w:hint="eastAsia" w:ascii="宋体" w:hAnsi="宋体" w:eastAsia="宋体" w:cs="宋体"/>
          <w:color w:val="auto"/>
          <w:sz w:val="21"/>
          <w:szCs w:val="21"/>
          <w:highlight w:val="none"/>
        </w:rPr>
        <w:t>小时提交书面延期要求。</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关于延期最长不得超过：</w:t>
      </w:r>
      <w:r>
        <w:rPr>
          <w:rFonts w:hint="eastAsia" w:ascii="宋体" w:hAnsi="宋体" w:eastAsia="宋体" w:cs="宋体"/>
          <w:color w:val="auto"/>
          <w:sz w:val="21"/>
          <w:szCs w:val="21"/>
          <w:highlight w:val="none"/>
          <w:u w:val="single"/>
        </w:rPr>
        <w:t xml:space="preserve">  48 </w:t>
      </w:r>
      <w:r>
        <w:rPr>
          <w:rFonts w:hint="eastAsia" w:ascii="宋体" w:hAnsi="宋体" w:eastAsia="宋体" w:cs="宋体"/>
          <w:color w:val="auto"/>
          <w:sz w:val="21"/>
          <w:szCs w:val="21"/>
          <w:highlight w:val="none"/>
        </w:rPr>
        <w:t>小时。</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85" w:name="_Toc351203638"/>
      <w:r>
        <w:rPr>
          <w:rFonts w:hint="eastAsia" w:ascii="宋体" w:hAnsi="宋体" w:eastAsia="宋体" w:cs="宋体"/>
          <w:b w:val="0"/>
          <w:color w:val="auto"/>
          <w:sz w:val="21"/>
          <w:szCs w:val="21"/>
          <w:highlight w:val="none"/>
        </w:rPr>
        <w:t>6. 安全文明施工与环境保护</w:t>
      </w:r>
      <w:bookmarkEnd w:id="385"/>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6.1安全文明施工</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6.1.1 项目安全生产的达标目标及相应事项的约定：</w:t>
      </w:r>
      <w:r>
        <w:rPr>
          <w:rFonts w:hint="eastAsia" w:ascii="宋体" w:hAnsi="宋体" w:eastAsia="宋体" w:cs="宋体"/>
          <w:color w:val="auto"/>
          <w:sz w:val="21"/>
          <w:szCs w:val="21"/>
          <w:highlight w:val="none"/>
          <w:u w:val="single"/>
        </w:rPr>
        <w:t xml:space="preserve">  按照国家及地方安全文明施工的有关规定执行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6.1.4 关于治安保卫的特别约定：</w:t>
      </w:r>
      <w:r>
        <w:rPr>
          <w:rFonts w:hint="eastAsia" w:ascii="宋体" w:hAnsi="宋体" w:eastAsia="宋体" w:cs="宋体"/>
          <w:color w:val="auto"/>
          <w:sz w:val="21"/>
          <w:szCs w:val="21"/>
          <w:highlight w:val="none"/>
          <w:u w:val="single"/>
        </w:rPr>
        <w:t xml:space="preserve">   承包人应当负责统一管理施工场地的治安保卫事项，履行合同工程的治安保卫职责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关于编制施工场地治安管理计划的约定：</w:t>
      </w:r>
      <w:r>
        <w:rPr>
          <w:rFonts w:hint="eastAsia" w:ascii="宋体" w:hAnsi="宋体" w:eastAsia="宋体" w:cs="宋体"/>
          <w:color w:val="auto"/>
          <w:sz w:val="21"/>
          <w:szCs w:val="21"/>
          <w:highlight w:val="none"/>
          <w:u w:val="single"/>
        </w:rPr>
        <w:t xml:space="preserve">  开工前7天内承包人编制施工场地治安管理计划和突发治安事件紧急预案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6.1.5 文明施工</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合同当事人对文明施工的要求：</w:t>
      </w:r>
      <w:r>
        <w:rPr>
          <w:rFonts w:hint="eastAsia" w:ascii="宋体" w:hAnsi="宋体" w:eastAsia="宋体" w:cs="宋体"/>
          <w:color w:val="auto"/>
          <w:sz w:val="21"/>
          <w:szCs w:val="21"/>
          <w:highlight w:val="none"/>
          <w:u w:val="single"/>
        </w:rPr>
        <w:t xml:space="preserve">按照国家及地方安全文明施工的有关规定执行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6.1.6 关于安全文明施工费支付比例和支付期限的约定：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bookmarkEnd w:id="378"/>
    <w:bookmarkEnd w:id="379"/>
    <w:bookmarkEnd w:id="380"/>
    <w:bookmarkEnd w:id="381"/>
    <w:bookmarkEnd w:id="382"/>
    <w:bookmarkEnd w:id="383"/>
    <w:bookmarkEnd w:id="384"/>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86" w:name="_Toc351203639"/>
      <w:r>
        <w:rPr>
          <w:rFonts w:hint="eastAsia" w:ascii="宋体" w:hAnsi="宋体" w:eastAsia="宋体" w:cs="宋体"/>
          <w:b w:val="0"/>
          <w:color w:val="auto"/>
          <w:sz w:val="21"/>
          <w:szCs w:val="21"/>
          <w:highlight w:val="none"/>
        </w:rPr>
        <w:t>7. 工期和进度</w:t>
      </w:r>
      <w:bookmarkEnd w:id="386"/>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 施工组织设计</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7.1.1 合</w:t>
      </w:r>
      <w:r>
        <w:rPr>
          <w:rFonts w:hint="eastAsia" w:ascii="宋体" w:hAnsi="宋体" w:eastAsia="宋体" w:cs="宋体"/>
          <w:color w:val="auto"/>
          <w:kern w:val="0"/>
          <w:sz w:val="21"/>
          <w:szCs w:val="21"/>
          <w:highlight w:val="none"/>
        </w:rPr>
        <w:t>同当事人约定的施工组织设计应包括的其他内容：</w:t>
      </w:r>
      <w:r>
        <w:rPr>
          <w:rFonts w:hint="eastAsia" w:ascii="宋体" w:hAnsi="宋体" w:eastAsia="宋体" w:cs="宋体"/>
          <w:color w:val="auto"/>
          <w:sz w:val="21"/>
          <w:szCs w:val="21"/>
          <w:highlight w:val="none"/>
          <w:u w:val="single"/>
        </w:rPr>
        <w:t>①管理人员名单、职称、职务、上岗证等；②按照国家及地方有关规定应当提交的内容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 xml:space="preserve">7.1.2 </w:t>
      </w:r>
      <w:r>
        <w:rPr>
          <w:rFonts w:hint="eastAsia" w:ascii="宋体" w:hAnsi="宋体" w:eastAsia="宋体" w:cs="宋体"/>
          <w:color w:val="auto"/>
          <w:kern w:val="0"/>
          <w:sz w:val="21"/>
          <w:szCs w:val="21"/>
          <w:highlight w:val="none"/>
        </w:rPr>
        <w:t>施工组织设计的提交和修改</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承包人提交详细施工组织设计的期限的约定：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发包人和监理人在收到详细的施工组织设计后确认或提出修改意见的期限：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387" w:name="_Toc312678005"/>
      <w:bookmarkStart w:id="388" w:name="_Toc312677479"/>
      <w:bookmarkStart w:id="389" w:name="_Toc300934966"/>
      <w:bookmarkStart w:id="390" w:name="_Toc297123514"/>
      <w:bookmarkStart w:id="391" w:name="_Toc304295541"/>
      <w:bookmarkStart w:id="392" w:name="_Toc303539123"/>
      <w:bookmarkStart w:id="393" w:name="_Toc297216173"/>
      <w:r>
        <w:rPr>
          <w:rFonts w:hint="eastAsia" w:ascii="宋体" w:hAnsi="宋体" w:eastAsia="宋体" w:cs="宋体"/>
          <w:color w:val="auto"/>
          <w:sz w:val="21"/>
          <w:szCs w:val="21"/>
          <w:highlight w:val="none"/>
        </w:rPr>
        <w:t>.2 施工进度计划</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7.2.2 施工进度计划的修订</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发包人和监理人在收到修订的施工进度计划后确认或提出修改意见的期限：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 开工</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7.3.1 开工准备</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关于承包人提交</w:t>
      </w:r>
      <w:r>
        <w:rPr>
          <w:rFonts w:hint="eastAsia" w:ascii="宋体" w:hAnsi="宋体" w:eastAsia="宋体" w:cs="宋体"/>
          <w:color w:val="auto"/>
          <w:kern w:val="0"/>
          <w:sz w:val="21"/>
          <w:szCs w:val="21"/>
          <w:highlight w:val="none"/>
        </w:rPr>
        <w:t>工程开工报审表的期限：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关于发包人应完成的其他开工准备工作及期限：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关于承包人应完成的其他开工准备工作及期限：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7.3.2开工通知</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因发包人原因造成监理人未能在计划开工日期之日起</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天内发出开工通知的，承包人有权提出价格调整要求，或者解除合同。</w:t>
      </w:r>
    </w:p>
    <w:bookmarkEnd w:id="387"/>
    <w:bookmarkEnd w:id="388"/>
    <w:bookmarkEnd w:id="389"/>
    <w:bookmarkEnd w:id="390"/>
    <w:bookmarkEnd w:id="391"/>
    <w:bookmarkEnd w:id="392"/>
    <w:bookmarkEnd w:id="393"/>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7.4 测量放线</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7.4.1发包人通过监理人向承包人提供测量基准点、基准线和水准点及其书面资料的期限：</w:t>
      </w:r>
      <w:r>
        <w:rPr>
          <w:rFonts w:hint="eastAsia" w:ascii="宋体" w:hAnsi="宋体" w:eastAsia="宋体" w:cs="宋体"/>
          <w:color w:val="auto"/>
          <w:sz w:val="21"/>
          <w:szCs w:val="21"/>
          <w:highlight w:val="none"/>
          <w:u w:val="single"/>
        </w:rPr>
        <w:t>承包人进入工地后进行现场书面交桩</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394" w:name="_Toc304295546"/>
      <w:bookmarkStart w:id="395" w:name="_Toc297123516"/>
      <w:bookmarkStart w:id="396" w:name="_Toc297216175"/>
      <w:bookmarkStart w:id="397" w:name="_Toc303539125"/>
      <w:bookmarkStart w:id="398" w:name="_Toc312678010"/>
      <w:bookmarkStart w:id="399" w:name="_Toc312677484"/>
      <w:bookmarkStart w:id="400" w:name="_Toc300934968"/>
      <w:r>
        <w:rPr>
          <w:rFonts w:hint="eastAsia" w:ascii="宋体" w:hAnsi="宋体" w:eastAsia="宋体" w:cs="宋体"/>
          <w:color w:val="auto"/>
          <w:sz w:val="21"/>
          <w:szCs w:val="21"/>
          <w:highlight w:val="none"/>
        </w:rPr>
        <w:t>.5 工期延误</w:t>
      </w:r>
    </w:p>
    <w:bookmarkEnd w:id="394"/>
    <w:bookmarkEnd w:id="395"/>
    <w:bookmarkEnd w:id="396"/>
    <w:bookmarkEnd w:id="397"/>
    <w:bookmarkEnd w:id="398"/>
    <w:bookmarkEnd w:id="399"/>
    <w:bookmarkEnd w:id="400"/>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7.5.1 因发包人原因导致工期延误</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（7）因发包人原因导致工期延误的其他情形：</w:t>
      </w:r>
      <w:r>
        <w:rPr>
          <w:rFonts w:hint="eastAsia" w:ascii="宋体" w:hAnsi="宋体" w:eastAsia="宋体" w:cs="宋体"/>
          <w:color w:val="auto"/>
          <w:sz w:val="21"/>
          <w:szCs w:val="21"/>
          <w:highlight w:val="none"/>
          <w:u w:val="single"/>
        </w:rPr>
        <w:t xml:space="preserve"> 开工时间由发包人确定，发包人提前7天向承包人发出书面通知，期间的工期顺延，发包人不赔偿承包人因延期开工造成的损失。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401" w:name="_Toc312677486"/>
      <w:bookmarkStart w:id="402" w:name="_Toc312678012"/>
      <w:bookmarkStart w:id="403" w:name="_Toc318581169"/>
      <w:bookmarkStart w:id="404" w:name="_Toc297123518"/>
      <w:bookmarkStart w:id="405" w:name="_Toc300934970"/>
      <w:bookmarkStart w:id="406" w:name="_Toc303539127"/>
      <w:bookmarkStart w:id="407" w:name="_Toc297216177"/>
      <w:bookmarkStart w:id="408" w:name="_Toc304295548"/>
      <w:r>
        <w:rPr>
          <w:rFonts w:hint="eastAsia" w:ascii="宋体" w:hAnsi="宋体" w:eastAsia="宋体" w:cs="宋体"/>
          <w:color w:val="auto"/>
          <w:sz w:val="21"/>
          <w:szCs w:val="21"/>
          <w:highlight w:val="none"/>
        </w:rPr>
        <w:t>.5.2 因承包人原因导致工期延误</w:t>
      </w:r>
    </w:p>
    <w:bookmarkEnd w:id="401"/>
    <w:bookmarkEnd w:id="402"/>
    <w:bookmarkEnd w:id="403"/>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因</w:t>
      </w:r>
      <w:bookmarkStart w:id="409" w:name="_Toc312678013"/>
      <w:bookmarkStart w:id="410" w:name="_Toc312677487"/>
      <w:bookmarkStart w:id="411" w:name="_Toc318581170"/>
      <w:r>
        <w:rPr>
          <w:rFonts w:hint="eastAsia" w:ascii="宋体" w:hAnsi="宋体" w:eastAsia="宋体" w:cs="宋体"/>
          <w:color w:val="auto"/>
          <w:sz w:val="21"/>
          <w:szCs w:val="21"/>
          <w:highlight w:val="none"/>
        </w:rPr>
        <w:t>承包人原因造成工期延误，逾期竣工违约金的计算方法为：</w:t>
      </w:r>
      <w:r>
        <w:rPr>
          <w:rFonts w:hint="eastAsia" w:ascii="宋体" w:hAnsi="宋体" w:eastAsia="宋体" w:cs="宋体"/>
          <w:color w:val="auto"/>
          <w:sz w:val="21"/>
          <w:szCs w:val="21"/>
          <w:highlight w:val="none"/>
          <w:u w:val="single"/>
        </w:rPr>
        <w:t xml:space="preserve">   每拖延一天工期支付给发包人最终结算价的0.4‰/天的违约金        </w:t>
      </w:r>
      <w:r>
        <w:rPr>
          <w:rFonts w:hint="eastAsia" w:ascii="宋体" w:hAnsi="宋体" w:eastAsia="宋体" w:cs="宋体"/>
          <w:color w:val="auto"/>
          <w:sz w:val="21"/>
          <w:szCs w:val="21"/>
          <w:highlight w:val="none"/>
        </w:rPr>
        <w:t>。</w:t>
      </w:r>
      <w:bookmarkEnd w:id="404"/>
      <w:bookmarkEnd w:id="405"/>
      <w:bookmarkEnd w:id="406"/>
      <w:bookmarkEnd w:id="407"/>
      <w:bookmarkEnd w:id="408"/>
      <w:bookmarkEnd w:id="409"/>
      <w:bookmarkEnd w:id="410"/>
    </w:p>
    <w:bookmarkEnd w:id="411"/>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因承包人原因造成工期延误，逾</w:t>
      </w:r>
      <w:bookmarkStart w:id="412" w:name="_Toc312678014"/>
      <w:bookmarkStart w:id="413" w:name="_Toc318581171"/>
      <w:r>
        <w:rPr>
          <w:rFonts w:hint="eastAsia" w:ascii="宋体" w:hAnsi="宋体" w:eastAsia="宋体" w:cs="宋体"/>
          <w:color w:val="auto"/>
          <w:sz w:val="21"/>
          <w:szCs w:val="21"/>
          <w:highlight w:val="none"/>
        </w:rPr>
        <w:t>期竣工违约金的上限：</w:t>
      </w:r>
      <w:r>
        <w:rPr>
          <w:rFonts w:hint="eastAsia" w:ascii="宋体" w:hAnsi="宋体" w:eastAsia="宋体" w:cs="宋体"/>
          <w:color w:val="auto"/>
          <w:sz w:val="21"/>
          <w:szCs w:val="21"/>
          <w:highlight w:val="none"/>
          <w:u w:val="single"/>
        </w:rPr>
        <w:t xml:space="preserve"> 违约金最高限额为最终结算价的4％</w:t>
      </w:r>
      <w:r>
        <w:rPr>
          <w:rFonts w:hint="eastAsia" w:ascii="宋体" w:hAnsi="宋体" w:eastAsia="宋体" w:cs="宋体"/>
          <w:color w:val="auto"/>
          <w:sz w:val="21"/>
          <w:szCs w:val="21"/>
          <w:highlight w:val="none"/>
        </w:rPr>
        <w:t>。</w:t>
      </w:r>
    </w:p>
    <w:bookmarkEnd w:id="412"/>
    <w:bookmarkEnd w:id="413"/>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414" w:name="_Toc297123519"/>
      <w:bookmarkStart w:id="415" w:name="_Toc300934971"/>
      <w:bookmarkStart w:id="416" w:name="_Toc304295549"/>
      <w:bookmarkStart w:id="417" w:name="_Toc312678015"/>
      <w:bookmarkStart w:id="418" w:name="_Toc303539128"/>
      <w:bookmarkStart w:id="419" w:name="_Toc297216178"/>
      <w:r>
        <w:rPr>
          <w:rFonts w:hint="eastAsia" w:ascii="宋体" w:hAnsi="宋体" w:eastAsia="宋体" w:cs="宋体"/>
          <w:color w:val="auto"/>
          <w:sz w:val="21"/>
          <w:szCs w:val="21"/>
          <w:highlight w:val="none"/>
        </w:rPr>
        <w:t>.6 不</w:t>
      </w:r>
      <w:bookmarkEnd w:id="414"/>
      <w:bookmarkEnd w:id="415"/>
      <w:bookmarkEnd w:id="416"/>
      <w:bookmarkEnd w:id="417"/>
      <w:bookmarkEnd w:id="418"/>
      <w:bookmarkEnd w:id="419"/>
      <w:r>
        <w:rPr>
          <w:rFonts w:hint="eastAsia" w:ascii="宋体" w:hAnsi="宋体" w:eastAsia="宋体" w:cs="宋体"/>
          <w:color w:val="auto"/>
          <w:sz w:val="21"/>
          <w:szCs w:val="21"/>
          <w:highlight w:val="none"/>
        </w:rPr>
        <w:t>利物质条件</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bookmarkStart w:id="420" w:name="_Toc318581172"/>
      <w:bookmarkStart w:id="421" w:name="_Toc303539129"/>
      <w:bookmarkStart w:id="422" w:name="_Toc297123520"/>
      <w:bookmarkStart w:id="423" w:name="_Toc297216179"/>
      <w:bookmarkStart w:id="424" w:name="_Toc304295550"/>
      <w:bookmarkStart w:id="425" w:name="_Toc312678016"/>
      <w:bookmarkStart w:id="426" w:name="_Toc300934972"/>
      <w:r>
        <w:rPr>
          <w:rFonts w:hint="eastAsia" w:ascii="宋体" w:hAnsi="宋体" w:eastAsia="宋体" w:cs="宋体"/>
          <w:color w:val="auto"/>
          <w:sz w:val="21"/>
          <w:szCs w:val="21"/>
          <w:highlight w:val="none"/>
        </w:rPr>
        <w:t>不利物质条件的其他情形和有关约定：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420"/>
    <w:bookmarkEnd w:id="421"/>
    <w:bookmarkEnd w:id="422"/>
    <w:bookmarkEnd w:id="423"/>
    <w:bookmarkEnd w:id="424"/>
    <w:bookmarkEnd w:id="425"/>
    <w:bookmarkEnd w:id="426"/>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427" w:name="_Toc297216180"/>
      <w:bookmarkStart w:id="428" w:name="_Toc297123521"/>
      <w:bookmarkStart w:id="429" w:name="_Toc312678017"/>
      <w:bookmarkStart w:id="430" w:name="_Toc300934973"/>
      <w:bookmarkStart w:id="431" w:name="_Toc304295551"/>
      <w:bookmarkStart w:id="432" w:name="_Toc303539130"/>
      <w:r>
        <w:rPr>
          <w:rFonts w:hint="eastAsia" w:ascii="宋体" w:hAnsi="宋体" w:eastAsia="宋体" w:cs="宋体"/>
          <w:color w:val="auto"/>
          <w:sz w:val="21"/>
          <w:szCs w:val="21"/>
          <w:highlight w:val="none"/>
        </w:rPr>
        <w:t>.7异常恶劣的气候条件</w:t>
      </w:r>
    </w:p>
    <w:bookmarkEnd w:id="427"/>
    <w:bookmarkEnd w:id="428"/>
    <w:bookmarkEnd w:id="429"/>
    <w:bookmarkEnd w:id="430"/>
    <w:bookmarkEnd w:id="431"/>
    <w:bookmarkEnd w:id="432"/>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发包人和承包人同意以下情形视为异常恶劣的气候条件：</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u w:val="single"/>
        </w:rPr>
        <w:t>当地6级以上的破坏性地震</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u w:val="single"/>
        </w:rPr>
        <w:t>暴雨级以上的持续3天的大雨</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u w:val="single"/>
        </w:rPr>
        <w:t>5年以上未发生过的，持续5天的高温天气</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7.9 提前竣工的奖励</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7.9.2提前竣工的奖励：</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433" w:name="_Toc351203640"/>
      <w:r>
        <w:rPr>
          <w:rFonts w:hint="eastAsia" w:ascii="宋体" w:hAnsi="宋体" w:eastAsia="宋体" w:cs="宋体"/>
          <w:b w:val="0"/>
          <w:color w:val="auto"/>
          <w:sz w:val="21"/>
          <w:szCs w:val="21"/>
          <w:highlight w:val="none"/>
        </w:rPr>
        <w:t>8. 材料与设备</w:t>
      </w:r>
      <w:bookmarkEnd w:id="433"/>
    </w:p>
    <w:bookmarkEnd w:id="368"/>
    <w:bookmarkEnd w:id="369"/>
    <w:bookmarkEnd w:id="370"/>
    <w:bookmarkEnd w:id="371"/>
    <w:bookmarkEnd w:id="372"/>
    <w:bookmarkEnd w:id="373"/>
    <w:bookmarkEnd w:id="374"/>
    <w:bookmarkEnd w:id="375"/>
    <w:bookmarkEnd w:id="376"/>
    <w:bookmarkEnd w:id="377"/>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bookmarkStart w:id="434" w:name="_Toc296503167"/>
      <w:bookmarkStart w:id="435" w:name="_Toc292559372"/>
      <w:bookmarkStart w:id="436" w:name="_Toc296944506"/>
      <w:bookmarkStart w:id="437" w:name="_Toc296347166"/>
      <w:bookmarkStart w:id="438" w:name="_Toc297048353"/>
      <w:bookmarkStart w:id="439" w:name="_Toc304295556"/>
      <w:bookmarkStart w:id="440" w:name="_Toc292559877"/>
      <w:bookmarkStart w:id="441" w:name="_Toc303539136"/>
      <w:bookmarkStart w:id="442" w:name="_Toc296890995"/>
      <w:bookmarkStart w:id="443" w:name="_Toc312678019"/>
      <w:bookmarkStart w:id="444" w:name="_Toc297216186"/>
      <w:bookmarkStart w:id="445" w:name="_Toc280868654"/>
      <w:bookmarkStart w:id="446" w:name="_Toc297123527"/>
      <w:bookmarkStart w:id="447" w:name="_Toc296346668"/>
      <w:bookmarkStart w:id="448" w:name="_Toc300934979"/>
      <w:bookmarkStart w:id="449" w:name="_Toc297120467"/>
      <w:bookmarkStart w:id="450" w:name="_Toc312677493"/>
      <w:bookmarkStart w:id="451" w:name="_Toc296891207"/>
      <w:bookmarkStart w:id="452" w:name="_Toc280868656"/>
      <w:bookmarkStart w:id="453" w:name="_Toc280868655"/>
      <w:bookmarkStart w:id="454" w:name="_Toc267251424"/>
      <w:r>
        <w:rPr>
          <w:rFonts w:hint="eastAsia" w:ascii="宋体" w:hAnsi="宋体" w:eastAsia="宋体" w:cs="宋体"/>
          <w:color w:val="auto"/>
          <w:sz w:val="21"/>
          <w:szCs w:val="21"/>
          <w:highlight w:val="none"/>
        </w:rPr>
        <w:t>.4材料与工程设备的保管与使用</w:t>
      </w:r>
    </w:p>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bookmarkStart w:id="455" w:name="_Toc292559373"/>
      <w:bookmarkStart w:id="456" w:name="_Toc292559878"/>
      <w:bookmarkStart w:id="457" w:name="_Toc303539137"/>
      <w:bookmarkStart w:id="458" w:name="_Toc297123528"/>
      <w:bookmarkStart w:id="459" w:name="_Toc297120468"/>
      <w:bookmarkStart w:id="460" w:name="_Toc296347167"/>
      <w:bookmarkStart w:id="461" w:name="_Toc296503168"/>
      <w:bookmarkStart w:id="462" w:name="_Toc296944507"/>
      <w:bookmarkStart w:id="463" w:name="_Toc297048354"/>
      <w:bookmarkStart w:id="464" w:name="_Toc297216187"/>
      <w:bookmarkStart w:id="465" w:name="_Toc318581173"/>
      <w:bookmarkStart w:id="466" w:name="_Toc296346669"/>
      <w:bookmarkStart w:id="467" w:name="_Toc300934980"/>
      <w:bookmarkStart w:id="468" w:name="_Toc312678020"/>
      <w:bookmarkStart w:id="469" w:name="_Toc296890996"/>
      <w:bookmarkStart w:id="470" w:name="_Toc312677494"/>
      <w:bookmarkStart w:id="471" w:name="_Toc296891208"/>
      <w:bookmarkStart w:id="472" w:name="_Toc304295557"/>
      <w:r>
        <w:rPr>
          <w:rFonts w:hint="eastAsia" w:ascii="宋体" w:hAnsi="宋体" w:eastAsia="宋体" w:cs="宋体"/>
          <w:color w:val="auto"/>
          <w:sz w:val="21"/>
          <w:szCs w:val="21"/>
          <w:highlight w:val="none"/>
        </w:rPr>
        <w:t>.4.1发包人供应的材料设备的保管费用的承担：</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bookmarkEnd w:id="455"/>
      <w:bookmarkEnd w:id="456"/>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8.6 样品</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8.6.1</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样品的报送与封存</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需要承包人报送样品的材料或工程设备，样品的种类、名称、规格、数量要求：</w:t>
      </w:r>
      <w:r>
        <w:rPr>
          <w:rFonts w:hint="eastAsia" w:ascii="宋体" w:hAnsi="宋体" w:eastAsia="宋体" w:cs="宋体"/>
          <w:color w:val="auto"/>
          <w:kern w:val="0"/>
          <w:sz w:val="21"/>
          <w:szCs w:val="21"/>
          <w:highlight w:val="none"/>
          <w:u w:val="single"/>
        </w:rPr>
        <w:t>承包人按设计及图纸要求根据工程所需采购材料且</w:t>
      </w:r>
      <w:r>
        <w:rPr>
          <w:rFonts w:hint="eastAsia" w:ascii="宋体" w:hAnsi="宋体" w:eastAsia="宋体" w:cs="宋体"/>
          <w:b/>
          <w:color w:val="auto"/>
          <w:kern w:val="0"/>
          <w:sz w:val="21"/>
          <w:szCs w:val="21"/>
          <w:highlight w:val="none"/>
          <w:u w:val="single"/>
        </w:rPr>
        <w:t>①按投标单位报价指定的材料采购，其品种、规格、型号、质量等级应与投标清单相符，采购的样品必须先经监理和发包人认可；如因特殊原因不能从发包人推荐品牌中采购相应材料或设备时，应报请发包人并取得发包人书面同意方可采用，否则因此造成的一切后果由承包人负责；②货到接受监理、发包人检查；③在监理监督下，按规定送检或试验；④工程量清单中的暂定价的材料，必须经发包人在品牌、规格、颜色及单价等方面审定后方能采购。</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8.8 施工设备和临时设施</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8.8.1 承包人提供的施工设备和临时设施</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关于修建临时设施费用承担的约定：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473" w:name="_Toc351203641"/>
      <w:r>
        <w:rPr>
          <w:rFonts w:hint="eastAsia" w:ascii="宋体" w:hAnsi="宋体" w:eastAsia="宋体" w:cs="宋体"/>
          <w:b w:val="0"/>
          <w:color w:val="auto"/>
          <w:sz w:val="21"/>
          <w:szCs w:val="21"/>
          <w:highlight w:val="none"/>
        </w:rPr>
        <w:t>9</w:t>
      </w:r>
      <w:bookmarkEnd w:id="452"/>
      <w:bookmarkEnd w:id="453"/>
      <w:bookmarkEnd w:id="454"/>
      <w:bookmarkStart w:id="474" w:name="_Toc297216192"/>
      <w:bookmarkStart w:id="475" w:name="_Toc312678021"/>
      <w:bookmarkStart w:id="476" w:name="_Toc300934982"/>
      <w:bookmarkStart w:id="477" w:name="_Toc297123533"/>
      <w:bookmarkStart w:id="478" w:name="_Toc304295559"/>
      <w:bookmarkStart w:id="479" w:name="_Toc312677495"/>
      <w:bookmarkStart w:id="480" w:name="_Toc303539139"/>
      <w:bookmarkStart w:id="481" w:name="_Toc296346674"/>
      <w:bookmarkStart w:id="482" w:name="_Toc292559883"/>
      <w:bookmarkStart w:id="483" w:name="_Toc296891213"/>
      <w:bookmarkStart w:id="484" w:name="_Toc296503173"/>
      <w:bookmarkStart w:id="485" w:name="_Toc296891001"/>
      <w:bookmarkStart w:id="486" w:name="_Toc267251427"/>
      <w:bookmarkStart w:id="487" w:name="_Toc297120473"/>
      <w:bookmarkStart w:id="488" w:name="_Toc292559378"/>
      <w:bookmarkStart w:id="489" w:name="_Toc296347172"/>
      <w:bookmarkStart w:id="490" w:name="_Toc267251428"/>
      <w:bookmarkStart w:id="491" w:name="_Toc296944512"/>
      <w:bookmarkStart w:id="492" w:name="_Toc297048359"/>
      <w:r>
        <w:rPr>
          <w:rFonts w:hint="eastAsia" w:ascii="宋体" w:hAnsi="宋体" w:eastAsia="宋体" w:cs="宋体"/>
          <w:b w:val="0"/>
          <w:color w:val="auto"/>
          <w:sz w:val="21"/>
          <w:szCs w:val="21"/>
          <w:highlight w:val="none"/>
        </w:rPr>
        <w:t>. 试验与检验</w:t>
      </w:r>
      <w:bookmarkEnd w:id="473"/>
    </w:p>
    <w:bookmarkEnd w:id="474"/>
    <w:bookmarkEnd w:id="475"/>
    <w:bookmarkEnd w:id="476"/>
    <w:bookmarkEnd w:id="477"/>
    <w:bookmarkEnd w:id="478"/>
    <w:bookmarkEnd w:id="479"/>
    <w:bookmarkEnd w:id="480"/>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bookmarkStart w:id="493" w:name="_Toc297216193"/>
      <w:bookmarkStart w:id="494" w:name="_Toc312677496"/>
      <w:bookmarkStart w:id="495" w:name="_Toc304295560"/>
      <w:bookmarkStart w:id="496" w:name="_Toc300934983"/>
      <w:bookmarkStart w:id="497" w:name="_Toc297123534"/>
      <w:bookmarkStart w:id="498" w:name="_Toc312678022"/>
      <w:bookmarkStart w:id="499" w:name="_Toc303539140"/>
      <w:r>
        <w:rPr>
          <w:rFonts w:hint="eastAsia" w:ascii="宋体" w:hAnsi="宋体" w:eastAsia="宋体" w:cs="宋体"/>
          <w:color w:val="auto"/>
          <w:sz w:val="21"/>
          <w:szCs w:val="21"/>
          <w:highlight w:val="none"/>
        </w:rPr>
        <w:t>.1试验设备与试验人员</w:t>
      </w:r>
    </w:p>
    <w:bookmarkEnd w:id="493"/>
    <w:bookmarkEnd w:id="494"/>
    <w:bookmarkEnd w:id="495"/>
    <w:bookmarkEnd w:id="496"/>
    <w:bookmarkEnd w:id="497"/>
    <w:bookmarkEnd w:id="498"/>
    <w:bookmarkEnd w:id="499"/>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bookmarkStart w:id="500" w:name="_Toc303539141"/>
      <w:bookmarkStart w:id="501" w:name="_Toc300934984"/>
      <w:bookmarkStart w:id="502" w:name="_Toc304295561"/>
      <w:bookmarkStart w:id="503" w:name="_Toc297216194"/>
      <w:bookmarkStart w:id="504" w:name="_Toc312678023"/>
      <w:bookmarkStart w:id="505" w:name="_Toc312677497"/>
      <w:bookmarkStart w:id="506" w:name="_Toc297123535"/>
      <w:bookmarkStart w:id="507" w:name="_Toc318581174"/>
      <w:r>
        <w:rPr>
          <w:rFonts w:hint="eastAsia" w:ascii="宋体" w:hAnsi="宋体" w:eastAsia="宋体" w:cs="宋体"/>
          <w:color w:val="auto"/>
          <w:sz w:val="21"/>
          <w:szCs w:val="21"/>
          <w:highlight w:val="none"/>
        </w:rPr>
        <w:t>.1.2 试验设备</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施工现场需要配置的试验场所：</w:t>
      </w:r>
      <w:bookmarkEnd w:id="500"/>
      <w:bookmarkEnd w:id="501"/>
      <w:bookmarkEnd w:id="502"/>
      <w:bookmarkEnd w:id="503"/>
      <w:bookmarkEnd w:id="504"/>
      <w:bookmarkEnd w:id="505"/>
      <w:bookmarkEnd w:id="506"/>
      <w:bookmarkStart w:id="508" w:name="_Toc304295562"/>
      <w:bookmarkStart w:id="509" w:name="_Toc300934985"/>
      <w:bookmarkStart w:id="510" w:name="_Toc297216195"/>
      <w:bookmarkStart w:id="511" w:name="_Toc297123536"/>
      <w:bookmarkStart w:id="512" w:name="_Toc312677498"/>
      <w:bookmarkStart w:id="513" w:name="_Toc312678024"/>
      <w:bookmarkStart w:id="514" w:name="_Toc303539142"/>
      <w:r>
        <w:rPr>
          <w:rFonts w:hint="eastAsia" w:ascii="宋体" w:hAnsi="宋体" w:eastAsia="宋体" w:cs="宋体"/>
          <w:color w:val="auto"/>
          <w:sz w:val="21"/>
          <w:szCs w:val="21"/>
          <w:highlight w:val="none"/>
          <w:u w:val="single"/>
        </w:rPr>
        <w:t xml:space="preserve"> 根据国家及地方有关规定和现场实际情况配置 </w:t>
      </w:r>
      <w:r>
        <w:rPr>
          <w:rFonts w:hint="eastAsia" w:ascii="宋体" w:hAnsi="宋体" w:eastAsia="宋体" w:cs="宋体"/>
          <w:color w:val="auto"/>
          <w:sz w:val="21"/>
          <w:szCs w:val="21"/>
          <w:highlight w:val="none"/>
        </w:rPr>
        <w:t xml:space="preserve">。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施工现场需要配备的试验设备：</w:t>
      </w:r>
      <w:r>
        <w:rPr>
          <w:rFonts w:hint="eastAsia" w:ascii="宋体" w:hAnsi="宋体" w:eastAsia="宋体" w:cs="宋体"/>
          <w:color w:val="auto"/>
          <w:sz w:val="21"/>
          <w:szCs w:val="21"/>
          <w:highlight w:val="none"/>
          <w:u w:val="single"/>
        </w:rPr>
        <w:t xml:space="preserve"> 根据国家及地方有关规定和现场实际情况配置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施工现场需要具备的其他试验条件：</w:t>
      </w:r>
      <w:r>
        <w:rPr>
          <w:rFonts w:hint="eastAsia" w:ascii="宋体" w:hAnsi="宋体" w:eastAsia="宋体" w:cs="宋体"/>
          <w:color w:val="auto"/>
          <w:sz w:val="21"/>
          <w:szCs w:val="21"/>
          <w:highlight w:val="none"/>
          <w:u w:val="single"/>
        </w:rPr>
        <w:t xml:space="preserve"> 根据国家及地方有关规定和现场实际情况配置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9.4 现场工艺试验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现场工艺试验的有关约定：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bookmarkEnd w:id="507"/>
    <w:bookmarkEnd w:id="508"/>
    <w:bookmarkEnd w:id="509"/>
    <w:bookmarkEnd w:id="510"/>
    <w:bookmarkEnd w:id="511"/>
    <w:bookmarkEnd w:id="512"/>
    <w:bookmarkEnd w:id="513"/>
    <w:bookmarkEnd w:id="514"/>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515" w:name="_Toc351203642"/>
      <w:r>
        <w:rPr>
          <w:rFonts w:hint="eastAsia" w:ascii="宋体" w:hAnsi="宋体" w:eastAsia="宋体" w:cs="宋体"/>
          <w:b w:val="0"/>
          <w:color w:val="auto"/>
          <w:sz w:val="21"/>
          <w:szCs w:val="21"/>
          <w:highlight w:val="none"/>
        </w:rPr>
        <w:t>1</w:t>
      </w:r>
      <w:bookmarkEnd w:id="481"/>
      <w:bookmarkEnd w:id="482"/>
      <w:bookmarkEnd w:id="483"/>
      <w:bookmarkEnd w:id="484"/>
      <w:bookmarkEnd w:id="485"/>
      <w:bookmarkEnd w:id="486"/>
      <w:bookmarkEnd w:id="487"/>
      <w:bookmarkEnd w:id="488"/>
      <w:bookmarkEnd w:id="489"/>
      <w:bookmarkEnd w:id="490"/>
      <w:bookmarkEnd w:id="491"/>
      <w:bookmarkEnd w:id="492"/>
      <w:bookmarkStart w:id="516" w:name="_Toc297048379"/>
      <w:bookmarkStart w:id="517" w:name="_Toc292559903"/>
      <w:bookmarkStart w:id="518" w:name="_Toc300934989"/>
      <w:bookmarkStart w:id="519" w:name="_Toc296503193"/>
      <w:bookmarkStart w:id="520" w:name="_Toc296944532"/>
      <w:bookmarkStart w:id="521" w:name="_Toc303539146"/>
      <w:bookmarkStart w:id="522" w:name="_Toc296347192"/>
      <w:bookmarkStart w:id="523" w:name="_Toc296891021"/>
      <w:bookmarkStart w:id="524" w:name="_Toc296891233"/>
      <w:bookmarkStart w:id="525" w:name="_Toc292559398"/>
      <w:bookmarkStart w:id="526" w:name="_Toc304295566"/>
      <w:bookmarkStart w:id="527" w:name="_Toc296346694"/>
      <w:bookmarkStart w:id="528" w:name="_Toc297123540"/>
      <w:bookmarkStart w:id="529" w:name="_Toc297216199"/>
      <w:bookmarkStart w:id="530" w:name="_Toc297120493"/>
      <w:bookmarkStart w:id="531" w:name="_Toc312677499"/>
      <w:bookmarkStart w:id="532" w:name="_Toc312678025"/>
      <w:bookmarkStart w:id="533" w:name="_Toc267251435"/>
      <w:bookmarkStart w:id="534" w:name="_Toc267251439"/>
      <w:bookmarkStart w:id="535" w:name="_Toc267251437"/>
      <w:bookmarkStart w:id="536" w:name="_Toc267251440"/>
      <w:bookmarkStart w:id="537" w:name="_Toc267251441"/>
      <w:bookmarkStart w:id="538" w:name="_Toc267251433"/>
      <w:bookmarkStart w:id="539" w:name="_Toc267251442"/>
      <w:r>
        <w:rPr>
          <w:rFonts w:hint="eastAsia" w:ascii="宋体" w:hAnsi="宋体" w:eastAsia="宋体" w:cs="宋体"/>
          <w:b w:val="0"/>
          <w:color w:val="auto"/>
          <w:sz w:val="21"/>
          <w:szCs w:val="21"/>
          <w:highlight w:val="none"/>
        </w:rPr>
        <w:t>0. 变更</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bookmarkEnd w:id="531"/>
    <w:bookmarkEnd w:id="532"/>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540" w:name="_Toc292559399"/>
      <w:bookmarkStart w:id="541" w:name="_Toc296891234"/>
      <w:bookmarkStart w:id="542" w:name="_Toc296347193"/>
      <w:bookmarkStart w:id="543" w:name="_Toc296891022"/>
      <w:bookmarkStart w:id="544" w:name="_Toc297120494"/>
      <w:bookmarkStart w:id="545" w:name="_Toc296503194"/>
      <w:bookmarkStart w:id="546" w:name="_Toc296346695"/>
      <w:bookmarkStart w:id="547" w:name="_Toc297216200"/>
      <w:bookmarkStart w:id="548" w:name="_Toc312678026"/>
      <w:bookmarkStart w:id="549" w:name="_Toc296944533"/>
      <w:bookmarkStart w:id="550" w:name="_Toc297048380"/>
      <w:bookmarkStart w:id="551" w:name="_Toc303539147"/>
      <w:bookmarkStart w:id="552" w:name="_Toc304295567"/>
      <w:bookmarkStart w:id="553" w:name="_Toc297123541"/>
      <w:bookmarkStart w:id="554" w:name="_Toc300934990"/>
      <w:bookmarkStart w:id="555" w:name="_Toc312677500"/>
      <w:bookmarkStart w:id="556" w:name="_Toc292559904"/>
      <w:r>
        <w:rPr>
          <w:rFonts w:hint="eastAsia" w:ascii="宋体" w:hAnsi="宋体" w:eastAsia="宋体" w:cs="宋体"/>
          <w:color w:val="auto"/>
          <w:sz w:val="21"/>
          <w:szCs w:val="21"/>
          <w:highlight w:val="none"/>
        </w:rPr>
        <w:t>0.1变更的范围</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关于变更的范围的约定：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 变更估价</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10.4.1 变更估价原则</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b w:val="0"/>
          <w:bCs/>
          <w:color w:val="auto"/>
          <w:sz w:val="21"/>
          <w:szCs w:val="21"/>
          <w:highlight w:val="none"/>
        </w:rPr>
      </w:pPr>
      <w:bookmarkStart w:id="557" w:name="_Toc251051742"/>
      <w:r>
        <w:rPr>
          <w:rFonts w:hint="eastAsia" w:ascii="宋体" w:hAnsi="宋体" w:eastAsia="宋体" w:cs="宋体"/>
          <w:b w:val="0"/>
          <w:bCs/>
          <w:color w:val="auto"/>
          <w:sz w:val="21"/>
          <w:szCs w:val="21"/>
          <w:highlight w:val="none"/>
          <w:u w:val="single"/>
        </w:rPr>
        <w:t>因设计变更、相关签证及招标工程量清单错项、漏项引起工程项目、工程量任何变化的，变更合同价款按下列方法进行：</w:t>
      </w:r>
      <w:bookmarkEnd w:id="557"/>
      <w:r>
        <w:rPr>
          <w:rFonts w:hint="eastAsia" w:ascii="宋体" w:hAnsi="宋体" w:eastAsia="宋体" w:cs="宋体"/>
          <w:b w:val="0"/>
          <w:bCs/>
          <w:color w:val="auto"/>
          <w:sz w:val="21"/>
          <w:szCs w:val="21"/>
          <w:highlight w:val="none"/>
          <w:u w:val="single"/>
        </w:rPr>
        <w:fldChar w:fldCharType="begin"/>
      </w:r>
      <w:r>
        <w:rPr>
          <w:rFonts w:hint="eastAsia" w:ascii="宋体" w:hAnsi="宋体" w:eastAsia="宋体" w:cs="宋体"/>
          <w:b w:val="0"/>
          <w:bCs/>
          <w:color w:val="auto"/>
          <w:sz w:val="21"/>
          <w:szCs w:val="21"/>
          <w:highlight w:val="none"/>
          <w:u w:val="single"/>
        </w:rPr>
        <w:instrText xml:space="preserve"> = 1 \* GB3 </w:instrText>
      </w:r>
      <w:r>
        <w:rPr>
          <w:rFonts w:hint="eastAsia" w:ascii="宋体" w:hAnsi="宋体" w:eastAsia="宋体" w:cs="宋体"/>
          <w:b w:val="0"/>
          <w:bCs/>
          <w:color w:val="auto"/>
          <w:sz w:val="21"/>
          <w:szCs w:val="21"/>
          <w:highlight w:val="none"/>
          <w:u w:val="single"/>
        </w:rPr>
        <w:fldChar w:fldCharType="separate"/>
      </w:r>
      <w:r>
        <w:rPr>
          <w:rFonts w:hint="eastAsia" w:ascii="宋体" w:hAnsi="宋体" w:eastAsia="宋体" w:cs="宋体"/>
          <w:b w:val="0"/>
          <w:bCs/>
          <w:color w:val="auto"/>
          <w:sz w:val="21"/>
          <w:szCs w:val="21"/>
          <w:highlight w:val="none"/>
          <w:u w:val="single"/>
        </w:rPr>
        <w:t>①</w:t>
      </w:r>
      <w:r>
        <w:rPr>
          <w:rFonts w:hint="eastAsia" w:ascii="宋体" w:hAnsi="宋体" w:eastAsia="宋体" w:cs="宋体"/>
          <w:b w:val="0"/>
          <w:bCs/>
          <w:color w:val="auto"/>
          <w:sz w:val="21"/>
          <w:szCs w:val="21"/>
          <w:highlight w:val="none"/>
          <w:u w:val="single"/>
        </w:rPr>
        <w:fldChar w:fldCharType="end"/>
      </w:r>
      <w:r>
        <w:rPr>
          <w:rFonts w:hint="eastAsia" w:ascii="宋体" w:hAnsi="宋体" w:eastAsia="宋体" w:cs="宋体"/>
          <w:b w:val="0"/>
          <w:bCs/>
          <w:color w:val="auto"/>
          <w:sz w:val="21"/>
          <w:szCs w:val="21"/>
          <w:highlight w:val="none"/>
          <w:u w:val="single"/>
        </w:rPr>
        <w:t>合同中已有适用于变更工程的项，按合同中已有的综合单价确定；</w:t>
      </w:r>
      <w:r>
        <w:rPr>
          <w:rFonts w:hint="eastAsia" w:ascii="宋体" w:hAnsi="宋体" w:eastAsia="宋体" w:cs="宋体"/>
          <w:b w:val="0"/>
          <w:bCs/>
          <w:color w:val="auto"/>
          <w:sz w:val="21"/>
          <w:szCs w:val="21"/>
          <w:highlight w:val="none"/>
          <w:u w:val="single"/>
        </w:rPr>
        <w:fldChar w:fldCharType="begin"/>
      </w:r>
      <w:r>
        <w:rPr>
          <w:rFonts w:hint="eastAsia" w:ascii="宋体" w:hAnsi="宋体" w:eastAsia="宋体" w:cs="宋体"/>
          <w:b w:val="0"/>
          <w:bCs/>
          <w:color w:val="auto"/>
          <w:sz w:val="21"/>
          <w:szCs w:val="21"/>
          <w:highlight w:val="none"/>
          <w:u w:val="single"/>
        </w:rPr>
        <w:instrText xml:space="preserve"> = 2 \* GB3 </w:instrText>
      </w:r>
      <w:r>
        <w:rPr>
          <w:rFonts w:hint="eastAsia" w:ascii="宋体" w:hAnsi="宋体" w:eastAsia="宋体" w:cs="宋体"/>
          <w:b w:val="0"/>
          <w:bCs/>
          <w:color w:val="auto"/>
          <w:sz w:val="21"/>
          <w:szCs w:val="21"/>
          <w:highlight w:val="none"/>
          <w:u w:val="single"/>
        </w:rPr>
        <w:fldChar w:fldCharType="separate"/>
      </w:r>
      <w:r>
        <w:rPr>
          <w:rFonts w:hint="eastAsia" w:ascii="宋体" w:hAnsi="宋体" w:eastAsia="宋体" w:cs="宋体"/>
          <w:b w:val="0"/>
          <w:bCs/>
          <w:color w:val="auto"/>
          <w:sz w:val="21"/>
          <w:szCs w:val="21"/>
          <w:highlight w:val="none"/>
          <w:u w:val="single"/>
        </w:rPr>
        <w:t>②</w:t>
      </w:r>
      <w:r>
        <w:rPr>
          <w:rFonts w:hint="eastAsia" w:ascii="宋体" w:hAnsi="宋体" w:eastAsia="宋体" w:cs="宋体"/>
          <w:b w:val="0"/>
          <w:bCs/>
          <w:color w:val="auto"/>
          <w:sz w:val="21"/>
          <w:szCs w:val="21"/>
          <w:highlight w:val="none"/>
          <w:u w:val="single"/>
        </w:rPr>
        <w:fldChar w:fldCharType="end"/>
      </w:r>
      <w:r>
        <w:rPr>
          <w:rFonts w:hint="eastAsia" w:ascii="宋体" w:hAnsi="宋体" w:eastAsia="宋体" w:cs="宋体"/>
          <w:b w:val="0"/>
          <w:bCs/>
          <w:color w:val="auto"/>
          <w:sz w:val="21"/>
          <w:szCs w:val="21"/>
          <w:highlight w:val="none"/>
          <w:u w:val="single"/>
        </w:rPr>
        <w:t>合同中有类似变更工程的项（指工程量清单项目中除主要材料不同外，人工、机械及其他材料均相同的项），综合单价按已有类似的综合单价加材料价差来确定；③合同中没有适用或类似于变更工程的项，其综合单价套用广西现行消耗量定额，费率按预算价的费率构成计取，材料价按施工期《桂林建设工程造价信息》（</w:t>
      </w:r>
      <w:r>
        <w:rPr>
          <w:rFonts w:hint="eastAsia" w:ascii="宋体" w:hAnsi="宋体" w:eastAsia="宋体" w:cs="宋体"/>
          <w:b w:val="0"/>
          <w:bCs/>
          <w:color w:val="auto"/>
          <w:sz w:val="21"/>
          <w:szCs w:val="21"/>
          <w:highlight w:val="none"/>
          <w:u w:val="single"/>
          <w:lang w:val="en-US" w:eastAsia="zh-CN"/>
        </w:rPr>
        <w:t>灌阳县</w:t>
      </w:r>
      <w:r>
        <w:rPr>
          <w:rFonts w:hint="eastAsia" w:ascii="宋体" w:hAnsi="宋体" w:eastAsia="宋体" w:cs="宋体"/>
          <w:b w:val="0"/>
          <w:bCs/>
          <w:color w:val="auto"/>
          <w:sz w:val="21"/>
          <w:szCs w:val="21"/>
          <w:highlight w:val="none"/>
          <w:u w:val="single"/>
        </w:rPr>
        <w:t>）公布价格的算数平均值计取，材料价格缺项的根据市场询价签证确定其材料价格，最后总价乘以系数（投标报价/预算价）；④不适用上述条款的项，则由发包人和承包人协商签证确定；⑤因不可抗力产生的费用由发包人及承包人双方协商分担</w:t>
      </w:r>
      <w:r>
        <w:rPr>
          <w:rFonts w:hint="eastAsia" w:ascii="宋体" w:hAnsi="宋体" w:eastAsia="宋体" w:cs="宋体"/>
          <w:b w:val="0"/>
          <w:bCs/>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Start w:id="558" w:name="_Toc292559402"/>
      <w:bookmarkStart w:id="559" w:name="_Toc296503197"/>
      <w:bookmarkStart w:id="560" w:name="_Toc297120497"/>
      <w:bookmarkStart w:id="561" w:name="_Toc297123544"/>
      <w:bookmarkStart w:id="562" w:name="_Toc292559907"/>
      <w:bookmarkStart w:id="563" w:name="_Toc300934993"/>
      <w:bookmarkStart w:id="564" w:name="_Toc296346698"/>
      <w:bookmarkStart w:id="565" w:name="_Toc297216203"/>
      <w:bookmarkStart w:id="566" w:name="_Toc296891237"/>
      <w:bookmarkStart w:id="567" w:name="_Toc297048383"/>
      <w:bookmarkStart w:id="568" w:name="_Toc296944536"/>
      <w:bookmarkStart w:id="569" w:name="_Toc296891025"/>
      <w:bookmarkStart w:id="570" w:name="_Toc296347196"/>
      <w:bookmarkStart w:id="571" w:name="_Toc303539150"/>
      <w:bookmarkStart w:id="572" w:name="_Toc312678029"/>
      <w:bookmarkStart w:id="573" w:name="_Toc312677503"/>
      <w:bookmarkStart w:id="574" w:name="_Toc304295570"/>
      <w:r>
        <w:rPr>
          <w:rFonts w:hint="eastAsia" w:ascii="宋体" w:hAnsi="宋体" w:eastAsia="宋体" w:cs="宋体"/>
          <w:color w:val="auto"/>
          <w:sz w:val="21"/>
          <w:szCs w:val="21"/>
          <w:highlight w:val="none"/>
        </w:rPr>
        <w:t>0.5承</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Start w:id="575" w:name="_Toc297048389"/>
      <w:bookmarkStart w:id="576" w:name="_Toc296347202"/>
      <w:bookmarkStart w:id="577" w:name="_Toc296944542"/>
      <w:bookmarkStart w:id="578" w:name="_Toc296891243"/>
      <w:bookmarkStart w:id="579" w:name="_Toc296503203"/>
      <w:bookmarkStart w:id="580" w:name="_Toc303539151"/>
      <w:bookmarkStart w:id="581" w:name="_Toc296891031"/>
      <w:bookmarkStart w:id="582" w:name="_Toc297216204"/>
      <w:bookmarkStart w:id="583" w:name="_Toc292559408"/>
      <w:bookmarkStart w:id="584" w:name="_Toc297123545"/>
      <w:bookmarkStart w:id="585" w:name="_Toc296346704"/>
      <w:bookmarkStart w:id="586" w:name="_Toc300934994"/>
      <w:bookmarkStart w:id="587" w:name="_Toc297120503"/>
      <w:bookmarkStart w:id="588" w:name="_Toc292559913"/>
      <w:r>
        <w:rPr>
          <w:rFonts w:hint="eastAsia" w:ascii="宋体" w:hAnsi="宋体" w:eastAsia="宋体" w:cs="宋体"/>
          <w:color w:val="auto"/>
          <w:sz w:val="21"/>
          <w:szCs w:val="21"/>
          <w:highlight w:val="none"/>
        </w:rPr>
        <w:t>包人的合理化建议</w:t>
      </w:r>
    </w:p>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监理人审查承包人合理化建议的期限：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发包人审批承包人合理化建议的期限：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w:t>
      </w:r>
      <w:bookmarkStart w:id="589" w:name="_Toc296891244"/>
      <w:bookmarkStart w:id="590" w:name="_Toc292559914"/>
      <w:bookmarkStart w:id="591" w:name="_Toc300934995"/>
      <w:bookmarkStart w:id="592" w:name="_Toc296347203"/>
      <w:bookmarkStart w:id="593" w:name="_Toc312678030"/>
      <w:bookmarkStart w:id="594" w:name="_Toc318581175"/>
      <w:bookmarkStart w:id="595" w:name="_Toc304295571"/>
      <w:bookmarkStart w:id="596" w:name="_Toc296944543"/>
      <w:bookmarkStart w:id="597" w:name="_Toc296891032"/>
      <w:bookmarkStart w:id="598" w:name="_Toc297123546"/>
      <w:bookmarkStart w:id="599" w:name="_Toc303539152"/>
      <w:bookmarkStart w:id="600" w:name="_Toc296503204"/>
      <w:bookmarkStart w:id="601" w:name="_Toc297216205"/>
      <w:bookmarkStart w:id="602" w:name="_Toc297120504"/>
      <w:bookmarkStart w:id="603" w:name="_Toc292559409"/>
      <w:bookmarkStart w:id="604" w:name="_Toc312677504"/>
      <w:bookmarkStart w:id="605" w:name="_Toc296346705"/>
      <w:bookmarkStart w:id="606" w:name="_Toc297048390"/>
      <w:r>
        <w:rPr>
          <w:rFonts w:hint="eastAsia" w:ascii="宋体" w:hAnsi="宋体" w:eastAsia="宋体" w:cs="宋体"/>
          <w:color w:val="auto"/>
          <w:sz w:val="21"/>
          <w:szCs w:val="21"/>
          <w:highlight w:val="none"/>
        </w:rPr>
        <w:t>包人提出的合理化建议降低了合同价格或者提高了工程经济效益的奖励的方法和金额为：</w:t>
      </w:r>
      <w:r>
        <w:rPr>
          <w:rFonts w:hint="eastAsia" w:ascii="宋体" w:hAnsi="宋体" w:eastAsia="宋体" w:cs="宋体"/>
          <w:color w:val="auto"/>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607" w:name="_Toc296891027"/>
      <w:bookmarkStart w:id="608" w:name="_Toc297120499"/>
      <w:bookmarkStart w:id="609" w:name="_Toc297123548"/>
      <w:bookmarkStart w:id="610" w:name="_Toc297048385"/>
      <w:bookmarkStart w:id="611" w:name="_Toc296503199"/>
      <w:bookmarkStart w:id="612" w:name="_Toc297216207"/>
      <w:bookmarkStart w:id="613" w:name="_Toc292559404"/>
      <w:bookmarkStart w:id="614" w:name="_Toc292559909"/>
      <w:bookmarkStart w:id="615" w:name="_Toc300934997"/>
      <w:bookmarkStart w:id="616" w:name="_Toc296346700"/>
      <w:bookmarkStart w:id="617" w:name="_Toc296891239"/>
      <w:bookmarkStart w:id="618" w:name="_Toc312678033"/>
      <w:bookmarkStart w:id="619" w:name="_Toc296347198"/>
      <w:bookmarkStart w:id="620" w:name="_Toc312677507"/>
      <w:bookmarkStart w:id="621" w:name="_Toc303539154"/>
      <w:bookmarkStart w:id="622" w:name="_Toc304295574"/>
      <w:bookmarkStart w:id="623" w:name="_Toc296944538"/>
      <w:r>
        <w:rPr>
          <w:rFonts w:hint="eastAsia" w:ascii="宋体" w:hAnsi="宋体" w:eastAsia="宋体" w:cs="宋体"/>
          <w:color w:val="auto"/>
          <w:sz w:val="21"/>
          <w:szCs w:val="21"/>
          <w:highlight w:val="none"/>
        </w:rPr>
        <w:t>0.7 暂估价</w:t>
      </w:r>
    </w:p>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暂</w:t>
      </w:r>
      <w:bookmarkStart w:id="624" w:name="_Toc318581176"/>
      <w:bookmarkStart w:id="625" w:name="_Toc312678034"/>
      <w:bookmarkStart w:id="626" w:name="_Toc312677508"/>
      <w:r>
        <w:rPr>
          <w:rFonts w:hint="eastAsia" w:ascii="宋体" w:hAnsi="宋体" w:eastAsia="宋体" w:cs="宋体"/>
          <w:color w:val="auto"/>
          <w:kern w:val="0"/>
          <w:sz w:val="21"/>
          <w:szCs w:val="21"/>
          <w:highlight w:val="none"/>
        </w:rPr>
        <w:t>估价材料和工程设备的明细详见附件11：《</w:t>
      </w:r>
      <w:r>
        <w:rPr>
          <w:rFonts w:hint="eastAsia" w:ascii="宋体" w:hAnsi="宋体" w:eastAsia="宋体" w:cs="宋体"/>
          <w:color w:val="auto"/>
          <w:sz w:val="21"/>
          <w:szCs w:val="21"/>
          <w:highlight w:val="none"/>
        </w:rPr>
        <w:t>暂估价一览表》</w:t>
      </w:r>
      <w:r>
        <w:rPr>
          <w:rFonts w:hint="eastAsia" w:ascii="宋体" w:hAnsi="宋体" w:eastAsia="宋体" w:cs="宋体"/>
          <w:color w:val="auto"/>
          <w:kern w:val="0"/>
          <w:sz w:val="21"/>
          <w:szCs w:val="21"/>
          <w:highlight w:val="none"/>
        </w:rPr>
        <w:t>。</w:t>
      </w:r>
    </w:p>
    <w:bookmarkEnd w:id="624"/>
    <w:bookmarkEnd w:id="625"/>
    <w:bookmarkEnd w:id="626"/>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627" w:name="_Toc318581177"/>
      <w:bookmarkStart w:id="628" w:name="_Toc312678035"/>
      <w:bookmarkStart w:id="629" w:name="_Toc312677509"/>
      <w:r>
        <w:rPr>
          <w:rFonts w:hint="eastAsia" w:ascii="宋体" w:hAnsi="宋体" w:eastAsia="宋体" w:cs="宋体"/>
          <w:color w:val="auto"/>
          <w:sz w:val="21"/>
          <w:szCs w:val="21"/>
          <w:highlight w:val="none"/>
        </w:rPr>
        <w:t>0.7.1 依法必须招标的暂估价项目</w:t>
      </w:r>
    </w:p>
    <w:bookmarkEnd w:id="627"/>
    <w:bookmarkEnd w:id="628"/>
    <w:bookmarkEnd w:id="629"/>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对于依法必须招标的暂估价项目的确认和批准采取第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种方式确定。</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第1种方式：对于依法必须招标的暂估价项目，由承包人招标，对该暂估价项目的确认和批准按照以下约定执行：</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承包人应当根据施工进度计划，提前14天将招标文件通过监理人报送发包人审批，发包人应当在收到承包人报送的相关文件后7天内完成审批或提出修改意见；发包人有权确定招标控制价并委派评标委员会成员；</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第3种方式：发包人作为招标人，承包人配合、协助发包人的招标工作。</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10.7.2 不属于依法必须招标的暂估价项目</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对于不属于依法必须招标的暂估价项目的确认和批准采取第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种方式确定。</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第1种方式：对于不属于依法必须招标的暂估价项目，按本项约定确认和批准：</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承包人根据施工进度计划，在签订暂估价项目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（2）发包人认为承包人确定的供应商、分包人无法满足工程质量或合同要求的，发包人可以要求承包人重新确定暂估价项目的供应商、分包人;</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（3）承包人应当在签订暂估价合同后7天内，将暂估价合同副本报送发包人留存。</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第2种方式：承包人按照第10.7.1项〔依法必须招标的暂估价项目〕约定的第1种方式确定暂估价项目。</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第3种方式：承包人实施的暂估价项目</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承包人直接实施的暂估价项目的约定：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10.8 暂列金额</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合同当事人关于暂列金额使用的约定：</w:t>
      </w:r>
      <w:r>
        <w:rPr>
          <w:rFonts w:hint="eastAsia" w:ascii="宋体" w:hAnsi="宋体" w:eastAsia="宋体" w:cs="宋体"/>
          <w:color w:val="auto"/>
          <w:sz w:val="21"/>
          <w:szCs w:val="21"/>
          <w:highlight w:val="none"/>
          <w:u w:val="single"/>
        </w:rPr>
        <w:t xml:space="preserve">（1）已签约合同价中的暂列金额由发包人掌握使用。 </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u w:val="single"/>
        </w:rPr>
        <w:t>（2）发包人按照规定所作支付后，暂列金额如有余额归发包人</w:t>
      </w:r>
      <w:r>
        <w:rPr>
          <w:rFonts w:hint="eastAsia" w:ascii="宋体" w:hAnsi="宋体" w:eastAsia="宋体" w:cs="宋体"/>
          <w:color w:val="auto"/>
          <w:kern w:val="0"/>
          <w:sz w:val="21"/>
          <w:szCs w:val="21"/>
          <w:highlight w:val="none"/>
        </w:rPr>
        <w:t>。</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630" w:name="_Toc351203643"/>
      <w:r>
        <w:rPr>
          <w:rFonts w:hint="eastAsia" w:ascii="宋体" w:hAnsi="宋体" w:eastAsia="宋体" w:cs="宋体"/>
          <w:b w:val="0"/>
          <w:color w:val="auto"/>
          <w:sz w:val="21"/>
          <w:szCs w:val="21"/>
          <w:highlight w:val="none"/>
        </w:rPr>
        <w:t>11. 价格调整</w:t>
      </w:r>
      <w:bookmarkEnd w:id="630"/>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631" w:name="_Toc296347200"/>
      <w:bookmarkStart w:id="632" w:name="_Toc296503201"/>
      <w:bookmarkStart w:id="633" w:name="_Toc297123550"/>
      <w:bookmarkStart w:id="634" w:name="_Toc296944540"/>
      <w:bookmarkStart w:id="635" w:name="_Toc296346702"/>
      <w:bookmarkStart w:id="636" w:name="_Toc312678039"/>
      <w:bookmarkStart w:id="637" w:name="_Toc297120501"/>
      <w:bookmarkStart w:id="638" w:name="_Toc297216209"/>
      <w:bookmarkStart w:id="639" w:name="_Toc300935000"/>
      <w:bookmarkStart w:id="640" w:name="_Toc304295577"/>
      <w:bookmarkStart w:id="641" w:name="_Toc297048387"/>
      <w:bookmarkStart w:id="642" w:name="_Toc296891029"/>
      <w:bookmarkStart w:id="643" w:name="_Toc296891241"/>
      <w:bookmarkStart w:id="644" w:name="_Toc292559911"/>
      <w:bookmarkStart w:id="645" w:name="_Toc303539157"/>
      <w:bookmarkStart w:id="646" w:name="_Toc292559406"/>
      <w:r>
        <w:rPr>
          <w:rFonts w:hint="eastAsia" w:ascii="宋体" w:hAnsi="宋体" w:eastAsia="宋体" w:cs="宋体"/>
          <w:color w:val="auto"/>
          <w:sz w:val="21"/>
          <w:szCs w:val="21"/>
          <w:highlight w:val="none"/>
        </w:rPr>
        <w:t>11.1 市场价格波动引起的调整</w:t>
      </w:r>
    </w:p>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市场价格波动是否调整合同价格的约定：</w:t>
      </w:r>
      <w:r>
        <w:rPr>
          <w:rFonts w:hint="eastAsia" w:ascii="宋体" w:hAnsi="宋体" w:eastAsia="宋体" w:cs="宋体"/>
          <w:color w:val="auto"/>
          <w:sz w:val="21"/>
          <w:szCs w:val="21"/>
          <w:highlight w:val="none"/>
          <w:u w:val="single"/>
        </w:rPr>
        <w:t xml:space="preserve">     调整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因市场价格波动调整合同价格，采用以下第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种方式对合同价格进行调整：</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第1种方式：采用价格指数进行价格调整。</w:t>
      </w:r>
    </w:p>
    <w:p>
      <w:pPr>
        <w:pageBreakBefore w:val="0"/>
        <w:widowControl w:val="0"/>
        <w:kinsoku/>
        <w:wordWrap/>
        <w:overflowPunct/>
        <w:topLinePunct w:val="0"/>
        <w:bidi w:val="0"/>
        <w:snapToGrid/>
        <w:spacing w:line="360" w:lineRule="exact"/>
        <w:ind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关于各可调因子、定值和变值权重，以及基本价格指数及其来源的约定：</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第2种方式：采用造价信息进行价格调整。</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（2）关于基准价格的约定：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%时，或材料单价跌幅以已标价工程量清单或预算书中载明材料单价为基础超过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%时，其超过部分据实调整。</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②承包人在已标价工程量清单或预算书中载明的材料单价高于基准价格的：专用合同条款合同履行期间材料单价跌幅以基准价格为基础超过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%时，材料单价涨幅以已标价工程量清单或预算书中载明材料单价为基础超过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%时，其超过部分据实调整。</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③承包人在已标价工程量清单或预算书中载明的材料单价等于基准单价的：专用合同条款合同履行期间材料单价涨跌幅以基准单价为基础超过±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%时，其超过部分据实调整。</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第3种方式：其他价格调整方式：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bookmarkEnd w:id="533"/>
    <w:bookmarkEnd w:id="534"/>
    <w:bookmarkEnd w:id="535"/>
    <w:bookmarkEnd w:id="536"/>
    <w:bookmarkEnd w:id="537"/>
    <w:bookmarkEnd w:id="538"/>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647" w:name="_Toc297048391"/>
      <w:bookmarkStart w:id="648" w:name="_Toc292559410"/>
      <w:bookmarkStart w:id="649" w:name="_Toc296891033"/>
      <w:bookmarkStart w:id="650" w:name="_Toc297120505"/>
      <w:bookmarkStart w:id="651" w:name="_Toc296891245"/>
      <w:bookmarkStart w:id="652" w:name="_Toc296503205"/>
      <w:bookmarkStart w:id="653" w:name="_Toc296944544"/>
      <w:bookmarkStart w:id="654" w:name="_Toc296346706"/>
      <w:bookmarkStart w:id="655" w:name="_Toc292559915"/>
      <w:bookmarkStart w:id="656" w:name="_Toc296347204"/>
      <w:bookmarkStart w:id="657" w:name="_Toc351203644"/>
      <w:bookmarkStart w:id="658" w:name="_Toc312678040"/>
      <w:bookmarkStart w:id="659" w:name="_Toc297216211"/>
      <w:bookmarkStart w:id="660" w:name="_Toc304295579"/>
      <w:bookmarkStart w:id="661" w:name="_Toc303539159"/>
      <w:bookmarkStart w:id="662" w:name="_Toc300935002"/>
      <w:bookmarkStart w:id="663" w:name="_Toc297123552"/>
      <w:r>
        <w:rPr>
          <w:rFonts w:hint="eastAsia" w:ascii="宋体" w:hAnsi="宋体" w:eastAsia="宋体" w:cs="宋体"/>
          <w:b w:val="0"/>
          <w:color w:val="auto"/>
          <w:sz w:val="21"/>
          <w:szCs w:val="21"/>
          <w:highlight w:val="none"/>
        </w:rPr>
        <w:t xml:space="preserve">12. </w:t>
      </w:r>
      <w:bookmarkEnd w:id="647"/>
      <w:bookmarkEnd w:id="648"/>
      <w:bookmarkEnd w:id="649"/>
      <w:bookmarkEnd w:id="650"/>
      <w:bookmarkEnd w:id="651"/>
      <w:bookmarkEnd w:id="652"/>
      <w:bookmarkEnd w:id="653"/>
      <w:bookmarkEnd w:id="654"/>
      <w:bookmarkEnd w:id="655"/>
      <w:bookmarkEnd w:id="656"/>
      <w:r>
        <w:rPr>
          <w:rFonts w:hint="eastAsia" w:ascii="宋体" w:hAnsi="宋体" w:eastAsia="宋体" w:cs="宋体"/>
          <w:b w:val="0"/>
          <w:color w:val="auto"/>
          <w:sz w:val="21"/>
          <w:szCs w:val="21"/>
          <w:highlight w:val="none"/>
        </w:rPr>
        <w:t>合同价格、计量与支付</w:t>
      </w:r>
      <w:bookmarkEnd w:id="657"/>
    </w:p>
    <w:bookmarkEnd w:id="658"/>
    <w:bookmarkEnd w:id="659"/>
    <w:bookmarkEnd w:id="660"/>
    <w:bookmarkEnd w:id="661"/>
    <w:bookmarkEnd w:id="662"/>
    <w:bookmarkEnd w:id="663"/>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664" w:name="_Toc267251461"/>
      <w:bookmarkStart w:id="665" w:name="_Toc292559916"/>
      <w:bookmarkStart w:id="666" w:name="_Toc292559411"/>
      <w:bookmarkStart w:id="667" w:name="_Toc296944545"/>
      <w:bookmarkStart w:id="668" w:name="_Toc296503206"/>
      <w:bookmarkStart w:id="669" w:name="_Toc296347205"/>
      <w:bookmarkStart w:id="670" w:name="_Toc296891246"/>
      <w:bookmarkStart w:id="671" w:name="_Toc297120506"/>
      <w:bookmarkStart w:id="672" w:name="_Toc297048392"/>
      <w:bookmarkStart w:id="673" w:name="_Toc296346707"/>
      <w:bookmarkStart w:id="674" w:name="_Toc296891034"/>
      <w:bookmarkStart w:id="675" w:name="_Toc300935003"/>
      <w:bookmarkStart w:id="676" w:name="_Toc303539160"/>
      <w:bookmarkStart w:id="677" w:name="_Toc312678041"/>
      <w:bookmarkStart w:id="678" w:name="_Toc304295580"/>
      <w:bookmarkStart w:id="679" w:name="_Toc297123553"/>
      <w:bookmarkStart w:id="680" w:name="_Toc297216212"/>
      <w:r>
        <w:rPr>
          <w:rFonts w:hint="eastAsia" w:ascii="宋体" w:hAnsi="宋体" w:eastAsia="宋体" w:cs="宋体"/>
          <w:color w:val="auto"/>
          <w:sz w:val="21"/>
          <w:szCs w:val="21"/>
          <w:highlight w:val="none"/>
        </w:rPr>
        <w:t>12.1 合</w:t>
      </w:r>
      <w:bookmarkEnd w:id="664"/>
      <w:bookmarkEnd w:id="665"/>
      <w:bookmarkEnd w:id="666"/>
      <w:r>
        <w:rPr>
          <w:rFonts w:hint="eastAsia" w:ascii="宋体" w:hAnsi="宋体" w:eastAsia="宋体" w:cs="宋体"/>
          <w:color w:val="auto"/>
          <w:sz w:val="21"/>
          <w:szCs w:val="21"/>
          <w:highlight w:val="none"/>
        </w:rPr>
        <w:t>同价</w:t>
      </w:r>
      <w:bookmarkEnd w:id="667"/>
      <w:bookmarkEnd w:id="668"/>
      <w:bookmarkEnd w:id="669"/>
      <w:bookmarkEnd w:id="670"/>
      <w:bookmarkEnd w:id="671"/>
      <w:bookmarkEnd w:id="672"/>
      <w:bookmarkEnd w:id="673"/>
      <w:bookmarkEnd w:id="674"/>
      <w:r>
        <w:rPr>
          <w:rFonts w:hint="eastAsia" w:ascii="宋体" w:hAnsi="宋体" w:eastAsia="宋体" w:cs="宋体"/>
          <w:color w:val="auto"/>
          <w:sz w:val="21"/>
          <w:szCs w:val="21"/>
          <w:highlight w:val="none"/>
        </w:rPr>
        <w:t>格形式：合同价款采用</w:t>
      </w:r>
      <w:r>
        <w:rPr>
          <w:rFonts w:hint="eastAsia" w:ascii="宋体" w:hAnsi="宋体" w:eastAsia="宋体" w:cs="宋体"/>
          <w:color w:val="auto"/>
          <w:sz w:val="21"/>
          <w:szCs w:val="21"/>
          <w:highlight w:val="none"/>
          <w:u w:val="single"/>
        </w:rPr>
        <w:t>固定单价</w:t>
      </w:r>
      <w:r>
        <w:rPr>
          <w:rFonts w:hint="eastAsia" w:ascii="宋体" w:hAnsi="宋体" w:eastAsia="宋体" w:cs="宋体"/>
          <w:color w:val="auto"/>
          <w:sz w:val="21"/>
          <w:szCs w:val="21"/>
          <w:highlight w:val="none"/>
        </w:rPr>
        <w:t>方式确定。</w:t>
      </w:r>
    </w:p>
    <w:bookmarkEnd w:id="675"/>
    <w:bookmarkEnd w:id="676"/>
    <w:bookmarkEnd w:id="677"/>
    <w:bookmarkEnd w:id="678"/>
    <w:bookmarkEnd w:id="679"/>
    <w:bookmarkEnd w:id="680"/>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1、单价合同。</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综合单价包含的风险范围：</w:t>
      </w:r>
      <w:r>
        <w:rPr>
          <w:rFonts w:hint="eastAsia" w:ascii="宋体" w:hAnsi="宋体" w:eastAsia="宋体" w:cs="宋体"/>
          <w:color w:val="auto"/>
          <w:sz w:val="21"/>
          <w:szCs w:val="21"/>
          <w:highlight w:val="none"/>
          <w:u w:val="single"/>
        </w:rPr>
        <w:t>承担施工中的一切风险，本合同单价在合同实施期间不因市场变化因素而变化；由于承包人因施工方法的修正、变更而引起的费用增加，由承包人自理，发包人不另追加费用。项目措施费包干使用，结算时不作调整。</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风险费用的计算方法：</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风险范围以外合同价格的调整方法：</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①工程变更：按10.4.1变更估价原则的约定调整。</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②政策性调整：按自治区建设行政主管部门颁布的文件执行。</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③材料价格风险：按11.1的约定调整。</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④发包人缴纳的可办理退费的各项规费，由承包人提供相关资料并配合发包人退费，如因承包人原因造成不能退费的，相关损失从承包人结算中扣除。</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lang w:val="en-US" w:eastAsia="zh-CN"/>
        </w:rPr>
        <w:t>⑤</w:t>
      </w:r>
      <w:r>
        <w:rPr>
          <w:rFonts w:hint="eastAsia" w:ascii="宋体" w:hAnsi="宋体" w:eastAsia="宋体" w:cs="宋体"/>
          <w:color w:val="auto"/>
          <w:sz w:val="21"/>
          <w:szCs w:val="21"/>
          <w:highlight w:val="none"/>
          <w:u w:val="single"/>
        </w:rPr>
        <w:t>工程量偏差：按1.13工程量清单错误修正的约定调整。</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2、总价合同。</w:t>
      </w:r>
    </w:p>
    <w:p>
      <w:pPr>
        <w:pStyle w:val="48"/>
        <w:pageBreakBefore w:val="0"/>
        <w:widowControl w:val="0"/>
        <w:kinsoku/>
        <w:wordWrap/>
        <w:overflowPunct/>
        <w:topLinePunct w:val="0"/>
        <w:bidi w:val="0"/>
        <w:snapToGrid/>
        <w:spacing w:before="0" w:after="0"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总价包含的风险范围：</w:t>
      </w:r>
      <w:r>
        <w:rPr>
          <w:rFonts w:hint="eastAsia" w:ascii="宋体" w:hAnsi="宋体" w:eastAsia="宋体" w:cs="宋体"/>
          <w:color w:val="auto"/>
          <w:sz w:val="21"/>
          <w:szCs w:val="21"/>
          <w:highlight w:val="none"/>
          <w:u w:val="single"/>
        </w:rPr>
        <w:t>承担施工中的一切风险，本合同总价在合同实施期间不因市场变化因素而变化；由于承包人因施工方法的修正、变更而引起的费用增加，由承包人自理，发包人不另追加费用。</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风险费用的计算方法：</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风险范围以外合同价格的调整方法：</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3、其他价格方式：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681" w:name="_Toc300935004"/>
      <w:bookmarkStart w:id="682" w:name="_Toc297123554"/>
      <w:bookmarkStart w:id="683" w:name="_Toc304295581"/>
      <w:bookmarkStart w:id="684" w:name="_Toc303539161"/>
      <w:bookmarkStart w:id="685" w:name="_Toc297216213"/>
      <w:bookmarkStart w:id="686" w:name="_Toc312678042"/>
      <w:bookmarkStart w:id="687" w:name="_Toc292559917"/>
      <w:bookmarkStart w:id="688" w:name="_Toc296944546"/>
      <w:bookmarkStart w:id="689" w:name="_Toc297048393"/>
      <w:bookmarkStart w:id="690" w:name="_Toc296891247"/>
      <w:bookmarkStart w:id="691" w:name="_Toc297120507"/>
      <w:bookmarkStart w:id="692" w:name="_Toc296503207"/>
      <w:bookmarkStart w:id="693" w:name="_Toc296347206"/>
      <w:bookmarkStart w:id="694" w:name="_Toc292559412"/>
      <w:bookmarkStart w:id="695" w:name="_Toc296891035"/>
      <w:bookmarkStart w:id="696" w:name="_Toc296346708"/>
      <w:r>
        <w:rPr>
          <w:rFonts w:hint="eastAsia" w:ascii="宋体" w:hAnsi="宋体" w:eastAsia="宋体" w:cs="宋体"/>
          <w:color w:val="auto"/>
          <w:sz w:val="21"/>
          <w:szCs w:val="21"/>
          <w:highlight w:val="none"/>
        </w:rPr>
        <w:t>12.2 预付款</w:t>
      </w:r>
    </w:p>
    <w:bookmarkEnd w:id="681"/>
    <w:bookmarkEnd w:id="682"/>
    <w:bookmarkEnd w:id="683"/>
    <w:bookmarkEnd w:id="684"/>
    <w:bookmarkEnd w:id="685"/>
    <w:bookmarkEnd w:id="686"/>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12.2.1 预付款的支付</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预付款支付比例或金额：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30%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预付款支付期限：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预付款扣回的方式：</w:t>
      </w:r>
      <w:r>
        <w:rPr>
          <w:rFonts w:hint="eastAsia" w:ascii="宋体" w:hAnsi="宋体" w:eastAsia="宋体" w:cs="宋体"/>
          <w:color w:val="auto"/>
          <w:sz w:val="21"/>
          <w:szCs w:val="21"/>
          <w:highlight w:val="none"/>
          <w:u w:val="single"/>
        </w:rPr>
        <w:t>工程进度款支付至80%前全部扣回</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12.2.2 预付款担保</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承包人提交预付款担保的期限：</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预付款担保的形式为：</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687"/>
    <w:bookmarkEnd w:id="688"/>
    <w:bookmarkEnd w:id="689"/>
    <w:bookmarkEnd w:id="690"/>
    <w:bookmarkEnd w:id="691"/>
    <w:bookmarkEnd w:id="692"/>
    <w:bookmarkEnd w:id="693"/>
    <w:bookmarkEnd w:id="694"/>
    <w:bookmarkEnd w:id="695"/>
    <w:bookmarkEnd w:id="696"/>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 计量</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12.3.1 计量原则</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工程量计算规则：</w:t>
      </w:r>
      <w:r>
        <w:rPr>
          <w:rFonts w:hint="eastAsia" w:ascii="宋体" w:hAnsi="宋体" w:eastAsia="宋体" w:cs="宋体"/>
          <w:color w:val="auto"/>
          <w:sz w:val="21"/>
          <w:szCs w:val="21"/>
          <w:highlight w:val="none"/>
          <w:u w:val="single"/>
        </w:rPr>
        <w:t>实际完成的工程量按国家标准及广西壮族自治区各相关文件规定的计算规则和有关合同约束力的图纸进行计量。</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12.3.2 计量周期</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关于计量周期的约定：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12.3.3 单价合同的计量</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关于单价合同计量的约定：</w:t>
      </w:r>
      <w:r>
        <w:rPr>
          <w:rFonts w:hint="eastAsia" w:ascii="宋体" w:hAnsi="宋体" w:eastAsia="宋体" w:cs="宋体"/>
          <w:color w:val="auto"/>
          <w:sz w:val="21"/>
          <w:szCs w:val="21"/>
          <w:highlight w:val="none"/>
          <w:u w:val="single"/>
        </w:rPr>
        <w:t xml:space="preserve">   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12.3.4 总价合同的计量</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关于总价合同计量的约定：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12.3.5总价合同采用支付分解表计量支付的，是否适用第</w:t>
      </w:r>
      <w:r>
        <w:rPr>
          <w:rFonts w:hint="eastAsia" w:ascii="宋体" w:hAnsi="宋体" w:eastAsia="宋体" w:cs="宋体"/>
          <w:color w:val="auto"/>
          <w:kern w:val="0"/>
          <w:sz w:val="21"/>
          <w:szCs w:val="21"/>
          <w:highlight w:val="none"/>
        </w:rPr>
        <w:t xml:space="preserve">12.3.4 </w:t>
      </w:r>
      <w:r>
        <w:rPr>
          <w:rFonts w:hint="eastAsia" w:ascii="宋体" w:hAnsi="宋体" w:eastAsia="宋体" w:cs="宋体"/>
          <w:color w:val="auto"/>
          <w:sz w:val="21"/>
          <w:szCs w:val="21"/>
          <w:highlight w:val="none"/>
        </w:rPr>
        <w:t>项</w:t>
      </w:r>
      <w:r>
        <w:rPr>
          <w:rFonts w:hint="eastAsia" w:ascii="宋体" w:hAnsi="宋体" w:eastAsia="宋体" w:cs="宋体"/>
          <w:color w:val="auto"/>
          <w:kern w:val="0"/>
          <w:sz w:val="21"/>
          <w:szCs w:val="21"/>
          <w:highlight w:val="none"/>
        </w:rPr>
        <w:t>〔总价合同的计量〕</w:t>
      </w:r>
      <w:r>
        <w:rPr>
          <w:rFonts w:hint="eastAsia" w:ascii="宋体" w:hAnsi="宋体" w:eastAsia="宋体" w:cs="宋体"/>
          <w:color w:val="auto"/>
          <w:sz w:val="21"/>
          <w:szCs w:val="21"/>
          <w:highlight w:val="none"/>
        </w:rPr>
        <w:t>约定进行计量：</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12.3.6 其他价格形式合同的计量</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其他价格形式的计量方式和程序：</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 工程进度款支付</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bookmarkStart w:id="697" w:name="_Toc296503211"/>
      <w:bookmarkStart w:id="698" w:name="_Toc297123556"/>
      <w:bookmarkStart w:id="699" w:name="_Toc297048397"/>
      <w:bookmarkStart w:id="700" w:name="_Toc300935006"/>
      <w:bookmarkStart w:id="701" w:name="_Toc292559416"/>
      <w:bookmarkStart w:id="702" w:name="_Toc292559921"/>
      <w:bookmarkStart w:id="703" w:name="_Toc296944550"/>
      <w:bookmarkStart w:id="704" w:name="_Toc296347210"/>
      <w:bookmarkStart w:id="705" w:name="_Toc296346712"/>
      <w:bookmarkStart w:id="706" w:name="_Toc297216215"/>
      <w:bookmarkStart w:id="707" w:name="_Toc297120511"/>
      <w:bookmarkStart w:id="708" w:name="_Toc303539163"/>
      <w:bookmarkStart w:id="709" w:name="_Toc296891039"/>
      <w:bookmarkStart w:id="710" w:name="_Toc296891251"/>
      <w:r>
        <w:rPr>
          <w:rFonts w:hint="eastAsia" w:ascii="宋体" w:hAnsi="宋体" w:eastAsia="宋体" w:cs="宋体"/>
          <w:color w:val="auto"/>
          <w:sz w:val="21"/>
          <w:szCs w:val="21"/>
          <w:highlight w:val="none"/>
        </w:rPr>
        <w:t>12.4.1 付款周期</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关于付款周期的约定：</w:t>
      </w:r>
      <w:r>
        <w:rPr>
          <w:rFonts w:hint="eastAsia" w:ascii="宋体" w:hAnsi="宋体" w:eastAsia="宋体" w:cs="宋体"/>
          <w:color w:val="auto"/>
          <w:sz w:val="21"/>
          <w:szCs w:val="21"/>
          <w:highlight w:val="none"/>
          <w:u w:val="single"/>
        </w:rPr>
        <w:t xml:space="preserve">  按工程进度付款    </w:t>
      </w:r>
      <w:r>
        <w:rPr>
          <w:rFonts w:hint="eastAsia" w:ascii="宋体" w:hAnsi="宋体" w:eastAsia="宋体" w:cs="宋体"/>
          <w:color w:val="auto"/>
          <w:sz w:val="21"/>
          <w:szCs w:val="21"/>
          <w:highlight w:val="none"/>
        </w:rPr>
        <w:t>。</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u w:val="single"/>
        </w:rPr>
        <w:t>工程款（进度款）原则上按月支付，应与合同约定的工程计量周期一致。付款比例为合同内按工程计量周期内完成工程量的8</w:t>
      </w:r>
      <w:r>
        <w:rPr>
          <w:rFonts w:hint="eastAsia" w:ascii="宋体" w:hAnsi="宋体" w:eastAsia="宋体" w:cs="宋体"/>
          <w:color w:val="auto"/>
          <w:sz w:val="21"/>
          <w:szCs w:val="21"/>
          <w:highlight w:val="none"/>
          <w:u w:val="single"/>
          <w:lang w:val="en-US" w:eastAsia="zh-CN"/>
        </w:rPr>
        <w:t>0</w:t>
      </w:r>
      <w:r>
        <w:rPr>
          <w:rFonts w:hint="eastAsia" w:ascii="宋体" w:hAnsi="宋体" w:eastAsia="宋体" w:cs="宋体"/>
          <w:color w:val="auto"/>
          <w:sz w:val="21"/>
          <w:szCs w:val="21"/>
          <w:highlight w:val="none"/>
          <w:u w:val="single"/>
        </w:rPr>
        <w:t>%，合同外（设计变更和现场签证引起的费用）按工程计量周期内完成工程量的60%</w:t>
      </w:r>
      <w:r>
        <w:rPr>
          <w:rFonts w:hint="eastAsia" w:ascii="宋体" w:hAnsi="宋体" w:eastAsia="宋体" w:cs="宋体"/>
          <w:color w:val="auto"/>
          <w:sz w:val="21"/>
          <w:szCs w:val="21"/>
          <w:highlight w:val="none"/>
          <w:u w:val="single"/>
          <w:lang w:eastAsia="zh-CN"/>
        </w:rPr>
        <w:t>，在结算审计之前，最多支付至合同总价款的80%，在工程结算审计完成并做好相关资料后，工程款支付至结算总价的97%，发包人按结算总额的款3％的预留工程质量保修金，待工程质量保修期满后返还</w:t>
      </w:r>
      <w:r>
        <w:rPr>
          <w:rFonts w:hint="eastAsia" w:ascii="宋体" w:hAnsi="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eastAsia="zh-CN"/>
        </w:rPr>
        <w:t>本工程所有的工程款必须转到合同指定专用帐户</w:t>
      </w:r>
      <w:r>
        <w:rPr>
          <w:rFonts w:hint="eastAsia" w:ascii="宋体" w:hAnsi="宋体" w:eastAsia="宋体" w:cs="宋体"/>
          <w:color w:val="auto"/>
          <w:sz w:val="21"/>
          <w:szCs w:val="21"/>
          <w:highlight w:val="none"/>
          <w:lang w:eastAsia="zh-CN"/>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12.4.2 进度付款申请单的编制</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关于进度付款申请单编制的约定：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Pr>
          <w:rFonts w:hint="eastAsia" w:ascii="宋体" w:hAnsi="宋体" w:eastAsia="宋体" w:cs="宋体"/>
          <w:color w:val="auto"/>
          <w:sz w:val="21"/>
          <w:szCs w:val="21"/>
          <w:highlight w:val="none"/>
        </w:rPr>
        <w:t>2.4.3 进度付款申请单的提交</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（1）单价合同进度付款申请单提交的约定：</w:t>
      </w:r>
      <w:r>
        <w:rPr>
          <w:rFonts w:hint="eastAsia" w:ascii="宋体" w:hAnsi="宋体" w:eastAsia="宋体" w:cs="宋体"/>
          <w:color w:val="auto"/>
          <w:sz w:val="21"/>
          <w:szCs w:val="21"/>
          <w:highlight w:val="none"/>
          <w:u w:val="single"/>
        </w:rPr>
        <w:t xml:space="preserve">  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（2）总价合同进度付款申请单提交的约定：</w:t>
      </w:r>
      <w:r>
        <w:rPr>
          <w:rFonts w:hint="eastAsia" w:ascii="宋体" w:hAnsi="宋体" w:eastAsia="宋体" w:cs="宋体"/>
          <w:color w:val="auto"/>
          <w:sz w:val="21"/>
          <w:szCs w:val="21"/>
          <w:highlight w:val="none"/>
          <w:u w:val="single"/>
        </w:rPr>
        <w:t xml:space="preserve">  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（3）其他价格形式合同进度付款申请单提交的约定：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12.4.4 进度款审核和支付</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（1）监理人审查并报送发包人的期限：</w:t>
      </w:r>
      <w:r>
        <w:rPr>
          <w:rFonts w:hint="eastAsia" w:ascii="宋体" w:hAnsi="宋体" w:eastAsia="宋体" w:cs="宋体"/>
          <w:color w:val="auto"/>
          <w:sz w:val="21"/>
          <w:szCs w:val="21"/>
          <w:highlight w:val="none"/>
          <w:u w:val="single"/>
        </w:rPr>
        <w:t xml:space="preserve"> 收到相关资料后7天内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发包人完成审批并签发进度款支付证书的期限：</w:t>
      </w:r>
      <w:r>
        <w:rPr>
          <w:rFonts w:hint="eastAsia" w:ascii="宋体" w:hAnsi="宋体" w:eastAsia="宋体" w:cs="宋体"/>
          <w:color w:val="auto"/>
          <w:sz w:val="21"/>
          <w:szCs w:val="21"/>
          <w:highlight w:val="none"/>
          <w:u w:val="single"/>
        </w:rPr>
        <w:t>收到相关资料后7天内</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（2）发包人支付进度款的期限：</w:t>
      </w:r>
      <w:r>
        <w:rPr>
          <w:rFonts w:hint="eastAsia" w:ascii="宋体" w:hAnsi="宋体" w:eastAsia="宋体" w:cs="宋体"/>
          <w:color w:val="auto"/>
          <w:sz w:val="21"/>
          <w:szCs w:val="21"/>
          <w:highlight w:val="none"/>
          <w:u w:val="single"/>
        </w:rPr>
        <w:t xml:space="preserve">  办理相关付款手续后的7天内</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发包人逾期支付进度款的违约金的计算方式：</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12.4.6 支付分解表的编制</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2、总价合同支付分解表的编制与审批：</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3、单价合同的总价项目支付分解表的编制与审批：</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bookmarkEnd w:id="539"/>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11" w:name="_Toc351203645"/>
      <w:bookmarkStart w:id="712" w:name="_Toc297048405"/>
      <w:bookmarkStart w:id="713" w:name="_Toc292559929"/>
      <w:bookmarkStart w:id="714" w:name="_Toc296503219"/>
      <w:bookmarkStart w:id="715" w:name="_Toc296944558"/>
      <w:bookmarkStart w:id="716" w:name="_Toc304295593"/>
      <w:bookmarkStart w:id="717" w:name="_Toc296891259"/>
      <w:bookmarkStart w:id="718" w:name="_Toc297120519"/>
      <w:bookmarkStart w:id="719" w:name="_Toc296346720"/>
      <w:bookmarkStart w:id="720" w:name="_Toc296347218"/>
      <w:bookmarkStart w:id="721" w:name="_Toc303539172"/>
      <w:bookmarkStart w:id="722" w:name="_Toc312678053"/>
      <w:bookmarkStart w:id="723" w:name="_Toc297123564"/>
      <w:bookmarkStart w:id="724" w:name="_Toc297216223"/>
      <w:bookmarkStart w:id="725" w:name="_Toc296891047"/>
      <w:bookmarkStart w:id="726" w:name="_Toc300935015"/>
      <w:bookmarkStart w:id="727" w:name="_Toc292559424"/>
      <w:r>
        <w:rPr>
          <w:rFonts w:hint="eastAsia" w:ascii="宋体" w:hAnsi="宋体" w:eastAsia="宋体" w:cs="宋体"/>
          <w:b w:val="0"/>
          <w:color w:val="auto"/>
          <w:sz w:val="21"/>
          <w:szCs w:val="21"/>
          <w:highlight w:val="none"/>
        </w:rPr>
        <w:t>13. 验收和工程试车</w:t>
      </w:r>
      <w:bookmarkEnd w:id="711"/>
    </w:p>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 分部分项工程验收</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13.1.2监理人不能按时进行验收时，应提前</w:t>
      </w:r>
      <w:r>
        <w:rPr>
          <w:rFonts w:hint="eastAsia" w:ascii="宋体" w:hAnsi="宋体" w:eastAsia="宋体" w:cs="宋体"/>
          <w:color w:val="auto"/>
          <w:sz w:val="21"/>
          <w:szCs w:val="21"/>
          <w:highlight w:val="none"/>
          <w:u w:val="single"/>
        </w:rPr>
        <w:t xml:space="preserve">   24 </w:t>
      </w:r>
      <w:r>
        <w:rPr>
          <w:rFonts w:hint="eastAsia" w:ascii="宋体" w:hAnsi="宋体" w:eastAsia="宋体" w:cs="宋体"/>
          <w:color w:val="auto"/>
          <w:sz w:val="21"/>
          <w:szCs w:val="21"/>
          <w:highlight w:val="none"/>
        </w:rPr>
        <w:t>小时提交书面延期要求。</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关于延期最长不得超过：</w:t>
      </w:r>
      <w:r>
        <w:rPr>
          <w:rFonts w:hint="eastAsia" w:ascii="宋体" w:hAnsi="宋体" w:eastAsia="宋体" w:cs="宋体"/>
          <w:color w:val="auto"/>
          <w:sz w:val="21"/>
          <w:szCs w:val="21"/>
          <w:highlight w:val="none"/>
          <w:u w:val="single"/>
        </w:rPr>
        <w:t xml:space="preserve"> 48</w:t>
      </w:r>
      <w:r>
        <w:rPr>
          <w:rFonts w:hint="eastAsia" w:ascii="宋体" w:hAnsi="宋体" w:eastAsia="宋体" w:cs="宋体"/>
          <w:color w:val="auto"/>
          <w:sz w:val="21"/>
          <w:szCs w:val="21"/>
          <w:highlight w:val="none"/>
        </w:rPr>
        <w:t>小时。</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728" w:name="_Toc296944562"/>
      <w:bookmarkStart w:id="729" w:name="_Toc297048409"/>
      <w:bookmarkStart w:id="730" w:name="_Toc296891051"/>
      <w:bookmarkStart w:id="731" w:name="_Toc297120523"/>
      <w:bookmarkStart w:id="732" w:name="_Toc296503223"/>
      <w:bookmarkStart w:id="733" w:name="_Toc312678056"/>
      <w:bookmarkStart w:id="734" w:name="_Toc296891263"/>
      <w:bookmarkStart w:id="735" w:name="_Toc304295596"/>
      <w:bookmarkStart w:id="736" w:name="_Toc303539173"/>
      <w:bookmarkStart w:id="737" w:name="_Toc292559933"/>
      <w:bookmarkStart w:id="738" w:name="_Toc300935016"/>
      <w:bookmarkStart w:id="739" w:name="_Toc297123565"/>
      <w:bookmarkStart w:id="740" w:name="_Toc296347222"/>
      <w:bookmarkStart w:id="741" w:name="_Toc292559428"/>
      <w:bookmarkStart w:id="742" w:name="_Toc296346724"/>
      <w:bookmarkStart w:id="743" w:name="_Toc297216224"/>
      <w:bookmarkStart w:id="744" w:name="_Toc267251471"/>
      <w:bookmarkStart w:id="745" w:name="_Toc267251470"/>
      <w:bookmarkStart w:id="746" w:name="_Toc267251472"/>
      <w:bookmarkStart w:id="747" w:name="_Toc267251476"/>
      <w:bookmarkStart w:id="748" w:name="_Toc267251475"/>
      <w:bookmarkStart w:id="749" w:name="_Toc267251474"/>
      <w:bookmarkStart w:id="750" w:name="_Toc267251473"/>
      <w:r>
        <w:rPr>
          <w:rFonts w:hint="eastAsia" w:ascii="宋体" w:hAnsi="宋体" w:eastAsia="宋体" w:cs="宋体"/>
          <w:color w:val="auto"/>
          <w:sz w:val="21"/>
          <w:szCs w:val="21"/>
          <w:highlight w:val="none"/>
        </w:rPr>
        <w:t>13.2 竣工验收</w:t>
      </w:r>
    </w:p>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bookmarkStart w:id="751" w:name="_Toc280868704"/>
      <w:bookmarkStart w:id="752" w:name="_Toc280868705"/>
      <w:bookmarkStart w:id="753" w:name="_Toc280868706"/>
      <w:bookmarkStart w:id="754" w:name="_Toc280868707"/>
      <w:bookmarkStart w:id="755" w:name="_Toc280868708"/>
      <w:bookmarkStart w:id="756" w:name="_Toc280868709"/>
      <w:r>
        <w:rPr>
          <w:rFonts w:hint="eastAsia" w:ascii="宋体" w:hAnsi="宋体" w:eastAsia="宋体" w:cs="宋体"/>
          <w:color w:val="auto"/>
          <w:sz w:val="21"/>
          <w:szCs w:val="21"/>
          <w:highlight w:val="none"/>
        </w:rPr>
        <w:t>13.2.2竣工验收程序</w:t>
      </w:r>
    </w:p>
    <w:bookmarkEnd w:id="751"/>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关于竣工验收程序的约定：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发包人不按照本项约定组织竣工验收、颁发工程接收证书的违约金的计算方法：</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752"/>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13.2.5移交、接收全部与部分工程</w:t>
      </w:r>
    </w:p>
    <w:bookmarkEnd w:id="753"/>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承包人向发包人移交工程的期限：</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发包人未按本合同约定接收全部或部分工程的，违约金的计算方法为：</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754"/>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承包人未按时移交工程的，违约金的计算方法为：</w:t>
      </w:r>
      <w:r>
        <w:rPr>
          <w:rFonts w:hint="eastAsia" w:ascii="宋体" w:hAnsi="宋体" w:eastAsia="宋体" w:cs="宋体"/>
          <w:color w:val="auto"/>
          <w:sz w:val="21"/>
          <w:szCs w:val="21"/>
          <w:highlight w:val="none"/>
          <w:u w:val="single"/>
        </w:rPr>
        <w:t>每拖延一天工期支付给发包人最终结算总价的0.5‰/天的违约金，违约金最高限额为整个工程总价款的2%</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 工程试车</w:t>
      </w:r>
    </w:p>
    <w:bookmarkEnd w:id="755"/>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13.3.1 试车程序</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工程试车内容：</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（1）单机无负荷试车费用由</w:t>
      </w:r>
      <w:r>
        <w:rPr>
          <w:rFonts w:hint="eastAsia" w:ascii="宋体" w:hAnsi="宋体" w:eastAsia="宋体" w:cs="宋体"/>
          <w:color w:val="auto"/>
          <w:sz w:val="21"/>
          <w:szCs w:val="21"/>
          <w:highlight w:val="none"/>
          <w:u w:val="single"/>
        </w:rPr>
        <w:t xml:space="preserve">     承包人        </w:t>
      </w:r>
      <w:r>
        <w:rPr>
          <w:rFonts w:hint="eastAsia" w:ascii="宋体" w:hAnsi="宋体" w:eastAsia="宋体" w:cs="宋体"/>
          <w:color w:val="auto"/>
          <w:kern w:val="0"/>
          <w:sz w:val="21"/>
          <w:szCs w:val="21"/>
          <w:highlight w:val="none"/>
        </w:rPr>
        <w:t>承担；</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（2）无负荷联动试车费用由</w:t>
      </w:r>
      <w:r>
        <w:rPr>
          <w:rFonts w:hint="eastAsia" w:ascii="宋体" w:hAnsi="宋体" w:eastAsia="宋体" w:cs="宋体"/>
          <w:color w:val="auto"/>
          <w:sz w:val="21"/>
          <w:szCs w:val="21"/>
          <w:highlight w:val="none"/>
          <w:u w:val="single"/>
        </w:rPr>
        <w:t xml:space="preserve">     承包人         </w:t>
      </w:r>
      <w:r>
        <w:rPr>
          <w:rFonts w:hint="eastAsia" w:ascii="宋体" w:hAnsi="宋体" w:eastAsia="宋体" w:cs="宋体"/>
          <w:color w:val="auto"/>
          <w:kern w:val="0"/>
          <w:sz w:val="21"/>
          <w:szCs w:val="21"/>
          <w:highlight w:val="none"/>
        </w:rPr>
        <w:t>承担。</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13.3.3 投料试车</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关于投料试车相关事项的约定：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 竣工退场</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13.6.1 竣工退场</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承包人完成竣工退场的期限：</w:t>
      </w:r>
      <w:r>
        <w:rPr>
          <w:rFonts w:hint="eastAsia" w:ascii="宋体" w:hAnsi="宋体" w:eastAsia="宋体" w:cs="宋体"/>
          <w:color w:val="auto"/>
          <w:sz w:val="21"/>
          <w:szCs w:val="21"/>
          <w:highlight w:val="none"/>
          <w:u w:val="single"/>
        </w:rPr>
        <w:t xml:space="preserve">      竣工验收合格后     </w:t>
      </w:r>
      <w:r>
        <w:rPr>
          <w:rFonts w:hint="eastAsia" w:ascii="宋体" w:hAnsi="宋体" w:eastAsia="宋体" w:cs="宋体"/>
          <w:color w:val="auto"/>
          <w:kern w:val="0"/>
          <w:sz w:val="21"/>
          <w:szCs w:val="21"/>
          <w:highlight w:val="none"/>
        </w:rPr>
        <w:t>。</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57" w:name="_Toc351203646"/>
      <w:r>
        <w:rPr>
          <w:rFonts w:hint="eastAsia" w:ascii="宋体" w:hAnsi="宋体" w:eastAsia="宋体" w:cs="宋体"/>
          <w:b w:val="0"/>
          <w:color w:val="auto"/>
          <w:sz w:val="21"/>
          <w:szCs w:val="21"/>
          <w:highlight w:val="none"/>
        </w:rPr>
        <w:t>14. 竣工结算</w:t>
      </w:r>
      <w:bookmarkEnd w:id="757"/>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 竣工付款申请</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承包人提交竣工付款申请单的期限：</w:t>
      </w:r>
      <w:r>
        <w:rPr>
          <w:rFonts w:hint="eastAsia" w:ascii="宋体" w:hAnsi="宋体" w:eastAsia="宋体" w:cs="宋体"/>
          <w:color w:val="auto"/>
          <w:sz w:val="21"/>
          <w:szCs w:val="21"/>
          <w:highlight w:val="none"/>
          <w:u w:val="single"/>
        </w:rPr>
        <w:t>经审定工程竣工结算并由承包人提出申请后28天内。</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竣工付款申请单应包括的内容：</w:t>
      </w:r>
      <w:r>
        <w:rPr>
          <w:rFonts w:hint="eastAsia" w:ascii="宋体" w:hAnsi="宋体" w:eastAsia="宋体" w:cs="宋体"/>
          <w:color w:val="auto"/>
          <w:sz w:val="21"/>
          <w:szCs w:val="21"/>
          <w:highlight w:val="none"/>
          <w:u w:val="single"/>
        </w:rPr>
        <w:t>竣工结算由承包人提交相关结算资料（主要包括合同、工程量计算书、结算书、变更设计通知单、签证单、竣工图）齐全后经监理初审、发包人审核后，必须经发包人审定后方可办理工程结算或竣工决算，最终结算以按财政部门的审计结果为准。工程款按最终审定的结算造价支付至9</w:t>
      </w:r>
      <w:r>
        <w:rPr>
          <w:rFonts w:hint="eastAsia" w:ascii="宋体" w:hAnsi="宋体" w:eastAsia="宋体" w:cs="宋体"/>
          <w:color w:val="auto"/>
          <w:sz w:val="21"/>
          <w:szCs w:val="21"/>
          <w:highlight w:val="none"/>
          <w:u w:val="single"/>
          <w:lang w:val="en-US" w:eastAsia="zh-CN"/>
        </w:rPr>
        <w:t>7</w:t>
      </w:r>
      <w:r>
        <w:rPr>
          <w:rFonts w:hint="eastAsia" w:ascii="宋体" w:hAnsi="宋体" w:eastAsia="宋体" w:cs="宋体"/>
          <w:color w:val="auto"/>
          <w:sz w:val="21"/>
          <w:szCs w:val="21"/>
          <w:highlight w:val="none"/>
          <w:u w:val="single"/>
        </w:rPr>
        <w:t>％，</w:t>
      </w:r>
      <w:r>
        <w:rPr>
          <w:rFonts w:hint="eastAsia" w:ascii="宋体" w:hAnsi="宋体" w:eastAsia="宋体" w:cs="宋体"/>
          <w:color w:val="auto"/>
          <w:spacing w:val="-2"/>
          <w:sz w:val="21"/>
          <w:szCs w:val="21"/>
          <w:highlight w:val="none"/>
          <w:u w:val="single"/>
        </w:rPr>
        <w:t>预留</w:t>
      </w:r>
      <w:r>
        <w:rPr>
          <w:rFonts w:hint="eastAsia" w:ascii="宋体" w:hAnsi="宋体" w:eastAsia="宋体" w:cs="宋体"/>
          <w:color w:val="auto"/>
          <w:spacing w:val="-2"/>
          <w:sz w:val="21"/>
          <w:szCs w:val="21"/>
          <w:highlight w:val="none"/>
          <w:u w:val="single"/>
          <w:lang w:val="en-US" w:eastAsia="zh-CN"/>
        </w:rPr>
        <w:t>3</w:t>
      </w:r>
      <w:r>
        <w:rPr>
          <w:rFonts w:hint="eastAsia" w:ascii="宋体" w:hAnsi="宋体" w:eastAsia="宋体" w:cs="宋体"/>
          <w:color w:val="auto"/>
          <w:spacing w:val="-2"/>
          <w:sz w:val="21"/>
          <w:szCs w:val="21"/>
          <w:highlight w:val="none"/>
          <w:u w:val="single"/>
        </w:rPr>
        <w:t>％的质保金。</w:t>
      </w:r>
      <w:r>
        <w:rPr>
          <w:rFonts w:hint="eastAsia" w:ascii="宋体" w:hAnsi="宋体" w:eastAsia="宋体" w:cs="宋体"/>
          <w:color w:val="auto"/>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未按本项约定的期限和内容提交竣工付款申请单或者未按审核部门要求提交修正后的竣工付款申请单，经发包人催促后14天内仍未提交或者没有明确答复的，发包人有权根据已有资料进行审查，审查确定的竣工结算合同总价和竣工付款金额视同是经承包人认可的工程竣工结算合同总价和竣工付款金额。</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 竣工结算审核</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发包人审批竣工付款申请单的期限：</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发包人完成竣工付款的期限：</w:t>
      </w:r>
      <w:r>
        <w:rPr>
          <w:rFonts w:hint="eastAsia" w:ascii="宋体" w:hAnsi="宋体" w:eastAsia="宋体" w:cs="宋体"/>
          <w:color w:val="auto"/>
          <w:sz w:val="21"/>
          <w:szCs w:val="21"/>
          <w:highlight w:val="none"/>
          <w:u w:val="single"/>
        </w:rPr>
        <w:t xml:space="preserve">在签发竣工付款证书后的30天内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关于竣工付款证书异议部分复核的方式和程序：</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 最终结清</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14.4.1 最终结清申请单</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承包人提交最终结清申请单的份数：</w:t>
      </w:r>
      <w:r>
        <w:rPr>
          <w:rFonts w:hint="eastAsia" w:ascii="宋体" w:hAnsi="宋体" w:eastAsia="宋体" w:cs="宋体"/>
          <w:color w:val="auto"/>
          <w:sz w:val="21"/>
          <w:szCs w:val="21"/>
          <w:highlight w:val="none"/>
          <w:u w:val="single"/>
        </w:rPr>
        <w:t xml:space="preserve">一式四份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承包人提交最终结算申请单的期限：</w:t>
      </w:r>
      <w:r>
        <w:rPr>
          <w:rFonts w:hint="eastAsia" w:ascii="宋体" w:hAnsi="宋体" w:eastAsia="宋体" w:cs="宋体"/>
          <w:color w:val="auto"/>
          <w:sz w:val="21"/>
          <w:szCs w:val="21"/>
          <w:highlight w:val="none"/>
          <w:u w:val="single"/>
        </w:rPr>
        <w:t xml:space="preserve">缺陷责任期终止证书签发后14天内向监理人提交4份竣工付款申请单及相关证明材料。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14.4.2 最终结清证书和支付</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（1）发包人完成最终结清申请单的审批并颁发最终结清证书的期限：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（2）发包人完成支付的期限：</w:t>
      </w:r>
      <w:r>
        <w:rPr>
          <w:rFonts w:hint="eastAsia" w:ascii="宋体" w:hAnsi="宋体" w:eastAsia="宋体" w:cs="宋体"/>
          <w:color w:val="auto"/>
          <w:sz w:val="21"/>
          <w:szCs w:val="21"/>
          <w:highlight w:val="none"/>
          <w:u w:val="single"/>
        </w:rPr>
        <w:t xml:space="preserve">在颁发最终结清证书后的30天内      </w:t>
      </w:r>
      <w:r>
        <w:rPr>
          <w:rFonts w:hint="eastAsia" w:ascii="宋体" w:hAnsi="宋体" w:eastAsia="宋体" w:cs="宋体"/>
          <w:color w:val="auto"/>
          <w:sz w:val="21"/>
          <w:szCs w:val="21"/>
          <w:highlight w:val="none"/>
        </w:rPr>
        <w:t>。</w:t>
      </w:r>
    </w:p>
    <w:bookmarkEnd w:id="744"/>
    <w:bookmarkEnd w:id="745"/>
    <w:bookmarkEnd w:id="746"/>
    <w:bookmarkEnd w:id="747"/>
    <w:bookmarkEnd w:id="748"/>
    <w:bookmarkEnd w:id="749"/>
    <w:bookmarkEnd w:id="750"/>
    <w:bookmarkEnd w:id="756"/>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58" w:name="_Toc351203647"/>
      <w:bookmarkStart w:id="759" w:name="_Toc267251483"/>
      <w:bookmarkStart w:id="760" w:name="_Toc267251482"/>
      <w:bookmarkStart w:id="761" w:name="_Toc267251484"/>
      <w:bookmarkStart w:id="762" w:name="_Toc267251485"/>
      <w:bookmarkStart w:id="763" w:name="_Toc267251486"/>
      <w:bookmarkStart w:id="764" w:name="_Toc267251490"/>
      <w:bookmarkStart w:id="765" w:name="_Toc267251488"/>
      <w:bookmarkStart w:id="766" w:name="_Toc267251489"/>
      <w:r>
        <w:rPr>
          <w:rFonts w:hint="eastAsia" w:ascii="宋体" w:hAnsi="宋体" w:eastAsia="宋体" w:cs="宋体"/>
          <w:b w:val="0"/>
          <w:color w:val="auto"/>
          <w:sz w:val="21"/>
          <w:szCs w:val="21"/>
          <w:highlight w:val="none"/>
        </w:rPr>
        <w:t>15. 缺陷责任期与保修</w:t>
      </w:r>
      <w:bookmarkEnd w:id="758"/>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15.2缺陷责任期</w:t>
      </w:r>
      <w:bookmarkEnd w:id="759"/>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缺陷责任期的具体期限：</w:t>
      </w:r>
      <w:r>
        <w:rPr>
          <w:rFonts w:hint="eastAsia" w:ascii="宋体" w:hAnsi="宋体" w:eastAsia="宋体" w:cs="宋体"/>
          <w:color w:val="auto"/>
          <w:sz w:val="21"/>
          <w:szCs w:val="21"/>
          <w:highlight w:val="none"/>
          <w:u w:val="single"/>
          <w:lang w:val="en-US" w:eastAsia="zh-CN"/>
        </w:rPr>
        <w:t>24</w:t>
      </w:r>
      <w:r>
        <w:rPr>
          <w:rFonts w:hint="eastAsia" w:ascii="宋体" w:hAnsi="宋体" w:eastAsia="宋体" w:cs="宋体"/>
          <w:color w:val="auto"/>
          <w:sz w:val="21"/>
          <w:szCs w:val="21"/>
          <w:highlight w:val="none"/>
          <w:u w:val="single"/>
        </w:rPr>
        <w:t>个月</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15.3 质量保证金</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关于是否扣留质量保证金的约定：按</w:t>
      </w:r>
      <w:r>
        <w:rPr>
          <w:rFonts w:hint="eastAsia" w:ascii="宋体" w:hAnsi="宋体" w:eastAsia="宋体" w:cs="宋体"/>
          <w:color w:val="auto"/>
          <w:sz w:val="21"/>
          <w:szCs w:val="21"/>
          <w:highlight w:val="none"/>
          <w:u w:val="single"/>
        </w:rPr>
        <w:t>工程审核造价金额的</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%作为质保金</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15.3.1 承包人提供质量保证金的方式</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质量保证金采用以下第</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种方式：</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（1）质量保证金保函，保证金额为：</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 xml:space="preserve">； </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3</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%的工程款；</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（3）其他方式:</w:t>
      </w:r>
      <w:r>
        <w:rPr>
          <w:rFonts w:hint="eastAsia" w:ascii="宋体" w:hAnsi="宋体" w:eastAsia="宋体" w:cs="宋体"/>
          <w:color w:val="auto"/>
          <w:kern w:val="0"/>
          <w:sz w:val="21"/>
          <w:szCs w:val="21"/>
          <w:highlight w:val="none"/>
          <w:u w:val="single"/>
        </w:rPr>
        <w:t xml:space="preserve">          无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15.3.2 质量保证金的扣留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质量保证金的扣留采取以下第</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种方式：</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（1）在支付工程进度款时逐次扣留，在此情形下，质量保证金的计算基数不包括预付款的支付、扣回以及价格调整的金额；</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（2）工程竣工结算时一次性扣留质量保证金；</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（3）其他扣留方式:</w:t>
      </w:r>
      <w:r>
        <w:rPr>
          <w:rFonts w:hint="eastAsia" w:ascii="宋体" w:hAnsi="宋体" w:eastAsia="宋体" w:cs="宋体"/>
          <w:color w:val="auto"/>
          <w:kern w:val="0"/>
          <w:sz w:val="21"/>
          <w:szCs w:val="21"/>
          <w:highlight w:val="none"/>
          <w:u w:val="single"/>
        </w:rPr>
        <w:t xml:space="preserve">          无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关于质量保证金的补充约定：</w:t>
      </w:r>
      <w:r>
        <w:rPr>
          <w:rFonts w:hint="eastAsia" w:ascii="宋体" w:hAnsi="宋体" w:eastAsia="宋体" w:cs="宋体"/>
          <w:color w:val="auto"/>
          <w:sz w:val="21"/>
          <w:szCs w:val="21"/>
          <w:highlight w:val="none"/>
          <w:u w:val="single"/>
        </w:rPr>
        <w:t>发包人在质保期（</w:t>
      </w:r>
      <w:r>
        <w:rPr>
          <w:rFonts w:hint="eastAsia" w:ascii="宋体" w:hAnsi="宋体" w:eastAsia="宋体" w:cs="宋体"/>
          <w:color w:val="auto"/>
          <w:sz w:val="21"/>
          <w:szCs w:val="21"/>
          <w:highlight w:val="none"/>
          <w:u w:val="single"/>
          <w:lang w:val="en-US" w:eastAsia="zh-CN"/>
        </w:rPr>
        <w:t>两年</w:t>
      </w:r>
      <w:r>
        <w:rPr>
          <w:rFonts w:hint="eastAsia" w:ascii="宋体" w:hAnsi="宋体" w:eastAsia="宋体" w:cs="宋体"/>
          <w:color w:val="auto"/>
          <w:sz w:val="21"/>
          <w:szCs w:val="21"/>
          <w:highlight w:val="none"/>
          <w:u w:val="single"/>
        </w:rPr>
        <w:t>）满后一个月内将质保金的全部返回给承包人。质量保证金的返还，并不能免除承包人按照合同约定应承担的质量保修责任和应履行的质量保修义务。</w:t>
      </w:r>
    </w:p>
    <w:bookmarkEnd w:id="760"/>
    <w:bookmarkEnd w:id="761"/>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15.4保修</w:t>
      </w:r>
    </w:p>
    <w:bookmarkEnd w:id="762"/>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15.4.1 保修责任</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工程保修期为：</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single"/>
        </w:rPr>
        <w:t>。</w:t>
      </w:r>
    </w:p>
    <w:p>
      <w:pPr>
        <w:pStyle w:val="48"/>
        <w:pageBreakBefore w:val="0"/>
        <w:widowControl w:val="0"/>
        <w:kinsoku/>
        <w:wordWrap/>
        <w:overflowPunct/>
        <w:topLinePunct w:val="0"/>
        <w:bidi w:val="0"/>
        <w:snapToGrid/>
        <w:spacing w:before="0" w:after="0"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15.4.2 修复通知</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承包人收到保修通知并到达工程现场的合理时间：</w:t>
      </w:r>
      <w:r>
        <w:rPr>
          <w:rFonts w:hint="eastAsia" w:ascii="宋体" w:hAnsi="宋体" w:eastAsia="宋体" w:cs="宋体"/>
          <w:color w:val="auto"/>
          <w:sz w:val="21"/>
          <w:szCs w:val="21"/>
          <w:highlight w:val="none"/>
          <w:u w:val="single"/>
        </w:rPr>
        <w:t>承包人应当在接到保修通知之日起七天内派人保修</w:t>
      </w:r>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sz w:val="21"/>
          <w:szCs w:val="21"/>
          <w:highlight w:val="none"/>
          <w:u w:val="single"/>
        </w:rPr>
        <w:t>承包人不在约定期限内派人保修的，发包人可以委托他人修理，所产生的费用由承包人承担。</w:t>
      </w:r>
    </w:p>
    <w:bookmarkEnd w:id="763"/>
    <w:bookmarkEnd w:id="764"/>
    <w:bookmarkEnd w:id="765"/>
    <w:bookmarkEnd w:id="766"/>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67" w:name="_Toc351203648"/>
      <w:bookmarkStart w:id="768" w:name="_Toc280868717"/>
      <w:bookmarkStart w:id="769" w:name="_Toc280868718"/>
      <w:r>
        <w:rPr>
          <w:rFonts w:hint="eastAsia" w:ascii="宋体" w:hAnsi="宋体" w:eastAsia="宋体" w:cs="宋体"/>
          <w:b w:val="0"/>
          <w:color w:val="auto"/>
          <w:sz w:val="21"/>
          <w:szCs w:val="21"/>
          <w:highlight w:val="none"/>
        </w:rPr>
        <w:t>16. 违约</w:t>
      </w:r>
      <w:bookmarkEnd w:id="767"/>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 发包人违约</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16.1.1发包人违约的情形</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发包人违约的其他情形：</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16.1.2 发包人违约的责任</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发包人违约责任的承担方式和计算方法：</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（1）因发包人原因未能在计划开工日期前7天内下达开工通知的违约责任：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（2）因发包人原因未能按合同约定支付合同价款的违约责任：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（3）发包人违反第10.1款〔变更的范围〕第（2）项约定，自行实施被取消的工作或转由他人实施的违约责任：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（4）发包人提供的材料、工程设备的规格、数量或质量不符合合同约定，或因发包人原因导致交货日期延误或交货地点变更等情况的违约责任：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（5）因发包人违反合同约定造成暂停施工的违约责任：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（6）发包人无正当理由没有在约定期限内发出复工指示，导致承包人无法复工的违约责任：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（7）其他：</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16.1.3 因发包人违约解除合同</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承包人按16.1.1项〔发包人违约的情形〕约定暂停施工满</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天后发包人仍不纠正其违约行为并致使合同目的不能实现的，承包人有权解除合同。</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 承包人违约</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16.2.1 承包人违约的情形</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承包人违约的其他情形：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16.2.2承包人违约的责任</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承包人违约责任的承担方式和计算方法：</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每拖延一天工期支付给发包人最终结算价的0.4‰/天的违约金。误期时间从合同规定竣工日期起直到全部合同工程或相应工程的全部移交竣工报告的批准日期之间的天数（不足一日的按一日计算）。                        </w:t>
      </w:r>
      <w:r>
        <w:rPr>
          <w:rFonts w:hint="eastAsia" w:ascii="宋体" w:hAnsi="宋体" w:eastAsia="宋体" w:cs="宋体"/>
          <w:color w:val="auto"/>
          <w:sz w:val="21"/>
          <w:szCs w:val="21"/>
          <w:highlight w:val="none"/>
        </w:rPr>
        <w:t xml:space="preserve">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16.2.3 因承包人违约解除合同</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关于承包人违约解除合同的特别约定：</w:t>
      </w:r>
      <w:r>
        <w:rPr>
          <w:rFonts w:hint="eastAsia" w:ascii="宋体" w:hAnsi="宋体" w:eastAsia="宋体" w:cs="宋体"/>
          <w:color w:val="auto"/>
          <w:kern w:val="0"/>
          <w:sz w:val="21"/>
          <w:szCs w:val="21"/>
          <w:highlight w:val="none"/>
          <w:u w:val="single"/>
        </w:rPr>
        <w:t>合同解除后承包人应立即退场，退场标准参照13.6.1的规定执行</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发包人继续使用承包人在施工现场的材料、设备、临时工程、承包人文件和由承包人或以其名义编制的其他文件的费用承担方式：</w:t>
      </w:r>
      <w:r>
        <w:rPr>
          <w:rFonts w:hint="eastAsia" w:ascii="宋体" w:hAnsi="宋体" w:eastAsia="宋体" w:cs="宋体"/>
          <w:color w:val="auto"/>
          <w:kern w:val="0"/>
          <w:sz w:val="21"/>
          <w:szCs w:val="21"/>
          <w:highlight w:val="none"/>
          <w:u w:val="single"/>
        </w:rPr>
        <w:t xml:space="preserve">   无偿使用     </w:t>
      </w:r>
      <w:r>
        <w:rPr>
          <w:rFonts w:hint="eastAsia" w:ascii="宋体" w:hAnsi="宋体" w:eastAsia="宋体" w:cs="宋体"/>
          <w:color w:val="auto"/>
          <w:kern w:val="0"/>
          <w:sz w:val="21"/>
          <w:szCs w:val="21"/>
          <w:highlight w:val="none"/>
        </w:rPr>
        <w:t>。</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70" w:name="_Toc351203649"/>
      <w:r>
        <w:rPr>
          <w:rFonts w:hint="eastAsia" w:ascii="宋体" w:hAnsi="宋体" w:eastAsia="宋体" w:cs="宋体"/>
          <w:b w:val="0"/>
          <w:color w:val="auto"/>
          <w:sz w:val="21"/>
          <w:szCs w:val="21"/>
          <w:highlight w:val="none"/>
        </w:rPr>
        <w:t>17. 不可抗力</w:t>
      </w:r>
      <w:bookmarkEnd w:id="770"/>
      <w:r>
        <w:rPr>
          <w:rFonts w:hint="eastAsia" w:ascii="宋体" w:hAnsi="宋体" w:eastAsia="宋体" w:cs="宋体"/>
          <w:b w:val="0"/>
          <w:color w:val="auto"/>
          <w:sz w:val="21"/>
          <w:szCs w:val="21"/>
          <w:highlight w:val="none"/>
        </w:rPr>
        <w:t xml:space="preserve"> </w:t>
      </w:r>
      <w:bookmarkEnd w:id="768"/>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17.1 不可抗力的确认</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除通用合同条款约定的不可抗力事件之外，视为不可抗力的其他情形：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不可抗力包括因战争、恐怖主义、动乱、空中飞行物体坠落或其他非发包人、承包人责任造成的爆炸、停工、火灾，以及：1、当地气象部门规定的情形；2、当地地震部门规定的情形；3、当地卫生部门规定的情形；4、提供政府相关部门对不可抗力的证明材料。</w:t>
      </w:r>
      <w:r>
        <w:rPr>
          <w:rFonts w:hint="eastAsia" w:ascii="宋体" w:hAnsi="宋体" w:eastAsia="宋体" w:cs="宋体"/>
          <w:color w:val="auto"/>
          <w:kern w:val="0"/>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17.4 因不可抗力解除合同</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合同解除后，发包人应在商定或确定发包人应支付款项后</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天内完成款项的支付。</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71" w:name="_Toc351203650"/>
      <w:r>
        <w:rPr>
          <w:rFonts w:hint="eastAsia" w:ascii="宋体" w:hAnsi="宋体" w:eastAsia="宋体" w:cs="宋体"/>
          <w:b w:val="0"/>
          <w:color w:val="auto"/>
          <w:sz w:val="21"/>
          <w:szCs w:val="21"/>
          <w:highlight w:val="none"/>
        </w:rPr>
        <w:t>18. 保险</w:t>
      </w:r>
      <w:bookmarkEnd w:id="771"/>
    </w:p>
    <w:bookmarkEnd w:id="769"/>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 工程保险</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关于工程保险的特别约定：</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承包人应投保建筑工程一切险并承担相关费用</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其他保险</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关于其他保险的约定：</w:t>
      </w:r>
      <w:r>
        <w:rPr>
          <w:rFonts w:hint="eastAsia" w:ascii="宋体" w:hAnsi="宋体" w:eastAsia="宋体" w:cs="宋体"/>
          <w:color w:val="auto"/>
          <w:kern w:val="0"/>
          <w:sz w:val="21"/>
          <w:szCs w:val="21"/>
          <w:highlight w:val="none"/>
          <w:u w:val="single"/>
        </w:rPr>
        <w:t xml:space="preserve"> 承包人根据市建协字【2009】3号文须缴纳建筑意外伤害保险费。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承包人是否应为其施工设备等办理财产保险：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18.7 通知义务</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关于变更保险合同时的通知义务的约定：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72" w:name="_Toc351203651"/>
      <w:r>
        <w:rPr>
          <w:rFonts w:hint="eastAsia" w:ascii="宋体" w:hAnsi="宋体" w:eastAsia="宋体" w:cs="宋体"/>
          <w:b w:val="0"/>
          <w:color w:val="auto"/>
          <w:sz w:val="21"/>
          <w:szCs w:val="21"/>
          <w:highlight w:val="none"/>
        </w:rPr>
        <w:t>20. 争议解决</w:t>
      </w:r>
      <w:bookmarkEnd w:id="772"/>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 争议评审</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合同当事人是否同意将工程争议提交争议评审小组决定：</w:t>
      </w:r>
      <w:r>
        <w:rPr>
          <w:rFonts w:hint="eastAsia" w:ascii="宋体" w:hAnsi="宋体" w:eastAsia="宋体" w:cs="宋体"/>
          <w:color w:val="auto"/>
          <w:sz w:val="21"/>
          <w:szCs w:val="21"/>
          <w:highlight w:val="none"/>
          <w:u w:val="single"/>
        </w:rPr>
        <w:t xml:space="preserve">  不同意    </w:t>
      </w:r>
      <w:r>
        <w:rPr>
          <w:rFonts w:hint="eastAsia" w:ascii="宋体" w:hAnsi="宋体" w:eastAsia="宋体" w:cs="宋体"/>
          <w:color w:val="auto"/>
          <w:sz w:val="21"/>
          <w:szCs w:val="21"/>
          <w:highlight w:val="none"/>
        </w:rPr>
        <w:t xml:space="preserve">。  </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20.3.1 争议评审小组的确定</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争议评审小组成员的确定：</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选定争议评审员的期限：</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争议评审小组成员的报酬承担方式：</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其他事项的约定：</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20.3.2 争议评审小组的决定</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合同当事人关于本项的约定：</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20.4仲裁或诉讼</w:t>
      </w:r>
    </w:p>
    <w:p>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因合同及合同有关事项发生的争议，按下列第</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种方式解决：</w:t>
      </w:r>
    </w:p>
    <w:p>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（1）向</w:t>
      </w:r>
      <w:r>
        <w:rPr>
          <w:rFonts w:hint="eastAsia" w:ascii="宋体" w:hAnsi="宋体" w:eastAsia="宋体" w:cs="宋体"/>
          <w:color w:val="auto"/>
          <w:sz w:val="21"/>
          <w:szCs w:val="21"/>
          <w:highlight w:val="none"/>
          <w:u w:val="single"/>
        </w:rPr>
        <w:t xml:space="preserve">   建设行政主管部门 </w:t>
      </w:r>
      <w:r>
        <w:rPr>
          <w:rFonts w:hint="eastAsia" w:ascii="宋体" w:hAnsi="宋体" w:eastAsia="宋体" w:cs="宋体"/>
          <w:color w:val="auto"/>
          <w:sz w:val="21"/>
          <w:szCs w:val="21"/>
          <w:highlight w:val="none"/>
        </w:rPr>
        <w:t>仲裁委员会申请仲裁；</w:t>
      </w:r>
    </w:p>
    <w:p>
      <w:pPr>
        <w:autoSpaceDE w:val="0"/>
        <w:autoSpaceDN w:val="0"/>
        <w:spacing w:line="360" w:lineRule="exact"/>
        <w:ind w:firstLine="420" w:firstLineChars="200"/>
        <w:jc w:val="left"/>
        <w:rPr>
          <w:rFonts w:ascii="宋体" w:hAnsi="宋体" w:cs="宋体"/>
          <w:color w:val="auto"/>
          <w:kern w:val="0"/>
          <w:sz w:val="22"/>
          <w:szCs w:val="21"/>
          <w:highlight w:val="none"/>
          <w:u w:val="single"/>
          <w:lang w:val="zh-CN" w:bidi="zh-CN"/>
        </w:rPr>
      </w:pPr>
      <w:r>
        <w:rPr>
          <w:rFonts w:hint="eastAsia" w:ascii="宋体" w:hAnsi="宋体" w:eastAsia="宋体" w:cs="宋体"/>
          <w:color w:val="auto"/>
          <w:sz w:val="21"/>
          <w:szCs w:val="21"/>
          <w:highlight w:val="none"/>
        </w:rPr>
        <w:t>（2）向</w:t>
      </w:r>
      <w:r>
        <w:rPr>
          <w:rFonts w:hint="eastAsia" w:ascii="宋体" w:hAnsi="宋体" w:eastAsia="宋体" w:cs="宋体"/>
          <w:color w:val="auto"/>
          <w:sz w:val="21"/>
          <w:szCs w:val="21"/>
          <w:highlight w:val="none"/>
          <w:u w:val="single"/>
        </w:rPr>
        <w:t xml:space="preserve">   本工程辖区内  </w:t>
      </w:r>
      <w:r>
        <w:rPr>
          <w:rFonts w:hint="eastAsia" w:ascii="宋体" w:hAnsi="宋体" w:eastAsia="宋体" w:cs="宋体"/>
          <w:color w:val="auto"/>
          <w:sz w:val="21"/>
          <w:szCs w:val="21"/>
          <w:highlight w:val="none"/>
        </w:rPr>
        <w:t>人民法院起诉。</w:t>
      </w:r>
    </w:p>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Pr>
        <w:pStyle w:val="30"/>
        <w:autoSpaceDE w:val="0"/>
        <w:autoSpaceDN w:val="0"/>
        <w:adjustRightInd w:val="0"/>
        <w:spacing w:line="380" w:lineRule="exact"/>
        <w:ind w:firstLine="422" w:firstLineChars="200"/>
        <w:rPr>
          <w:rFonts w:hint="eastAsia" w:ascii="宋体" w:hAnsi="宋体" w:eastAsia="宋体" w:cs="宋体"/>
          <w:b/>
          <w:color w:val="auto"/>
          <w:sz w:val="21"/>
          <w:szCs w:val="21"/>
          <w:highlight w:val="none"/>
        </w:rPr>
      </w:pPr>
    </w:p>
    <w:p>
      <w:pPr>
        <w:pStyle w:val="22"/>
        <w:rPr>
          <w:rFonts w:hint="eastAsia" w:ascii="宋体" w:hAnsi="宋体" w:eastAsia="宋体" w:cs="宋体"/>
          <w:b/>
          <w:color w:val="auto"/>
          <w:sz w:val="21"/>
          <w:szCs w:val="21"/>
          <w:highlight w:val="none"/>
        </w:rPr>
      </w:pPr>
    </w:p>
    <w:p>
      <w:pPr>
        <w:rPr>
          <w:rFonts w:hint="eastAsia"/>
          <w:color w:val="auto"/>
          <w:highlight w:val="none"/>
        </w:rPr>
      </w:pP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协议书附件：</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附件1：承包人承揽工程项目一览表</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专用合同条款附件：</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附件2：发包人供应材料设备一览表</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附件3：工程质量保修书</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附件4：主要建设工程文件目录</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附件5：承包人用于本工程施工的机械设备表</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附件6：承包人主要施工管理人员表</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附件7：分包人主要施工管理人员表</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附件8：履约担保格式</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附件9：预付款担保格式</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附件10：支付担保格式</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附件11：暂估价一览表</w:t>
      </w:r>
    </w:p>
    <w:p>
      <w:pPr>
        <w:pStyle w:val="8"/>
        <w:rPr>
          <w:rFonts w:hint="eastAsia" w:ascii="宋体" w:hAnsi="宋体" w:eastAsia="宋体" w:cs="宋体"/>
          <w:color w:val="auto"/>
          <w:sz w:val="21"/>
          <w:szCs w:val="21"/>
          <w:highlight w:val="none"/>
          <w:lang w:val="en-US" w:eastAsia="zh-CN"/>
        </w:rPr>
      </w:pPr>
    </w:p>
    <w:p>
      <w:pPr>
        <w:pStyle w:val="8"/>
        <w:rPr>
          <w:rFonts w:hint="eastAsia" w:ascii="宋体" w:hAnsi="宋体" w:eastAsia="宋体" w:cs="宋体"/>
          <w:color w:val="auto"/>
          <w:sz w:val="21"/>
          <w:szCs w:val="21"/>
          <w:highlight w:val="none"/>
          <w:lang w:val="en-US" w:eastAsia="zh-CN"/>
        </w:rPr>
        <w:sectPr>
          <w:pgSz w:w="11906" w:h="16838"/>
          <w:pgMar w:top="1418" w:right="1115" w:bottom="1418" w:left="1131" w:header="851" w:footer="992" w:gutter="0"/>
          <w:pgNumType w:fmt="decimal"/>
          <w:cols w:space="720" w:num="1"/>
          <w:titlePg/>
          <w:docGrid w:type="lines" w:linePitch="312" w:charSpace="0"/>
        </w:sectPr>
      </w:pP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w:t>
      </w:r>
    </w:p>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承包人承揽工程项目一览表</w:t>
      </w:r>
    </w:p>
    <w:tbl>
      <w:tblPr>
        <w:tblStyle w:val="18"/>
        <w:tblW w:w="14317"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126"/>
        <w:gridCol w:w="850"/>
        <w:gridCol w:w="1560"/>
        <w:gridCol w:w="2126"/>
        <w:gridCol w:w="1417"/>
        <w:gridCol w:w="851"/>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单位工程名称</w:t>
            </w:r>
          </w:p>
        </w:tc>
        <w:tc>
          <w:tcPr>
            <w:tcW w:w="1843"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建设规模</w:t>
            </w:r>
          </w:p>
        </w:tc>
        <w:tc>
          <w:tcPr>
            <w:tcW w:w="1417"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建筑面积(平方米)</w:t>
            </w:r>
          </w:p>
        </w:tc>
        <w:tc>
          <w:tcPr>
            <w:tcW w:w="2126"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结构形式</w:t>
            </w:r>
          </w:p>
        </w:tc>
        <w:tc>
          <w:tcPr>
            <w:tcW w:w="85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层数</w:t>
            </w:r>
          </w:p>
        </w:tc>
        <w:tc>
          <w:tcPr>
            <w:tcW w:w="156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生产能力</w:t>
            </w:r>
          </w:p>
        </w:tc>
        <w:tc>
          <w:tcPr>
            <w:tcW w:w="2126"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设备安装内容</w:t>
            </w:r>
          </w:p>
        </w:tc>
        <w:tc>
          <w:tcPr>
            <w:tcW w:w="1417"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合同价格（元）</w:t>
            </w:r>
          </w:p>
        </w:tc>
        <w:tc>
          <w:tcPr>
            <w:tcW w:w="851"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开工日期</w:t>
            </w:r>
          </w:p>
        </w:tc>
        <w:tc>
          <w:tcPr>
            <w:tcW w:w="85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bl>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b/>
          <w:color w:val="auto"/>
          <w:sz w:val="21"/>
          <w:szCs w:val="21"/>
          <w:highlight w:val="none"/>
        </w:rPr>
        <w:sectPr>
          <w:pgSz w:w="16838" w:h="11906" w:orient="landscape"/>
          <w:pgMar w:top="1554" w:right="1418" w:bottom="1531" w:left="1418" w:header="851" w:footer="992" w:gutter="0"/>
          <w:pgNumType w:fmt="decimal"/>
          <w:cols w:space="720" w:num="1"/>
          <w:titlePg/>
          <w:docGrid w:type="linesAndChars" w:linePitch="312" w:charSpace="0"/>
        </w:sect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附件2：</w:t>
      </w:r>
    </w:p>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发包人供应材料设备一览表</w:t>
      </w:r>
    </w:p>
    <w:tbl>
      <w:tblPr>
        <w:tblStyle w:val="18"/>
        <w:tblW w:w="869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02"/>
        <w:gridCol w:w="1099"/>
        <w:gridCol w:w="1134"/>
        <w:gridCol w:w="620"/>
        <w:gridCol w:w="690"/>
        <w:gridCol w:w="1044"/>
        <w:gridCol w:w="719"/>
        <w:gridCol w:w="716"/>
        <w:gridCol w:w="1487"/>
        <w:gridCol w:w="7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02"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099"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 xml:space="preserve">  材料、</w:t>
            </w:r>
          </w:p>
          <w:p>
            <w:pPr>
              <w:pStyle w:val="8"/>
              <w:keepNext/>
              <w:pageBreakBefore w:val="0"/>
              <w:widowControl w:val="0"/>
              <w:kinsoku/>
              <w:wordWrap/>
              <w:overflowPunct/>
              <w:topLinePunct w:val="0"/>
              <w:bidi w:val="0"/>
              <w:snapToGrid/>
              <w:spacing w:after="0" w:line="360" w:lineRule="exact"/>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设备品种</w:t>
            </w:r>
          </w:p>
        </w:tc>
        <w:tc>
          <w:tcPr>
            <w:tcW w:w="1134"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规格型号</w:t>
            </w:r>
          </w:p>
        </w:tc>
        <w:tc>
          <w:tcPr>
            <w:tcW w:w="62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w:t>
            </w:r>
          </w:p>
        </w:tc>
        <w:tc>
          <w:tcPr>
            <w:tcW w:w="69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1044"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单价（元）</w:t>
            </w:r>
          </w:p>
        </w:tc>
        <w:tc>
          <w:tcPr>
            <w:tcW w:w="719"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质量等级</w:t>
            </w:r>
          </w:p>
        </w:tc>
        <w:tc>
          <w:tcPr>
            <w:tcW w:w="716"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供应时间</w:t>
            </w:r>
          </w:p>
        </w:tc>
        <w:tc>
          <w:tcPr>
            <w:tcW w:w="1487"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送达地点</w:t>
            </w:r>
          </w:p>
        </w:tc>
        <w:tc>
          <w:tcPr>
            <w:tcW w:w="783"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bl>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附件3：    </w:t>
      </w:r>
    </w:p>
    <w:p>
      <w:pPr>
        <w:pStyle w:val="35"/>
        <w:tabs>
          <w:tab w:val="left" w:pos="0"/>
        </w:tabs>
        <w:spacing w:line="276"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3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工程质量保修书</w:t>
      </w:r>
    </w:p>
    <w:p>
      <w:pPr>
        <w:pStyle w:val="31"/>
        <w:rPr>
          <w:rFonts w:hint="eastAsia" w:ascii="宋体" w:hAnsi="宋体" w:eastAsia="宋体" w:cs="宋体"/>
          <w:color w:val="auto"/>
          <w:sz w:val="21"/>
          <w:szCs w:val="21"/>
          <w:highlight w:val="none"/>
        </w:rPr>
      </w:pPr>
    </w:p>
    <w:p>
      <w:pPr>
        <w:pStyle w:val="35"/>
        <w:spacing w:line="32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发包人（全称）：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p>
    <w:p>
      <w:pPr>
        <w:pStyle w:val="35"/>
        <w:spacing w:line="32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承包人（全称）：</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p>
    <w:p>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为保证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eastAsia="zh-CN"/>
        </w:rPr>
        <w:t>工程</w:t>
      </w:r>
      <w:r>
        <w:rPr>
          <w:rFonts w:hint="eastAsia" w:ascii="宋体" w:hAnsi="宋体" w:eastAsia="宋体" w:cs="宋体"/>
          <w:color w:val="auto"/>
          <w:sz w:val="21"/>
          <w:szCs w:val="21"/>
          <w:highlight w:val="none"/>
        </w:rPr>
        <w:t>在合理使用期限内正常使用，经发包人、承包人协商一致签订本工程质量保修书。承包人在质量保修期内按照有关管理规定及双方约定承担工程质量保修责任。</w:t>
      </w:r>
    </w:p>
    <w:p>
      <w:pPr>
        <w:pStyle w:val="38"/>
        <w:spacing w:line="400" w:lineRule="exact"/>
        <w:ind w:firstLine="420" w:firstLineChars="200"/>
        <w:outlineLvl w:val="0"/>
        <w:rPr>
          <w:rFonts w:hint="eastAsia" w:ascii="宋体" w:hAnsi="宋体" w:eastAsia="宋体" w:cs="宋体"/>
          <w:color w:val="auto"/>
          <w:sz w:val="21"/>
          <w:szCs w:val="21"/>
          <w:highlight w:val="none"/>
        </w:rPr>
      </w:pPr>
      <w:bookmarkStart w:id="773" w:name="_Toc522201808"/>
      <w:bookmarkStart w:id="774" w:name="_Toc25270"/>
      <w:r>
        <w:rPr>
          <w:rFonts w:hint="eastAsia" w:ascii="宋体" w:hAnsi="宋体" w:eastAsia="宋体" w:cs="宋体"/>
          <w:color w:val="auto"/>
          <w:sz w:val="21"/>
          <w:szCs w:val="21"/>
          <w:highlight w:val="none"/>
        </w:rPr>
        <w:t>一、工程保修范围和内容</w:t>
      </w:r>
      <w:bookmarkEnd w:id="773"/>
      <w:bookmarkEnd w:id="774"/>
    </w:p>
    <w:p>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质量保修范围为施工图纸所包括的工程内容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具体质量保修内容双方约定如下：</w:t>
      </w:r>
      <w:r>
        <w:rPr>
          <w:rFonts w:hint="eastAsia" w:ascii="宋体" w:hAnsi="宋体" w:eastAsia="宋体" w:cs="宋体"/>
          <w:color w:val="auto"/>
          <w:sz w:val="21"/>
          <w:szCs w:val="21"/>
          <w:highlight w:val="none"/>
          <w:u w:val="single"/>
        </w:rPr>
        <w:t xml:space="preserve"> 承包方所承包施工的全部工程内容 </w:t>
      </w:r>
      <w:r>
        <w:rPr>
          <w:rFonts w:hint="eastAsia" w:ascii="宋体" w:hAnsi="宋体" w:eastAsia="宋体" w:cs="宋体"/>
          <w:color w:val="auto"/>
          <w:sz w:val="21"/>
          <w:szCs w:val="21"/>
          <w:highlight w:val="none"/>
        </w:rPr>
        <w:t>。</w:t>
      </w:r>
    </w:p>
    <w:p>
      <w:pPr>
        <w:pStyle w:val="38"/>
        <w:spacing w:line="400" w:lineRule="exact"/>
        <w:ind w:firstLine="420" w:firstLineChars="200"/>
        <w:outlineLvl w:val="0"/>
        <w:rPr>
          <w:rFonts w:hint="eastAsia" w:ascii="宋体" w:hAnsi="宋体" w:eastAsia="宋体" w:cs="宋体"/>
          <w:color w:val="auto"/>
          <w:sz w:val="21"/>
          <w:szCs w:val="21"/>
          <w:highlight w:val="none"/>
        </w:rPr>
      </w:pPr>
      <w:bookmarkStart w:id="775" w:name="_Toc32666"/>
      <w:bookmarkStart w:id="776" w:name="_Toc522201809"/>
      <w:r>
        <w:rPr>
          <w:rFonts w:hint="eastAsia" w:ascii="宋体" w:hAnsi="宋体" w:eastAsia="宋体" w:cs="宋体"/>
          <w:color w:val="auto"/>
          <w:sz w:val="21"/>
          <w:szCs w:val="21"/>
          <w:highlight w:val="none"/>
        </w:rPr>
        <w:t>二、</w:t>
      </w:r>
      <w:r>
        <w:rPr>
          <w:rFonts w:hint="eastAsia" w:ascii="宋体" w:hAnsi="宋体" w:eastAsia="宋体" w:cs="宋体"/>
          <w:color w:val="auto"/>
          <w:sz w:val="21"/>
          <w:szCs w:val="21"/>
          <w:highlight w:val="none"/>
          <w:lang w:eastAsia="zh-CN"/>
        </w:rPr>
        <w:t>质量</w:t>
      </w:r>
      <w:r>
        <w:rPr>
          <w:rFonts w:hint="eastAsia" w:ascii="宋体" w:hAnsi="宋体" w:eastAsia="宋体" w:cs="宋体"/>
          <w:color w:val="auto"/>
          <w:sz w:val="21"/>
          <w:szCs w:val="21"/>
          <w:highlight w:val="none"/>
        </w:rPr>
        <w:t>保修期</w:t>
      </w:r>
      <w:bookmarkEnd w:id="775"/>
      <w:bookmarkEnd w:id="776"/>
    </w:p>
    <w:p>
      <w:pPr>
        <w:pStyle w:val="39"/>
        <w:keepNext w:val="0"/>
        <w:keepLines w:val="0"/>
        <w:pageBreakBefore w:val="0"/>
        <w:widowControl w:val="0"/>
        <w:kinsoku/>
        <w:wordWrap/>
        <w:overflowPunct/>
        <w:topLinePunct w:val="0"/>
        <w:autoSpaceDE/>
        <w:autoSpaceDN/>
        <w:bidi w:val="0"/>
        <w:adjustRightInd/>
        <w:snapToGrid/>
        <w:spacing w:line="360" w:lineRule="auto"/>
        <w:ind w:firstLine="54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质量保修期从工程实际竣工验收通过之日算起。分单项竣工验收的工程，按单项工程分别计算质量保修期。</w:t>
      </w:r>
    </w:p>
    <w:p>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根据《建设工程质量管理条例》及有关规定，工程的质量保修期如下：</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1．地基基础工程和主体结构工程为设计文件规定的工程合理使用年限；</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2．屋面防水工程、有防水要求的卫生间、房间和外墙面的防渗为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五</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3．装修工程为</w:t>
      </w:r>
      <w:r>
        <w:rPr>
          <w:rFonts w:hint="eastAsia" w:ascii="宋体" w:hAnsi="宋体" w:eastAsia="宋体" w:cs="宋体"/>
          <w:color w:val="auto"/>
          <w:sz w:val="21"/>
          <w:szCs w:val="21"/>
          <w:highlight w:val="none"/>
          <w:u w:val="single"/>
        </w:rPr>
        <w:t xml:space="preserve">  </w:t>
      </w:r>
      <w:r>
        <w:rPr>
          <w:rFonts w:hint="eastAsia"/>
          <w:color w:val="auto"/>
          <w:highlight w:val="none"/>
          <w:u w:val="single"/>
        </w:rPr>
        <w:t>两</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4．电气管线、给排水管道、设备安装工程为</w:t>
      </w:r>
      <w:r>
        <w:rPr>
          <w:rFonts w:hint="eastAsia" w:ascii="宋体" w:hAnsi="宋体" w:eastAsia="宋体" w:cs="宋体"/>
          <w:color w:val="auto"/>
          <w:sz w:val="21"/>
          <w:szCs w:val="21"/>
          <w:highlight w:val="none"/>
          <w:u w:val="single"/>
        </w:rPr>
        <w:t xml:space="preserve"> </w:t>
      </w:r>
      <w:r>
        <w:rPr>
          <w:rFonts w:hint="eastAsia"/>
          <w:color w:val="auto"/>
          <w:highlight w:val="none"/>
          <w:u w:val="single"/>
        </w:rPr>
        <w:t>两</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5．供热与供冷系统为</w:t>
      </w:r>
      <w:r>
        <w:rPr>
          <w:rFonts w:hint="eastAsia" w:ascii="宋体" w:hAnsi="宋体" w:eastAsia="宋体" w:cs="宋体"/>
          <w:color w:val="auto"/>
          <w:sz w:val="21"/>
          <w:szCs w:val="21"/>
          <w:highlight w:val="none"/>
          <w:u w:val="single"/>
        </w:rPr>
        <w:t xml:space="preserve"> </w:t>
      </w:r>
      <w:r>
        <w:rPr>
          <w:rFonts w:hint="eastAsia"/>
          <w:color w:val="auto"/>
          <w:highlight w:val="none"/>
          <w:u w:val="single"/>
        </w:rPr>
        <w:t>两</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个采暖期、供冷期；</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6．住宅小区内的给排水设施、道路等配套工程为</w:t>
      </w:r>
      <w:r>
        <w:rPr>
          <w:rFonts w:hint="eastAsia" w:ascii="宋体" w:hAnsi="宋体" w:eastAsia="宋体" w:cs="宋体"/>
          <w:color w:val="auto"/>
          <w:sz w:val="21"/>
          <w:szCs w:val="21"/>
          <w:highlight w:val="none"/>
          <w:u w:val="single"/>
        </w:rPr>
        <w:t xml:space="preserve"> </w:t>
      </w:r>
      <w:r>
        <w:rPr>
          <w:rFonts w:hint="eastAsia"/>
          <w:color w:val="auto"/>
          <w:highlight w:val="none"/>
          <w:u w:val="single"/>
        </w:rPr>
        <w:t>两</w:t>
      </w:r>
      <w:r>
        <w:rPr>
          <w:rFonts w:hint="eastAsia"/>
          <w:color w:val="auto"/>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7．其他项目保修期限约定如下：</w:t>
      </w:r>
      <w:r>
        <w:rPr>
          <w:rFonts w:hint="eastAsia" w:ascii="宋体" w:hAnsi="宋体" w:eastAsia="宋体" w:cs="宋体"/>
          <w:color w:val="auto"/>
          <w:sz w:val="21"/>
          <w:szCs w:val="21"/>
          <w:highlight w:val="none"/>
          <w:u w:val="single"/>
        </w:rPr>
        <w:t xml:space="preserve"> 本工程其余项目质保期均为两年，</w:t>
      </w:r>
      <w:r>
        <w:rPr>
          <w:rFonts w:hint="eastAsia" w:ascii="宋体" w:hAnsi="宋体" w:eastAsia="宋体" w:cs="宋体"/>
          <w:color w:val="auto"/>
          <w:highlight w:val="none"/>
          <w:u w:val="single"/>
        </w:rPr>
        <w:t>质量保修规范如国家有新规定，则按新规定执行</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质量保修期自工程竣工验收合格之日起计算</w:t>
      </w:r>
    </w:p>
    <w:p>
      <w:pPr>
        <w:pStyle w:val="38"/>
        <w:spacing w:line="400" w:lineRule="exact"/>
        <w:ind w:firstLine="420" w:firstLineChars="200"/>
        <w:outlineLvl w:val="0"/>
        <w:rPr>
          <w:rFonts w:hint="eastAsia" w:ascii="宋体" w:hAnsi="宋体" w:eastAsia="宋体" w:cs="宋体"/>
          <w:color w:val="auto"/>
          <w:sz w:val="21"/>
          <w:szCs w:val="21"/>
          <w:highlight w:val="none"/>
        </w:rPr>
      </w:pPr>
      <w:bookmarkStart w:id="777" w:name="_Toc17657"/>
      <w:r>
        <w:rPr>
          <w:rFonts w:hint="eastAsia" w:ascii="宋体" w:hAnsi="宋体" w:eastAsia="宋体" w:cs="宋体"/>
          <w:color w:val="auto"/>
          <w:sz w:val="21"/>
          <w:szCs w:val="21"/>
          <w:highlight w:val="none"/>
        </w:rPr>
        <w:t>三、缺陷责任期</w:t>
      </w:r>
      <w:bookmarkEnd w:id="777"/>
    </w:p>
    <w:p>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工程缺陷责任期为</w:t>
      </w:r>
      <w:r>
        <w:rPr>
          <w:rFonts w:hint="eastAsia" w:ascii="宋体" w:hAnsi="宋体" w:eastAsia="宋体" w:cs="宋体"/>
          <w:color w:val="auto"/>
          <w:sz w:val="21"/>
          <w:szCs w:val="21"/>
          <w:highlight w:val="none"/>
          <w:u w:val="single"/>
        </w:rPr>
        <w:t xml:space="preserve"> 24 </w:t>
      </w:r>
      <w:r>
        <w:rPr>
          <w:rFonts w:hint="eastAsia" w:ascii="宋体" w:hAnsi="宋体" w:eastAsia="宋体" w:cs="宋体"/>
          <w:color w:val="auto"/>
          <w:sz w:val="21"/>
          <w:szCs w:val="21"/>
          <w:highlight w:val="none"/>
        </w:rPr>
        <w:t>个月（最长不超过24个月），缺陷责任期自工程竣工验收合格之日起计算。单位工程先于全部工程进行验收，单位工程缺陷责任期自单位工程验收合格之日起算。</w:t>
      </w:r>
    </w:p>
    <w:p>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缺陷责任期终止后，发包人应退还剩余的质量保证金。</w:t>
      </w:r>
    </w:p>
    <w:p>
      <w:pPr>
        <w:pStyle w:val="38"/>
        <w:spacing w:line="400" w:lineRule="exact"/>
        <w:ind w:firstLine="420" w:firstLineChars="200"/>
        <w:outlineLvl w:val="0"/>
        <w:rPr>
          <w:rFonts w:hint="eastAsia" w:ascii="宋体" w:hAnsi="宋体" w:eastAsia="宋体" w:cs="宋体"/>
          <w:color w:val="auto"/>
          <w:sz w:val="21"/>
          <w:szCs w:val="21"/>
          <w:highlight w:val="none"/>
        </w:rPr>
      </w:pPr>
      <w:bookmarkStart w:id="778" w:name="_Toc23338"/>
      <w:r>
        <w:rPr>
          <w:rFonts w:hint="eastAsia" w:ascii="宋体" w:hAnsi="宋体" w:eastAsia="宋体" w:cs="宋体"/>
          <w:color w:val="auto"/>
          <w:sz w:val="21"/>
          <w:szCs w:val="21"/>
          <w:highlight w:val="none"/>
        </w:rPr>
        <w:t>四、质量保修责任</w:t>
      </w:r>
      <w:bookmarkEnd w:id="778"/>
    </w:p>
    <w:p>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1．属于保修范围、内容的项目，承包人应当在接到保修通知之日起</w:t>
      </w:r>
      <w:r>
        <w:rPr>
          <w:rFonts w:hint="eastAsia" w:ascii="宋体" w:hAnsi="宋体" w:eastAsia="宋体" w:cs="宋体"/>
          <w:color w:val="auto"/>
          <w:sz w:val="21"/>
          <w:szCs w:val="21"/>
          <w:highlight w:val="none"/>
          <w:u w:val="single"/>
        </w:rPr>
        <w:t xml:space="preserve">  三 </w:t>
      </w:r>
      <w:r>
        <w:rPr>
          <w:rFonts w:hint="eastAsia" w:ascii="宋体" w:hAnsi="宋体" w:eastAsia="宋体" w:cs="宋体"/>
          <w:color w:val="auto"/>
          <w:sz w:val="21"/>
          <w:szCs w:val="21"/>
          <w:highlight w:val="none"/>
        </w:rPr>
        <w:t>天内派人保修。承包人不在约定期限内派人保修的，发包人可以委托他人修理，修理费用从</w:t>
      </w:r>
      <w:r>
        <w:rPr>
          <w:rFonts w:hint="eastAsia" w:ascii="宋体" w:hAnsi="宋体" w:eastAsia="宋体" w:cs="宋体"/>
          <w:color w:val="auto"/>
          <w:sz w:val="21"/>
          <w:szCs w:val="21"/>
          <w:highlight w:val="none"/>
          <w:lang w:eastAsia="zh-CN"/>
        </w:rPr>
        <w:t>质量保证金</w:t>
      </w:r>
      <w:r>
        <w:rPr>
          <w:rFonts w:hint="eastAsia" w:ascii="宋体" w:hAnsi="宋体" w:eastAsia="宋体" w:cs="宋体"/>
          <w:color w:val="auto"/>
          <w:sz w:val="21"/>
          <w:szCs w:val="21"/>
          <w:highlight w:val="none"/>
        </w:rPr>
        <w:t>内扣除。</w:t>
      </w:r>
    </w:p>
    <w:p>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2．发生紧急事故需抢修的，承包人在接到事故通知后，应当立即到达事故现场抢修。</w:t>
      </w:r>
    </w:p>
    <w:p>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4．质量保修完成后，由发包人组织验收。</w:t>
      </w:r>
    </w:p>
    <w:p>
      <w:pPr>
        <w:pStyle w:val="38"/>
        <w:spacing w:line="400" w:lineRule="exact"/>
        <w:ind w:firstLine="420" w:firstLineChars="200"/>
        <w:outlineLvl w:val="0"/>
        <w:rPr>
          <w:rFonts w:hint="eastAsia" w:ascii="宋体" w:hAnsi="宋体" w:eastAsia="宋体" w:cs="宋体"/>
          <w:color w:val="auto"/>
          <w:sz w:val="21"/>
          <w:szCs w:val="21"/>
          <w:highlight w:val="none"/>
        </w:rPr>
      </w:pPr>
      <w:bookmarkStart w:id="779" w:name="_Toc30305"/>
      <w:r>
        <w:rPr>
          <w:rFonts w:hint="eastAsia" w:ascii="宋体" w:hAnsi="宋体" w:eastAsia="宋体" w:cs="宋体"/>
          <w:color w:val="auto"/>
          <w:sz w:val="21"/>
          <w:szCs w:val="21"/>
          <w:highlight w:val="none"/>
        </w:rPr>
        <w:t>五、保修费用</w:t>
      </w:r>
      <w:bookmarkEnd w:id="779"/>
    </w:p>
    <w:p>
      <w:pPr>
        <w:pStyle w:val="3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保修费用由造成质量缺陷的责任方承担。</w:t>
      </w:r>
    </w:p>
    <w:p>
      <w:pPr>
        <w:pStyle w:val="35"/>
        <w:numPr>
          <w:ilvl w:val="0"/>
          <w:numId w:val="0"/>
        </w:numPr>
        <w:spacing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kern w:val="2"/>
          <w:sz w:val="21"/>
          <w:szCs w:val="21"/>
          <w:highlight w:val="none"/>
          <w:lang w:val="en-US" w:eastAsia="zh-CN" w:bidi="ar-SA"/>
        </w:rPr>
        <w:t>六、</w:t>
      </w:r>
      <w:r>
        <w:rPr>
          <w:rFonts w:hint="eastAsia" w:ascii="宋体" w:hAnsi="宋体" w:eastAsia="宋体" w:cs="宋体"/>
          <w:color w:val="auto"/>
          <w:sz w:val="21"/>
          <w:szCs w:val="21"/>
          <w:highlight w:val="none"/>
        </w:rPr>
        <w:t xml:space="preserve">双方约定的其他工程质量保修事项：  </w:t>
      </w:r>
    </w:p>
    <w:p>
      <w:pPr>
        <w:pStyle w:val="35"/>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u w:val="single"/>
        </w:rPr>
        <w:t>承包人未按照法律法规有关规定和合同约定履行质量保修义务的，发包人有权从质量保证金中扣留用于质量保修的各项支出。</w:t>
      </w:r>
    </w:p>
    <w:p>
      <w:pPr>
        <w:pStyle w:val="35"/>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u w:val="single"/>
          <w:lang w:eastAsia="zh-CN"/>
        </w:rPr>
        <w:t>质量保证金</w:t>
      </w:r>
      <w:r>
        <w:rPr>
          <w:rFonts w:hint="eastAsia" w:ascii="宋体" w:hAnsi="宋体" w:eastAsia="宋体" w:cs="宋体"/>
          <w:color w:val="auto"/>
          <w:sz w:val="21"/>
          <w:szCs w:val="21"/>
          <w:highlight w:val="none"/>
          <w:u w:val="single"/>
        </w:rPr>
        <w:t>比例：工程结算价的</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w:t>
      </w:r>
    </w:p>
    <w:p>
      <w:pPr>
        <w:pStyle w:val="35"/>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 w:val="21"/>
          <w:szCs w:val="21"/>
          <w:highlight w:val="none"/>
          <w:u w:val="single"/>
          <w:lang w:eastAsia="zh-CN"/>
        </w:rPr>
        <w:t>质量保证金</w:t>
      </w:r>
      <w:r>
        <w:rPr>
          <w:rFonts w:hint="eastAsia" w:ascii="宋体" w:hAnsi="宋体" w:eastAsia="宋体" w:cs="宋体"/>
          <w:color w:val="auto"/>
          <w:sz w:val="21"/>
          <w:szCs w:val="21"/>
          <w:highlight w:val="none"/>
          <w:u w:val="single"/>
        </w:rPr>
        <w:t>返还：发包人在质保期（</w:t>
      </w:r>
      <w:r>
        <w:rPr>
          <w:rFonts w:hint="eastAsia" w:ascii="宋体" w:hAnsi="宋体" w:eastAsia="宋体" w:cs="宋体"/>
          <w:color w:val="auto"/>
          <w:sz w:val="21"/>
          <w:szCs w:val="21"/>
          <w:highlight w:val="none"/>
          <w:u w:val="single"/>
          <w:lang w:val="en-US" w:eastAsia="zh-CN"/>
        </w:rPr>
        <w:t>两年</w:t>
      </w:r>
      <w:r>
        <w:rPr>
          <w:rFonts w:hint="eastAsia" w:ascii="宋体" w:hAnsi="宋体" w:eastAsia="宋体" w:cs="宋体"/>
          <w:color w:val="auto"/>
          <w:sz w:val="21"/>
          <w:szCs w:val="21"/>
          <w:highlight w:val="none"/>
          <w:u w:val="single"/>
        </w:rPr>
        <w:t xml:space="preserve">）满后一个月内将质保金的全部返回给承包人。质量保证金的返还，并不能免除承包人按照合同约定应承担的质量保修责任和应履行的质量保修义务 </w:t>
      </w:r>
      <w:r>
        <w:rPr>
          <w:rFonts w:hint="eastAsia" w:ascii="宋体" w:hAnsi="宋体" w:eastAsia="宋体" w:cs="宋体"/>
          <w:color w:val="auto"/>
          <w:sz w:val="21"/>
          <w:szCs w:val="21"/>
          <w:highlight w:val="none"/>
        </w:rPr>
        <w:t>。</w:t>
      </w:r>
    </w:p>
    <w:p>
      <w:pPr>
        <w:pStyle w:val="30"/>
        <w:spacing w:line="32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工程质量保修书由发包人、承包人在工程竣工验收前共同签署，作为施工合同附件，其有效期限至保修期满。</w:t>
      </w:r>
    </w:p>
    <w:p>
      <w:pPr>
        <w:pStyle w:val="30"/>
        <w:spacing w:line="320" w:lineRule="exact"/>
        <w:ind w:firstLine="420" w:firstLineChars="200"/>
        <w:rPr>
          <w:rFonts w:hint="eastAsia" w:ascii="宋体" w:hAnsi="宋体" w:eastAsia="宋体" w:cs="宋体"/>
          <w:color w:val="auto"/>
          <w:sz w:val="21"/>
          <w:szCs w:val="21"/>
          <w:highlight w:val="none"/>
        </w:rPr>
      </w:pPr>
    </w:p>
    <w:p>
      <w:pPr>
        <w:pStyle w:val="31"/>
        <w:ind w:left="63" w:right="63"/>
        <w:rPr>
          <w:rFonts w:hint="eastAsia" w:ascii="宋体" w:hAnsi="宋体" w:eastAsia="宋体" w:cs="宋体"/>
          <w:color w:val="auto"/>
          <w:sz w:val="21"/>
          <w:szCs w:val="21"/>
          <w:highlight w:val="none"/>
          <w:lang w:val="en-US" w:eastAsia="zh-CN"/>
        </w:rPr>
      </w:pPr>
    </w:p>
    <w:p>
      <w:pPr>
        <w:pStyle w:val="35"/>
        <w:spacing w:line="320" w:lineRule="exact"/>
        <w:ind w:left="0" w:leftChars="0" w:firstLine="0" w:firstLineChars="0"/>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发包人(公章)：</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rPr>
        <w:t>承包人(公章)：</w:t>
      </w:r>
      <w:r>
        <w:rPr>
          <w:rFonts w:hint="eastAsia" w:ascii="宋体" w:hAnsi="宋体" w:eastAsia="宋体" w:cs="宋体"/>
          <w:color w:val="auto"/>
          <w:sz w:val="21"/>
          <w:szCs w:val="21"/>
          <w:highlight w:val="none"/>
          <w:u w:val="single"/>
          <w:lang w:val="en-US" w:eastAsia="zh-CN"/>
        </w:rPr>
        <w:t xml:space="preserve">  </w:t>
      </w:r>
    </w:p>
    <w:p>
      <w:pPr>
        <w:pStyle w:val="35"/>
        <w:spacing w:line="320" w:lineRule="exact"/>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35"/>
        <w:spacing w:line="320" w:lineRule="exact"/>
        <w:ind w:left="0" w:leftChars="0"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lang w:val="en-US" w:eastAsia="zh-CN"/>
        </w:rPr>
        <w:t xml:space="preserve"> </w:t>
      </w:r>
    </w:p>
    <w:p>
      <w:pPr>
        <w:pStyle w:val="35"/>
        <w:spacing w:line="320" w:lineRule="exact"/>
        <w:ind w:left="0" w:leftChars="0"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 xml:space="preserve">委托代理人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法定代表人</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委托代理人</w:t>
      </w:r>
    </w:p>
    <w:p>
      <w:pPr>
        <w:pStyle w:val="35"/>
        <w:spacing w:line="320" w:lineRule="exact"/>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eastAsia="zh-CN"/>
        </w:rPr>
        <w:t>或盖章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eastAsia="zh-CN"/>
        </w:rPr>
        <w:t>或盖章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lang w:val="en-US" w:eastAsia="zh-CN"/>
        </w:rPr>
        <w:t xml:space="preserve">   </w:t>
      </w:r>
    </w:p>
    <w:p>
      <w:pPr>
        <w:pStyle w:val="35"/>
        <w:spacing w:line="320" w:lineRule="exact"/>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br w:type="page"/>
      </w:r>
      <w:r>
        <w:rPr>
          <w:rFonts w:hint="eastAsia" w:ascii="宋体" w:hAnsi="宋体" w:eastAsia="宋体" w:cs="宋体"/>
          <w:color w:val="auto"/>
          <w:sz w:val="21"/>
          <w:szCs w:val="21"/>
          <w:highlight w:val="none"/>
        </w:rPr>
        <w:t>附件4：</w:t>
      </w:r>
    </w:p>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主要建设工程文件目录</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bl>
      <w:tblPr>
        <w:tblStyle w:val="18"/>
        <w:tblpPr w:leftFromText="180" w:rightFromText="180" w:vertAnchor="text" w:horzAnchor="page" w:tblpX="1430" w:tblpY="14"/>
        <w:tblOverlap w:val="never"/>
        <w:tblW w:w="872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067"/>
        <w:gridCol w:w="1450"/>
        <w:gridCol w:w="1243"/>
        <w:gridCol w:w="1450"/>
        <w:gridCol w:w="15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953"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文件名称</w:t>
            </w:r>
          </w:p>
        </w:tc>
        <w:tc>
          <w:tcPr>
            <w:tcW w:w="1067"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套数</w:t>
            </w:r>
          </w:p>
        </w:tc>
        <w:tc>
          <w:tcPr>
            <w:tcW w:w="145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费用（元）</w:t>
            </w:r>
          </w:p>
        </w:tc>
        <w:tc>
          <w:tcPr>
            <w:tcW w:w="1243"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w:t>
            </w:r>
          </w:p>
        </w:tc>
        <w:tc>
          <w:tcPr>
            <w:tcW w:w="1450" w:type="dxa"/>
            <w:tcBorders>
              <w:top w:val="single" w:color="auto" w:sz="12" w:space="0"/>
              <w:bottom w:val="double" w:color="auto" w:sz="6" w:space="0"/>
            </w:tcBorders>
            <w:vAlign w:val="top"/>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移交时间</w:t>
            </w:r>
          </w:p>
        </w:tc>
        <w:tc>
          <w:tcPr>
            <w:tcW w:w="1564" w:type="dxa"/>
            <w:tcBorders>
              <w:top w:val="single" w:color="auto" w:sz="12" w:space="0"/>
              <w:bottom w:val="double" w:color="auto" w:sz="6" w:space="0"/>
            </w:tcBorders>
            <w:vAlign w:val="top"/>
          </w:tcPr>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bl>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w:t>
      </w:r>
      <w:bookmarkStart w:id="780" w:name="_Toc296891055"/>
      <w:bookmarkStart w:id="781" w:name="_Toc296346728"/>
      <w:bookmarkStart w:id="782" w:name="_Toc296503227"/>
      <w:bookmarkStart w:id="783" w:name="_Toc267261698"/>
      <w:bookmarkStart w:id="784" w:name="_Toc296347226"/>
      <w:bookmarkStart w:id="785" w:name="_Toc296944566"/>
      <w:bookmarkStart w:id="786" w:name="_Toc296891267"/>
      <w:r>
        <w:rPr>
          <w:rFonts w:hint="eastAsia" w:ascii="宋体" w:hAnsi="宋体" w:eastAsia="宋体" w:cs="宋体"/>
          <w:color w:val="auto"/>
          <w:sz w:val="21"/>
          <w:szCs w:val="21"/>
          <w:highlight w:val="none"/>
        </w:rPr>
        <w:t>件5：</w:t>
      </w:r>
    </w:p>
    <w:bookmarkEnd w:id="780"/>
    <w:bookmarkEnd w:id="781"/>
    <w:bookmarkEnd w:id="782"/>
    <w:bookmarkEnd w:id="783"/>
    <w:bookmarkEnd w:id="784"/>
    <w:bookmarkEnd w:id="785"/>
    <w:bookmarkEnd w:id="786"/>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承包人用于本工程施工的机械设备表</w:t>
      </w:r>
    </w:p>
    <w:tbl>
      <w:tblPr>
        <w:tblStyle w:val="18"/>
        <w:tblW w:w="85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29"/>
        <w:gridCol w:w="1418"/>
        <w:gridCol w:w="850"/>
        <w:gridCol w:w="1058"/>
        <w:gridCol w:w="880"/>
        <w:gridCol w:w="806"/>
        <w:gridCol w:w="1310"/>
        <w:gridCol w:w="906"/>
        <w:gridCol w:w="6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29"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418"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机械或设备名称</w:t>
            </w:r>
          </w:p>
        </w:tc>
        <w:tc>
          <w:tcPr>
            <w:tcW w:w="85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规格型号</w:t>
            </w:r>
          </w:p>
        </w:tc>
        <w:tc>
          <w:tcPr>
            <w:tcW w:w="1058"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88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产地</w:t>
            </w:r>
          </w:p>
        </w:tc>
        <w:tc>
          <w:tcPr>
            <w:tcW w:w="806"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制造年份</w:t>
            </w:r>
          </w:p>
        </w:tc>
        <w:tc>
          <w:tcPr>
            <w:tcW w:w="131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额定功率(kW)</w:t>
            </w:r>
          </w:p>
        </w:tc>
        <w:tc>
          <w:tcPr>
            <w:tcW w:w="906"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生产能力</w:t>
            </w:r>
          </w:p>
        </w:tc>
        <w:tc>
          <w:tcPr>
            <w:tcW w:w="652"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bl>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附件6：</w:t>
      </w:r>
    </w:p>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承包人主要施工管理人员表</w:t>
      </w:r>
    </w:p>
    <w:tbl>
      <w:tblPr>
        <w:tblStyle w:val="18"/>
        <w:tblW w:w="87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148"/>
        <w:gridCol w:w="941"/>
        <w:gridCol w:w="1134"/>
        <w:gridCol w:w="36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    称</w:t>
            </w:r>
          </w:p>
        </w:tc>
        <w:tc>
          <w:tcPr>
            <w:tcW w:w="1148"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姓名</w:t>
            </w:r>
          </w:p>
        </w:tc>
        <w:tc>
          <w:tcPr>
            <w:tcW w:w="941"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职务</w:t>
            </w:r>
          </w:p>
        </w:tc>
        <w:tc>
          <w:tcPr>
            <w:tcW w:w="1134"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职称</w:t>
            </w:r>
          </w:p>
        </w:tc>
        <w:tc>
          <w:tcPr>
            <w:tcW w:w="3660"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项目主管</w:t>
            </w:r>
          </w:p>
        </w:tc>
        <w:tc>
          <w:tcPr>
            <w:tcW w:w="1148"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项目经理</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项目副经理</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技术负责人</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造价管理</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质量管理</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材料管理</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计划管理</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安全管理</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tcBorders>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tcBorders>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tcBorders>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bl>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附件7：</w:t>
      </w:r>
    </w:p>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分包人主要施工管理人员表</w:t>
      </w:r>
    </w:p>
    <w:tbl>
      <w:tblPr>
        <w:tblStyle w:val="18"/>
        <w:tblW w:w="86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63"/>
        <w:gridCol w:w="1418"/>
        <w:gridCol w:w="928"/>
        <w:gridCol w:w="902"/>
        <w:gridCol w:w="38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    称</w:t>
            </w:r>
          </w:p>
        </w:tc>
        <w:tc>
          <w:tcPr>
            <w:tcW w:w="1418"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姓名</w:t>
            </w:r>
          </w:p>
        </w:tc>
        <w:tc>
          <w:tcPr>
            <w:tcW w:w="928"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职务</w:t>
            </w:r>
          </w:p>
        </w:tc>
        <w:tc>
          <w:tcPr>
            <w:tcW w:w="902"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职称</w:t>
            </w:r>
          </w:p>
        </w:tc>
        <w:tc>
          <w:tcPr>
            <w:tcW w:w="3814" w:type="dxa"/>
            <w:tcBorders>
              <w:top w:val="single" w:color="auto" w:sz="12" w:space="0"/>
              <w:bottom w:val="doub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doub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项目主管</w:t>
            </w:r>
          </w:p>
        </w:tc>
        <w:tc>
          <w:tcPr>
            <w:tcW w:w="1418"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tcBorders>
              <w:top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项目经理</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项目副经理</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技术负责人</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造价管理</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质量管理</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材料管理</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计划管理</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安全管理</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restart"/>
            <w:tcBorders>
              <w:top w:val="single" w:color="auto" w:sz="6"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tcBorders>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tcBorders>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tcBorders>
              <w:bottom w:val="nil"/>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tcBorders>
              <w:bottom w:val="single" w:color="auto" w:sz="12" w:space="0"/>
            </w:tcBorders>
            <w:vAlign w:val="center"/>
          </w:tcPr>
          <w:p>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bl>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附件8：</w:t>
      </w:r>
    </w:p>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履约担保</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（发包人名称）：</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鉴于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（发包人名称，以下简称“发包人”）与</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（承包人名称）（以下称“承包人”）于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（工程名称）施工及有关事项协商一致共同签订《建设工程施工合同》。我方愿意无条件地、不可撤销地就承包人履行与你方签订的合同，向你方提供连带责任担保。 </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担保金额人民币（大写）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担保有效期自你方与承包人签订的合同生效之日起至你方签发或应签发工程接收证书之日止。</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在本担保有效期内，因承包人违反合同约定的义务给你方造成经济损失时，我方在收到你方以书面形式提出的在担保金额内的赔偿要求后，在7天内无条件支付。</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你方和承包人按合同约定变更合同时，我方承担本担保规定的义务不变。</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因本保函发生的纠纷，可由双方协商解决，协商不成的，任何一方均可提请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仲裁委员会仲裁。</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本保函自我方法定代表人（或其授权代理人）签字并加盖公章之日起生效。</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 保 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（盖单位章）</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p>
    <w:p>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u w:val="singl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w:t>
      </w:r>
      <w:bookmarkStart w:id="787" w:name="_Toc296944571"/>
      <w:bookmarkStart w:id="788" w:name="_Toc296503232"/>
      <w:bookmarkStart w:id="789" w:name="_Toc296891060"/>
      <w:bookmarkStart w:id="790" w:name="_Toc267261702"/>
      <w:bookmarkStart w:id="791" w:name="_Toc296891272"/>
      <w:bookmarkStart w:id="792" w:name="_Toc296347231"/>
      <w:bookmarkStart w:id="793" w:name="_Toc296346733"/>
      <w:r>
        <w:rPr>
          <w:rFonts w:hint="eastAsia" w:ascii="宋体" w:hAnsi="宋体" w:eastAsia="宋体" w:cs="宋体"/>
          <w:color w:val="auto"/>
          <w:sz w:val="21"/>
          <w:szCs w:val="21"/>
          <w:highlight w:val="none"/>
        </w:rPr>
        <w:t>件9 ：</w:t>
      </w:r>
    </w:p>
    <w:bookmarkEnd w:id="787"/>
    <w:bookmarkEnd w:id="788"/>
    <w:bookmarkEnd w:id="789"/>
    <w:bookmarkEnd w:id="790"/>
    <w:bookmarkEnd w:id="791"/>
    <w:bookmarkEnd w:id="792"/>
    <w:bookmarkEnd w:id="793"/>
    <w:p>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预付款担保</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（发包人名称）：</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（承包人名称）（以下称“承包人”）与</w:t>
      </w:r>
    </w:p>
    <w:p>
      <w:pPr>
        <w:pageBreakBefore w:val="0"/>
        <w:widowControl w:val="0"/>
        <w:kinsoku/>
        <w:wordWrap/>
        <w:overflowPunct/>
        <w:topLinePunct w:val="0"/>
        <w:bidi w:val="0"/>
        <w:snapToGrid/>
        <w:spacing w:line="360" w:lineRule="exact"/>
        <w:ind w:left="0" w:leftChars="0" w:right="0" w:rightChars="0"/>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bookmarkStart w:id="794" w:name="_Toc23079"/>
      <w:bookmarkStart w:id="795" w:name="_Toc19561"/>
      <w:bookmarkStart w:id="796" w:name="_Toc6475"/>
      <w:bookmarkStart w:id="797" w:name="_Toc29110"/>
      <w:r>
        <w:rPr>
          <w:rFonts w:hint="eastAsia" w:ascii="宋体" w:hAnsi="宋体" w:eastAsia="宋体" w:cs="宋体"/>
          <w:color w:val="auto"/>
          <w:sz w:val="21"/>
          <w:szCs w:val="21"/>
          <w:highlight w:val="none"/>
        </w:rPr>
        <w:t>（发包人名称）（以下简称“发包人”）</w:t>
      </w:r>
      <w:bookmarkEnd w:id="794"/>
      <w:bookmarkEnd w:id="795"/>
      <w:bookmarkEnd w:id="796"/>
      <w:bookmarkEnd w:id="797"/>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日签订的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担保金额人民币（大写）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担保有效期自预付款支付给承包人起生效，至你方签发的进度款支付证书说明已完全扣清止。</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你方和承包人按合同约定变更合同时，我方承担本保函规定的义务不变。</w:t>
      </w:r>
    </w:p>
    <w:p>
      <w:pPr>
        <w:pageBreakBefore w:val="0"/>
        <w:widowControl w:val="0"/>
        <w:kinsoku/>
        <w:wordWrap/>
        <w:overflowPunct/>
        <w:topLinePunct w:val="0"/>
        <w:bidi w:val="0"/>
        <w:snapToGrid/>
        <w:spacing w:line="360" w:lineRule="exact"/>
        <w:ind w:left="0" w:leftChars="0" w:right="0"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因本保函发生的纠纷，可由双方协商解决，协商不成的，任何一方均可提请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仲裁委员会仲裁。</w:t>
      </w:r>
    </w:p>
    <w:p>
      <w:pPr>
        <w:pageBreakBefore w:val="0"/>
        <w:widowControl w:val="0"/>
        <w:kinsoku/>
        <w:wordWrap/>
        <w:overflowPunct/>
        <w:topLinePunct w:val="0"/>
        <w:bidi w:val="0"/>
        <w:snapToGrid/>
        <w:spacing w:line="360" w:lineRule="exact"/>
        <w:ind w:left="0" w:leftChars="0" w:right="0"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本保函自我方法定代表人（或其授权代理人）签字并加盖公章之日起生效。</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担保人：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（盖单位章）</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p>
    <w:p>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spacing w:line="440" w:lineRule="exac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br w:type="page"/>
      </w:r>
      <w:r>
        <w:rPr>
          <w:rFonts w:hint="eastAsia" w:ascii="宋体" w:hAnsi="宋体" w:eastAsia="宋体" w:cs="宋体"/>
          <w:color w:val="auto"/>
          <w:sz w:val="21"/>
          <w:szCs w:val="21"/>
          <w:highlight w:val="none"/>
        </w:rPr>
        <w:t xml:space="preserve">附件10:  </w:t>
      </w:r>
    </w:p>
    <w:p>
      <w:pPr>
        <w:spacing w:before="120" w:beforeLines="50" w:after="120" w:afterLines="50"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支付担保</w:t>
      </w:r>
    </w:p>
    <w:p>
      <w:pPr>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w:t>
      </w:r>
    </w:p>
    <w:p>
      <w:pPr>
        <w:spacing w:line="440" w:lineRule="exact"/>
        <w:jc w:val="left"/>
        <w:rPr>
          <w:rFonts w:hint="eastAsia" w:ascii="宋体" w:hAnsi="宋体" w:eastAsia="宋体" w:cs="宋体"/>
          <w:color w:val="auto"/>
          <w:sz w:val="21"/>
          <w:szCs w:val="21"/>
          <w:highlight w:val="none"/>
        </w:rPr>
      </w:pP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鉴于你方作为承包人已经与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（发包人名称）（以下称“发包人”）于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日签订了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（工程名称）《建设工程施工合同》（以下称“主合同”），应发包人的申请，我方愿就发包人履行主合同约定的工程款支付义务以保证的方式向你方提供如下担保：</w:t>
      </w:r>
    </w:p>
    <w:p>
      <w:pPr>
        <w:spacing w:line="360" w:lineRule="auto"/>
        <w:ind w:firstLine="420" w:firstLineChars="200"/>
        <w:jc w:val="left"/>
        <w:outlineLvl w:val="0"/>
        <w:rPr>
          <w:rFonts w:hint="eastAsia" w:ascii="宋体" w:hAnsi="宋体" w:eastAsia="宋体" w:cs="宋体"/>
          <w:color w:val="auto"/>
          <w:sz w:val="21"/>
          <w:szCs w:val="21"/>
          <w:highlight w:val="none"/>
        </w:rPr>
      </w:pPr>
      <w:bookmarkStart w:id="798" w:name="_Toc25964"/>
      <w:bookmarkStart w:id="799" w:name="_Toc26895"/>
      <w:bookmarkStart w:id="800" w:name="_Toc31131"/>
      <w:bookmarkStart w:id="801" w:name="_Toc20380"/>
      <w:r>
        <w:rPr>
          <w:rFonts w:hint="eastAsia" w:ascii="宋体" w:hAnsi="宋体" w:eastAsia="宋体" w:cs="宋体"/>
          <w:color w:val="auto"/>
          <w:sz w:val="21"/>
          <w:szCs w:val="21"/>
          <w:highlight w:val="none"/>
        </w:rPr>
        <w:t>一、保证的范围及保证金额</w:t>
      </w:r>
      <w:bookmarkEnd w:id="798"/>
      <w:bookmarkEnd w:id="799"/>
      <w:bookmarkEnd w:id="800"/>
      <w:bookmarkEnd w:id="801"/>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我方的保证范围是主合同约定的工程款。</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本保函所称主合同约定的工程款是指主合同约定的除工程质量保证金以外的合同价款。</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我方保证的金额是主合同约定的工程款的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%，数额最高不超过人民币元（大写：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spacing w:line="360" w:lineRule="auto"/>
        <w:ind w:firstLine="420" w:firstLineChars="200"/>
        <w:jc w:val="left"/>
        <w:outlineLvl w:val="0"/>
        <w:rPr>
          <w:rFonts w:hint="eastAsia" w:ascii="宋体" w:hAnsi="宋体" w:eastAsia="宋体" w:cs="宋体"/>
          <w:color w:val="auto"/>
          <w:sz w:val="21"/>
          <w:szCs w:val="21"/>
          <w:highlight w:val="none"/>
        </w:rPr>
      </w:pPr>
      <w:bookmarkStart w:id="802" w:name="_Toc31793"/>
      <w:bookmarkStart w:id="803" w:name="_Toc16286"/>
      <w:bookmarkStart w:id="804" w:name="_Toc10162"/>
      <w:bookmarkStart w:id="805" w:name="_Toc19889"/>
      <w:r>
        <w:rPr>
          <w:rFonts w:hint="eastAsia" w:ascii="宋体" w:hAnsi="宋体" w:eastAsia="宋体" w:cs="宋体"/>
          <w:color w:val="auto"/>
          <w:sz w:val="21"/>
          <w:szCs w:val="21"/>
          <w:highlight w:val="none"/>
        </w:rPr>
        <w:t>二、保证的方式及保证期间</w:t>
      </w:r>
      <w:bookmarkEnd w:id="802"/>
      <w:bookmarkEnd w:id="803"/>
      <w:bookmarkEnd w:id="804"/>
      <w:bookmarkEnd w:id="805"/>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我方保证的方式为：连带责任保证。</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我方保证的期间为：自本合同生效之日起至主合同约定的工程款支付完毕之日后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日内。</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你方与发包人协议变更工程款支付日期的，经我方书面同意后，保证期间按照变更后的支付日期做相应调整。</w:t>
      </w:r>
    </w:p>
    <w:p>
      <w:pPr>
        <w:spacing w:line="360" w:lineRule="auto"/>
        <w:ind w:firstLine="420" w:firstLineChars="200"/>
        <w:jc w:val="left"/>
        <w:outlineLvl w:val="0"/>
        <w:rPr>
          <w:rFonts w:hint="eastAsia" w:ascii="宋体" w:hAnsi="宋体" w:eastAsia="宋体" w:cs="宋体"/>
          <w:color w:val="auto"/>
          <w:sz w:val="21"/>
          <w:szCs w:val="21"/>
          <w:highlight w:val="none"/>
        </w:rPr>
      </w:pPr>
      <w:bookmarkStart w:id="806" w:name="_Toc30478"/>
      <w:bookmarkStart w:id="807" w:name="_Toc30010"/>
      <w:bookmarkStart w:id="808" w:name="_Toc3217"/>
      <w:bookmarkStart w:id="809" w:name="_Toc27567"/>
      <w:r>
        <w:rPr>
          <w:rFonts w:hint="eastAsia" w:ascii="宋体" w:hAnsi="宋体" w:eastAsia="宋体" w:cs="宋体"/>
          <w:color w:val="auto"/>
          <w:sz w:val="21"/>
          <w:szCs w:val="21"/>
          <w:highlight w:val="none"/>
        </w:rPr>
        <w:t>三、承担保证责任的形式</w:t>
      </w:r>
      <w:bookmarkEnd w:id="806"/>
      <w:bookmarkEnd w:id="807"/>
      <w:bookmarkEnd w:id="808"/>
      <w:bookmarkEnd w:id="809"/>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我方承担保证责任的形式是代为支付。发包人未按主合同约定向你方支付工程款的，由我方在保证金额内代为支付。</w:t>
      </w:r>
    </w:p>
    <w:p>
      <w:pPr>
        <w:spacing w:line="360" w:lineRule="auto"/>
        <w:ind w:firstLine="420" w:firstLineChars="200"/>
        <w:jc w:val="left"/>
        <w:outlineLvl w:val="0"/>
        <w:rPr>
          <w:rFonts w:hint="eastAsia" w:ascii="宋体" w:hAnsi="宋体" w:eastAsia="宋体" w:cs="宋体"/>
          <w:color w:val="auto"/>
          <w:sz w:val="21"/>
          <w:szCs w:val="21"/>
          <w:highlight w:val="none"/>
        </w:rPr>
      </w:pPr>
      <w:bookmarkStart w:id="810" w:name="_Toc11312"/>
      <w:bookmarkStart w:id="811" w:name="_Toc4883"/>
      <w:bookmarkStart w:id="812" w:name="_Toc19016"/>
      <w:bookmarkStart w:id="813" w:name="_Toc5876"/>
      <w:r>
        <w:rPr>
          <w:rFonts w:hint="eastAsia" w:ascii="宋体" w:hAnsi="宋体" w:eastAsia="宋体" w:cs="宋体"/>
          <w:color w:val="auto"/>
          <w:sz w:val="21"/>
          <w:szCs w:val="21"/>
          <w:highlight w:val="none"/>
        </w:rPr>
        <w:t>四、代偿的安排</w:t>
      </w:r>
      <w:bookmarkEnd w:id="810"/>
      <w:bookmarkEnd w:id="811"/>
      <w:bookmarkEnd w:id="812"/>
      <w:bookmarkEnd w:id="813"/>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你方要求我方承担保证责任的，应向我方发出书面索赔通知及发包人未支付主合同约定工程款的证明材料。索赔通知应写明要求索赔的金额，支付款项应到达的账号。</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我方收到你方的书面索赔通知及相应的证明材料后７天内无条件支付。</w:t>
      </w:r>
    </w:p>
    <w:p>
      <w:pPr>
        <w:spacing w:line="360" w:lineRule="auto"/>
        <w:ind w:firstLine="420" w:firstLineChars="200"/>
        <w:jc w:val="left"/>
        <w:outlineLvl w:val="0"/>
        <w:rPr>
          <w:rFonts w:hint="eastAsia" w:ascii="宋体" w:hAnsi="宋体" w:eastAsia="宋体" w:cs="宋体"/>
          <w:color w:val="auto"/>
          <w:sz w:val="21"/>
          <w:szCs w:val="21"/>
          <w:highlight w:val="none"/>
        </w:rPr>
      </w:pPr>
      <w:bookmarkStart w:id="814" w:name="_Toc2711"/>
      <w:bookmarkStart w:id="815" w:name="_Toc30624"/>
      <w:bookmarkStart w:id="816" w:name="_Toc25107"/>
      <w:bookmarkStart w:id="817" w:name="_Toc1507"/>
      <w:r>
        <w:rPr>
          <w:rFonts w:hint="eastAsia" w:ascii="宋体" w:hAnsi="宋体" w:eastAsia="宋体" w:cs="宋体"/>
          <w:color w:val="auto"/>
          <w:sz w:val="21"/>
          <w:szCs w:val="21"/>
          <w:highlight w:val="none"/>
        </w:rPr>
        <w:t>五、保证责任的解除</w:t>
      </w:r>
      <w:bookmarkEnd w:id="814"/>
      <w:bookmarkEnd w:id="815"/>
      <w:bookmarkEnd w:id="816"/>
      <w:bookmarkEnd w:id="817"/>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在本保函承诺的保证期间内，你方未书面向我方主张保证责任的，自保证期间届满次日起，我方保证责任解除。</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发包人按主合同约定履行了工程款的全部支付义务的，自本保函承诺的保证期间届满次日起，我方保证责任解除。</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我方按照本保函向你方履行保证责任所支付金额达到本保函保证金额时，自我方向你方支付（支付款项从我方账户划出）之日起，保证责任即解除。</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按照法律法规的规定或出现应解除我方保证责任的其他情形的，我方在本保函项下的保证责任亦解除。</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我方解除保证责任后，你方应自我方保证责任解除之日起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个工作日内，将本保函原件返还我方。</w:t>
      </w:r>
    </w:p>
    <w:p>
      <w:pPr>
        <w:spacing w:line="360" w:lineRule="auto"/>
        <w:ind w:firstLine="420" w:firstLineChars="200"/>
        <w:jc w:val="left"/>
        <w:outlineLvl w:val="0"/>
        <w:rPr>
          <w:rFonts w:hint="eastAsia" w:ascii="宋体" w:hAnsi="宋体" w:eastAsia="宋体" w:cs="宋体"/>
          <w:color w:val="auto"/>
          <w:sz w:val="21"/>
          <w:szCs w:val="21"/>
          <w:highlight w:val="none"/>
        </w:rPr>
      </w:pPr>
      <w:bookmarkStart w:id="818" w:name="_Toc11064"/>
      <w:bookmarkStart w:id="819" w:name="_Toc32712"/>
      <w:bookmarkStart w:id="820" w:name="_Toc3962"/>
      <w:bookmarkStart w:id="821" w:name="_Toc23407"/>
      <w:r>
        <w:rPr>
          <w:rFonts w:hint="eastAsia" w:ascii="宋体" w:hAnsi="宋体" w:eastAsia="宋体" w:cs="宋体"/>
          <w:color w:val="auto"/>
          <w:sz w:val="21"/>
          <w:szCs w:val="21"/>
          <w:highlight w:val="none"/>
        </w:rPr>
        <w:t>六、免责条款</w:t>
      </w:r>
      <w:bookmarkEnd w:id="818"/>
      <w:bookmarkEnd w:id="819"/>
      <w:bookmarkEnd w:id="820"/>
      <w:bookmarkEnd w:id="821"/>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因你方违约致使发包人不能履行义务的，我方不承担保证责任。</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依照法律法规的规定或你方与发包人的另行约定，免除发包人部分或全部义务的，我方亦免除其相应的保证责任。</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因不可抗力造成发包人不能履行义务的，我方不承担保证责任。</w:t>
      </w:r>
    </w:p>
    <w:p>
      <w:pPr>
        <w:spacing w:line="360" w:lineRule="auto"/>
        <w:ind w:firstLine="420" w:firstLineChars="200"/>
        <w:jc w:val="left"/>
        <w:outlineLvl w:val="0"/>
        <w:rPr>
          <w:rFonts w:hint="eastAsia" w:ascii="宋体" w:hAnsi="宋体" w:eastAsia="宋体" w:cs="宋体"/>
          <w:color w:val="auto"/>
          <w:sz w:val="21"/>
          <w:szCs w:val="21"/>
          <w:highlight w:val="none"/>
        </w:rPr>
      </w:pPr>
      <w:bookmarkStart w:id="822" w:name="_Toc20106"/>
      <w:bookmarkStart w:id="823" w:name="_Toc24210"/>
      <w:bookmarkStart w:id="824" w:name="_Toc28001"/>
      <w:bookmarkStart w:id="825" w:name="_Toc5169"/>
      <w:r>
        <w:rPr>
          <w:rFonts w:hint="eastAsia" w:ascii="宋体" w:hAnsi="宋体" w:eastAsia="宋体" w:cs="宋体"/>
          <w:color w:val="auto"/>
          <w:sz w:val="21"/>
          <w:szCs w:val="21"/>
          <w:highlight w:val="none"/>
        </w:rPr>
        <w:t>七、争议解决</w:t>
      </w:r>
      <w:bookmarkEnd w:id="822"/>
      <w:bookmarkEnd w:id="823"/>
      <w:bookmarkEnd w:id="824"/>
      <w:bookmarkEnd w:id="825"/>
    </w:p>
    <w:p>
      <w:pPr>
        <w:spacing w:after="12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因本保函或本保函相关事项发生的纠纷，可由双方协商解决，协商不成的，按下列第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种方式解决：</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仲裁委员会申请仲裁；</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人民法院起诉。</w:t>
      </w:r>
    </w:p>
    <w:p>
      <w:pPr>
        <w:spacing w:line="360" w:lineRule="auto"/>
        <w:ind w:firstLine="420" w:firstLineChars="200"/>
        <w:jc w:val="left"/>
        <w:outlineLvl w:val="0"/>
        <w:rPr>
          <w:rFonts w:hint="eastAsia" w:ascii="宋体" w:hAnsi="宋体" w:eastAsia="宋体" w:cs="宋体"/>
          <w:color w:val="auto"/>
          <w:sz w:val="21"/>
          <w:szCs w:val="21"/>
          <w:highlight w:val="none"/>
        </w:rPr>
      </w:pPr>
      <w:bookmarkStart w:id="826" w:name="_Toc15122"/>
      <w:bookmarkStart w:id="827" w:name="_Toc24785"/>
      <w:bookmarkStart w:id="828" w:name="_Toc5124"/>
      <w:bookmarkStart w:id="829" w:name="_Toc29914"/>
      <w:r>
        <w:rPr>
          <w:rFonts w:hint="eastAsia" w:ascii="宋体" w:hAnsi="宋体" w:eastAsia="宋体" w:cs="宋体"/>
          <w:color w:val="auto"/>
          <w:sz w:val="21"/>
          <w:szCs w:val="21"/>
          <w:highlight w:val="none"/>
        </w:rPr>
        <w:t>八、保函的生效</w:t>
      </w:r>
      <w:bookmarkEnd w:id="826"/>
      <w:bookmarkEnd w:id="827"/>
      <w:bookmarkEnd w:id="828"/>
      <w:bookmarkEnd w:id="829"/>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本保函自我方法定代表人（或其授权代理人）签字并加盖公章之日起生效。</w:t>
      </w:r>
    </w:p>
    <w:p>
      <w:pPr>
        <w:spacing w:line="360" w:lineRule="auto"/>
        <w:ind w:firstLine="420" w:firstLineChars="200"/>
        <w:jc w:val="left"/>
        <w:rPr>
          <w:rFonts w:hint="eastAsia" w:ascii="宋体" w:hAnsi="宋体" w:eastAsia="宋体" w:cs="宋体"/>
          <w:color w:val="auto"/>
          <w:sz w:val="21"/>
          <w:szCs w:val="21"/>
          <w:highlight w:val="none"/>
        </w:rPr>
      </w:pPr>
    </w:p>
    <w:p>
      <w:pPr>
        <w:spacing w:line="360" w:lineRule="auto"/>
        <w:ind w:right="600"/>
        <w:jc w:val="left"/>
        <w:rPr>
          <w:rFonts w:hint="eastAsia" w:ascii="宋体" w:hAnsi="宋体" w:eastAsia="宋体" w:cs="宋体"/>
          <w:color w:val="auto"/>
          <w:sz w:val="21"/>
          <w:szCs w:val="21"/>
          <w:highlight w:val="none"/>
        </w:rPr>
      </w:pPr>
    </w:p>
    <w:p>
      <w:pPr>
        <w:spacing w:line="360" w:lineRule="auto"/>
        <w:ind w:right="6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担保人：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（盖章）</w:t>
      </w:r>
    </w:p>
    <w:p>
      <w:pPr>
        <w:spacing w:line="360" w:lineRule="auto"/>
        <w:ind w:right="1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w:t>
      </w:r>
    </w:p>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p>
    <w:p>
      <w:pPr>
        <w:spacing w:line="360" w:lineRule="auto"/>
        <w:ind w:right="150" w:firstLine="420" w:firstLineChars="200"/>
        <w:jc w:val="left"/>
        <w:rPr>
          <w:rFonts w:hint="eastAsia" w:ascii="宋体" w:hAnsi="宋体" w:eastAsia="宋体" w:cs="宋体"/>
          <w:color w:val="auto"/>
          <w:sz w:val="21"/>
          <w:szCs w:val="21"/>
          <w:highlight w:val="none"/>
          <w:u w:val="single"/>
        </w:rPr>
      </w:pPr>
    </w:p>
    <w:p>
      <w:pPr>
        <w:spacing w:line="360" w:lineRule="auto"/>
        <w:ind w:right="15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附件11：</w:t>
      </w:r>
    </w:p>
    <w:p>
      <w:pPr>
        <w:spacing w:before="120" w:beforeLines="50" w:after="120" w:afterLines="50" w:line="440" w:lineRule="exact"/>
        <w:jc w:val="center"/>
        <w:outlineLvl w:val="0"/>
        <w:rPr>
          <w:rFonts w:hint="eastAsia" w:ascii="宋体" w:hAnsi="宋体" w:eastAsia="宋体" w:cs="宋体"/>
          <w:color w:val="auto"/>
          <w:sz w:val="21"/>
          <w:szCs w:val="21"/>
          <w:highlight w:val="none"/>
        </w:rPr>
      </w:pPr>
      <w:bookmarkStart w:id="830" w:name="_Toc18176"/>
      <w:bookmarkStart w:id="831" w:name="_Toc15518"/>
      <w:bookmarkStart w:id="832" w:name="_Toc20900"/>
      <w:bookmarkStart w:id="833" w:name="_Toc24367"/>
      <w:r>
        <w:rPr>
          <w:rFonts w:hint="eastAsia" w:ascii="宋体" w:hAnsi="宋体" w:eastAsia="宋体" w:cs="宋体"/>
          <w:color w:val="auto"/>
          <w:sz w:val="21"/>
          <w:szCs w:val="21"/>
          <w:highlight w:val="none"/>
        </w:rPr>
        <w:t>11-1：材料暂估价表</w:t>
      </w:r>
      <w:bookmarkEnd w:id="830"/>
      <w:bookmarkEnd w:id="831"/>
      <w:bookmarkEnd w:id="832"/>
      <w:bookmarkEnd w:id="833"/>
    </w:p>
    <w:tbl>
      <w:tblPr>
        <w:tblStyle w:val="18"/>
        <w:tblW w:w="867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984"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名称</w:t>
            </w:r>
          </w:p>
        </w:tc>
        <w:tc>
          <w:tcPr>
            <w:tcW w:w="851"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w:t>
            </w:r>
          </w:p>
        </w:tc>
        <w:tc>
          <w:tcPr>
            <w:tcW w:w="774"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1352"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单价（元）</w:t>
            </w:r>
          </w:p>
        </w:tc>
        <w:tc>
          <w:tcPr>
            <w:tcW w:w="1418"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合价（元）</w:t>
            </w:r>
          </w:p>
        </w:tc>
        <w:tc>
          <w:tcPr>
            <w:tcW w:w="1303"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bl>
    <w:p>
      <w:pPr>
        <w:spacing w:before="120" w:beforeLines="50" w:after="120" w:afterLines="50" w:line="440" w:lineRule="exact"/>
        <w:rPr>
          <w:rFonts w:hint="eastAsia" w:ascii="宋体" w:hAnsi="宋体" w:eastAsia="宋体" w:cs="宋体"/>
          <w:color w:val="auto"/>
          <w:sz w:val="21"/>
          <w:szCs w:val="21"/>
          <w:highlight w:val="none"/>
        </w:rPr>
      </w:pPr>
    </w:p>
    <w:p>
      <w:pPr>
        <w:spacing w:before="120" w:beforeLines="50" w:after="120" w:afterLines="50"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11-2：工程设备暂估价表</w:t>
      </w:r>
    </w:p>
    <w:tbl>
      <w:tblPr>
        <w:tblStyle w:val="18"/>
        <w:tblW w:w="867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984"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名称</w:t>
            </w:r>
          </w:p>
        </w:tc>
        <w:tc>
          <w:tcPr>
            <w:tcW w:w="851"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w:t>
            </w:r>
          </w:p>
        </w:tc>
        <w:tc>
          <w:tcPr>
            <w:tcW w:w="774"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1352"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单价（元）</w:t>
            </w:r>
          </w:p>
        </w:tc>
        <w:tc>
          <w:tcPr>
            <w:tcW w:w="1418"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合价（元）</w:t>
            </w:r>
          </w:p>
        </w:tc>
        <w:tc>
          <w:tcPr>
            <w:tcW w:w="1303"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bl>
    <w:p>
      <w:pPr>
        <w:spacing w:line="440" w:lineRule="exact"/>
        <w:rPr>
          <w:rFonts w:hint="eastAsia" w:ascii="宋体" w:hAnsi="宋体" w:eastAsia="宋体" w:cs="宋体"/>
          <w:color w:val="auto"/>
          <w:sz w:val="21"/>
          <w:szCs w:val="21"/>
          <w:highlight w:val="none"/>
        </w:rPr>
      </w:pPr>
    </w:p>
    <w:p>
      <w:pPr>
        <w:spacing w:before="120" w:beforeLines="50" w:after="120" w:afterLines="50"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11-3：专业工程暂估价表</w:t>
      </w:r>
    </w:p>
    <w:tbl>
      <w:tblPr>
        <w:tblStyle w:val="18"/>
        <w:tblW w:w="867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395"/>
        <w:gridCol w:w="14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984"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专业工程名称</w:t>
            </w:r>
          </w:p>
        </w:tc>
        <w:tc>
          <w:tcPr>
            <w:tcW w:w="4395"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工程内容</w:t>
            </w:r>
          </w:p>
        </w:tc>
        <w:tc>
          <w:tcPr>
            <w:tcW w:w="1417" w:type="dxa"/>
            <w:tcBorders>
              <w:top w:val="single" w:color="auto" w:sz="12" w:space="0"/>
              <w:bottom w:val="doub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tcBorders>
              <w:top w:val="double" w:color="auto" w:sz="6" w:space="0"/>
              <w:bottom w:val="single" w:color="auto" w:sz="6" w:space="0"/>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tcBorders>
              <w:top w:val="nil"/>
            </w:tcBorders>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675" w:type="dxa"/>
            <w:gridSpan w:val="4"/>
            <w:vAlign w:val="top"/>
          </w:tcPr>
          <w:p>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小计：</w:t>
            </w:r>
          </w:p>
        </w:tc>
      </w:tr>
    </w:tbl>
    <w:p>
      <w:pPr>
        <w:spacing w:line="480" w:lineRule="auto"/>
        <w:rPr>
          <w:rFonts w:hint="eastAsia" w:ascii="宋体" w:hAnsi="宋体" w:eastAsia="宋体" w:cs="宋体"/>
          <w:color w:val="auto"/>
          <w:sz w:val="21"/>
          <w:szCs w:val="21"/>
          <w:highlight w:val="none"/>
        </w:rPr>
      </w:pPr>
    </w:p>
    <w:p>
      <w:pPr>
        <w:pStyle w:val="3"/>
        <w:keepNext/>
        <w:keepLines/>
        <w:pageBreakBefore w:val="0"/>
        <w:widowControl w:val="0"/>
        <w:tabs>
          <w:tab w:val="left" w:pos="567"/>
        </w:tabs>
        <w:kinsoku/>
        <w:wordWrap/>
        <w:overflowPunct/>
        <w:topLinePunct w:val="0"/>
        <w:autoSpaceDE/>
        <w:autoSpaceDN/>
        <w:bidi w:val="0"/>
        <w:adjustRightInd/>
        <w:snapToGrid/>
        <w:spacing w:before="0" w:after="0" w:line="400" w:lineRule="exact"/>
        <w:ind w:left="0" w:leftChars="0" w:firstLine="0" w:firstLineChars="0"/>
        <w:jc w:val="center"/>
        <w:textAlignment w:val="auto"/>
        <w:rPr>
          <w:rFonts w:hint="eastAsia" w:ascii="宋体" w:hAnsi="宋体" w:eastAsia="宋体" w:cs="宋体"/>
          <w:b/>
          <w:bCs/>
          <w:color w:val="auto"/>
          <w:sz w:val="24"/>
          <w:szCs w:val="24"/>
          <w:highlight w:val="none"/>
        </w:rPr>
      </w:pPr>
      <w:bookmarkStart w:id="834" w:name="_Toc6509"/>
      <w:bookmarkStart w:id="835" w:name="_Toc2274"/>
      <w:r>
        <w:rPr>
          <w:rFonts w:hint="eastAsia" w:ascii="宋体" w:hAnsi="宋体" w:eastAsia="宋体" w:cs="宋体"/>
          <w:b/>
          <w:bCs/>
          <w:color w:val="auto"/>
          <w:kern w:val="44"/>
          <w:sz w:val="24"/>
          <w:szCs w:val="24"/>
          <w:highlight w:val="none"/>
        </w:rPr>
        <w:t xml:space="preserve">第六章  </w:t>
      </w:r>
      <w:bookmarkEnd w:id="151"/>
      <w:bookmarkEnd w:id="152"/>
      <w:bookmarkStart w:id="836" w:name="_Toc13185"/>
      <w:r>
        <w:rPr>
          <w:rFonts w:hint="eastAsia" w:ascii="宋体" w:hAnsi="宋体" w:eastAsia="宋体" w:cs="宋体"/>
          <w:b/>
          <w:bCs/>
          <w:color w:val="auto"/>
          <w:sz w:val="24"/>
          <w:szCs w:val="24"/>
          <w:highlight w:val="none"/>
        </w:rPr>
        <w:t>响应文件（格式）</w:t>
      </w:r>
      <w:bookmarkEnd w:id="834"/>
      <w:bookmarkEnd w:id="835"/>
      <w:bookmarkEnd w:id="836"/>
    </w:p>
    <w:p>
      <w:pPr>
        <w:rPr>
          <w:rFonts w:hint="eastAsia" w:ascii="宋体" w:hAnsi="宋体" w:eastAsia="宋体" w:cs="宋体"/>
          <w:color w:val="auto"/>
          <w:sz w:val="24"/>
          <w:szCs w:val="24"/>
          <w:highlight w:val="none"/>
        </w:rPr>
      </w:pPr>
    </w:p>
    <w:p>
      <w:pPr>
        <w:pStyle w:val="11"/>
        <w:jc w:val="both"/>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响应文件封面格式</w:t>
      </w:r>
    </w:p>
    <w:p>
      <w:pPr>
        <w:adjustRightInd w:val="0"/>
        <w:snapToGrid w:val="0"/>
        <w:rPr>
          <w:rFonts w:hint="eastAsia" w:ascii="宋体" w:hAnsi="宋体" w:eastAsia="宋体" w:cs="宋体"/>
          <w:b/>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4"/>
          <w:szCs w:val="24"/>
          <w:highlight w:val="none"/>
        </w:rPr>
      </w:pPr>
    </w:p>
    <w:p>
      <w:pPr>
        <w:pStyle w:val="23"/>
        <w:rPr>
          <w:rFonts w:hint="eastAsia" w:ascii="宋体" w:hAnsi="宋体" w:eastAsia="宋体" w:cs="宋体"/>
          <w:color w:val="auto"/>
          <w:sz w:val="24"/>
          <w:szCs w:val="24"/>
          <w:highlight w:val="none"/>
        </w:rPr>
      </w:pPr>
    </w:p>
    <w:p>
      <w:pPr>
        <w:pStyle w:val="23"/>
        <w:rPr>
          <w:rFonts w:hint="eastAsia" w:ascii="宋体" w:hAnsi="宋体" w:eastAsia="宋体" w:cs="宋体"/>
          <w:color w:val="auto"/>
          <w:sz w:val="24"/>
          <w:szCs w:val="24"/>
          <w:highlight w:val="none"/>
        </w:rPr>
      </w:pPr>
    </w:p>
    <w:p>
      <w:pPr>
        <w:snapToGrid w:val="0"/>
        <w:spacing w:before="156" w:beforeLines="50" w:after="50"/>
        <w:jc w:val="center"/>
        <w:rPr>
          <w:rFonts w:hint="eastAsia" w:ascii="宋体" w:hAnsi="宋体" w:eastAsia="宋体" w:cs="宋体"/>
          <w:b/>
          <w:color w:val="auto"/>
          <w:sz w:val="30"/>
          <w:szCs w:val="30"/>
          <w:highlight w:val="none"/>
        </w:rPr>
      </w:pPr>
    </w:p>
    <w:p>
      <w:pPr>
        <w:snapToGrid w:val="0"/>
        <w:spacing w:before="156" w:beforeLines="50" w:after="50"/>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响 应 文 件</w:t>
      </w:r>
    </w:p>
    <w:p>
      <w:pPr>
        <w:snapToGrid w:val="0"/>
        <w:spacing w:before="156" w:beforeLines="50" w:after="50"/>
        <w:ind w:firstLine="360" w:firstLineChars="150"/>
        <w:jc w:val="both"/>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 xml:space="preserve">                       </w:t>
      </w:r>
    </w:p>
    <w:p>
      <w:pPr>
        <w:snapToGrid w:val="0"/>
        <w:spacing w:before="156" w:beforeLines="50" w:after="50"/>
        <w:ind w:firstLine="361" w:firstLineChars="150"/>
        <w:rPr>
          <w:rFonts w:hint="eastAsia" w:ascii="宋体" w:hAnsi="宋体" w:eastAsia="宋体" w:cs="宋体"/>
          <w:b/>
          <w:color w:val="auto"/>
          <w:sz w:val="24"/>
          <w:szCs w:val="24"/>
          <w:highlight w:val="none"/>
        </w:rPr>
      </w:pPr>
    </w:p>
    <w:p>
      <w:pPr>
        <w:pStyle w:val="8"/>
        <w:rPr>
          <w:rFonts w:hint="eastAsia"/>
          <w:color w:val="auto"/>
          <w:highlight w:val="none"/>
        </w:rPr>
      </w:pPr>
    </w:p>
    <w:p>
      <w:pPr>
        <w:pStyle w:val="8"/>
        <w:rPr>
          <w:rFonts w:hint="eastAsia"/>
          <w:color w:val="auto"/>
          <w:highlight w:val="none"/>
        </w:rPr>
      </w:pPr>
    </w:p>
    <w:p>
      <w:pPr>
        <w:rPr>
          <w:rFonts w:hint="eastAsia"/>
          <w:color w:val="auto"/>
          <w:highlight w:val="none"/>
        </w:rPr>
      </w:pPr>
    </w:p>
    <w:p>
      <w:pPr>
        <w:snapToGrid w:val="0"/>
        <w:spacing w:before="156" w:beforeLines="50" w:after="50"/>
        <w:ind w:firstLine="361" w:firstLineChars="150"/>
        <w:rPr>
          <w:rFonts w:hint="eastAsia" w:ascii="宋体" w:hAnsi="宋体" w:eastAsia="宋体" w:cs="宋体"/>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eastAsia" w:ascii="宋体" w:hAnsi="宋体" w:eastAsia="宋体" w:cs="宋体"/>
          <w:b/>
          <w:bCs w:val="0"/>
          <w:color w:val="auto"/>
          <w:sz w:val="24"/>
          <w:szCs w:val="24"/>
          <w:highlight w:val="none"/>
          <w:u w:val="single"/>
          <w:lang w:eastAsia="zh-CN"/>
        </w:rPr>
      </w:pPr>
      <w:r>
        <w:rPr>
          <w:rFonts w:hint="eastAsia" w:ascii="宋体" w:hAnsi="宋体" w:eastAsia="宋体" w:cs="宋体"/>
          <w:b/>
          <w:bCs w:val="0"/>
          <w:color w:val="auto"/>
          <w:sz w:val="24"/>
          <w:szCs w:val="24"/>
          <w:highlight w:val="none"/>
        </w:rPr>
        <w:t>项目名称：</w:t>
      </w:r>
      <w:r>
        <w:rPr>
          <w:rFonts w:hint="eastAsia" w:ascii="宋体" w:hAnsi="宋体" w:cs="宋体"/>
          <w:b/>
          <w:bCs w:val="0"/>
          <w:color w:val="auto"/>
          <w:sz w:val="24"/>
          <w:szCs w:val="24"/>
          <w:highlight w:val="none"/>
          <w:u w:val="single"/>
          <w:lang w:eastAsia="zh-CN"/>
        </w:rPr>
        <w:t>灌阳县西山瑶族乡2024年少数民族特色村寨与乡村旅游融合发展（民宿）项目</w:t>
      </w: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rPr>
        <w:t>项目编号：</w:t>
      </w:r>
      <w:r>
        <w:rPr>
          <w:rFonts w:hint="eastAsia" w:ascii="宋体" w:hAnsi="宋体" w:cs="宋体"/>
          <w:b/>
          <w:bCs w:val="0"/>
          <w:color w:val="auto"/>
          <w:sz w:val="24"/>
          <w:szCs w:val="24"/>
          <w:highlight w:val="none"/>
          <w:u w:val="single"/>
          <w:lang w:eastAsia="zh-CN"/>
        </w:rPr>
        <w:t>GLZC2024-C2-270160-GXJY</w:t>
      </w:r>
    </w:p>
    <w:p>
      <w:pPr>
        <w:rPr>
          <w:rFonts w:hint="eastAsia" w:ascii="宋体" w:hAnsi="宋体" w:eastAsia="宋体" w:cs="宋体"/>
          <w:b/>
          <w:color w:val="auto"/>
          <w:sz w:val="24"/>
          <w:szCs w:val="24"/>
          <w:highlight w:val="none"/>
        </w:rPr>
      </w:pPr>
    </w:p>
    <w:p>
      <w:pPr>
        <w:spacing w:line="400" w:lineRule="exact"/>
        <w:ind w:firstLine="2318" w:firstLineChars="962"/>
        <w:rPr>
          <w:rFonts w:hint="eastAsia" w:ascii="宋体" w:hAnsi="宋体" w:eastAsia="宋体" w:cs="宋体"/>
          <w:b/>
          <w:color w:val="auto"/>
          <w:sz w:val="24"/>
          <w:szCs w:val="24"/>
          <w:highlight w:val="none"/>
        </w:rPr>
      </w:pPr>
    </w:p>
    <w:p>
      <w:pPr>
        <w:pStyle w:val="8"/>
        <w:rPr>
          <w:rFonts w:hint="eastAsia" w:ascii="宋体" w:hAnsi="宋体" w:eastAsia="宋体" w:cs="宋体"/>
          <w:b/>
          <w:color w:val="auto"/>
          <w:sz w:val="24"/>
          <w:szCs w:val="24"/>
          <w:highlight w:val="none"/>
        </w:rPr>
      </w:pPr>
    </w:p>
    <w:p>
      <w:pPr>
        <w:rPr>
          <w:rFonts w:hint="eastAsia"/>
          <w:color w:val="auto"/>
          <w:highlight w:val="none"/>
        </w:rPr>
      </w:pPr>
    </w:p>
    <w:p>
      <w:pPr>
        <w:pStyle w:val="23"/>
        <w:rPr>
          <w:rFonts w:hint="eastAsia" w:ascii="宋体" w:hAnsi="宋体" w:eastAsia="宋体" w:cs="宋体"/>
          <w:b/>
          <w:color w:val="auto"/>
          <w:sz w:val="24"/>
          <w:szCs w:val="24"/>
          <w:highlight w:val="none"/>
        </w:rPr>
      </w:pPr>
    </w:p>
    <w:p>
      <w:pPr>
        <w:pStyle w:val="23"/>
        <w:rPr>
          <w:rFonts w:hint="eastAsia" w:ascii="宋体" w:hAnsi="宋体" w:eastAsia="宋体" w:cs="宋体"/>
          <w:b/>
          <w:color w:val="auto"/>
          <w:sz w:val="24"/>
          <w:szCs w:val="24"/>
          <w:highlight w:val="none"/>
        </w:rPr>
      </w:pPr>
    </w:p>
    <w:p>
      <w:pPr>
        <w:pStyle w:val="23"/>
        <w:rPr>
          <w:rFonts w:hint="eastAsia" w:ascii="宋体" w:hAnsi="宋体" w:eastAsia="宋体" w:cs="宋体"/>
          <w:b/>
          <w:color w:val="auto"/>
          <w:sz w:val="24"/>
          <w:szCs w:val="24"/>
          <w:highlight w:val="none"/>
        </w:rPr>
      </w:pPr>
    </w:p>
    <w:p>
      <w:pPr>
        <w:pStyle w:val="23"/>
        <w:rPr>
          <w:rFonts w:hint="eastAsia" w:ascii="宋体" w:hAnsi="宋体" w:eastAsia="宋体" w:cs="宋体"/>
          <w:b/>
          <w:color w:val="auto"/>
          <w:sz w:val="24"/>
          <w:szCs w:val="24"/>
          <w:highlight w:val="none"/>
        </w:rPr>
      </w:pPr>
    </w:p>
    <w:p>
      <w:pPr>
        <w:pStyle w:val="23"/>
        <w:rPr>
          <w:rFonts w:hint="eastAsia" w:ascii="宋体" w:hAnsi="宋体" w:eastAsia="宋体" w:cs="宋体"/>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spacing w:line="400" w:lineRule="exact"/>
        <w:ind w:left="0" w:leftChars="0" w:firstLine="1200" w:firstLineChars="500"/>
        <w:textAlignment w:val="auto"/>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rPr>
        <w:t>采购代理机构：</w:t>
      </w:r>
      <w:r>
        <w:rPr>
          <w:rFonts w:hint="eastAsia" w:ascii="宋体" w:hAnsi="宋体" w:cs="宋体"/>
          <w:b w:val="0"/>
          <w:bCs/>
          <w:color w:val="auto"/>
          <w:sz w:val="24"/>
          <w:szCs w:val="24"/>
          <w:highlight w:val="none"/>
          <w:u w:val="single"/>
          <w:lang w:eastAsia="zh-CN"/>
        </w:rPr>
        <w:t>广西建业中天工程咨询有限公司</w:t>
      </w:r>
    </w:p>
    <w:p>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837" w:name="_Toc4932_WPSOffice_Level2"/>
      <w:bookmarkStart w:id="838" w:name="_Toc20319_WPSOffice_Level2"/>
      <w:r>
        <w:rPr>
          <w:rFonts w:hint="eastAsia" w:ascii="宋体" w:hAnsi="宋体" w:eastAsia="宋体" w:cs="宋体"/>
          <w:bCs/>
          <w:color w:val="auto"/>
          <w:sz w:val="24"/>
          <w:szCs w:val="24"/>
          <w:highlight w:val="none"/>
          <w:lang w:eastAsia="zh-CN"/>
        </w:rPr>
        <w:t>磋商供应商</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公章</w:t>
      </w:r>
      <w:r>
        <w:rPr>
          <w:rFonts w:hint="eastAsia" w:ascii="宋体" w:hAnsi="宋体" w:eastAsia="宋体" w:cs="宋体"/>
          <w:bCs/>
          <w:color w:val="auto"/>
          <w:sz w:val="24"/>
          <w:szCs w:val="24"/>
          <w:highlight w:val="none"/>
          <w:lang w:val="en-US" w:eastAsia="zh-CN"/>
        </w:rPr>
        <w:t>(CA签章)</w:t>
      </w:r>
      <w:r>
        <w:rPr>
          <w:rFonts w:hint="eastAsia" w:ascii="宋体" w:hAnsi="宋体" w:eastAsia="宋体" w:cs="宋体"/>
          <w:bCs/>
          <w:color w:val="auto"/>
          <w:sz w:val="24"/>
          <w:szCs w:val="24"/>
          <w:highlight w:val="none"/>
        </w:rPr>
        <w:t>、自然人除外</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u w:val="single"/>
        </w:rPr>
        <w:t xml:space="preserve">            </w:t>
      </w:r>
      <w:bookmarkEnd w:id="837"/>
      <w:bookmarkEnd w:id="838"/>
      <w:r>
        <w:rPr>
          <w:rFonts w:hint="eastAsia" w:ascii="宋体" w:hAnsi="宋体" w:eastAsia="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pPr>
        <w:pStyle w:val="11"/>
        <w:keepNext w:val="0"/>
        <w:keepLines w:val="0"/>
        <w:pageBreakBefore w:val="0"/>
        <w:widowControl w:val="0"/>
        <w:kinsoku/>
        <w:wordWrap/>
        <w:overflowPunct/>
        <w:topLinePunct w:val="0"/>
        <w:autoSpaceDE/>
        <w:autoSpaceDN/>
        <w:bidi w:val="0"/>
        <w:adjustRightInd/>
        <w:snapToGrid/>
        <w:spacing w:line="400" w:lineRule="exact"/>
        <w:ind w:left="0" w:leftChars="0" w:firstLine="1200" w:firstLineChars="500"/>
        <w:textAlignment w:val="auto"/>
        <w:rPr>
          <w:rFonts w:hint="eastAsia" w:ascii="宋体" w:hAnsi="宋体" w:eastAsia="宋体" w:cs="宋体"/>
          <w:color w:val="auto"/>
          <w:sz w:val="24"/>
          <w:szCs w:val="24"/>
          <w:highlight w:val="none"/>
          <w:lang w:val="en-US" w:eastAsia="zh-CN"/>
        </w:rPr>
      </w:pPr>
      <w:bookmarkStart w:id="839" w:name="_Toc9622_WPSOffice_Level2"/>
      <w:bookmarkStart w:id="840" w:name="_Toc32056_WPSOffice_Level2"/>
      <w:r>
        <w:rPr>
          <w:rFonts w:hint="eastAsia" w:ascii="宋体" w:hAnsi="宋体" w:eastAsia="宋体" w:cs="宋体"/>
          <w:color w:val="auto"/>
          <w:sz w:val="24"/>
          <w:szCs w:val="24"/>
          <w:highlight w:val="none"/>
        </w:rPr>
        <w:t>法定代表人、负责人、自然人或相应的委托代理人签字</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或盖章</w:t>
      </w:r>
      <w:r>
        <w:rPr>
          <w:rFonts w:hint="eastAsia" w:ascii="宋体" w:hAnsi="宋体" w:eastAsia="宋体" w:cs="宋体"/>
          <w:color w:val="auto"/>
          <w:sz w:val="24"/>
          <w:szCs w:val="24"/>
          <w:highlight w:val="none"/>
          <w:lang w:val="en-US" w:eastAsia="zh-CN"/>
        </w:rPr>
        <w:t>(CA签章)]</w:t>
      </w:r>
    </w:p>
    <w:p>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（属自然人的应在签名处加盖大拇指指印</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lang w:val="en-US" w:eastAsia="zh-CN"/>
        </w:rPr>
        <w:t>个人CA签章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bookmarkEnd w:id="839"/>
    <w:bookmarkEnd w:id="840"/>
    <w:p>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841" w:name="_Toc26465_WPSOffice_Level2"/>
      <w:bookmarkStart w:id="842" w:name="_Toc15933_WPSOffice_Level2"/>
      <w:r>
        <w:rPr>
          <w:rFonts w:hint="eastAsia" w:ascii="宋体" w:hAnsi="宋体" w:eastAsia="宋体" w:cs="宋体"/>
          <w:bCs/>
          <w:color w:val="auto"/>
          <w:sz w:val="24"/>
          <w:szCs w:val="24"/>
          <w:highlight w:val="none"/>
        </w:rPr>
        <w:t>日期：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bookmarkEnd w:id="841"/>
      <w:bookmarkEnd w:id="842"/>
    </w:p>
    <w:p>
      <w:pPr>
        <w:pStyle w:val="9"/>
        <w:keepNext w:val="0"/>
        <w:keepLines w:val="0"/>
        <w:pageBreakBefore w:val="0"/>
        <w:widowControl w:val="0"/>
        <w:kinsoku/>
        <w:wordWrap/>
        <w:overflowPunct/>
        <w:topLinePunct w:val="0"/>
        <w:autoSpaceDE/>
        <w:autoSpaceDN/>
        <w:bidi w:val="0"/>
        <w:adjustRightInd/>
        <w:snapToGrid/>
        <w:spacing w:line="440" w:lineRule="exact"/>
        <w:ind w:left="980" w:hanging="480" w:hangingChars="200"/>
        <w:textAlignment w:val="auto"/>
        <w:rPr>
          <w:rFonts w:hint="eastAsia" w:ascii="宋体" w:hAnsi="宋体" w:eastAsia="宋体" w:cs="宋体"/>
          <w:bCs/>
          <w:color w:val="auto"/>
          <w:sz w:val="24"/>
          <w:szCs w:val="24"/>
          <w:highlight w:val="none"/>
        </w:rPr>
      </w:pPr>
    </w:p>
    <w:p>
      <w:pPr>
        <w:pStyle w:val="9"/>
        <w:keepNext w:val="0"/>
        <w:keepLines w:val="0"/>
        <w:pageBreakBefore w:val="0"/>
        <w:widowControl w:val="0"/>
        <w:kinsoku/>
        <w:wordWrap/>
        <w:overflowPunct/>
        <w:topLinePunct w:val="0"/>
        <w:autoSpaceDE/>
        <w:autoSpaceDN/>
        <w:bidi w:val="0"/>
        <w:adjustRightInd/>
        <w:snapToGrid/>
        <w:spacing w:line="440" w:lineRule="exact"/>
        <w:ind w:left="980" w:hanging="420" w:hangingChars="200"/>
        <w:textAlignment w:val="auto"/>
        <w:rPr>
          <w:rFonts w:hint="eastAsia" w:ascii="宋体" w:hAnsi="宋体" w:eastAsia="宋体" w:cs="宋体"/>
          <w:bCs/>
          <w:color w:val="auto"/>
          <w:sz w:val="21"/>
          <w:szCs w:val="21"/>
          <w:highlight w:val="none"/>
        </w:rPr>
      </w:pPr>
    </w:p>
    <w:p>
      <w:pPr>
        <w:pStyle w:val="9"/>
        <w:keepNext w:val="0"/>
        <w:keepLines w:val="0"/>
        <w:pageBreakBefore w:val="0"/>
        <w:widowControl w:val="0"/>
        <w:kinsoku/>
        <w:wordWrap/>
        <w:overflowPunct/>
        <w:topLinePunct w:val="0"/>
        <w:autoSpaceDE/>
        <w:autoSpaceDN/>
        <w:bidi w:val="0"/>
        <w:adjustRightInd/>
        <w:snapToGrid/>
        <w:spacing w:line="440" w:lineRule="exact"/>
        <w:ind w:left="980" w:hanging="420" w:hangingChars="200"/>
        <w:textAlignment w:val="auto"/>
        <w:rPr>
          <w:rFonts w:hint="eastAsia" w:ascii="宋体" w:hAnsi="宋体" w:eastAsia="宋体" w:cs="宋体"/>
          <w:bCs/>
          <w:color w:val="auto"/>
          <w:sz w:val="21"/>
          <w:szCs w:val="21"/>
          <w:highlight w:val="none"/>
        </w:rPr>
      </w:pPr>
    </w:p>
    <w:p>
      <w:pPr>
        <w:numPr>
          <w:ilvl w:val="0"/>
          <w:numId w:val="0"/>
        </w:num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响应文件目录</w:t>
      </w:r>
    </w:p>
    <w:p>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一、</w:t>
      </w:r>
      <w:r>
        <w:rPr>
          <w:rFonts w:hint="eastAsia" w:ascii="宋体" w:hAnsi="宋体" w:eastAsia="宋体" w:cs="宋体"/>
          <w:b/>
          <w:bCs/>
          <w:color w:val="auto"/>
          <w:sz w:val="21"/>
          <w:szCs w:val="21"/>
          <w:highlight w:val="none"/>
        </w:rPr>
        <w:t>资格性响应证明材料</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5.供应商相应有效的企业资质证书副本及安全生产许可证副本复印件、拟投入项目经理的注册建造师执业资格证书及安全生产考核合格证书（B类）复印件</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6.</w:t>
      </w:r>
      <w:r>
        <w:rPr>
          <w:rFonts w:hint="eastAsia" w:ascii="宋体" w:hAnsi="宋体" w:eastAsia="宋体" w:cs="宋体"/>
          <w:color w:val="auto"/>
          <w:kern w:val="0"/>
          <w:sz w:val="21"/>
          <w:szCs w:val="21"/>
          <w:highlight w:val="none"/>
        </w:rPr>
        <w:t>项目经理无在建工程承诺书</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格式自拟，</w:t>
      </w:r>
      <w:r>
        <w:rPr>
          <w:rFonts w:hint="eastAsia" w:ascii="宋体" w:hAnsi="宋体" w:eastAsia="宋体" w:cs="宋体"/>
          <w:b/>
          <w:color w:val="auto"/>
          <w:sz w:val="21"/>
          <w:szCs w:val="21"/>
          <w:highlight w:val="none"/>
        </w:rPr>
        <w:t>必须提供）</w:t>
      </w:r>
      <w:r>
        <w:rPr>
          <w:rFonts w:hint="eastAsia" w:ascii="宋体" w:hAnsi="宋体" w:eastAsia="宋体" w:cs="宋体"/>
          <w:b/>
          <w:bCs w:val="0"/>
          <w:color w:val="auto"/>
          <w:kern w:val="0"/>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7.供应商2022年度以来任意一个年度内的财务状况报告</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可</w:t>
      </w:r>
      <w:r>
        <w:rPr>
          <w:rFonts w:hint="eastAsia" w:ascii="宋体" w:hAnsi="宋体" w:eastAsia="宋体" w:cs="宋体"/>
          <w:b/>
          <w:bCs/>
          <w:color w:val="auto"/>
          <w:sz w:val="21"/>
          <w:szCs w:val="21"/>
          <w:highlight w:val="none"/>
          <w:lang w:eastAsia="zh-CN"/>
        </w:rPr>
        <w:t>以是供应商</w:t>
      </w:r>
      <w:r>
        <w:rPr>
          <w:rFonts w:hint="eastAsia" w:ascii="宋体" w:hAnsi="宋体" w:eastAsia="宋体" w:cs="宋体"/>
          <w:b/>
          <w:bCs/>
          <w:color w:val="auto"/>
          <w:sz w:val="21"/>
          <w:szCs w:val="21"/>
          <w:highlight w:val="none"/>
        </w:rPr>
        <w:t>自行编制也</w:t>
      </w:r>
      <w:r>
        <w:rPr>
          <w:rFonts w:hint="eastAsia" w:ascii="宋体" w:hAnsi="宋体" w:eastAsia="宋体" w:cs="宋体"/>
          <w:b/>
          <w:bCs/>
          <w:color w:val="auto"/>
          <w:sz w:val="21"/>
          <w:szCs w:val="21"/>
          <w:highlight w:val="none"/>
          <w:lang w:eastAsia="zh-CN"/>
        </w:rPr>
        <w:t>可以是</w:t>
      </w:r>
      <w:r>
        <w:rPr>
          <w:rFonts w:hint="eastAsia" w:ascii="宋体" w:hAnsi="宋体" w:eastAsia="宋体" w:cs="宋体"/>
          <w:b/>
          <w:bCs/>
          <w:color w:val="auto"/>
          <w:sz w:val="21"/>
          <w:szCs w:val="21"/>
          <w:highlight w:val="none"/>
        </w:rPr>
        <w:t>通过</w:t>
      </w:r>
      <w:r>
        <w:rPr>
          <w:rFonts w:hint="eastAsia" w:ascii="宋体" w:hAnsi="宋体" w:eastAsia="宋体" w:cs="宋体"/>
          <w:b/>
          <w:bCs/>
          <w:color w:val="auto"/>
          <w:sz w:val="21"/>
          <w:szCs w:val="21"/>
          <w:highlight w:val="none"/>
          <w:lang w:eastAsia="zh-CN"/>
        </w:rPr>
        <w:t>第三方</w:t>
      </w:r>
      <w:r>
        <w:rPr>
          <w:rFonts w:hint="eastAsia" w:ascii="宋体" w:hAnsi="宋体" w:eastAsia="宋体" w:cs="宋体"/>
          <w:b/>
          <w:bCs/>
          <w:color w:val="auto"/>
          <w:sz w:val="21"/>
          <w:szCs w:val="21"/>
          <w:highlight w:val="none"/>
        </w:rPr>
        <w:t>审计公司编制，如为自行编制至少须提供现金流量表、负债表及利润表</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8.</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eastAsia="宋体" w:cs="宋体"/>
          <w:b/>
          <w:bCs/>
          <w:color w:val="auto"/>
          <w:sz w:val="21"/>
          <w:szCs w:val="21"/>
          <w:highlight w:val="none"/>
          <w:lang w:eastAsia="zh-CN"/>
        </w:rPr>
        <w:t>；</w:t>
      </w:r>
    </w:p>
    <w:p>
      <w:pPr>
        <w:pStyle w:val="17"/>
        <w:keepNext w:val="0"/>
        <w:keepLines w:val="0"/>
        <w:pageBreakBefore w:val="0"/>
        <w:widowControl w:val="0"/>
        <w:kinsoku/>
        <w:wordWrap/>
        <w:overflowPunct/>
        <w:topLinePunct w:val="0"/>
        <w:autoSpaceDE/>
        <w:autoSpaceDN/>
        <w:bidi w:val="0"/>
        <w:adjustRightInd/>
        <w:snapToGrid/>
        <w:spacing w:after="0" w:line="310" w:lineRule="exact"/>
        <w:ind w:left="0" w:leftChars="0" w:firstLine="422"/>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9.《中小企业声明函》或《残疾人福利性单位声明函》或省级以上监狱管理局、戒毒管理局（含新疆生产建设兵团）出具的属于监狱企业的证明文件复印件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二、</w:t>
      </w:r>
      <w:r>
        <w:rPr>
          <w:rFonts w:hint="eastAsia" w:ascii="宋体" w:hAnsi="宋体" w:eastAsia="宋体" w:cs="宋体"/>
          <w:b/>
          <w:bCs/>
          <w:color w:val="auto"/>
          <w:sz w:val="21"/>
          <w:szCs w:val="21"/>
          <w:highlight w:val="none"/>
        </w:rPr>
        <w:t>符合性响应证明材料</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rPr>
        <w:t>响应函</w:t>
      </w:r>
      <w:r>
        <w:rPr>
          <w:rFonts w:hint="eastAsia" w:ascii="宋体" w:hAnsi="宋体" w:eastAsia="宋体" w:cs="宋体"/>
          <w:color w:val="auto"/>
          <w:sz w:val="21"/>
          <w:szCs w:val="21"/>
          <w:highlight w:val="none"/>
        </w:rPr>
        <w:t>及响应函附录</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三、</w:t>
      </w:r>
      <w:r>
        <w:rPr>
          <w:rFonts w:hint="eastAsia" w:ascii="宋体" w:hAnsi="宋体" w:eastAsia="宋体" w:cs="宋体"/>
          <w:b/>
          <w:bCs/>
          <w:color w:val="auto"/>
          <w:sz w:val="21"/>
          <w:szCs w:val="21"/>
          <w:highlight w:val="none"/>
        </w:rPr>
        <w:t>其</w:t>
      </w:r>
      <w:r>
        <w:rPr>
          <w:rFonts w:hint="eastAsia" w:ascii="宋体" w:hAnsi="宋体" w:eastAsia="宋体" w:cs="宋体"/>
          <w:b/>
          <w:bCs/>
          <w:color w:val="auto"/>
          <w:sz w:val="21"/>
          <w:szCs w:val="21"/>
          <w:highlight w:val="none"/>
          <w:lang w:eastAsia="zh-CN"/>
        </w:rPr>
        <w:t>他</w:t>
      </w:r>
      <w:r>
        <w:rPr>
          <w:rFonts w:hint="eastAsia" w:ascii="宋体" w:hAnsi="宋体" w:eastAsia="宋体" w:cs="宋体"/>
          <w:b/>
          <w:bCs/>
          <w:color w:val="auto"/>
          <w:sz w:val="21"/>
          <w:szCs w:val="21"/>
          <w:highlight w:val="none"/>
        </w:rPr>
        <w:t>有效证明材料</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2021</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w:t>
      </w:r>
      <w:r>
        <w:rPr>
          <w:rFonts w:hint="eastAsia" w:ascii="宋体" w:hAnsi="宋体" w:eastAsia="宋体" w:cs="宋体"/>
          <w:color w:val="auto"/>
          <w:sz w:val="21"/>
          <w:szCs w:val="21"/>
          <w:highlight w:val="none"/>
          <w:lang w:eastAsia="zh-CN"/>
        </w:rPr>
        <w:t>复印件</w:t>
      </w:r>
      <w:r>
        <w:rPr>
          <w:rFonts w:hint="eastAsia" w:ascii="宋体" w:hAnsi="宋体" w:eastAsia="宋体" w:cs="宋体"/>
          <w:color w:val="auto"/>
          <w:sz w:val="21"/>
          <w:szCs w:val="21"/>
          <w:highlight w:val="none"/>
        </w:rPr>
        <w:t>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供应商相关获奖证书、认证证书等复印件</w:t>
      </w:r>
      <w:r>
        <w:rPr>
          <w:rFonts w:hint="eastAsia" w:ascii="宋体" w:hAnsi="宋体" w:eastAsia="宋体" w:cs="宋体"/>
          <w:b/>
          <w:color w:val="auto"/>
          <w:sz w:val="21"/>
          <w:szCs w:val="21"/>
          <w:highlight w:val="none"/>
        </w:rPr>
        <w:t>（如有，请提供）</w:t>
      </w:r>
      <w:r>
        <w:rPr>
          <w:rFonts w:hint="eastAsia" w:ascii="宋体" w:hAnsi="宋体" w:eastAsia="宋体" w:cs="宋体"/>
          <w:b/>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供应商可结合本项目的自身情况自行提交其它相关证明材料。</w:t>
      </w:r>
    </w:p>
    <w:p>
      <w:pPr>
        <w:pStyle w:val="10"/>
        <w:ind w:left="0" w:leftChars="0" w:firstLine="0" w:firstLineChars="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一、资格性响应证明材料</w:t>
      </w:r>
    </w:p>
    <w:p>
      <w:pPr>
        <w:numPr>
          <w:ilvl w:val="0"/>
          <w:numId w:val="0"/>
        </w:num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2"/>
          <w:sz w:val="24"/>
          <w:szCs w:val="24"/>
          <w:highlight w:val="none"/>
          <w:lang w:val="en-US" w:eastAsia="zh-CN" w:bidi="ar-SA"/>
        </w:rPr>
        <w:t>1.供应商相应的法定代表人、负责人、自然人身份证正反两面复印件（必须提供）</w:t>
      </w:r>
      <w:r>
        <w:rPr>
          <w:rFonts w:hint="eastAsia" w:ascii="宋体" w:hAnsi="宋体" w:eastAsia="宋体" w:cs="宋体"/>
          <w:b/>
          <w:bCs w:val="0"/>
          <w:color w:val="auto"/>
          <w:sz w:val="24"/>
          <w:szCs w:val="24"/>
          <w:highlight w:val="none"/>
        </w:rPr>
        <w:t>；</w:t>
      </w:r>
    </w:p>
    <w:p>
      <w:pPr>
        <w:spacing w:line="440" w:lineRule="atLeast"/>
        <w:rPr>
          <w:rFonts w:hint="eastAsia" w:ascii="宋体" w:hAnsi="宋体" w:eastAsia="宋体" w:cs="宋体"/>
          <w:b/>
          <w:bCs w:val="0"/>
          <w:color w:val="auto"/>
          <w:sz w:val="24"/>
          <w:szCs w:val="24"/>
          <w:highlight w:val="none"/>
          <w:lang w:val="en-US" w:eastAsia="zh-CN"/>
        </w:rPr>
      </w:pPr>
    </w:p>
    <w:p>
      <w:pPr>
        <w:spacing w:line="440" w:lineRule="atLeast"/>
        <w:rPr>
          <w:rFonts w:hint="eastAsia" w:ascii="宋体" w:hAnsi="宋体" w:eastAsia="宋体" w:cs="宋体"/>
          <w:b/>
          <w:bCs w:val="0"/>
          <w:color w:val="auto"/>
          <w:sz w:val="24"/>
          <w:szCs w:val="24"/>
          <w:highlight w:val="none"/>
          <w:lang w:val="en-US" w:eastAsia="zh-CN"/>
        </w:rPr>
      </w:pPr>
    </w:p>
    <w:p>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val="en-US" w:eastAsia="zh-CN"/>
        </w:rPr>
        <w:t>2</w:t>
      </w:r>
      <w:r>
        <w:rPr>
          <w:rFonts w:hint="eastAsia" w:ascii="宋体" w:hAnsi="宋体" w:eastAsia="宋体" w:cs="宋体"/>
          <w:b/>
          <w:bCs w:val="0"/>
          <w:color w:val="auto"/>
          <w:sz w:val="24"/>
          <w:szCs w:val="24"/>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委托代理时必须提供）。除供应商为以下三种情形的：</w:t>
      </w:r>
    </w:p>
    <w:p>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①如供应商为截标时间前60日以内成立的公司，可以提供供应商与委托代理人签订的劳动合同复印件代替社保证明复印件；</w:t>
      </w:r>
    </w:p>
    <w:p>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②如供应商为事业单位，可以提供事业单位机构编制管理证复印件或事业单位机构为其发放工资的工资条复印件代替社保证明复印件；</w:t>
      </w:r>
    </w:p>
    <w:p>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③如委托代理人为免缴纳社保人员，提供免缴纳社保的证明材料复印件及供应商与委托代理人签订的劳动合同复印件代替社保证明复印件。</w:t>
      </w:r>
    </w:p>
    <w:p>
      <w:pPr>
        <w:spacing w:line="440" w:lineRule="atLeast"/>
        <w:rPr>
          <w:rFonts w:hint="eastAsia" w:ascii="宋体" w:hAnsi="宋体" w:eastAsia="宋体" w:cs="宋体"/>
          <w:b/>
          <w:bCs w:val="0"/>
          <w:color w:val="auto"/>
          <w:sz w:val="24"/>
          <w:szCs w:val="24"/>
          <w:highlight w:val="none"/>
          <w:lang w:eastAsia="zh-CN"/>
        </w:rPr>
      </w:pPr>
      <w:r>
        <w:rPr>
          <w:rFonts w:hint="eastAsia" w:ascii="宋体" w:hAnsi="宋体" w:eastAsia="宋体" w:cs="宋体"/>
          <w:b/>
          <w:bCs w:val="0"/>
          <w:color w:val="auto"/>
          <w:sz w:val="24"/>
          <w:szCs w:val="24"/>
          <w:highlight w:val="none"/>
        </w:rPr>
        <w:t>【属自然人的应提供由县级以上（含县级）社会养老保险经办机构出具的自然人本人及委托代理人所交纳的响应文件递交截止时间前半年内任意连续三个月社保证明复印件】（委托代理时必须提供）</w:t>
      </w:r>
      <w:r>
        <w:rPr>
          <w:rFonts w:hint="eastAsia" w:ascii="宋体" w:hAnsi="宋体" w:cs="宋体"/>
          <w:b/>
          <w:bCs w:val="0"/>
          <w:color w:val="auto"/>
          <w:sz w:val="24"/>
          <w:szCs w:val="24"/>
          <w:highlight w:val="none"/>
          <w:lang w:eastAsia="zh-CN"/>
        </w:rPr>
        <w:t>；</w:t>
      </w:r>
    </w:p>
    <w:p>
      <w:pPr>
        <w:spacing w:line="440" w:lineRule="atLeast"/>
        <w:rPr>
          <w:rFonts w:hint="eastAsia" w:ascii="宋体" w:hAnsi="宋体" w:eastAsia="宋体" w:cs="宋体"/>
          <w:b/>
          <w:color w:val="auto"/>
          <w:sz w:val="21"/>
          <w:szCs w:val="21"/>
          <w:highlight w:val="none"/>
        </w:rPr>
      </w:pPr>
    </w:p>
    <w:p>
      <w:pPr>
        <w:pStyle w:val="11"/>
        <w:rPr>
          <w:rFonts w:hint="eastAsia" w:ascii="宋体" w:hAnsi="宋体" w:eastAsia="宋体" w:cs="宋体"/>
          <w:b/>
          <w:color w:val="auto"/>
          <w:sz w:val="21"/>
          <w:szCs w:val="21"/>
          <w:highlight w:val="none"/>
        </w:rPr>
      </w:pPr>
    </w:p>
    <w:p>
      <w:pPr>
        <w:rPr>
          <w:rFonts w:hint="eastAsia" w:ascii="宋体" w:hAnsi="宋体" w:eastAsia="宋体" w:cs="宋体"/>
          <w:b/>
          <w:color w:val="auto"/>
          <w:sz w:val="21"/>
          <w:szCs w:val="21"/>
          <w:highlight w:val="none"/>
        </w:rPr>
      </w:pPr>
    </w:p>
    <w:p>
      <w:pPr>
        <w:pStyle w:val="3"/>
        <w:tabs>
          <w:tab w:val="left" w:pos="567"/>
        </w:tabs>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3"/>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11"/>
        <w:rPr>
          <w:rFonts w:hint="eastAsia" w:ascii="宋体" w:hAnsi="宋体" w:eastAsia="宋体" w:cs="宋体"/>
          <w:b/>
          <w:color w:val="auto"/>
          <w:sz w:val="21"/>
          <w:szCs w:val="21"/>
          <w:highlight w:val="none"/>
        </w:rPr>
      </w:pPr>
    </w:p>
    <w:p>
      <w:pPr>
        <w:pStyle w:val="11"/>
        <w:rPr>
          <w:rFonts w:hint="eastAsia" w:ascii="宋体" w:hAnsi="宋体" w:eastAsia="宋体" w:cs="宋体"/>
          <w:b/>
          <w:color w:val="auto"/>
          <w:sz w:val="21"/>
          <w:szCs w:val="21"/>
          <w:highlight w:val="none"/>
        </w:rPr>
      </w:pPr>
    </w:p>
    <w:p>
      <w:pPr>
        <w:pStyle w:val="11"/>
        <w:rPr>
          <w:rFonts w:hint="eastAsia" w:ascii="宋体" w:hAnsi="宋体" w:eastAsia="宋体" w:cs="宋体"/>
          <w:b/>
          <w:color w:val="auto"/>
          <w:sz w:val="21"/>
          <w:szCs w:val="21"/>
          <w:highlight w:val="none"/>
        </w:rPr>
      </w:pPr>
    </w:p>
    <w:p>
      <w:pPr>
        <w:pStyle w:val="11"/>
        <w:rPr>
          <w:rFonts w:hint="eastAsia" w:ascii="宋体" w:hAnsi="宋体" w:eastAsia="宋体" w:cs="宋体"/>
          <w:b/>
          <w:color w:val="auto"/>
          <w:sz w:val="21"/>
          <w:szCs w:val="21"/>
          <w:highlight w:val="none"/>
        </w:rPr>
      </w:pPr>
    </w:p>
    <w:p>
      <w:pPr>
        <w:pStyle w:val="11"/>
        <w:rPr>
          <w:rFonts w:hint="eastAsia" w:ascii="宋体" w:hAnsi="宋体" w:eastAsia="宋体" w:cs="宋体"/>
          <w:b/>
          <w:color w:val="auto"/>
          <w:sz w:val="21"/>
          <w:szCs w:val="21"/>
          <w:highlight w:val="none"/>
        </w:rPr>
      </w:pPr>
    </w:p>
    <w:p>
      <w:pPr>
        <w:pStyle w:val="11"/>
        <w:rPr>
          <w:rFonts w:hint="eastAsia" w:ascii="宋体" w:hAnsi="宋体" w:eastAsia="宋体" w:cs="宋体"/>
          <w:b/>
          <w:color w:val="auto"/>
          <w:sz w:val="21"/>
          <w:szCs w:val="21"/>
          <w:highlight w:val="none"/>
        </w:rPr>
      </w:pPr>
    </w:p>
    <w:p>
      <w:pPr>
        <w:pStyle w:val="11"/>
        <w:rPr>
          <w:rFonts w:hint="eastAsia" w:ascii="宋体" w:hAnsi="宋体" w:eastAsia="宋体" w:cs="宋体"/>
          <w:b/>
          <w:color w:val="auto"/>
          <w:sz w:val="21"/>
          <w:szCs w:val="21"/>
          <w:highlight w:val="none"/>
        </w:rPr>
      </w:pPr>
    </w:p>
    <w:p>
      <w:pPr>
        <w:pStyle w:val="1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附件：            </w:t>
      </w:r>
    </w:p>
    <w:p>
      <w:pPr>
        <w:pStyle w:val="11"/>
        <w:ind w:firstLine="472" w:firstLineChars="196"/>
        <w:jc w:val="center"/>
        <w:rPr>
          <w:rFonts w:hint="eastAsia" w:ascii="宋体" w:hAnsi="宋体" w:eastAsia="宋体" w:cs="宋体"/>
          <w:b/>
          <w:color w:val="auto"/>
          <w:sz w:val="24"/>
          <w:szCs w:val="24"/>
          <w:highlight w:val="none"/>
        </w:rPr>
      </w:pPr>
      <w:bookmarkStart w:id="843" w:name="_Toc5420_WPSOffice_Level1"/>
      <w:bookmarkStart w:id="844" w:name="_Toc964_WPSOffice_Level1"/>
      <w:r>
        <w:rPr>
          <w:rFonts w:hint="eastAsia" w:ascii="宋体" w:hAnsi="宋体" w:eastAsia="宋体" w:cs="宋体"/>
          <w:b/>
          <w:color w:val="auto"/>
          <w:sz w:val="24"/>
          <w:szCs w:val="24"/>
          <w:highlight w:val="none"/>
        </w:rPr>
        <w:t>授权委托书（格式一）</w:t>
      </w:r>
      <w:bookmarkEnd w:id="843"/>
      <w:bookmarkEnd w:id="844"/>
    </w:p>
    <w:p>
      <w:pPr>
        <w:spacing w:line="400" w:lineRule="exact"/>
        <w:rPr>
          <w:rFonts w:hint="eastAsia" w:ascii="宋体" w:hAnsi="宋体" w:eastAsia="宋体" w:cs="宋体"/>
          <w:color w:val="auto"/>
          <w:sz w:val="21"/>
          <w:szCs w:val="21"/>
          <w:highlight w:val="none"/>
        </w:rPr>
      </w:pPr>
    </w:p>
    <w:p>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cs="宋体"/>
          <w:color w:val="auto"/>
          <w:sz w:val="21"/>
          <w:szCs w:val="21"/>
          <w:highlight w:val="none"/>
          <w:u w:val="single"/>
          <w:lang w:eastAsia="zh-CN"/>
        </w:rPr>
        <w:t>广西建业中天工程咨询有限公司</w:t>
      </w:r>
    </w:p>
    <w:p>
      <w:pPr>
        <w:spacing w:line="400" w:lineRule="exact"/>
        <w:rPr>
          <w:rFonts w:hint="eastAsia" w:ascii="宋体" w:hAnsi="宋体" w:eastAsia="宋体" w:cs="宋体"/>
          <w:color w:val="auto"/>
          <w:sz w:val="21"/>
          <w:szCs w:val="21"/>
          <w:highlight w:val="none"/>
        </w:rPr>
      </w:pPr>
    </w:p>
    <w:p>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（供应商名称）的法定代表人（负责人），现授权委托本单位在职职工</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名）以我公司名义参加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项目的磋商活动，并代表我方全权办理针对上述项目的磋商、签约等具体事务和签署相关文件。</w:t>
      </w:r>
    </w:p>
    <w:p>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我方对被授权人的签字事项负全部责任。</w:t>
      </w:r>
    </w:p>
    <w:p>
      <w:pPr>
        <w:pStyle w:val="11"/>
        <w:spacing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pPr>
        <w:pStyle w:val="11"/>
        <w:spacing w:line="4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pPr>
        <w:spacing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pPr>
        <w:spacing w:line="400" w:lineRule="exact"/>
        <w:ind w:firstLine="420" w:firstLineChars="200"/>
        <w:rPr>
          <w:rFonts w:hint="eastAsia" w:ascii="宋体" w:hAnsi="宋体" w:eastAsia="宋体" w:cs="宋体"/>
          <w:color w:val="auto"/>
          <w:kern w:val="0"/>
          <w:sz w:val="21"/>
          <w:szCs w:val="21"/>
          <w:highlight w:val="none"/>
        </w:rPr>
      </w:pPr>
    </w:p>
    <w:p>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pPr>
        <w:spacing w:line="400" w:lineRule="exact"/>
        <w:ind w:firstLine="420" w:firstLineChars="200"/>
        <w:rPr>
          <w:rFonts w:hint="eastAsia" w:ascii="宋体" w:hAnsi="宋体" w:eastAsia="宋体" w:cs="宋体"/>
          <w:color w:val="auto"/>
          <w:sz w:val="21"/>
          <w:szCs w:val="21"/>
          <w:highlight w:val="none"/>
        </w:rPr>
      </w:pPr>
    </w:p>
    <w:p>
      <w:pPr>
        <w:spacing w:line="400" w:lineRule="exact"/>
        <w:ind w:firstLine="420" w:firstLineChars="200"/>
        <w:rPr>
          <w:rFonts w:hint="eastAsia" w:ascii="宋体" w:hAnsi="宋体" w:eastAsia="宋体" w:cs="宋体"/>
          <w:color w:val="auto"/>
          <w:sz w:val="21"/>
          <w:szCs w:val="21"/>
          <w:highlight w:val="none"/>
        </w:rPr>
      </w:pPr>
    </w:p>
    <w:p>
      <w:pPr>
        <w:snapToGrid w:val="0"/>
        <w:spacing w:line="400" w:lineRule="exact"/>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[公章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pPr>
        <w:snapToGrid w:val="0"/>
        <w:spacing w:line="400" w:lineRule="exact"/>
        <w:ind w:firstLine="420"/>
        <w:rPr>
          <w:rFonts w:hint="eastAsia" w:ascii="宋体" w:hAnsi="宋体" w:eastAsia="宋体" w:cs="宋体"/>
          <w:color w:val="auto"/>
          <w:sz w:val="21"/>
          <w:szCs w:val="21"/>
          <w:highlight w:val="none"/>
        </w:rPr>
      </w:pPr>
    </w:p>
    <w:p>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法定代表人（负责人）签字（或</w:t>
      </w:r>
      <w:r>
        <w:rPr>
          <w:rFonts w:hint="eastAsia" w:ascii="宋体" w:hAnsi="宋体" w:eastAsia="宋体" w:cs="宋体"/>
          <w:color w:val="auto"/>
          <w:sz w:val="21"/>
          <w:szCs w:val="21"/>
          <w:highlight w:val="none"/>
          <w:lang w:eastAsia="zh-CN"/>
        </w:rPr>
        <w:t>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pStyle w:val="8"/>
        <w:rPr>
          <w:rFonts w:hint="eastAsia"/>
          <w:color w:val="auto"/>
          <w:highlight w:val="none"/>
        </w:rPr>
      </w:pPr>
    </w:p>
    <w:p>
      <w:pPr>
        <w:snapToGrid w:val="0"/>
        <w:spacing w:line="400" w:lineRule="exact"/>
        <w:ind w:firstLine="420"/>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p>
    <w:p>
      <w:pPr>
        <w:pStyle w:val="6"/>
        <w:rPr>
          <w:rFonts w:hint="eastAsia" w:ascii="宋体" w:hAnsi="宋体" w:eastAsia="宋体" w:cs="宋体"/>
          <w:color w:val="auto"/>
          <w:sz w:val="21"/>
          <w:szCs w:val="21"/>
          <w:highlight w:val="none"/>
        </w:rPr>
      </w:pPr>
    </w:p>
    <w:p>
      <w:pPr>
        <w:pStyle w:val="11"/>
        <w:jc w:val="center"/>
        <w:rPr>
          <w:rFonts w:hint="eastAsia" w:ascii="宋体" w:hAnsi="宋体" w:eastAsia="宋体" w:cs="宋体"/>
          <w:b/>
          <w:color w:val="auto"/>
          <w:sz w:val="21"/>
          <w:szCs w:val="21"/>
          <w:highlight w:val="none"/>
        </w:rPr>
      </w:pPr>
      <w:bookmarkStart w:id="845" w:name="_Toc6975_WPSOffice_Level1"/>
      <w:bookmarkStart w:id="846" w:name="_Toc21370_WPSOffice_Level1"/>
    </w:p>
    <w:p>
      <w:pPr>
        <w:pStyle w:val="11"/>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授权委托书（格式二）</w:t>
      </w:r>
      <w:bookmarkEnd w:id="845"/>
      <w:bookmarkEnd w:id="846"/>
    </w:p>
    <w:p>
      <w:pPr>
        <w:pStyle w:val="11"/>
        <w:jc w:val="both"/>
        <w:rPr>
          <w:rFonts w:hint="eastAsia" w:ascii="宋体" w:hAnsi="宋体" w:eastAsia="宋体" w:cs="宋体"/>
          <w:b/>
          <w:color w:val="auto"/>
          <w:sz w:val="21"/>
          <w:szCs w:val="21"/>
          <w:highlight w:val="none"/>
        </w:rPr>
      </w:pPr>
    </w:p>
    <w:p>
      <w:pPr>
        <w:pStyle w:val="11"/>
        <w:jc w:val="both"/>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eastAsia="zh-CN"/>
        </w:rPr>
        <w:t>广西建业中天工程咨询有限公司</w:t>
      </w:r>
    </w:p>
    <w:p>
      <w:pPr>
        <w:rPr>
          <w:rFonts w:hint="eastAsia" w:ascii="宋体" w:hAnsi="宋体" w:eastAsia="宋体" w:cs="宋体"/>
          <w:color w:val="auto"/>
          <w:sz w:val="21"/>
          <w:szCs w:val="21"/>
          <w:highlight w:val="none"/>
        </w:rPr>
      </w:pPr>
    </w:p>
    <w:p>
      <w:pPr>
        <w:pStyle w:val="11"/>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（姓名）系自然人，现授权委托</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名）以本人名义参加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项目的磋商活动，并代表本人全权办理针对上述项目的磋商、签约等具体事务和签署相关文件。</w:t>
      </w:r>
    </w:p>
    <w:p>
      <w:pPr>
        <w:pStyle w:val="11"/>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本人对被授权人的签字事项负全部责任。</w:t>
      </w:r>
    </w:p>
    <w:p>
      <w:pPr>
        <w:pStyle w:val="11"/>
        <w:spacing w:line="34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pPr>
        <w:pStyle w:val="11"/>
        <w:spacing w:line="34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pPr>
        <w:spacing w:line="34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pPr>
        <w:spacing w:line="340" w:lineRule="exact"/>
        <w:ind w:firstLine="420" w:firstLineChars="200"/>
        <w:rPr>
          <w:rFonts w:hint="eastAsia" w:ascii="宋体" w:hAnsi="宋体" w:eastAsia="宋体" w:cs="宋体"/>
          <w:color w:val="auto"/>
          <w:kern w:val="0"/>
          <w:sz w:val="21"/>
          <w:szCs w:val="21"/>
          <w:highlight w:val="none"/>
        </w:rPr>
      </w:pPr>
    </w:p>
    <w:p>
      <w:pPr>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pPr>
        <w:spacing w:line="340" w:lineRule="exact"/>
        <w:ind w:firstLine="420" w:firstLineChars="200"/>
        <w:rPr>
          <w:rFonts w:hint="eastAsia" w:ascii="宋体" w:hAnsi="宋体" w:eastAsia="宋体" w:cs="宋体"/>
          <w:color w:val="auto"/>
          <w:sz w:val="21"/>
          <w:szCs w:val="21"/>
          <w:highlight w:val="none"/>
        </w:rPr>
      </w:pPr>
    </w:p>
    <w:p>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自然人签字并在签名处加盖大拇指指印</w:t>
      </w:r>
      <w:r>
        <w:rPr>
          <w:rFonts w:hint="eastAsia" w:ascii="宋体" w:hAnsi="宋体" w:eastAsia="宋体" w:cs="宋体"/>
          <w:color w:val="auto"/>
          <w:sz w:val="21"/>
          <w:szCs w:val="21"/>
          <w:highlight w:val="none"/>
          <w:lang w:eastAsia="zh-CN"/>
        </w:rPr>
        <w:t>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pStyle w:val="8"/>
        <w:rPr>
          <w:rFonts w:hint="eastAsia"/>
          <w:color w:val="auto"/>
          <w:highlight w:val="none"/>
        </w:rPr>
      </w:pPr>
    </w:p>
    <w:p>
      <w:pPr>
        <w:pStyle w:val="11"/>
        <w:spacing w:line="400" w:lineRule="exact"/>
        <w:ind w:left="420" w:leftChars="200"/>
        <w:rPr>
          <w:rFonts w:hint="eastAsia" w:ascii="宋体" w:hAnsi="宋体" w:eastAsia="宋体" w:cs="宋体"/>
          <w:color w:val="auto"/>
          <w:sz w:val="21"/>
          <w:szCs w:val="21"/>
          <w:highlight w:val="none"/>
        </w:rPr>
      </w:pPr>
    </w:p>
    <w:p>
      <w:pPr>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rPr>
          <w:rFonts w:hint="eastAsia" w:ascii="宋体" w:hAnsi="宋体" w:eastAsia="宋体" w:cs="宋体"/>
          <w:b/>
          <w:color w:val="auto"/>
          <w:sz w:val="21"/>
          <w:szCs w:val="21"/>
          <w:highlight w:val="none"/>
        </w:rPr>
      </w:pPr>
    </w:p>
    <w:p>
      <w:pPr>
        <w:pStyle w:val="8"/>
        <w:rPr>
          <w:rFonts w:hint="eastAsia" w:ascii="宋体" w:hAnsi="宋体" w:eastAsia="宋体" w:cs="宋体"/>
          <w:b/>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.供应商参加政府采购活动前3年内在经营活动中没有重大违法记录及有关信用信息的书面声明（必须提供）；</w:t>
      </w:r>
    </w:p>
    <w:p>
      <w:pPr>
        <w:pStyle w:val="11"/>
        <w:spacing w:line="400" w:lineRule="exact"/>
        <w:ind w:left="420" w:leftChars="200" w:firstLine="103" w:firstLineChars="4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p>
    <w:p>
      <w:pPr>
        <w:pStyle w:val="11"/>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pPr>
        <w:pStyle w:val="11"/>
        <w:spacing w:line="400" w:lineRule="exact"/>
        <w:jc w:val="center"/>
        <w:rPr>
          <w:rFonts w:hint="eastAsia" w:ascii="宋体" w:hAnsi="宋体" w:eastAsia="宋体" w:cs="宋体"/>
          <w:b/>
          <w:color w:val="auto"/>
          <w:sz w:val="21"/>
          <w:szCs w:val="21"/>
          <w:highlight w:val="none"/>
        </w:rPr>
      </w:pPr>
      <w:bookmarkStart w:id="847" w:name="_Toc30890_WPSOffice_Level1"/>
      <w:bookmarkStart w:id="848" w:name="_Toc30304_WPSOffice_Level1"/>
      <w:r>
        <w:rPr>
          <w:rFonts w:hint="eastAsia" w:ascii="宋体" w:hAnsi="宋体" w:eastAsia="宋体" w:cs="宋体"/>
          <w:b/>
          <w:color w:val="auto"/>
          <w:sz w:val="21"/>
          <w:szCs w:val="21"/>
          <w:highlight w:val="none"/>
        </w:rPr>
        <w:t>声   明</w:t>
      </w:r>
      <w:bookmarkEnd w:id="847"/>
      <w:bookmarkEnd w:id="848"/>
    </w:p>
    <w:p>
      <w:pPr>
        <w:pStyle w:val="11"/>
        <w:spacing w:line="400" w:lineRule="exact"/>
        <w:jc w:val="both"/>
        <w:rPr>
          <w:rFonts w:hint="eastAsia" w:ascii="宋体" w:hAnsi="宋体" w:eastAsia="宋体" w:cs="宋体"/>
          <w:b/>
          <w:color w:val="auto"/>
          <w:sz w:val="21"/>
          <w:szCs w:val="21"/>
          <w:highlight w:val="none"/>
        </w:rPr>
      </w:pPr>
    </w:p>
    <w:p>
      <w:pPr>
        <w:pStyle w:val="11"/>
        <w:spacing w:line="400" w:lineRule="exact"/>
        <w:jc w:val="both"/>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eastAsia="zh-CN"/>
        </w:rPr>
        <w:t>广西建业中天工程咨询有限公司</w:t>
      </w:r>
    </w:p>
    <w:p>
      <w:pPr>
        <w:rPr>
          <w:rFonts w:hint="eastAsia" w:ascii="宋体" w:hAnsi="宋体" w:eastAsia="宋体" w:cs="宋体"/>
          <w:color w:val="auto"/>
          <w:sz w:val="21"/>
          <w:szCs w:val="21"/>
          <w:highlight w:val="none"/>
          <w:u w:val="single"/>
        </w:rPr>
      </w:pPr>
    </w:p>
    <w:p>
      <w:pPr>
        <w:pStyle w:val="8"/>
        <w:rPr>
          <w:rFonts w:hint="eastAsia" w:ascii="宋体" w:hAnsi="宋体" w:eastAsia="宋体" w:cs="宋体"/>
          <w:color w:val="auto"/>
          <w:sz w:val="21"/>
          <w:szCs w:val="21"/>
          <w:highlight w:val="none"/>
        </w:rPr>
      </w:pPr>
    </w:p>
    <w:p>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rPr>
          <w:rFonts w:hint="eastAsia" w:ascii="宋体" w:hAnsi="宋体" w:eastAsia="宋体" w:cs="宋体"/>
          <w:color w:val="auto"/>
          <w:sz w:val="21"/>
          <w:szCs w:val="21"/>
          <w:highlight w:val="none"/>
        </w:rPr>
      </w:pPr>
    </w:p>
    <w:p>
      <w:pPr>
        <w:snapToGrid w:val="0"/>
        <w:spacing w:line="400" w:lineRule="exact"/>
        <w:ind w:firstLine="1890" w:firstLineChars="9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pStyle w:val="11"/>
        <w:ind w:firstLine="3990" w:firstLineChars="1900"/>
        <w:rPr>
          <w:rFonts w:hint="eastAsia" w:ascii="宋体" w:hAnsi="宋体" w:eastAsia="宋体" w:cs="宋体"/>
          <w:color w:val="auto"/>
          <w:sz w:val="21"/>
          <w:szCs w:val="21"/>
          <w:highlight w:val="none"/>
        </w:rPr>
      </w:pPr>
    </w:p>
    <w:p>
      <w:pPr>
        <w:pStyle w:val="11"/>
        <w:ind w:firstLine="3990" w:firstLineChars="19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pPr>
        <w:pStyle w:val="11"/>
        <w:spacing w:line="340" w:lineRule="exact"/>
        <w:rPr>
          <w:rFonts w:hint="eastAsia" w:ascii="宋体" w:hAnsi="宋体" w:eastAsia="宋体" w:cs="宋体"/>
          <w:b/>
          <w:color w:val="auto"/>
          <w:sz w:val="21"/>
          <w:szCs w:val="21"/>
          <w:highlight w:val="none"/>
        </w:rPr>
      </w:pPr>
    </w:p>
    <w:p>
      <w:pPr>
        <w:pStyle w:val="11"/>
        <w:spacing w:line="340" w:lineRule="exact"/>
        <w:rPr>
          <w:rFonts w:hint="eastAsia" w:ascii="宋体" w:hAnsi="宋体" w:eastAsia="宋体" w:cs="宋体"/>
          <w:b/>
          <w:color w:val="auto"/>
          <w:sz w:val="21"/>
          <w:szCs w:val="21"/>
          <w:highlight w:val="none"/>
          <w:lang w:val="en-US" w:eastAsia="zh-CN"/>
        </w:rPr>
      </w:pPr>
    </w:p>
    <w:p>
      <w:pPr>
        <w:pStyle w:val="11"/>
        <w:spacing w:line="340" w:lineRule="exact"/>
        <w:rPr>
          <w:rFonts w:hint="eastAsia" w:ascii="宋体" w:hAnsi="宋体" w:eastAsia="宋体" w:cs="宋体"/>
          <w:b/>
          <w:color w:val="auto"/>
          <w:sz w:val="24"/>
          <w:szCs w:val="24"/>
          <w:highlight w:val="none"/>
          <w:lang w:val="en-US" w:eastAsia="zh-CN"/>
        </w:rPr>
      </w:pPr>
    </w:p>
    <w:p>
      <w:pPr>
        <w:pStyle w:val="11"/>
        <w:spacing w:line="3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.供应商的法人或者其他组织营业执照等证明文件复印件（必须提供，自然人除外）；</w:t>
      </w:r>
    </w:p>
    <w:p>
      <w:pPr>
        <w:tabs>
          <w:tab w:val="left" w:pos="1305"/>
        </w:tabs>
        <w:spacing w:line="340" w:lineRule="exact"/>
        <w:rPr>
          <w:rFonts w:hint="eastAsia" w:ascii="宋体" w:hAnsi="宋体" w:eastAsia="宋体" w:cs="宋体"/>
          <w:b/>
          <w:color w:val="auto"/>
          <w:sz w:val="21"/>
          <w:szCs w:val="21"/>
          <w:highlight w:val="none"/>
        </w:rPr>
      </w:pPr>
    </w:p>
    <w:p>
      <w:pPr>
        <w:tabs>
          <w:tab w:val="left" w:pos="1305"/>
        </w:tabs>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；供应商为事业单位，应提供有效的“事业单位法人证书”；供应商为非企业专业服务机构的，应提供执业许可证等证明文件；供应商为个体工商户，应提供有效的“个体工商户营业执照”。</w:t>
      </w:r>
    </w:p>
    <w:p>
      <w:pPr>
        <w:rPr>
          <w:rFonts w:hint="eastAsia" w:ascii="宋体" w:hAnsi="宋体" w:eastAsia="宋体" w:cs="宋体"/>
          <w:b/>
          <w:bCs/>
          <w:color w:val="auto"/>
          <w:sz w:val="21"/>
          <w:szCs w:val="21"/>
          <w:highlight w:val="none"/>
        </w:rPr>
      </w:pPr>
    </w:p>
    <w:p>
      <w:pPr>
        <w:pStyle w:val="8"/>
        <w:rPr>
          <w:rFonts w:hint="eastAsia" w:ascii="宋体" w:hAnsi="宋体" w:eastAsia="宋体" w:cs="宋体"/>
          <w:b/>
          <w:bCs/>
          <w:color w:val="auto"/>
          <w:sz w:val="21"/>
          <w:szCs w:val="21"/>
          <w:highlight w:val="none"/>
        </w:rPr>
      </w:pPr>
    </w:p>
    <w:p>
      <w:pPr>
        <w:rPr>
          <w:rFonts w:hint="eastAsia"/>
          <w:color w:val="auto"/>
          <w:highlight w:val="none"/>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5"/>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pStyle w:val="3"/>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5.供应商相应有效的企业资质证书副本及安全生产许可证副本复印件、拟投入项目经理的注册建造师执业资格证书及安全生产考核合格证书（B类）复印件（必须提供）；</w:t>
      </w:r>
    </w:p>
    <w:p>
      <w:pPr>
        <w:pStyle w:val="6"/>
        <w:numPr>
          <w:ilvl w:val="0"/>
          <w:numId w:val="0"/>
        </w:numPr>
        <w:ind w:leftChars="200"/>
        <w:rPr>
          <w:rFonts w:hint="eastAsia" w:ascii="宋体" w:hAnsi="宋体" w:eastAsia="宋体" w:cs="宋体"/>
          <w:color w:val="auto"/>
          <w:sz w:val="21"/>
          <w:szCs w:val="21"/>
          <w:highlight w:val="none"/>
          <w:lang w:val="en-US" w:eastAsia="zh-CN"/>
        </w:rPr>
      </w:pPr>
    </w:p>
    <w:p>
      <w:pPr>
        <w:pStyle w:val="11"/>
        <w:spacing w:line="340" w:lineRule="exact"/>
        <w:rPr>
          <w:rFonts w:hint="eastAsia" w:ascii="宋体" w:hAnsi="宋体" w:eastAsia="宋体" w:cs="宋体"/>
          <w:b/>
          <w:color w:val="auto"/>
          <w:sz w:val="21"/>
          <w:szCs w:val="21"/>
          <w:highlight w:val="none"/>
          <w:lang w:val="en-US" w:eastAsia="zh-CN"/>
        </w:rPr>
      </w:pPr>
    </w:p>
    <w:p>
      <w:pPr>
        <w:pStyle w:val="11"/>
        <w:spacing w:line="340" w:lineRule="exact"/>
        <w:rPr>
          <w:rFonts w:hint="eastAsia" w:ascii="宋体" w:hAnsi="宋体" w:eastAsia="宋体" w:cs="宋体"/>
          <w:b/>
          <w:color w:val="auto"/>
          <w:sz w:val="21"/>
          <w:szCs w:val="21"/>
          <w:highlight w:val="none"/>
          <w:lang w:val="en-US" w:eastAsia="zh-CN"/>
        </w:rPr>
      </w:pPr>
    </w:p>
    <w:p>
      <w:pPr>
        <w:pStyle w:val="11"/>
        <w:spacing w:line="340" w:lineRule="exact"/>
        <w:rPr>
          <w:rFonts w:hint="eastAsia" w:ascii="宋体" w:hAnsi="宋体" w:eastAsia="宋体" w:cs="宋体"/>
          <w:b/>
          <w:color w:val="auto"/>
          <w:sz w:val="21"/>
          <w:szCs w:val="21"/>
          <w:highlight w:val="none"/>
          <w:lang w:val="en-US" w:eastAsia="zh-CN"/>
        </w:rPr>
      </w:pPr>
    </w:p>
    <w:p>
      <w:pPr>
        <w:pStyle w:val="5"/>
        <w:rPr>
          <w:rFonts w:hint="eastAsia"/>
          <w:color w:val="auto"/>
          <w:highlight w:val="none"/>
          <w:lang w:val="en-US" w:eastAsia="zh-CN"/>
        </w:rPr>
      </w:pPr>
    </w:p>
    <w:p>
      <w:pPr>
        <w:pStyle w:val="5"/>
        <w:rPr>
          <w:rFonts w:hint="eastAsia"/>
          <w:color w:val="auto"/>
          <w:highlight w:val="none"/>
          <w:lang w:val="en-US" w:eastAsia="zh-CN"/>
        </w:rPr>
      </w:pPr>
    </w:p>
    <w:p>
      <w:pPr>
        <w:pStyle w:val="11"/>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.项目经理无在建工程承诺书（格式自拟，必须提供）；</w:t>
      </w:r>
    </w:p>
    <w:p>
      <w:pPr>
        <w:pStyle w:val="11"/>
        <w:spacing w:line="340" w:lineRule="exact"/>
        <w:rPr>
          <w:rFonts w:hint="eastAsia" w:ascii="宋体" w:hAnsi="宋体" w:eastAsia="宋体" w:cs="宋体"/>
          <w:b/>
          <w:color w:val="auto"/>
          <w:sz w:val="24"/>
          <w:szCs w:val="24"/>
          <w:highlight w:val="none"/>
          <w:lang w:val="en-US" w:eastAsia="zh-CN"/>
        </w:rPr>
      </w:pPr>
    </w:p>
    <w:p>
      <w:pPr>
        <w:rPr>
          <w:rFonts w:hint="eastAsia" w:ascii="宋体" w:hAnsi="宋体" w:eastAsia="宋体" w:cs="宋体"/>
          <w:color w:val="auto"/>
          <w:sz w:val="24"/>
          <w:szCs w:val="24"/>
          <w:highlight w:val="none"/>
          <w:lang w:val="en-US" w:eastAsia="zh-CN"/>
        </w:rPr>
      </w:pPr>
    </w:p>
    <w:p>
      <w:pPr>
        <w:pStyle w:val="8"/>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p>
    <w:p>
      <w:pPr>
        <w:pStyle w:val="8"/>
        <w:rPr>
          <w:rFonts w:hint="eastAsia"/>
          <w:color w:val="auto"/>
          <w:sz w:val="24"/>
          <w:szCs w:val="24"/>
          <w:highlight w:val="none"/>
          <w:lang w:val="en-US" w:eastAsia="zh-CN"/>
        </w:rPr>
      </w:pPr>
    </w:p>
    <w:p>
      <w:pPr>
        <w:pStyle w:val="11"/>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7</w:t>
      </w:r>
      <w:r>
        <w:rPr>
          <w:rFonts w:hint="eastAsia" w:ascii="宋体" w:hAnsi="宋体" w:eastAsia="宋体" w:cs="宋体"/>
          <w:b/>
          <w:color w:val="auto"/>
          <w:sz w:val="24"/>
          <w:szCs w:val="24"/>
          <w:highlight w:val="none"/>
          <w:lang w:val="en-US" w:eastAsia="zh-CN"/>
        </w:rPr>
        <w:t>.供应商2022年度以来任意一个年度内的财务状况报告（必须提供，可以是供应商自行编制也可以是通过第三方审计公司编制，如为自行编制至少须提供现金流量表、负债表及利润表）；</w:t>
      </w:r>
    </w:p>
    <w:p>
      <w:pPr>
        <w:pStyle w:val="6"/>
        <w:numPr>
          <w:ilvl w:val="0"/>
          <w:numId w:val="0"/>
        </w:numPr>
        <w:rPr>
          <w:rFonts w:hint="eastAsia" w:ascii="宋体" w:hAnsi="宋体" w:eastAsia="宋体" w:cs="宋体"/>
          <w:b/>
          <w:color w:val="auto"/>
          <w:sz w:val="24"/>
          <w:szCs w:val="24"/>
          <w:highlight w:val="none"/>
          <w:lang w:val="en-US" w:eastAsia="zh-CN"/>
        </w:rPr>
      </w:pPr>
    </w:p>
    <w:p>
      <w:pPr>
        <w:pStyle w:val="8"/>
        <w:rPr>
          <w:rFonts w:hint="eastAsia" w:ascii="宋体" w:hAnsi="宋体" w:eastAsia="宋体" w:cs="宋体"/>
          <w:color w:val="auto"/>
          <w:sz w:val="24"/>
          <w:szCs w:val="24"/>
          <w:highlight w:val="none"/>
          <w:lang w:val="en-US" w:eastAsia="zh-CN"/>
        </w:rPr>
      </w:pPr>
    </w:p>
    <w:p>
      <w:pPr>
        <w:rPr>
          <w:rFonts w:hint="eastAsia" w:ascii="宋体" w:hAnsi="宋体" w:eastAsia="宋体" w:cs="宋体"/>
          <w:color w:val="auto"/>
          <w:sz w:val="24"/>
          <w:szCs w:val="24"/>
          <w:highlight w:val="none"/>
          <w:lang w:val="en-US" w:eastAsia="zh-CN"/>
        </w:rPr>
      </w:pPr>
    </w:p>
    <w:p>
      <w:pPr>
        <w:pStyle w:val="3"/>
        <w:rPr>
          <w:rFonts w:hint="eastAsia"/>
          <w:color w:val="auto"/>
          <w:highlight w:val="none"/>
          <w:lang w:val="en-US" w:eastAsia="zh-CN"/>
        </w:rPr>
      </w:pPr>
    </w:p>
    <w:p>
      <w:pPr>
        <w:rPr>
          <w:rFonts w:hint="eastAsia"/>
          <w:color w:val="auto"/>
          <w:highlight w:val="none"/>
          <w:lang w:val="en-US" w:eastAsia="zh-CN"/>
        </w:rPr>
      </w:pPr>
    </w:p>
    <w:p>
      <w:pPr>
        <w:rPr>
          <w:rFonts w:hint="eastAsia"/>
          <w:color w:val="auto"/>
          <w:sz w:val="24"/>
          <w:szCs w:val="24"/>
          <w:highlight w:val="none"/>
          <w:lang w:val="en-US" w:eastAsia="zh-CN"/>
        </w:rPr>
      </w:pPr>
    </w:p>
    <w:p>
      <w:pPr>
        <w:pStyle w:val="6"/>
        <w:numPr>
          <w:ilvl w:val="0"/>
          <w:numId w:val="0"/>
        </w:numPr>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8</w:t>
      </w:r>
      <w:r>
        <w:rPr>
          <w:rFonts w:hint="eastAsia" w:ascii="宋体" w:hAnsi="宋体" w:eastAsia="宋体" w:cs="宋体"/>
          <w:b/>
          <w:color w:val="auto"/>
          <w:sz w:val="24"/>
          <w:szCs w:val="24"/>
          <w:highlight w:val="none"/>
          <w:lang w:val="en-US" w:eastAsia="zh-CN"/>
        </w:rPr>
        <w:t>.供应商近半年内任意一个月或任一季度依法缴纳税收的证明材料[增值税缴纳发票(税收完税证明)或企业所得税完税证明或税务部门出具的免税证明]复印件（必须提供）</w:t>
      </w:r>
      <w:r>
        <w:rPr>
          <w:rFonts w:hint="eastAsia" w:ascii="宋体" w:hAnsi="宋体" w:cs="宋体"/>
          <w:b/>
          <w:color w:val="auto"/>
          <w:sz w:val="24"/>
          <w:szCs w:val="24"/>
          <w:highlight w:val="none"/>
          <w:lang w:val="en-US" w:eastAsia="zh-CN"/>
        </w:rPr>
        <w:t>；</w:t>
      </w:r>
    </w:p>
    <w:p>
      <w:pPr>
        <w:numPr>
          <w:ilvl w:val="0"/>
          <w:numId w:val="0"/>
        </w:numPr>
        <w:ind w:left="420" w:leftChars="0"/>
        <w:jc w:val="center"/>
        <w:rPr>
          <w:rFonts w:hint="eastAsia" w:ascii="宋体" w:hAnsi="宋体" w:eastAsia="宋体" w:cs="宋体"/>
          <w:b/>
          <w:bCs/>
          <w:color w:val="auto"/>
          <w:sz w:val="21"/>
          <w:szCs w:val="21"/>
          <w:highlight w:val="none"/>
          <w:lang w:eastAsia="zh-CN"/>
        </w:rPr>
      </w:pPr>
    </w:p>
    <w:p>
      <w:pPr>
        <w:numPr>
          <w:ilvl w:val="0"/>
          <w:numId w:val="0"/>
        </w:numPr>
        <w:ind w:left="420" w:leftChars="0"/>
        <w:jc w:val="center"/>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eastAsia="宋体" w:cs="宋体"/>
          <w:b/>
          <w:bCs/>
          <w:iCs/>
          <w:color w:val="auto"/>
          <w:kern w:val="2"/>
          <w:sz w:val="24"/>
          <w:szCs w:val="24"/>
          <w:highlight w:val="none"/>
          <w:lang w:val="en-US" w:eastAsia="zh-CN" w:bidi="ar-SA"/>
        </w:rPr>
        <w:t>9.《中小企业声明函》或《残疾人福利性单位声明函》或省级以上监狱管理局、戒毒管理局（含新疆生产建设兵团）出具的属于监狱企业的证明文件复印件（必须提供其中一项）。</w:t>
      </w:r>
    </w:p>
    <w:p>
      <w:pPr>
        <w:jc w:val="center"/>
        <w:outlineLvl w:val="9"/>
        <w:rPr>
          <w:rStyle w:val="40"/>
          <w:rFonts w:hint="eastAsia" w:ascii="宋体" w:hAnsi="宋体" w:eastAsia="宋体" w:cs="宋体"/>
          <w:b/>
          <w:bCs/>
          <w:color w:val="auto"/>
          <w:kern w:val="0"/>
          <w:sz w:val="21"/>
          <w:szCs w:val="21"/>
          <w:highlight w:val="none"/>
        </w:rPr>
      </w:pPr>
    </w:p>
    <w:p>
      <w:pPr>
        <w:jc w:val="center"/>
        <w:outlineLvl w:val="9"/>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lang w:eastAsia="zh-CN"/>
        </w:rPr>
        <w:t>（</w:t>
      </w:r>
      <w:r>
        <w:rPr>
          <w:rStyle w:val="40"/>
          <w:rFonts w:hint="eastAsia" w:ascii="宋体" w:hAnsi="宋体" w:eastAsia="宋体" w:cs="宋体"/>
          <w:b/>
          <w:bCs/>
          <w:color w:val="auto"/>
          <w:kern w:val="0"/>
          <w:sz w:val="21"/>
          <w:szCs w:val="21"/>
          <w:highlight w:val="none"/>
          <w:lang w:val="en-US" w:eastAsia="zh-CN"/>
        </w:rPr>
        <w:t>1</w:t>
      </w:r>
      <w:r>
        <w:rPr>
          <w:rStyle w:val="40"/>
          <w:rFonts w:hint="eastAsia" w:ascii="宋体" w:hAnsi="宋体" w:eastAsia="宋体" w:cs="宋体"/>
          <w:b/>
          <w:bCs/>
          <w:color w:val="auto"/>
          <w:kern w:val="0"/>
          <w:sz w:val="21"/>
          <w:szCs w:val="21"/>
          <w:highlight w:val="none"/>
          <w:lang w:eastAsia="zh-CN"/>
        </w:rPr>
        <w:t>）</w:t>
      </w:r>
      <w:r>
        <w:rPr>
          <w:rStyle w:val="40"/>
          <w:rFonts w:hint="eastAsia" w:ascii="宋体" w:hAnsi="宋体" w:eastAsia="宋体" w:cs="宋体"/>
          <w:b/>
          <w:bCs/>
          <w:color w:val="auto"/>
          <w:kern w:val="0"/>
          <w:sz w:val="21"/>
          <w:szCs w:val="21"/>
          <w:highlight w:val="none"/>
        </w:rPr>
        <w:t>中小企业声明函（工程）</w:t>
      </w:r>
    </w:p>
    <w:p>
      <w:pPr>
        <w:pStyle w:val="41"/>
        <w:ind w:left="63" w:right="63"/>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本公司郑重声明，根据《政府采购促进中小企业发展管理办法》（财库﹝2020﹞46 号）的规定，本公司参加</w:t>
      </w:r>
      <w:r>
        <w:rPr>
          <w:rStyle w:val="40"/>
          <w:rFonts w:hint="eastAsia" w:ascii="宋体" w:hAnsi="宋体" w:eastAsia="宋体" w:cs="宋体"/>
          <w:color w:val="auto"/>
          <w:kern w:val="0"/>
          <w:sz w:val="21"/>
          <w:szCs w:val="21"/>
          <w:highlight w:val="none"/>
          <w:u w:val="single" w:color="000000"/>
        </w:rPr>
        <w:t>（单位名称）</w:t>
      </w:r>
      <w:r>
        <w:rPr>
          <w:rStyle w:val="40"/>
          <w:rFonts w:hint="eastAsia" w:ascii="宋体" w:hAnsi="宋体" w:eastAsia="宋体" w:cs="宋体"/>
          <w:color w:val="auto"/>
          <w:kern w:val="0"/>
          <w:sz w:val="21"/>
          <w:szCs w:val="21"/>
          <w:highlight w:val="none"/>
        </w:rPr>
        <w:t>的</w:t>
      </w:r>
      <w:r>
        <w:rPr>
          <w:rStyle w:val="40"/>
          <w:rFonts w:hint="eastAsia" w:ascii="宋体" w:hAnsi="宋体" w:eastAsia="宋体" w:cs="宋体"/>
          <w:color w:val="auto"/>
          <w:kern w:val="0"/>
          <w:sz w:val="21"/>
          <w:szCs w:val="21"/>
          <w:highlight w:val="none"/>
          <w:u w:val="single" w:color="000000"/>
        </w:rPr>
        <w:t>（项目名称）</w:t>
      </w:r>
      <w:r>
        <w:rPr>
          <w:rStyle w:val="40"/>
          <w:rFonts w:hint="eastAsia" w:ascii="宋体" w:hAnsi="宋体" w:eastAsia="宋体" w:cs="宋体"/>
          <w:color w:val="auto"/>
          <w:kern w:val="0"/>
          <w:sz w:val="21"/>
          <w:szCs w:val="21"/>
          <w:highlight w:val="none"/>
        </w:rPr>
        <w:t>采购活动，</w:t>
      </w:r>
      <w:r>
        <w:rPr>
          <w:rStyle w:val="40"/>
          <w:rFonts w:hint="eastAsia" w:ascii="宋体" w:hAnsi="宋体" w:eastAsia="宋体" w:cs="宋体"/>
          <w:color w:val="auto"/>
          <w:kern w:val="0"/>
          <w:sz w:val="21"/>
          <w:szCs w:val="21"/>
          <w:highlight w:val="none"/>
          <w:lang w:val="en-US" w:eastAsia="zh-CN"/>
        </w:rPr>
        <w:t>工程的施工单位</w:t>
      </w:r>
      <w:r>
        <w:rPr>
          <w:rStyle w:val="40"/>
          <w:rFonts w:hint="eastAsia" w:ascii="宋体" w:hAnsi="宋体" w:eastAsia="宋体" w:cs="宋体"/>
          <w:color w:val="auto"/>
          <w:kern w:val="0"/>
          <w:sz w:val="21"/>
          <w:szCs w:val="21"/>
          <w:highlight w:val="none"/>
        </w:rPr>
        <w:t>全部</w:t>
      </w:r>
      <w:r>
        <w:rPr>
          <w:rStyle w:val="40"/>
          <w:rFonts w:hint="eastAsia" w:ascii="宋体" w:hAnsi="宋体" w:eastAsia="宋体" w:cs="宋体"/>
          <w:color w:val="auto"/>
          <w:kern w:val="0"/>
          <w:sz w:val="21"/>
          <w:szCs w:val="21"/>
          <w:highlight w:val="none"/>
          <w:lang w:val="en-US" w:eastAsia="zh-CN"/>
        </w:rPr>
        <w:t>为</w:t>
      </w:r>
      <w:r>
        <w:rPr>
          <w:rStyle w:val="40"/>
          <w:rFonts w:hint="eastAsia" w:ascii="宋体" w:hAnsi="宋体" w:eastAsia="宋体" w:cs="宋体"/>
          <w:color w:val="auto"/>
          <w:kern w:val="0"/>
          <w:sz w:val="21"/>
          <w:szCs w:val="21"/>
          <w:highlight w:val="none"/>
        </w:rPr>
        <w:t>符合政策要求的中小企业。相关企业（含联合体中的中小企业、签订分包意向协议的中小企业）的具体情况如下：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 </w:t>
      </w:r>
      <w:r>
        <w:rPr>
          <w:rStyle w:val="40"/>
          <w:rFonts w:hint="eastAsia" w:ascii="宋体" w:hAnsi="宋体" w:eastAsia="宋体" w:cs="宋体"/>
          <w:color w:val="auto"/>
          <w:kern w:val="0"/>
          <w:sz w:val="21"/>
          <w:szCs w:val="21"/>
          <w:highlight w:val="none"/>
          <w:u w:val="single" w:color="000000"/>
        </w:rPr>
        <w:t xml:space="preserve">（标的名称） </w:t>
      </w:r>
      <w:r>
        <w:rPr>
          <w:rStyle w:val="40"/>
          <w:rFonts w:hint="eastAsia" w:ascii="宋体" w:hAnsi="宋体" w:eastAsia="宋体" w:cs="宋体"/>
          <w:color w:val="auto"/>
          <w:kern w:val="0"/>
          <w:sz w:val="21"/>
          <w:szCs w:val="21"/>
          <w:highlight w:val="none"/>
        </w:rPr>
        <w:t xml:space="preserve">，属于 </w:t>
      </w:r>
      <w:r>
        <w:rPr>
          <w:rStyle w:val="40"/>
          <w:rFonts w:hint="eastAsia" w:ascii="宋体" w:hAnsi="宋体" w:eastAsia="宋体" w:cs="宋体"/>
          <w:color w:val="auto"/>
          <w:kern w:val="0"/>
          <w:sz w:val="21"/>
          <w:szCs w:val="21"/>
          <w:highlight w:val="none"/>
          <w:u w:val="single" w:color="000000"/>
        </w:rPr>
        <w:t xml:space="preserve">（招标文件中明确的所属行业） </w:t>
      </w:r>
      <w:r>
        <w:rPr>
          <w:rStyle w:val="40"/>
          <w:rFonts w:hint="eastAsia" w:ascii="宋体" w:hAnsi="宋体" w:eastAsia="宋体" w:cs="宋体"/>
          <w:color w:val="auto"/>
          <w:kern w:val="0"/>
          <w:sz w:val="21"/>
          <w:szCs w:val="21"/>
          <w:highlight w:val="none"/>
        </w:rPr>
        <w:t>； 承接企业为</w:t>
      </w:r>
      <w:r>
        <w:rPr>
          <w:rStyle w:val="40"/>
          <w:rFonts w:hint="eastAsia" w:ascii="宋体" w:hAnsi="宋体" w:eastAsia="宋体" w:cs="宋体"/>
          <w:color w:val="auto"/>
          <w:kern w:val="0"/>
          <w:sz w:val="21"/>
          <w:szCs w:val="21"/>
          <w:highlight w:val="none"/>
          <w:u w:val="single" w:color="000000"/>
        </w:rPr>
        <w:t>（企业名称）</w:t>
      </w:r>
      <w:r>
        <w:rPr>
          <w:rStyle w:val="40"/>
          <w:rFonts w:hint="eastAsia" w:ascii="宋体" w:hAnsi="宋体" w:eastAsia="宋体" w:cs="宋体"/>
          <w:color w:val="auto"/>
          <w:kern w:val="0"/>
          <w:sz w:val="21"/>
          <w:szCs w:val="21"/>
          <w:highlight w:val="none"/>
        </w:rPr>
        <w:t>，从业人员</w:t>
      </w:r>
      <w:r>
        <w:rPr>
          <w:rStyle w:val="40"/>
          <w:rFonts w:hint="eastAsia" w:ascii="宋体" w:hAnsi="宋体" w:eastAsia="宋体" w:cs="宋体"/>
          <w:color w:val="auto"/>
          <w:kern w:val="0"/>
          <w:sz w:val="21"/>
          <w:szCs w:val="21"/>
          <w:highlight w:val="none"/>
          <w:u w:val="single" w:color="000000"/>
        </w:rPr>
        <w:t xml:space="preserve">    </w:t>
      </w:r>
      <w:r>
        <w:rPr>
          <w:rStyle w:val="40"/>
          <w:rFonts w:hint="eastAsia" w:ascii="宋体" w:hAnsi="宋体" w:eastAsia="宋体" w:cs="宋体"/>
          <w:color w:val="auto"/>
          <w:kern w:val="0"/>
          <w:sz w:val="21"/>
          <w:szCs w:val="21"/>
          <w:highlight w:val="none"/>
        </w:rPr>
        <w:t>人，营业收入为</w:t>
      </w:r>
      <w:r>
        <w:rPr>
          <w:rStyle w:val="40"/>
          <w:rFonts w:hint="eastAsia" w:ascii="宋体" w:hAnsi="宋体" w:eastAsia="宋体" w:cs="宋体"/>
          <w:color w:val="auto"/>
          <w:kern w:val="0"/>
          <w:sz w:val="21"/>
          <w:szCs w:val="21"/>
          <w:highlight w:val="none"/>
          <w:u w:val="single" w:color="000000"/>
        </w:rPr>
        <w:t xml:space="preserve">    </w:t>
      </w:r>
      <w:r>
        <w:rPr>
          <w:rStyle w:val="40"/>
          <w:rFonts w:hint="eastAsia" w:ascii="宋体" w:hAnsi="宋体" w:eastAsia="宋体" w:cs="宋体"/>
          <w:color w:val="auto"/>
          <w:kern w:val="0"/>
          <w:sz w:val="21"/>
          <w:szCs w:val="21"/>
          <w:highlight w:val="none"/>
        </w:rPr>
        <w:t>万元，资产总额为</w:t>
      </w:r>
      <w:r>
        <w:rPr>
          <w:rStyle w:val="40"/>
          <w:rFonts w:hint="eastAsia" w:ascii="宋体" w:hAnsi="宋体" w:eastAsia="宋体" w:cs="宋体"/>
          <w:color w:val="auto"/>
          <w:kern w:val="0"/>
          <w:sz w:val="21"/>
          <w:szCs w:val="21"/>
          <w:highlight w:val="none"/>
          <w:u w:val="single" w:color="000000"/>
        </w:rPr>
        <w:t xml:space="preserve">    </w:t>
      </w:r>
      <w:r>
        <w:rPr>
          <w:rStyle w:val="40"/>
          <w:rFonts w:hint="eastAsia" w:ascii="宋体" w:hAnsi="宋体" w:eastAsia="宋体" w:cs="宋体"/>
          <w:color w:val="auto"/>
          <w:kern w:val="0"/>
          <w:sz w:val="21"/>
          <w:szCs w:val="21"/>
          <w:highlight w:val="none"/>
        </w:rPr>
        <w:t>万元，属于</w:t>
      </w:r>
      <w:r>
        <w:rPr>
          <w:rStyle w:val="40"/>
          <w:rFonts w:hint="eastAsia" w:ascii="宋体" w:hAnsi="宋体" w:eastAsia="宋体" w:cs="宋体"/>
          <w:color w:val="auto"/>
          <w:kern w:val="0"/>
          <w:sz w:val="21"/>
          <w:szCs w:val="21"/>
          <w:highlight w:val="none"/>
          <w:u w:val="single" w:color="000000"/>
        </w:rPr>
        <w:t>（中型企业、 小型企业、微型企业）</w:t>
      </w:r>
      <w:r>
        <w:rPr>
          <w:rStyle w:val="40"/>
          <w:rFonts w:hint="eastAsia" w:ascii="宋体" w:hAnsi="宋体" w:eastAsia="宋体" w:cs="宋体"/>
          <w:color w:val="auto"/>
          <w:kern w:val="0"/>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以上企业，不属于大企业的分支机构，不存在控股股东 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本企业对上述声明内容的真实性负责。如有虚假，将依法承担相应责任。 </w:t>
      </w:r>
    </w:p>
    <w:p>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p>
    <w:p>
      <w:pPr>
        <w:widowControl/>
        <w:ind w:firstLine="3990" w:firstLineChars="19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pStyle w:val="11"/>
        <w:spacing w:line="300" w:lineRule="exact"/>
        <w:ind w:left="2940" w:leftChars="1400" w:firstLine="630" w:firstLineChars="300"/>
        <w:rPr>
          <w:rFonts w:hint="eastAsia" w:ascii="宋体" w:hAnsi="宋体" w:eastAsia="宋体" w:cs="宋体"/>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firstLine="3570" w:firstLineChars="17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color w:val="auto"/>
          <w:sz w:val="21"/>
          <w:szCs w:val="21"/>
          <w:highlight w:val="none"/>
        </w:rPr>
      </w:pPr>
    </w:p>
    <w:p>
      <w:pPr>
        <w:pStyle w:val="16"/>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备注：供应商应按照</w:t>
      </w:r>
      <w:r>
        <w:rPr>
          <w:rFonts w:hint="eastAsia" w:ascii="宋体" w:hAnsi="宋体" w:eastAsia="宋体" w:cs="宋体"/>
          <w:b/>
          <w:color w:val="auto"/>
          <w:sz w:val="21"/>
          <w:szCs w:val="21"/>
          <w:highlight w:val="none"/>
          <w:lang w:val="en-US" w:eastAsia="zh-CN"/>
        </w:rPr>
        <w:t>中小微型企业划分标准按照《国家统计局关于印发《统计上大中小微型企业划分办法〔2017〕》的通知》（国统字〔2017〕213号）</w:t>
      </w:r>
      <w:r>
        <w:rPr>
          <w:rFonts w:hint="eastAsia" w:ascii="宋体" w:hAnsi="宋体" w:eastAsia="宋体" w:cs="宋体"/>
          <w:b/>
          <w:color w:val="auto"/>
          <w:sz w:val="21"/>
          <w:szCs w:val="21"/>
          <w:highlight w:val="none"/>
        </w:rPr>
        <w:t>的划分标准进行如实申明，如提供虚假申明应依法承担相应法律责任。如成交人为小型和微型企业的，</w:t>
      </w:r>
      <w:r>
        <w:rPr>
          <w:rFonts w:hint="eastAsia" w:ascii="宋体" w:hAnsi="宋体" w:eastAsia="宋体" w:cs="宋体"/>
          <w:b/>
          <w:color w:val="auto"/>
          <w:sz w:val="21"/>
          <w:szCs w:val="21"/>
          <w:highlight w:val="none"/>
          <w:lang w:val="en-US" w:eastAsia="zh-CN"/>
        </w:rPr>
        <w:t>成交</w:t>
      </w:r>
      <w:r>
        <w:rPr>
          <w:rFonts w:hint="eastAsia" w:ascii="宋体" w:hAnsi="宋体" w:eastAsia="宋体" w:cs="宋体"/>
          <w:b/>
          <w:color w:val="auto"/>
          <w:sz w:val="21"/>
          <w:szCs w:val="21"/>
          <w:highlight w:val="none"/>
        </w:rPr>
        <w:t>结果将同时公告（或成交人的《中小企业声明函》，接受社会监督。</w:t>
      </w:r>
    </w:p>
    <w:p>
      <w:pPr>
        <w:rPr>
          <w:rStyle w:val="40"/>
          <w:rFonts w:hint="eastAsia" w:ascii="宋体" w:hAnsi="宋体" w:eastAsia="宋体" w:cs="宋体"/>
          <w:b/>
          <w:bCs/>
          <w:color w:val="auto"/>
          <w:sz w:val="21"/>
          <w:szCs w:val="21"/>
          <w:highlight w:val="none"/>
        </w:rPr>
      </w:pPr>
      <w:r>
        <w:rPr>
          <w:rStyle w:val="40"/>
          <w:rFonts w:hint="eastAsia" w:ascii="宋体" w:hAnsi="宋体" w:eastAsia="宋体" w:cs="宋体"/>
          <w:b/>
          <w:bCs/>
          <w:color w:val="auto"/>
          <w:sz w:val="21"/>
          <w:szCs w:val="21"/>
          <w:highlight w:val="none"/>
        </w:rPr>
        <w:t>附表</w:t>
      </w:r>
    </w:p>
    <w:p>
      <w:pPr>
        <w:spacing w:before="120" w:after="120" w:line="400" w:lineRule="exact"/>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统计上大中小微型企业划分标准</w:t>
      </w:r>
    </w:p>
    <w:tbl>
      <w:tblPr>
        <w:tblStyle w:val="18"/>
        <w:tblW w:w="943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3"/>
        <w:gridCol w:w="1369"/>
        <w:gridCol w:w="709"/>
        <w:gridCol w:w="1125"/>
        <w:gridCol w:w="1701"/>
        <w:gridCol w:w="1426"/>
        <w:gridCol w:w="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blHeader/>
        </w:trPr>
        <w:tc>
          <w:tcPr>
            <w:tcW w:w="2113" w:type="dxa"/>
            <w:tcBorders>
              <w:top w:val="single" w:color="000000" w:sz="4" w:space="0"/>
              <w:left w:val="single" w:color="000000" w:sz="4" w:space="0"/>
              <w:bottom w:val="single" w:color="000000" w:sz="4" w:space="0"/>
              <w:right w:val="single" w:color="000000" w:sz="4" w:space="0"/>
            </w:tcBorders>
            <w:shd w:val="clear" w:color="auto" w:fill="8DB3E2"/>
            <w:vAlign w:val="center"/>
          </w:tcPr>
          <w:p>
            <w:pPr>
              <w:spacing w:line="240" w:lineRule="exact"/>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行业名称</w:t>
            </w:r>
          </w:p>
        </w:tc>
        <w:tc>
          <w:tcPr>
            <w:tcW w:w="1369" w:type="dxa"/>
            <w:tcBorders>
              <w:top w:val="single" w:color="000000" w:sz="4" w:space="0"/>
              <w:left w:val="single" w:color="000000" w:sz="4" w:space="0"/>
              <w:bottom w:val="single" w:color="000000" w:sz="4" w:space="0"/>
              <w:right w:val="single" w:color="000000" w:sz="4" w:space="0"/>
            </w:tcBorders>
            <w:shd w:val="clear" w:color="auto" w:fill="8DB3E2"/>
            <w:vAlign w:val="center"/>
          </w:tcPr>
          <w:p>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指标名称</w:t>
            </w:r>
          </w:p>
        </w:tc>
        <w:tc>
          <w:tcPr>
            <w:tcW w:w="709" w:type="dxa"/>
            <w:tcBorders>
              <w:top w:val="single" w:color="000000" w:sz="4" w:space="0"/>
              <w:left w:val="single" w:color="000000" w:sz="4" w:space="0"/>
              <w:bottom w:val="single" w:color="000000" w:sz="4" w:space="0"/>
              <w:right w:val="single" w:color="000000" w:sz="4" w:space="0"/>
            </w:tcBorders>
            <w:shd w:val="clear" w:color="auto" w:fill="8DB3E2"/>
            <w:vAlign w:val="center"/>
          </w:tcPr>
          <w:p>
            <w:pPr>
              <w:jc w:val="center"/>
              <w:rPr>
                <w:rStyle w:val="40"/>
                <w:rFonts w:hint="eastAsia" w:ascii="宋体" w:hAnsi="宋体" w:eastAsia="宋体" w:cs="宋体"/>
                <w:b/>
                <w:bCs/>
                <w:color w:val="auto"/>
                <w:kern w:val="0"/>
                <w:sz w:val="21"/>
                <w:szCs w:val="21"/>
                <w:highlight w:val="none"/>
                <w:lang w:eastAsia="zh-CN"/>
              </w:rPr>
            </w:pPr>
            <w:r>
              <w:rPr>
                <w:rStyle w:val="40"/>
                <w:rFonts w:hint="eastAsia" w:ascii="宋体" w:hAnsi="宋体" w:eastAsia="宋体" w:cs="宋体"/>
                <w:b/>
                <w:bCs/>
                <w:color w:val="auto"/>
                <w:kern w:val="0"/>
                <w:sz w:val="21"/>
                <w:szCs w:val="21"/>
                <w:highlight w:val="none"/>
              </w:rPr>
              <w:t>计量</w:t>
            </w:r>
          </w:p>
          <w:p>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单位</w:t>
            </w:r>
          </w:p>
        </w:tc>
        <w:tc>
          <w:tcPr>
            <w:tcW w:w="1125" w:type="dxa"/>
            <w:tcBorders>
              <w:top w:val="single" w:color="000000" w:sz="4" w:space="0"/>
              <w:left w:val="single" w:color="000000" w:sz="4" w:space="0"/>
              <w:bottom w:val="single" w:color="000000" w:sz="4" w:space="0"/>
              <w:right w:val="single" w:color="000000" w:sz="4" w:space="0"/>
            </w:tcBorders>
            <w:shd w:val="clear" w:color="auto" w:fill="8DB3E2"/>
            <w:vAlign w:val="center"/>
          </w:tcPr>
          <w:p>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大型</w:t>
            </w:r>
          </w:p>
        </w:tc>
        <w:tc>
          <w:tcPr>
            <w:tcW w:w="1701" w:type="dxa"/>
            <w:tcBorders>
              <w:top w:val="single" w:color="000000" w:sz="4" w:space="0"/>
              <w:left w:val="single" w:color="000000" w:sz="4" w:space="0"/>
              <w:bottom w:val="single" w:color="000000" w:sz="4" w:space="0"/>
              <w:right w:val="single" w:color="000000" w:sz="4" w:space="0"/>
            </w:tcBorders>
            <w:shd w:val="clear" w:color="auto" w:fill="8DB3E2"/>
            <w:vAlign w:val="center"/>
          </w:tcPr>
          <w:p>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中型</w:t>
            </w:r>
          </w:p>
        </w:tc>
        <w:tc>
          <w:tcPr>
            <w:tcW w:w="1426" w:type="dxa"/>
            <w:tcBorders>
              <w:top w:val="single" w:color="000000" w:sz="4" w:space="0"/>
              <w:left w:val="single" w:color="000000" w:sz="4" w:space="0"/>
              <w:bottom w:val="single" w:color="000000" w:sz="4" w:space="0"/>
              <w:right w:val="single" w:color="000000" w:sz="4" w:space="0"/>
            </w:tcBorders>
            <w:shd w:val="clear" w:color="auto" w:fill="8DB3E2"/>
            <w:vAlign w:val="center"/>
          </w:tcPr>
          <w:p>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小型</w:t>
            </w:r>
          </w:p>
        </w:tc>
        <w:tc>
          <w:tcPr>
            <w:tcW w:w="992" w:type="dxa"/>
            <w:tcBorders>
              <w:top w:val="single" w:color="000000" w:sz="4" w:space="0"/>
              <w:left w:val="single" w:color="000000" w:sz="4" w:space="0"/>
              <w:bottom w:val="single" w:color="000000" w:sz="4" w:space="0"/>
              <w:right w:val="single" w:color="000000" w:sz="4" w:space="0"/>
            </w:tcBorders>
            <w:shd w:val="clear" w:color="auto" w:fill="8DB3E2"/>
            <w:vAlign w:val="center"/>
          </w:tcPr>
          <w:p>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微型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农、林、牧、渔业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50≤Y＜500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工业 *</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2000≤Y＜40000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300≤Y＜2000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建筑业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Y≥80000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6000≤Y＜80000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300≤Y＜6000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Z≥80000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5000≤Z＜80000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300≤Z＜5000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批发业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20≤X＜200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5≤X＜20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5000≤Y＜40000</w:t>
            </w:r>
          </w:p>
        </w:tc>
        <w:tc>
          <w:tcPr>
            <w:tcW w:w="1426" w:type="dxa"/>
            <w:tcBorders>
              <w:top w:val="single" w:color="000000" w:sz="4" w:space="0"/>
              <w:left w:val="single" w:color="000000" w:sz="4" w:space="0"/>
              <w:bottom w:val="single" w:color="000000" w:sz="4" w:space="0"/>
              <w:right w:val="single" w:color="000000" w:sz="4" w:space="0"/>
            </w:tcBorders>
            <w:vAlign w:val="center"/>
          </w:tcPr>
          <w:p>
            <w:pPr>
              <w:ind w:left="-1" w:leftChars="-1" w:hanging="1"/>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1000≤Y＜5000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零售业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50≤X＜300</w:t>
            </w:r>
          </w:p>
        </w:tc>
        <w:tc>
          <w:tcPr>
            <w:tcW w:w="1426" w:type="dxa"/>
            <w:tcBorders>
              <w:top w:val="single" w:color="000000" w:sz="4" w:space="0"/>
              <w:left w:val="single" w:color="000000" w:sz="4" w:space="0"/>
              <w:bottom w:val="single" w:color="000000" w:sz="4" w:space="0"/>
              <w:right w:val="single" w:color="000000" w:sz="4" w:space="0"/>
            </w:tcBorders>
            <w:vAlign w:val="center"/>
          </w:tcPr>
          <w:p>
            <w:pPr>
              <w:ind w:left="-1" w:leftChars="-1" w:hanging="1"/>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10≤X＜50 </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pPr>
              <w:ind w:left="-1" w:leftChars="-1" w:hanging="1"/>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100≤Y＜500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交通运输业 *</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3000≤Y＜30000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200≤Y＜3000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仓储业*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100≤X＜200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20≤X＜100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1000≤Y＜30000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邮政业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2000≤Y＜30000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住宿业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餐饮业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信息传输业 *</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100≤X＜2000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1000≤Y＜100000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spacing w:val="-12"/>
                <w:kern w:val="0"/>
                <w:sz w:val="21"/>
                <w:szCs w:val="21"/>
                <w:highlight w:val="none"/>
              </w:rPr>
            </w:pPr>
            <w:r>
              <w:rPr>
                <w:rStyle w:val="40"/>
                <w:rFonts w:hint="eastAsia" w:ascii="宋体" w:hAnsi="宋体" w:eastAsia="宋体" w:cs="宋体"/>
                <w:color w:val="auto"/>
                <w:spacing w:val="-12"/>
                <w:kern w:val="0"/>
                <w:sz w:val="21"/>
                <w:szCs w:val="21"/>
                <w:highlight w:val="none"/>
              </w:rPr>
              <w:t>软件和信息技术服</w:t>
            </w:r>
            <w:r>
              <w:rPr>
                <w:rStyle w:val="40"/>
                <w:rFonts w:hint="eastAsia" w:ascii="宋体" w:hAnsi="宋体" w:eastAsia="宋体" w:cs="宋体"/>
                <w:color w:val="auto"/>
                <w:kern w:val="0"/>
                <w:sz w:val="21"/>
                <w:szCs w:val="21"/>
                <w:highlight w:val="none"/>
              </w:rPr>
              <w:t>务业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spacing w:val="-12"/>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1000≤Y＜10000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50≤Y＜1000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房地产开发经营</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1000≤Y＜200000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Z≥10000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5000≤Z＜10000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2000≤Z＜5000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物业管理</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Y≥5000</w:t>
            </w:r>
          </w:p>
        </w:tc>
        <w:tc>
          <w:tcPr>
            <w:tcW w:w="1701" w:type="dxa"/>
            <w:tcBorders>
              <w:top w:val="single" w:color="000000" w:sz="4" w:space="0"/>
              <w:left w:val="single" w:color="000000" w:sz="4" w:space="0"/>
              <w:bottom w:val="single" w:color="000000" w:sz="4" w:space="0"/>
              <w:right w:val="single" w:color="000000" w:sz="4" w:space="0"/>
            </w:tcBorders>
            <w:vAlign w:val="center"/>
          </w:tcPr>
          <w:p>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1000≤Y＜5000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500≤Y＜1000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租赁和商务服务业</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Z≥120000</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8000≤Z＜120000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100≤Z＜8000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其他未列明行业 *</w:t>
            </w:r>
          </w:p>
        </w:tc>
        <w:tc>
          <w:tcPr>
            <w:tcW w:w="136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bl>
    <w:p>
      <w:pPr>
        <w:spacing w:line="540" w:lineRule="exact"/>
        <w:rPr>
          <w:rStyle w:val="40"/>
          <w:rFonts w:hint="eastAsia" w:ascii="宋体" w:hAnsi="宋体" w:eastAsia="宋体" w:cs="宋体"/>
          <w:color w:val="auto"/>
          <w:spacing w:val="8"/>
          <w:kern w:val="0"/>
          <w:sz w:val="21"/>
          <w:szCs w:val="21"/>
          <w:highlight w:val="none"/>
        </w:rPr>
      </w:pPr>
    </w:p>
    <w:p>
      <w:pPr>
        <w:spacing w:line="540" w:lineRule="exact"/>
        <w:rPr>
          <w:rStyle w:val="40"/>
          <w:rFonts w:hint="eastAsia" w:ascii="宋体" w:hAnsi="宋体" w:eastAsia="宋体" w:cs="宋体"/>
          <w:color w:val="auto"/>
          <w:spacing w:val="8"/>
          <w:kern w:val="0"/>
          <w:sz w:val="21"/>
          <w:szCs w:val="21"/>
          <w:highlight w:val="none"/>
        </w:rPr>
      </w:pPr>
      <w:r>
        <w:rPr>
          <w:rStyle w:val="40"/>
          <w:rFonts w:hint="eastAsia" w:ascii="宋体" w:hAnsi="宋体" w:eastAsia="宋体" w:cs="宋体"/>
          <w:color w:val="auto"/>
          <w:spacing w:val="8"/>
          <w:kern w:val="0"/>
          <w:sz w:val="21"/>
          <w:szCs w:val="21"/>
          <w:highlight w:val="none"/>
        </w:rPr>
        <w:t>说明：</w:t>
      </w:r>
    </w:p>
    <w:p>
      <w:pPr>
        <w:pStyle w:val="42"/>
        <w:spacing w:line="380" w:lineRule="exact"/>
        <w:ind w:firstLine="452" w:firstLineChars="200"/>
        <w:rPr>
          <w:rStyle w:val="40"/>
          <w:rFonts w:hint="eastAsia" w:ascii="宋体" w:hAnsi="宋体" w:eastAsia="宋体" w:cs="宋体"/>
          <w:color w:val="auto"/>
          <w:spacing w:val="8"/>
          <w:sz w:val="21"/>
          <w:szCs w:val="21"/>
          <w:highlight w:val="none"/>
        </w:rPr>
      </w:pPr>
      <w:r>
        <w:rPr>
          <w:rStyle w:val="40"/>
          <w:rFonts w:hint="eastAsia" w:ascii="宋体" w:hAnsi="宋体" w:eastAsia="宋体" w:cs="宋体"/>
          <w:color w:val="auto"/>
          <w:spacing w:val="8"/>
          <w:sz w:val="21"/>
          <w:szCs w:val="21"/>
          <w:highlight w:val="none"/>
        </w:rPr>
        <w:t>1.大型、中型和小型企业须同时满足所列指标的下限，否则下划一档；微型企业只须满足所列指标中的一项即可。</w:t>
      </w:r>
    </w:p>
    <w:p>
      <w:pPr>
        <w:pStyle w:val="42"/>
        <w:spacing w:line="380" w:lineRule="exact"/>
        <w:ind w:firstLine="452" w:firstLineChars="200"/>
        <w:rPr>
          <w:rStyle w:val="40"/>
          <w:rFonts w:hint="eastAsia" w:ascii="宋体" w:hAnsi="宋体" w:eastAsia="宋体" w:cs="宋体"/>
          <w:color w:val="auto"/>
          <w:spacing w:val="8"/>
          <w:sz w:val="21"/>
          <w:szCs w:val="21"/>
          <w:highlight w:val="none"/>
        </w:rPr>
      </w:pPr>
      <w:r>
        <w:rPr>
          <w:rStyle w:val="40"/>
          <w:rFonts w:hint="eastAsia" w:ascii="宋体" w:hAnsi="宋体" w:eastAsia="宋体" w:cs="宋体"/>
          <w:color w:val="auto"/>
          <w:spacing w:val="8"/>
          <w:sz w:val="21"/>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pStyle w:val="11"/>
        <w:spacing w:line="340" w:lineRule="exact"/>
        <w:rPr>
          <w:rFonts w:hint="eastAsia" w:ascii="宋体" w:hAnsi="宋体" w:eastAsia="宋体" w:cs="宋体"/>
          <w:b/>
          <w:color w:val="auto"/>
          <w:sz w:val="21"/>
          <w:szCs w:val="21"/>
          <w:highlight w:val="none"/>
          <w:lang w:val="en-US" w:eastAsia="zh-CN"/>
        </w:rPr>
      </w:pPr>
      <w:r>
        <w:rPr>
          <w:rStyle w:val="40"/>
          <w:rFonts w:hint="eastAsia" w:ascii="宋体" w:hAnsi="宋体" w:eastAsia="宋体" w:cs="宋体"/>
          <w:color w:val="auto"/>
          <w:spacing w:val="8"/>
          <w:sz w:val="21"/>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pStyle w:val="11"/>
        <w:spacing w:line="340" w:lineRule="exact"/>
        <w:rPr>
          <w:rFonts w:hint="eastAsia" w:ascii="宋体" w:hAnsi="宋体" w:eastAsia="宋体" w:cs="宋体"/>
          <w:b/>
          <w:color w:val="auto"/>
          <w:sz w:val="21"/>
          <w:szCs w:val="21"/>
          <w:highlight w:val="none"/>
          <w:lang w:val="en-US" w:eastAsia="zh-CN"/>
        </w:rPr>
      </w:pPr>
    </w:p>
    <w:p>
      <w:pPr>
        <w:pStyle w:val="5"/>
        <w:rPr>
          <w:rFonts w:hint="eastAsia" w:ascii="宋体" w:hAnsi="宋体" w:eastAsia="宋体" w:cs="宋体"/>
          <w:b/>
          <w:color w:val="auto"/>
          <w:sz w:val="21"/>
          <w:szCs w:val="21"/>
          <w:highlight w:val="none"/>
          <w:lang w:val="en-US" w:eastAsia="zh-CN"/>
        </w:rPr>
      </w:pPr>
    </w:p>
    <w:p>
      <w:pPr>
        <w:spacing w:line="240" w:lineRule="auto"/>
        <w:rPr>
          <w:rFonts w:hint="eastAsia" w:ascii="宋体" w:hAnsi="宋体" w:eastAsia="宋体" w:cs="宋体"/>
          <w:b/>
          <w:bCs/>
          <w:iCs/>
          <w:color w:val="auto"/>
          <w:kern w:val="2"/>
          <w:sz w:val="21"/>
          <w:szCs w:val="21"/>
          <w:highlight w:val="none"/>
          <w:lang w:val="en-US" w:eastAsia="zh-CN" w:bidi="ar-SA"/>
        </w:rPr>
      </w:pPr>
    </w:p>
    <w:p>
      <w:pPr>
        <w:spacing w:line="240" w:lineRule="auto"/>
        <w:rPr>
          <w:rFonts w:hint="eastAsia" w:ascii="宋体" w:hAnsi="宋体" w:eastAsia="宋体" w:cs="宋体"/>
          <w:b/>
          <w:bCs/>
          <w:iCs/>
          <w:color w:val="auto"/>
          <w:kern w:val="2"/>
          <w:sz w:val="21"/>
          <w:szCs w:val="21"/>
          <w:highlight w:val="none"/>
          <w:lang w:val="en-US" w:eastAsia="zh-CN" w:bidi="ar-SA"/>
        </w:rPr>
      </w:pPr>
    </w:p>
    <w:p>
      <w:pPr>
        <w:spacing w:line="240" w:lineRule="auto"/>
        <w:rPr>
          <w:rFonts w:hint="eastAsia" w:ascii="宋体" w:hAnsi="宋体" w:eastAsia="宋体" w:cs="宋体"/>
          <w:b/>
          <w:bCs/>
          <w:iCs/>
          <w:color w:val="auto"/>
          <w:kern w:val="2"/>
          <w:sz w:val="21"/>
          <w:szCs w:val="21"/>
          <w:highlight w:val="none"/>
          <w:lang w:val="en-US" w:eastAsia="zh-CN" w:bidi="ar-SA"/>
        </w:rPr>
      </w:pPr>
    </w:p>
    <w:p>
      <w:pPr>
        <w:pStyle w:val="8"/>
        <w:rPr>
          <w:rFonts w:hint="eastAsia"/>
          <w:color w:val="auto"/>
          <w:highlight w:val="none"/>
          <w:lang w:val="en-US" w:eastAsia="zh-CN"/>
        </w:rPr>
      </w:pPr>
    </w:p>
    <w:p>
      <w:pPr>
        <w:tabs>
          <w:tab w:val="left" w:pos="1305"/>
        </w:tabs>
        <w:spacing w:line="380" w:lineRule="exact"/>
        <w:rPr>
          <w:rFonts w:hint="eastAsia" w:ascii="宋体" w:hAnsi="宋体" w:eastAsia="宋体" w:cs="宋体"/>
          <w:b/>
          <w:bCs/>
          <w:color w:val="auto"/>
          <w:kern w:val="0"/>
          <w:sz w:val="21"/>
          <w:szCs w:val="21"/>
          <w:highlight w:val="none"/>
        </w:rPr>
      </w:pPr>
    </w:p>
    <w:p>
      <w:pPr>
        <w:spacing w:line="588" w:lineRule="exact"/>
        <w:jc w:val="center"/>
        <w:rPr>
          <w:rFonts w:hint="eastAsia" w:ascii="宋体" w:hAnsi="宋体" w:eastAsia="宋体" w:cs="宋体"/>
          <w:b/>
          <w:color w:val="auto"/>
          <w:kern w:val="0"/>
          <w:sz w:val="21"/>
          <w:szCs w:val="21"/>
          <w:highlight w:val="none"/>
          <w:lang w:eastAsia="zh-CN"/>
        </w:rPr>
      </w:pPr>
      <w:bookmarkStart w:id="849" w:name="OLE_LINK14"/>
      <w:bookmarkStart w:id="850" w:name="OLE_LINK13"/>
    </w:p>
    <w:p>
      <w:pPr>
        <w:spacing w:line="588" w:lineRule="exact"/>
        <w:jc w:val="center"/>
        <w:rPr>
          <w:rFonts w:hint="eastAsia" w:ascii="宋体" w:hAnsi="宋体" w:eastAsia="宋体" w:cs="宋体"/>
          <w:b/>
          <w:color w:val="auto"/>
          <w:kern w:val="0"/>
          <w:sz w:val="21"/>
          <w:szCs w:val="21"/>
          <w:highlight w:val="none"/>
          <w:lang w:eastAsia="zh-CN"/>
        </w:rPr>
      </w:pPr>
    </w:p>
    <w:p>
      <w:pPr>
        <w:spacing w:line="588" w:lineRule="exact"/>
        <w:jc w:val="center"/>
        <w:rPr>
          <w:rFonts w:hint="eastAsia" w:ascii="宋体" w:hAnsi="宋体" w:eastAsia="宋体" w:cs="宋体"/>
          <w:b/>
          <w:color w:val="auto"/>
          <w:kern w:val="0"/>
          <w:sz w:val="21"/>
          <w:szCs w:val="21"/>
          <w:highlight w:val="none"/>
          <w:lang w:eastAsia="zh-CN"/>
        </w:rPr>
      </w:pPr>
    </w:p>
    <w:p>
      <w:pPr>
        <w:spacing w:line="588" w:lineRule="exact"/>
        <w:jc w:val="center"/>
        <w:rPr>
          <w:rFonts w:hint="eastAsia" w:ascii="宋体" w:hAnsi="宋体" w:eastAsia="宋体" w:cs="宋体"/>
          <w:b/>
          <w:color w:val="auto"/>
          <w:kern w:val="0"/>
          <w:sz w:val="21"/>
          <w:szCs w:val="21"/>
          <w:highlight w:val="none"/>
          <w:lang w:eastAsia="zh-CN"/>
        </w:rPr>
      </w:pPr>
    </w:p>
    <w:p>
      <w:pPr>
        <w:spacing w:line="588" w:lineRule="exact"/>
        <w:jc w:val="center"/>
        <w:rPr>
          <w:rFonts w:hint="eastAsia" w:ascii="宋体" w:hAnsi="宋体" w:eastAsia="宋体" w:cs="宋体"/>
          <w:b/>
          <w:color w:val="auto"/>
          <w:kern w:val="0"/>
          <w:sz w:val="21"/>
          <w:szCs w:val="21"/>
          <w:highlight w:val="none"/>
          <w:lang w:eastAsia="zh-CN"/>
        </w:rPr>
      </w:pPr>
    </w:p>
    <w:p>
      <w:pPr>
        <w:spacing w:line="588" w:lineRule="exact"/>
        <w:jc w:val="center"/>
        <w:rPr>
          <w:rFonts w:hint="eastAsia" w:ascii="宋体" w:hAnsi="宋体" w:eastAsia="宋体" w:cs="宋体"/>
          <w:b/>
          <w:color w:val="auto"/>
          <w:kern w:val="0"/>
          <w:sz w:val="21"/>
          <w:szCs w:val="21"/>
          <w:highlight w:val="none"/>
          <w:lang w:eastAsia="zh-CN"/>
        </w:rPr>
      </w:pPr>
    </w:p>
    <w:p>
      <w:pPr>
        <w:spacing w:line="588" w:lineRule="exact"/>
        <w:jc w:val="center"/>
        <w:rPr>
          <w:rFonts w:hint="eastAsia" w:ascii="宋体" w:hAnsi="宋体" w:eastAsia="宋体" w:cs="宋体"/>
          <w:b/>
          <w:color w:val="auto"/>
          <w:kern w:val="0"/>
          <w:sz w:val="21"/>
          <w:szCs w:val="21"/>
          <w:highlight w:val="none"/>
          <w:lang w:eastAsia="zh-CN"/>
        </w:rPr>
      </w:pPr>
    </w:p>
    <w:p>
      <w:pPr>
        <w:spacing w:line="588" w:lineRule="exact"/>
        <w:jc w:val="center"/>
        <w:rPr>
          <w:rFonts w:hint="eastAsia" w:ascii="宋体" w:hAnsi="宋体" w:eastAsia="宋体" w:cs="宋体"/>
          <w:b/>
          <w:color w:val="auto"/>
          <w:kern w:val="0"/>
          <w:sz w:val="21"/>
          <w:szCs w:val="21"/>
          <w:highlight w:val="none"/>
          <w:lang w:eastAsia="zh-CN"/>
        </w:rPr>
      </w:pPr>
    </w:p>
    <w:p>
      <w:pPr>
        <w:spacing w:line="588"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lang w:val="en-US" w:eastAsia="zh-CN"/>
        </w:rPr>
        <w:t>2</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残疾人福利性单位声明函（格式）</w:t>
      </w:r>
    </w:p>
    <w:bookmarkEnd w:id="849"/>
    <w:bookmarkEnd w:id="850"/>
    <w:p>
      <w:pPr>
        <w:spacing w:line="588" w:lineRule="exact"/>
        <w:rPr>
          <w:rFonts w:hint="eastAsia" w:ascii="宋体" w:hAnsi="宋体" w:eastAsia="宋体" w:cs="宋体"/>
          <w:b/>
          <w:color w:val="auto"/>
          <w:kern w:val="0"/>
          <w:sz w:val="21"/>
          <w:szCs w:val="21"/>
          <w:highlight w:val="none"/>
        </w:rPr>
      </w:pPr>
    </w:p>
    <w:p>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本单位对上述声明的真实性负责。如有虚假，将依法承担相应责任。</w:t>
      </w:r>
    </w:p>
    <w:p>
      <w:pPr>
        <w:spacing w:line="588" w:lineRule="exact"/>
        <w:ind w:firstLine="420" w:firstLineChars="200"/>
        <w:rPr>
          <w:rFonts w:hint="eastAsia" w:ascii="宋体" w:hAnsi="宋体" w:eastAsia="宋体" w:cs="宋体"/>
          <w:color w:val="auto"/>
          <w:kern w:val="0"/>
          <w:sz w:val="21"/>
          <w:szCs w:val="21"/>
          <w:highlight w:val="none"/>
        </w:rPr>
      </w:pPr>
    </w:p>
    <w:p>
      <w:pPr>
        <w:widowControl/>
        <w:ind w:firstLine="2310" w:firstLineChars="11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pPr>
        <w:pStyle w:val="11"/>
        <w:spacing w:line="300" w:lineRule="exact"/>
        <w:ind w:left="2940" w:leftChars="1400" w:firstLine="630" w:firstLineChars="300"/>
        <w:rPr>
          <w:rFonts w:hint="eastAsia" w:ascii="宋体" w:hAnsi="宋体" w:eastAsia="宋体" w:cs="宋体"/>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tabs>
          <w:tab w:val="left" w:pos="1305"/>
        </w:tabs>
        <w:kinsoku/>
        <w:wordWrap/>
        <w:overflowPunct/>
        <w:topLinePunct w:val="0"/>
        <w:autoSpaceDE/>
        <w:autoSpaceDN/>
        <w:bidi w:val="0"/>
        <w:adjustRightInd/>
        <w:snapToGrid/>
        <w:spacing w:line="360" w:lineRule="exact"/>
        <w:ind w:left="0" w:leftChars="0" w:right="0" w:firstLine="420" w:firstLineChars="200"/>
        <w:textAlignment w:val="auto"/>
        <w:rPr>
          <w:rFonts w:hint="eastAsia" w:ascii="宋体" w:hAnsi="宋体" w:eastAsia="宋体" w:cs="宋体"/>
          <w:b w:val="0"/>
          <w:bCs/>
          <w:color w:val="auto"/>
          <w:kern w:val="0"/>
          <w:sz w:val="21"/>
          <w:szCs w:val="21"/>
          <w:highlight w:val="none"/>
          <w:lang w:val="en-US" w:eastAsia="zh-CN"/>
        </w:rPr>
      </w:pPr>
    </w:p>
    <w:p>
      <w:pPr>
        <w:spacing w:line="240" w:lineRule="auto"/>
        <w:rPr>
          <w:rFonts w:hint="eastAsia" w:ascii="宋体" w:hAnsi="宋体" w:eastAsia="宋体" w:cs="宋体"/>
          <w:b/>
          <w:bCs/>
          <w:iCs/>
          <w:color w:val="auto"/>
          <w:kern w:val="2"/>
          <w:sz w:val="21"/>
          <w:szCs w:val="21"/>
          <w:highlight w:val="none"/>
          <w:lang w:val="en-US" w:eastAsia="zh-CN" w:bidi="ar-SA"/>
        </w:rPr>
      </w:pPr>
    </w:p>
    <w:p>
      <w:pPr>
        <w:pStyle w:val="3"/>
        <w:rPr>
          <w:rFonts w:hint="eastAsia" w:ascii="宋体" w:hAnsi="宋体" w:eastAsia="宋体" w:cs="宋体"/>
          <w:b/>
          <w:bCs/>
          <w:iCs/>
          <w:color w:val="auto"/>
          <w:kern w:val="2"/>
          <w:sz w:val="21"/>
          <w:szCs w:val="21"/>
          <w:highlight w:val="none"/>
          <w:lang w:val="en-US" w:eastAsia="zh-CN" w:bidi="ar-SA"/>
        </w:rPr>
      </w:pPr>
    </w:p>
    <w:p>
      <w:pPr>
        <w:rPr>
          <w:rFonts w:hint="eastAsia"/>
          <w:color w:val="auto"/>
          <w:highlight w:val="none"/>
          <w:lang w:val="en-US" w:eastAsia="zh-CN"/>
        </w:rPr>
      </w:pPr>
    </w:p>
    <w:p>
      <w:pPr>
        <w:spacing w:line="240" w:lineRule="auto"/>
        <w:rPr>
          <w:rFonts w:hint="eastAsia" w:ascii="宋体" w:hAnsi="宋体" w:cs="宋体"/>
          <w:b/>
          <w:bCs/>
          <w:iCs/>
          <w:color w:val="auto"/>
          <w:kern w:val="2"/>
          <w:sz w:val="21"/>
          <w:szCs w:val="21"/>
          <w:highlight w:val="none"/>
          <w:lang w:val="en-US" w:eastAsia="zh-CN" w:bidi="ar-SA"/>
        </w:rPr>
      </w:pPr>
    </w:p>
    <w:p>
      <w:pPr>
        <w:spacing w:line="240" w:lineRule="auto"/>
        <w:rPr>
          <w:rFonts w:hint="eastAsia" w:ascii="宋体" w:hAnsi="宋体" w:cs="宋体"/>
          <w:b/>
          <w:bCs/>
          <w:iCs/>
          <w:color w:val="auto"/>
          <w:kern w:val="2"/>
          <w:sz w:val="21"/>
          <w:szCs w:val="21"/>
          <w:highlight w:val="none"/>
          <w:lang w:val="en-US" w:eastAsia="zh-CN" w:bidi="ar-SA"/>
        </w:rPr>
      </w:pPr>
    </w:p>
    <w:p>
      <w:pPr>
        <w:spacing w:line="240" w:lineRule="auto"/>
        <w:jc w:val="center"/>
        <w:rPr>
          <w:rFonts w:hint="eastAsia" w:ascii="宋体" w:hAnsi="宋体" w:eastAsia="宋体" w:cs="宋体"/>
          <w:b/>
          <w:color w:val="auto"/>
          <w:spacing w:val="6"/>
          <w:sz w:val="21"/>
          <w:szCs w:val="21"/>
          <w:highlight w:val="none"/>
        </w:rPr>
      </w:pPr>
      <w:r>
        <w:rPr>
          <w:rFonts w:hint="eastAsia" w:ascii="宋体" w:hAnsi="宋体" w:cs="宋体"/>
          <w:b/>
          <w:bCs/>
          <w:iCs/>
          <w:color w:val="auto"/>
          <w:kern w:val="2"/>
          <w:sz w:val="21"/>
          <w:szCs w:val="21"/>
          <w:highlight w:val="none"/>
          <w:lang w:val="en-US" w:eastAsia="zh-CN" w:bidi="ar-SA"/>
        </w:rPr>
        <w:t>（3）</w:t>
      </w:r>
      <w:r>
        <w:rPr>
          <w:rFonts w:hint="eastAsia" w:ascii="宋体" w:hAnsi="宋体" w:eastAsia="宋体" w:cs="宋体"/>
          <w:b/>
          <w:color w:val="auto"/>
          <w:sz w:val="21"/>
          <w:szCs w:val="21"/>
          <w:highlight w:val="none"/>
          <w:lang w:val="en-US" w:eastAsia="zh-CN" w:bidi="ar"/>
        </w:rPr>
        <w:t>监狱企业的证明文件复印件[供应商如为监狱企业的，应当提供由省级以上监狱管理局、戒毒管理局（含新疆生产建设兵团）出具的属于监狱企业的证明文件, 否则不予享受优惠政策]</w:t>
      </w: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pStyle w:val="22"/>
        <w:rPr>
          <w:rFonts w:hint="eastAsia" w:ascii="宋体" w:hAnsi="宋体" w:eastAsia="宋体" w:cs="宋体"/>
          <w:b/>
          <w:bCs/>
          <w:color w:val="auto"/>
          <w:sz w:val="21"/>
          <w:szCs w:val="21"/>
          <w:highlight w:val="none"/>
          <w:lang w:eastAsia="zh-CN"/>
        </w:rPr>
      </w:pPr>
    </w:p>
    <w:p>
      <w:pPr>
        <w:numPr>
          <w:ilvl w:val="0"/>
          <w:numId w:val="0"/>
        </w:numPr>
        <w:jc w:val="center"/>
        <w:rPr>
          <w:rFonts w:hint="eastAsia" w:ascii="宋体" w:hAnsi="宋体" w:eastAsia="宋体" w:cs="宋体"/>
          <w:b/>
          <w:bCs/>
          <w:color w:val="auto"/>
          <w:sz w:val="21"/>
          <w:szCs w:val="21"/>
          <w:highlight w:val="none"/>
          <w:lang w:eastAsia="zh-CN"/>
        </w:rPr>
      </w:pPr>
    </w:p>
    <w:p>
      <w:pPr>
        <w:rPr>
          <w:rFonts w:hint="eastAsia"/>
          <w:b/>
          <w:bCs/>
          <w:color w:val="auto"/>
          <w:sz w:val="24"/>
          <w:szCs w:val="24"/>
          <w:highlight w:val="none"/>
        </w:rPr>
      </w:pPr>
      <w:r>
        <w:rPr>
          <w:rFonts w:hint="eastAsia"/>
          <w:b/>
          <w:bCs/>
          <w:color w:val="auto"/>
          <w:sz w:val="24"/>
          <w:szCs w:val="24"/>
          <w:highlight w:val="none"/>
        </w:rPr>
        <w:t>二、符合性响应证明材料</w:t>
      </w:r>
    </w:p>
    <w:p>
      <w:pPr>
        <w:spacing w:line="400" w:lineRule="exact"/>
        <w:rPr>
          <w:rFonts w:hint="eastAsia" w:ascii="宋体" w:hAnsi="宋体" w:eastAsia="宋体" w:cs="宋体"/>
          <w:b/>
          <w:bCs/>
          <w:color w:val="auto"/>
          <w:sz w:val="24"/>
          <w:szCs w:val="24"/>
          <w:highlight w:val="none"/>
          <w:lang w:eastAsia="zh-CN"/>
        </w:rPr>
      </w:pPr>
      <w:bookmarkStart w:id="851" w:name="_Toc12920"/>
      <w:bookmarkStart w:id="852" w:name="_Toc497927072"/>
      <w:bookmarkStart w:id="853" w:name="_Toc17617"/>
      <w:r>
        <w:rPr>
          <w:rFonts w:hint="eastAsia" w:ascii="宋体" w:hAnsi="宋体" w:eastAsia="宋体" w:cs="宋体"/>
          <w:b/>
          <w:bCs/>
          <w:color w:val="auto"/>
          <w:sz w:val="24"/>
          <w:szCs w:val="24"/>
          <w:highlight w:val="none"/>
        </w:rPr>
        <w:t>1.响应函及响应函附录（格式见附件）（必须提供）</w:t>
      </w:r>
      <w:bookmarkEnd w:id="851"/>
      <w:bookmarkEnd w:id="852"/>
      <w:bookmarkEnd w:id="853"/>
      <w:r>
        <w:rPr>
          <w:rFonts w:hint="eastAsia" w:ascii="宋体" w:hAnsi="宋体" w:cs="宋体"/>
          <w:b/>
          <w:bCs/>
          <w:color w:val="auto"/>
          <w:sz w:val="24"/>
          <w:szCs w:val="24"/>
          <w:highlight w:val="none"/>
          <w:lang w:eastAsia="zh-CN"/>
        </w:rPr>
        <w:t>；</w:t>
      </w:r>
    </w:p>
    <w:p>
      <w:pPr>
        <w:pStyle w:val="23"/>
        <w:rPr>
          <w:rFonts w:hint="eastAsia" w:ascii="宋体" w:hAnsi="宋体" w:eastAsia="宋体" w:cs="宋体"/>
          <w:color w:val="auto"/>
          <w:sz w:val="21"/>
          <w:szCs w:val="21"/>
          <w:highlight w:val="none"/>
        </w:rPr>
      </w:pPr>
    </w:p>
    <w:p>
      <w:pPr>
        <w:pStyle w:val="1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pPr>
        <w:pStyle w:val="11"/>
        <w:ind w:firstLine="527" w:firstLineChars="250"/>
        <w:jc w:val="center"/>
        <w:rPr>
          <w:rFonts w:hint="eastAsia" w:ascii="宋体" w:hAnsi="宋体" w:eastAsia="宋体" w:cs="宋体"/>
          <w:b/>
          <w:color w:val="auto"/>
          <w:sz w:val="21"/>
          <w:szCs w:val="21"/>
          <w:highlight w:val="none"/>
        </w:rPr>
      </w:pPr>
      <w:bookmarkStart w:id="854" w:name="_Toc7273_WPSOffice_Level1"/>
      <w:bookmarkStart w:id="855" w:name="_Toc17832_WPSOffice_Level1"/>
      <w:r>
        <w:rPr>
          <w:rFonts w:hint="eastAsia" w:hAnsi="宋体" w:cs="宋体"/>
          <w:b/>
          <w:color w:val="auto"/>
          <w:sz w:val="21"/>
          <w:szCs w:val="21"/>
          <w:highlight w:val="none"/>
          <w:lang w:eastAsia="zh-CN"/>
        </w:rPr>
        <w:t>（一）</w:t>
      </w:r>
      <w:r>
        <w:rPr>
          <w:rFonts w:hint="eastAsia" w:ascii="宋体" w:hAnsi="宋体" w:eastAsia="宋体" w:cs="宋体"/>
          <w:b/>
          <w:color w:val="auto"/>
          <w:sz w:val="21"/>
          <w:szCs w:val="21"/>
          <w:highlight w:val="none"/>
        </w:rPr>
        <w:t>响应函（格式）</w:t>
      </w:r>
      <w:bookmarkEnd w:id="854"/>
      <w:bookmarkEnd w:id="855"/>
    </w:p>
    <w:p>
      <w:pPr>
        <w:pStyle w:val="8"/>
        <w:spacing w:before="71" w:line="257" w:lineRule="auto"/>
        <w:ind w:left="12" w:firstLine="468"/>
        <w:rPr>
          <w:rFonts w:hint="eastAsia" w:ascii="宋体" w:hAnsi="宋体" w:eastAsia="宋体" w:cs="宋体"/>
          <w:color w:val="auto"/>
          <w:spacing w:val="-2"/>
          <w:sz w:val="21"/>
          <w:szCs w:val="21"/>
          <w:highlight w:val="none"/>
        </w:rPr>
      </w:pP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根据贵方</w:t>
      </w:r>
      <w:r>
        <w:rPr>
          <w:rFonts w:hint="eastAsia" w:ascii="宋体" w:hAnsi="宋体" w:eastAsia="宋体" w:cs="宋体"/>
          <w:color w:val="auto"/>
          <w:spacing w:val="111"/>
          <w:sz w:val="21"/>
          <w:szCs w:val="21"/>
          <w:highlight w:val="none"/>
          <w:u w:val="single"/>
        </w:rPr>
        <w:t xml:space="preserve"> </w:t>
      </w:r>
      <w:r>
        <w:rPr>
          <w:rFonts w:hint="eastAsia" w:ascii="宋体" w:hAnsi="宋体" w:eastAsia="宋体" w:cs="宋体"/>
          <w:color w:val="auto"/>
          <w:spacing w:val="-2"/>
          <w:sz w:val="21"/>
          <w:szCs w:val="21"/>
          <w:highlight w:val="none"/>
          <w:u w:val="single"/>
        </w:rPr>
        <w:t>（项目名称）</w:t>
      </w:r>
      <w:r>
        <w:rPr>
          <w:rFonts w:hint="eastAsia" w:ascii="宋体" w:hAnsi="宋体" w:eastAsia="宋体" w:cs="宋体"/>
          <w:color w:val="auto"/>
          <w:spacing w:val="103"/>
          <w:sz w:val="21"/>
          <w:szCs w:val="21"/>
          <w:highlight w:val="none"/>
          <w:u w:val="single"/>
        </w:rPr>
        <w:t xml:space="preserve"> </w:t>
      </w:r>
      <w:r>
        <w:rPr>
          <w:rFonts w:hint="eastAsia" w:ascii="宋体" w:hAnsi="宋体" w:eastAsia="宋体" w:cs="宋体"/>
          <w:color w:val="auto"/>
          <w:spacing w:val="-106"/>
          <w:sz w:val="21"/>
          <w:szCs w:val="21"/>
          <w:highlight w:val="none"/>
        </w:rPr>
        <w:t xml:space="preserve"> </w:t>
      </w:r>
      <w:r>
        <w:rPr>
          <w:rFonts w:hint="eastAsia" w:ascii="宋体" w:hAnsi="宋体" w:eastAsia="宋体" w:cs="宋体"/>
          <w:color w:val="auto"/>
          <w:spacing w:val="-2"/>
          <w:sz w:val="21"/>
          <w:szCs w:val="21"/>
          <w:highlight w:val="none"/>
        </w:rPr>
        <w:t>项目磋商文件，项</w:t>
      </w:r>
      <w:r>
        <w:rPr>
          <w:rFonts w:hint="eastAsia" w:ascii="宋体" w:hAnsi="宋体" w:eastAsia="宋体" w:cs="宋体"/>
          <w:color w:val="auto"/>
          <w:spacing w:val="-11"/>
          <w:sz w:val="21"/>
          <w:szCs w:val="21"/>
          <w:highlight w:val="none"/>
        </w:rPr>
        <w:t>目</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11"/>
          <w:sz w:val="21"/>
          <w:szCs w:val="21"/>
          <w:highlight w:val="none"/>
        </w:rPr>
        <w:t>编</w:t>
      </w:r>
      <w:r>
        <w:rPr>
          <w:rFonts w:hint="eastAsia" w:ascii="宋体" w:hAnsi="宋体" w:eastAsia="宋体" w:cs="宋体"/>
          <w:color w:val="auto"/>
          <w:spacing w:val="-64"/>
          <w:sz w:val="21"/>
          <w:szCs w:val="21"/>
          <w:highlight w:val="none"/>
        </w:rPr>
        <w:t xml:space="preserve"> </w:t>
      </w:r>
      <w:r>
        <w:rPr>
          <w:rFonts w:hint="eastAsia" w:ascii="宋体" w:hAnsi="宋体" w:eastAsia="宋体" w:cs="宋体"/>
          <w:color w:val="auto"/>
          <w:spacing w:val="-11"/>
          <w:sz w:val="21"/>
          <w:szCs w:val="21"/>
          <w:highlight w:val="none"/>
        </w:rPr>
        <w:t>号</w:t>
      </w:r>
      <w:r>
        <w:rPr>
          <w:rFonts w:hint="eastAsia" w:ascii="宋体" w:hAnsi="宋体" w:eastAsia="宋体" w:cs="宋体"/>
          <w:color w:val="auto"/>
          <w:spacing w:val="-77"/>
          <w:sz w:val="21"/>
          <w:szCs w:val="21"/>
          <w:highlight w:val="none"/>
        </w:rPr>
        <w:t xml:space="preserve"> </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81"/>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签</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字</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68"/>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79"/>
          <w:sz w:val="21"/>
          <w:szCs w:val="21"/>
          <w:highlight w:val="none"/>
        </w:rPr>
        <w:t xml:space="preserve"> </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11"/>
          <w:sz w:val="21"/>
          <w:szCs w:val="21"/>
          <w:highlight w:val="none"/>
        </w:rPr>
        <w:t>（姓</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名</w:t>
      </w:r>
      <w:r>
        <w:rPr>
          <w:rFonts w:hint="eastAsia" w:ascii="宋体" w:hAnsi="宋体" w:eastAsia="宋体" w:cs="宋体"/>
          <w:color w:val="auto"/>
          <w:spacing w:val="-42"/>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经</w:t>
      </w:r>
      <w:r>
        <w:rPr>
          <w:rFonts w:hint="eastAsia" w:ascii="宋体" w:hAnsi="宋体" w:eastAsia="宋体" w:cs="宋体"/>
          <w:color w:val="auto"/>
          <w:spacing w:val="-65"/>
          <w:sz w:val="21"/>
          <w:szCs w:val="21"/>
          <w:highlight w:val="none"/>
        </w:rPr>
        <w:t xml:space="preserve"> </w:t>
      </w:r>
      <w:r>
        <w:rPr>
          <w:rFonts w:hint="eastAsia" w:ascii="宋体" w:hAnsi="宋体" w:eastAsia="宋体" w:cs="宋体"/>
          <w:color w:val="auto"/>
          <w:spacing w:val="-11"/>
          <w:sz w:val="21"/>
          <w:szCs w:val="21"/>
          <w:highlight w:val="none"/>
        </w:rPr>
        <w:t>正</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式</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授</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权</w:t>
      </w:r>
      <w:r>
        <w:rPr>
          <w:rFonts w:hint="eastAsia" w:ascii="宋体" w:hAnsi="宋体" w:eastAsia="宋体" w:cs="宋体"/>
          <w:color w:val="auto"/>
          <w:spacing w:val="-61"/>
          <w:sz w:val="21"/>
          <w:szCs w:val="21"/>
          <w:highlight w:val="none"/>
        </w:rPr>
        <w:t xml:space="preserve"> </w:t>
      </w:r>
      <w:r>
        <w:rPr>
          <w:rFonts w:hint="eastAsia" w:ascii="宋体" w:hAnsi="宋体" w:eastAsia="宋体" w:cs="宋体"/>
          <w:color w:val="auto"/>
          <w:spacing w:val="-11"/>
          <w:sz w:val="21"/>
          <w:szCs w:val="21"/>
          <w:highlight w:val="none"/>
        </w:rPr>
        <w:t>并</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供</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11"/>
          <w:sz w:val="21"/>
          <w:szCs w:val="21"/>
          <w:highlight w:val="none"/>
        </w:rPr>
        <w:t>应</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商</w:t>
      </w:r>
      <w:r>
        <w:rPr>
          <w:rFonts w:hint="eastAsia" w:ascii="宋体" w:hAnsi="宋体" w:eastAsia="宋体" w:cs="宋体"/>
          <w:color w:val="auto"/>
          <w:spacing w:val="-2"/>
          <w:sz w:val="21"/>
          <w:szCs w:val="21"/>
          <w:highlight w:val="none"/>
        </w:rPr>
        <w:t>（供应商单位名称</w:t>
      </w:r>
      <w:r>
        <w:rPr>
          <w:rFonts w:hint="eastAsia" w:ascii="宋体" w:hAnsi="宋体" w:eastAsia="宋体" w:cs="宋体"/>
          <w:color w:val="auto"/>
          <w:spacing w:val="6"/>
          <w:sz w:val="21"/>
          <w:szCs w:val="21"/>
          <w:highlight w:val="none"/>
        </w:rPr>
        <w:t>），</w:t>
      </w:r>
      <w:r>
        <w:rPr>
          <w:rFonts w:hint="eastAsia" w:ascii="宋体" w:hAnsi="宋体" w:eastAsia="宋体" w:cs="宋体"/>
          <w:color w:val="auto"/>
          <w:spacing w:val="-2"/>
          <w:sz w:val="21"/>
          <w:szCs w:val="21"/>
          <w:highlight w:val="none"/>
        </w:rPr>
        <w:t>提交电子响应文件。</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据此函，签字代表宣布同意如下：</w:t>
      </w:r>
    </w:p>
    <w:p>
      <w:pPr>
        <w:pStyle w:val="8"/>
        <w:keepNext w:val="0"/>
        <w:keepLines w:val="0"/>
        <w:pageBreakBefore w:val="0"/>
        <w:widowControl w:val="0"/>
        <w:tabs>
          <w:tab w:val="left" w:pos="126"/>
        </w:tabs>
        <w:kinsoku/>
        <w:wordWrap/>
        <w:overflowPunct/>
        <w:topLinePunct w:val="0"/>
        <w:autoSpaceDE/>
        <w:autoSpaceDN/>
        <w:bidi w:val="0"/>
        <w:adjustRightInd/>
        <w:snapToGrid/>
        <w:spacing w:after="0" w:line="36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1.我方已仔细研究磋商文件的全部内容，愿意以人民币（大写）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pacing w:val="-98"/>
          <w:sz w:val="21"/>
          <w:szCs w:val="21"/>
          <w:highlight w:val="non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15"/>
          <w:sz w:val="21"/>
          <w:szCs w:val="21"/>
          <w:highlight w:val="none"/>
          <w:u w:val="single"/>
        </w:rPr>
        <w:t xml:space="preserve">     </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pacing w:val="-1"/>
          <w:sz w:val="21"/>
          <w:szCs w:val="21"/>
          <w:highlight w:val="none"/>
        </w:rPr>
        <w:t>)的磋商报价（或根据磋商文件规定修正核实后确定的另一金额</w:t>
      </w:r>
      <w:r>
        <w:rPr>
          <w:rFonts w:hint="eastAsia" w:ascii="宋体" w:hAnsi="宋体" w:eastAsia="宋体" w:cs="宋体"/>
          <w:color w:val="auto"/>
          <w:spacing w:val="13"/>
          <w:sz w:val="21"/>
          <w:szCs w:val="21"/>
          <w:highlight w:val="none"/>
        </w:rPr>
        <w:t>）</w:t>
      </w:r>
      <w:r>
        <w:rPr>
          <w:rFonts w:hint="eastAsia" w:ascii="宋体" w:hAnsi="宋体" w:cs="宋体"/>
          <w:color w:val="auto"/>
          <w:spacing w:val="13"/>
          <w:sz w:val="21"/>
          <w:szCs w:val="21"/>
          <w:highlight w:val="none"/>
          <w:lang w:eastAsia="zh-CN"/>
        </w:rPr>
        <w:t>，</w:t>
      </w:r>
      <w:r>
        <w:rPr>
          <w:rFonts w:hint="eastAsia" w:ascii="宋体" w:hAnsi="宋体" w:eastAsia="宋体" w:cs="宋体"/>
          <w:color w:val="auto"/>
          <w:spacing w:val="-1"/>
          <w:sz w:val="21"/>
          <w:szCs w:val="21"/>
          <w:highlight w:val="none"/>
        </w:rPr>
        <w:t>按合同约定实施和完成承包工程，修补工程中的任何缺陷。</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39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2.工程质量</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7"/>
          <w:sz w:val="21"/>
          <w:szCs w:val="21"/>
          <w:highlight w:val="none"/>
          <w:u w:val="single"/>
        </w:rPr>
        <w:t xml:space="preserve">        </w:t>
      </w:r>
      <w:r>
        <w:rPr>
          <w:rFonts w:hint="eastAsia" w:ascii="宋体" w:hAnsi="宋体" w:eastAsia="宋体" w:cs="宋体"/>
          <w:color w:val="auto"/>
          <w:spacing w:val="-86"/>
          <w:sz w:val="21"/>
          <w:szCs w:val="21"/>
          <w:highlight w:val="none"/>
        </w:rPr>
        <w:t xml:space="preserve"> </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6"/>
          <w:sz w:val="21"/>
          <w:szCs w:val="21"/>
          <w:highlight w:val="none"/>
        </w:rPr>
        <w:t>工期：</w:t>
      </w:r>
      <w:r>
        <w:rPr>
          <w:rFonts w:hint="eastAsia" w:ascii="宋体" w:hAnsi="宋体" w:eastAsia="宋体" w:cs="宋体"/>
          <w:color w:val="auto"/>
          <w:spacing w:val="10"/>
          <w:sz w:val="21"/>
          <w:szCs w:val="21"/>
          <w:highlight w:val="none"/>
          <w:u w:val="single"/>
        </w:rPr>
        <w:t xml:space="preserve">      </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6"/>
          <w:sz w:val="21"/>
          <w:szCs w:val="21"/>
          <w:highlight w:val="none"/>
        </w:rPr>
        <w:t>日历天。</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3.我方承诺已具备磋商文件规定的供应商资格条件。</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4.我方已详细审核磋商文件，包括修改文件（如有的话）和有关附件</w:t>
      </w:r>
      <w:r>
        <w:rPr>
          <w:rFonts w:hint="eastAsia" w:ascii="宋体" w:hAnsi="宋体" w:eastAsia="宋体" w:cs="宋体"/>
          <w:color w:val="auto"/>
          <w:spacing w:val="-3"/>
          <w:sz w:val="21"/>
          <w:szCs w:val="21"/>
          <w:highlight w:val="none"/>
        </w:rPr>
        <w:t>，将自行承担</w:t>
      </w:r>
      <w:r>
        <w:rPr>
          <w:rFonts w:hint="eastAsia" w:ascii="宋体" w:hAnsi="宋体" w:eastAsia="宋体" w:cs="宋体"/>
          <w:color w:val="auto"/>
          <w:spacing w:val="-1"/>
          <w:sz w:val="21"/>
          <w:szCs w:val="21"/>
          <w:highlight w:val="none"/>
        </w:rPr>
        <w:t>因对全部磋商文件理解不正确或误解而产生的</w:t>
      </w:r>
      <w:r>
        <w:rPr>
          <w:rFonts w:hint="eastAsia" w:ascii="宋体" w:hAnsi="宋体" w:eastAsia="宋体" w:cs="宋体"/>
          <w:color w:val="auto"/>
          <w:spacing w:val="-2"/>
          <w:sz w:val="21"/>
          <w:szCs w:val="21"/>
          <w:highlight w:val="none"/>
        </w:rPr>
        <w:t>相应后果。</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position w:val="8"/>
          <w:sz w:val="21"/>
          <w:szCs w:val="21"/>
          <w:highlight w:val="none"/>
        </w:rPr>
        <w:t>5.响应文件有效期为响应文件递交截止时间之日起</w:t>
      </w:r>
      <w:r>
        <w:rPr>
          <w:rFonts w:hint="eastAsia" w:ascii="宋体" w:hAnsi="宋体" w:eastAsia="宋体" w:cs="宋体"/>
          <w:color w:val="auto"/>
          <w:spacing w:val="-36"/>
          <w:position w:val="8"/>
          <w:sz w:val="21"/>
          <w:szCs w:val="21"/>
          <w:highlight w:val="none"/>
        </w:rPr>
        <w:t xml:space="preserve"> </w:t>
      </w:r>
      <w:r>
        <w:rPr>
          <w:rFonts w:hint="eastAsia" w:ascii="宋体" w:hAnsi="宋体" w:eastAsia="宋体" w:cs="宋体"/>
          <w:color w:val="auto"/>
          <w:spacing w:val="-2"/>
          <w:position w:val="8"/>
          <w:sz w:val="21"/>
          <w:szCs w:val="21"/>
          <w:highlight w:val="none"/>
        </w:rPr>
        <w:t>90</w:t>
      </w:r>
      <w:r>
        <w:rPr>
          <w:rFonts w:hint="eastAsia" w:ascii="宋体" w:hAnsi="宋体" w:eastAsia="宋体" w:cs="宋体"/>
          <w:color w:val="auto"/>
          <w:spacing w:val="-46"/>
          <w:position w:val="8"/>
          <w:sz w:val="21"/>
          <w:szCs w:val="21"/>
          <w:highlight w:val="none"/>
        </w:rPr>
        <w:t xml:space="preserve"> </w:t>
      </w:r>
      <w:r>
        <w:rPr>
          <w:rFonts w:hint="eastAsia" w:ascii="宋体" w:hAnsi="宋体" w:eastAsia="宋体" w:cs="宋体"/>
          <w:color w:val="auto"/>
          <w:spacing w:val="-2"/>
          <w:position w:val="8"/>
          <w:sz w:val="21"/>
          <w:szCs w:val="21"/>
          <w:highlight w:val="none"/>
        </w:rPr>
        <w:t>天。</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6.如我方成交：</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（1）我方承诺在收到成交通知书后，在成交通知书规定的期限</w:t>
      </w:r>
      <w:r>
        <w:rPr>
          <w:rFonts w:hint="eastAsia" w:ascii="宋体" w:hAnsi="宋体" w:eastAsia="宋体" w:cs="宋体"/>
          <w:color w:val="auto"/>
          <w:sz w:val="21"/>
          <w:szCs w:val="21"/>
          <w:highlight w:val="none"/>
        </w:rPr>
        <w:t>内与采购人签订合</w:t>
      </w:r>
      <w:r>
        <w:rPr>
          <w:rFonts w:hint="eastAsia" w:ascii="宋体" w:hAnsi="宋体" w:eastAsia="宋体" w:cs="宋体"/>
          <w:color w:val="auto"/>
          <w:spacing w:val="-17"/>
          <w:sz w:val="21"/>
          <w:szCs w:val="21"/>
          <w:highlight w:val="none"/>
        </w:rPr>
        <w:t>同。</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（2）我方承诺按照磋商文件规定递交履约担保。</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（3）我方承诺本响应文件至本项目合同履行完毕止均保持有效</w:t>
      </w:r>
      <w:r>
        <w:rPr>
          <w:rFonts w:hint="eastAsia" w:ascii="宋体" w:hAnsi="宋体" w:eastAsia="宋体" w:cs="宋体"/>
          <w:color w:val="auto"/>
          <w:sz w:val="21"/>
          <w:szCs w:val="21"/>
          <w:highlight w:val="none"/>
        </w:rPr>
        <w:t>，按磋商文件及政</w:t>
      </w:r>
      <w:r>
        <w:rPr>
          <w:rFonts w:hint="eastAsia" w:ascii="宋体" w:hAnsi="宋体" w:eastAsia="宋体" w:cs="宋体"/>
          <w:color w:val="auto"/>
          <w:spacing w:val="-1"/>
          <w:sz w:val="21"/>
          <w:szCs w:val="21"/>
          <w:highlight w:val="none"/>
        </w:rPr>
        <w:t>府采购法律、法规的规定履行合同责任和义务。</w:t>
      </w:r>
    </w:p>
    <w:p>
      <w:pPr>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rPr>
      </w:pP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与本项目有关的正式通讯地址为：</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地址：</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27"/>
          <w:sz w:val="21"/>
          <w:szCs w:val="21"/>
          <w:highlight w:val="none"/>
        </w:rPr>
        <w:t xml:space="preserve"> </w:t>
      </w:r>
      <w:r>
        <w:rPr>
          <w:rFonts w:hint="eastAsia" w:ascii="宋体" w:hAnsi="宋体" w:eastAsia="宋体" w:cs="宋体"/>
          <w:color w:val="auto"/>
          <w:spacing w:val="-4"/>
          <w:sz w:val="21"/>
          <w:szCs w:val="21"/>
          <w:highlight w:val="none"/>
        </w:rPr>
        <w:t>邮编：</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5"/>
          <w:sz w:val="21"/>
          <w:szCs w:val="21"/>
          <w:highlight w:val="none"/>
          <w:u w:val="single"/>
        </w:rPr>
        <w:t xml:space="preserve">  </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5"/>
          <w:sz w:val="21"/>
          <w:szCs w:val="21"/>
          <w:highlight w:val="none"/>
        </w:rPr>
        <w:t>邮箱：</w:t>
      </w:r>
      <w:r>
        <w:rPr>
          <w:rFonts w:hint="eastAsia" w:ascii="宋体" w:hAnsi="宋体" w:eastAsia="宋体" w:cs="宋体"/>
          <w:color w:val="auto"/>
          <w:spacing w:val="-5"/>
          <w:sz w:val="21"/>
          <w:szCs w:val="21"/>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办公电话：</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1"/>
          <w:sz w:val="21"/>
          <w:szCs w:val="21"/>
          <w:highlight w:val="none"/>
        </w:rPr>
        <w:t xml:space="preserve">   传真：</w:t>
      </w:r>
      <w:r>
        <w:rPr>
          <w:rFonts w:hint="eastAsia" w:ascii="宋体" w:hAnsi="宋体" w:eastAsia="宋体" w:cs="宋体"/>
          <w:color w:val="auto"/>
          <w:sz w:val="21"/>
          <w:szCs w:val="21"/>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委托代理人联系电话：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开户名称：</w:t>
      </w:r>
      <w:r>
        <w:rPr>
          <w:rFonts w:hint="eastAsia" w:ascii="宋体" w:hAnsi="宋体" w:eastAsia="宋体" w:cs="宋体"/>
          <w:color w:val="auto"/>
          <w:sz w:val="21"/>
          <w:szCs w:val="21"/>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开户银行：</w:t>
      </w:r>
      <w:r>
        <w:rPr>
          <w:rFonts w:hint="eastAsia" w:ascii="宋体" w:hAnsi="宋体" w:eastAsia="宋体" w:cs="宋体"/>
          <w:color w:val="auto"/>
          <w:sz w:val="21"/>
          <w:szCs w:val="21"/>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账号：</w:t>
      </w:r>
      <w:r>
        <w:rPr>
          <w:rFonts w:hint="eastAsia" w:ascii="宋体" w:hAnsi="宋体" w:eastAsia="宋体" w:cs="宋体"/>
          <w:color w:val="auto"/>
          <w:spacing w:val="-3"/>
          <w:sz w:val="21"/>
          <w:szCs w:val="21"/>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供应商[公章(CA</w:t>
      </w:r>
      <w:r>
        <w:rPr>
          <w:rFonts w:hint="eastAsia" w:ascii="宋体" w:hAnsi="宋体" w:eastAsia="宋体" w:cs="宋体"/>
          <w:color w:val="auto"/>
          <w:spacing w:val="-43"/>
          <w:sz w:val="21"/>
          <w:szCs w:val="21"/>
          <w:highlight w:val="none"/>
        </w:rPr>
        <w:t xml:space="preserve"> </w:t>
      </w:r>
      <w:r>
        <w:rPr>
          <w:rFonts w:hint="eastAsia" w:ascii="宋体" w:hAnsi="宋体" w:eastAsia="宋体" w:cs="宋体"/>
          <w:color w:val="auto"/>
          <w:spacing w:val="-2"/>
          <w:sz w:val="21"/>
          <w:szCs w:val="21"/>
          <w:highlight w:val="none"/>
        </w:rPr>
        <w:t>签章)]：</w:t>
      </w:r>
      <w:r>
        <w:rPr>
          <w:rFonts w:hint="eastAsia" w:ascii="宋体" w:hAnsi="宋体" w:eastAsia="宋体" w:cs="宋体"/>
          <w:color w:val="auto"/>
          <w:sz w:val="21"/>
          <w:szCs w:val="21"/>
          <w:highlight w:val="none"/>
          <w:u w:val="single"/>
        </w:rPr>
        <w:t xml:space="preserve">                      </w:t>
      </w:r>
    </w:p>
    <w:p>
      <w:pPr>
        <w:pStyle w:val="11"/>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法定代表人、负责人、自然人或相应的委托代理人签字[或盖章(CA签章)]（属自然人的应在签名处加盖大拇指指印或个人CA签章）：</w:t>
      </w:r>
      <w:r>
        <w:rPr>
          <w:rFonts w:hint="eastAsia" w:ascii="宋体" w:hAnsi="宋体" w:eastAsia="宋体" w:cs="宋体"/>
          <w:color w:val="auto"/>
          <w:sz w:val="21"/>
          <w:szCs w:val="21"/>
          <w:highlight w:val="none"/>
          <w:u w:val="single"/>
        </w:rPr>
        <w:t xml:space="preserve">             </w:t>
      </w:r>
    </w:p>
    <w:p>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0"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pacing w:val="-5"/>
          <w:sz w:val="21"/>
          <w:szCs w:val="21"/>
          <w:highlight w:val="none"/>
        </w:rPr>
        <w:t>响应日期：</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pPr>
        <w:pStyle w:val="5"/>
        <w:rPr>
          <w:rFonts w:hint="eastAsia" w:ascii="宋体" w:hAnsi="宋体" w:eastAsia="宋体" w:cs="宋体"/>
          <w:color w:val="auto"/>
          <w:sz w:val="21"/>
          <w:szCs w:val="21"/>
          <w:highlight w:val="none"/>
          <w:lang w:val="en-US" w:eastAsia="zh-CN"/>
        </w:rPr>
      </w:pPr>
    </w:p>
    <w:p>
      <w:pPr>
        <w:rPr>
          <w:rFonts w:hint="eastAsia" w:ascii="宋体" w:hAnsi="宋体" w:eastAsia="宋体" w:cs="宋体"/>
          <w:color w:val="auto"/>
          <w:sz w:val="21"/>
          <w:szCs w:val="21"/>
          <w:highlight w:val="none"/>
          <w:lang w:val="en-US" w:eastAsia="zh-CN"/>
        </w:rPr>
      </w:pPr>
    </w:p>
    <w:p>
      <w:pPr>
        <w:pStyle w:val="8"/>
        <w:rPr>
          <w:rFonts w:hint="eastAsia" w:ascii="宋体" w:hAnsi="宋体" w:eastAsia="宋体" w:cs="宋体"/>
          <w:color w:val="auto"/>
          <w:sz w:val="21"/>
          <w:szCs w:val="21"/>
          <w:highlight w:val="none"/>
          <w:lang w:val="en-US" w:eastAsia="zh-CN"/>
        </w:rPr>
      </w:pPr>
    </w:p>
    <w:p>
      <w:pPr>
        <w:rPr>
          <w:rFonts w:hint="eastAsia" w:ascii="宋体" w:hAnsi="宋体" w:eastAsia="宋体" w:cs="宋体"/>
          <w:color w:val="auto"/>
          <w:sz w:val="21"/>
          <w:szCs w:val="21"/>
          <w:highlight w:val="none"/>
          <w:lang w:val="en-US" w:eastAsia="zh-CN"/>
        </w:rPr>
      </w:pPr>
    </w:p>
    <w:p>
      <w:pPr>
        <w:rPr>
          <w:rFonts w:hint="eastAsia" w:ascii="宋体" w:hAnsi="宋体" w:eastAsia="宋体" w:cs="宋体"/>
          <w:color w:val="auto"/>
          <w:sz w:val="21"/>
          <w:szCs w:val="21"/>
          <w:highlight w:val="none"/>
          <w:lang w:val="en-US" w:eastAsia="zh-CN"/>
        </w:rPr>
      </w:pPr>
    </w:p>
    <w:p>
      <w:pPr>
        <w:autoSpaceDE w:val="0"/>
        <w:autoSpaceDN w:val="0"/>
        <w:spacing w:before="212"/>
        <w:ind w:right="176"/>
        <w:jc w:val="center"/>
        <w:rPr>
          <w:rFonts w:hint="eastAsia" w:ascii="宋体" w:hAnsi="宋体" w:cs="宋体"/>
          <w:b/>
          <w:color w:val="auto"/>
          <w:kern w:val="0"/>
          <w:sz w:val="30"/>
          <w:szCs w:val="22"/>
          <w:highlight w:val="none"/>
          <w:lang w:val="zh-CN" w:bidi="zh-CN"/>
        </w:rPr>
      </w:pPr>
      <w:r>
        <w:rPr>
          <w:rFonts w:ascii="宋体" w:hAnsi="宋体" w:cs="宋体"/>
          <w:b/>
          <w:color w:val="auto"/>
          <w:kern w:val="0"/>
          <w:sz w:val="30"/>
          <w:szCs w:val="22"/>
          <w:highlight w:val="none"/>
          <w:lang w:val="zh-CN" w:bidi="zh-CN"/>
        </w:rPr>
        <w:t>（二）</w:t>
      </w:r>
      <w:r>
        <w:rPr>
          <w:rFonts w:hint="eastAsia" w:ascii="宋体" w:hAnsi="宋体" w:cs="宋体"/>
          <w:b/>
          <w:color w:val="auto"/>
          <w:kern w:val="0"/>
          <w:sz w:val="30"/>
          <w:szCs w:val="22"/>
          <w:highlight w:val="none"/>
          <w:lang w:val="zh-CN" w:bidi="zh-CN"/>
        </w:rPr>
        <w:t>响应函附录</w:t>
      </w:r>
    </w:p>
    <w:p>
      <w:pPr>
        <w:autoSpaceDE w:val="0"/>
        <w:autoSpaceDN w:val="0"/>
        <w:spacing w:before="212"/>
        <w:ind w:right="176"/>
        <w:jc w:val="center"/>
        <w:rPr>
          <w:rFonts w:hint="eastAsia" w:ascii="宋体" w:hAnsi="宋体" w:cs="宋体"/>
          <w:b/>
          <w:color w:val="auto"/>
          <w:kern w:val="0"/>
          <w:sz w:val="30"/>
          <w:szCs w:val="22"/>
          <w:highlight w:val="none"/>
          <w:lang w:val="zh-CN" w:bidi="zh-CN"/>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2190"/>
        <w:gridCol w:w="2345"/>
        <w:gridCol w:w="2190"/>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序 号</w:t>
            </w:r>
          </w:p>
        </w:tc>
        <w:tc>
          <w:tcPr>
            <w:tcW w:w="2190"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条款内容</w:t>
            </w:r>
          </w:p>
        </w:tc>
        <w:tc>
          <w:tcPr>
            <w:tcW w:w="2345"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合同条款号</w:t>
            </w:r>
          </w:p>
        </w:tc>
        <w:tc>
          <w:tcPr>
            <w:tcW w:w="2190"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约定内容</w:t>
            </w:r>
          </w:p>
        </w:tc>
        <w:tc>
          <w:tcPr>
            <w:tcW w:w="1436"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1</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项目经理</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姓名：</w:t>
            </w:r>
            <w:r>
              <w:rPr>
                <w:rFonts w:ascii="宋体" w:hAnsi="宋体"/>
                <w:color w:val="auto"/>
                <w:szCs w:val="21"/>
                <w:highlight w:val="none"/>
                <w:u w:val="single"/>
              </w:rPr>
              <w:t xml:space="preserve">          </w:t>
            </w: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2</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工期</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合同</w:t>
            </w:r>
            <w:r>
              <w:rPr>
                <w:rFonts w:ascii="宋体" w:hAnsi="宋体"/>
                <w:color w:val="auto"/>
                <w:szCs w:val="21"/>
                <w:highlight w:val="none"/>
              </w:rPr>
              <w:t>协议书</w:t>
            </w:r>
          </w:p>
        </w:tc>
        <w:tc>
          <w:tcPr>
            <w:tcW w:w="2190"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u w:val="single"/>
              </w:rPr>
              <w:t xml:space="preserve">          </w:t>
            </w:r>
            <w:r>
              <w:rPr>
                <w:rFonts w:ascii="宋体" w:hAnsi="宋体"/>
                <w:color w:val="auto"/>
                <w:szCs w:val="21"/>
                <w:highlight w:val="none"/>
              </w:rPr>
              <w:t>日历天</w:t>
            </w: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3</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缺陷责任期</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jc w:val="center"/>
              <w:textAlignment w:val="baseline"/>
              <w:rPr>
                <w:rFonts w:ascii="宋体" w:hAnsi="宋体"/>
                <w:color w:val="auto"/>
                <w:szCs w:val="21"/>
                <w:highlight w:val="none"/>
              </w:rPr>
            </w:pP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4</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发包人支付担保</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jc w:val="center"/>
              <w:textAlignment w:val="baseline"/>
              <w:rPr>
                <w:rFonts w:ascii="宋体" w:hAnsi="宋体"/>
                <w:color w:val="auto"/>
                <w:szCs w:val="21"/>
                <w:highlight w:val="none"/>
              </w:rPr>
            </w:pP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5</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承包人履约担保金额</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jc w:val="center"/>
              <w:textAlignment w:val="baseline"/>
              <w:rPr>
                <w:rFonts w:ascii="宋体" w:hAnsi="宋体"/>
                <w:color w:val="auto"/>
                <w:szCs w:val="21"/>
                <w:highlight w:val="none"/>
              </w:rPr>
            </w:pP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6</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分包</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见分包项目情况表</w:t>
            </w: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7</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逾期竣工违约金</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jc w:val="center"/>
              <w:textAlignment w:val="baseline"/>
              <w:rPr>
                <w:rFonts w:ascii="宋体" w:hAnsi="宋体"/>
                <w:color w:val="auto"/>
                <w:szCs w:val="21"/>
                <w:highlight w:val="none"/>
              </w:rPr>
            </w:pP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8</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逾期竣工违约金最高限额</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u w:val="single"/>
              </w:rPr>
              <w:t xml:space="preserve">             </w:t>
            </w: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9</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质量标准</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jc w:val="center"/>
              <w:textAlignment w:val="baseline"/>
              <w:rPr>
                <w:rFonts w:ascii="宋体" w:hAnsi="宋体"/>
                <w:color w:val="auto"/>
                <w:szCs w:val="21"/>
                <w:highlight w:val="none"/>
              </w:rPr>
            </w:pP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10</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预付款额度</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jc w:val="center"/>
              <w:textAlignment w:val="baseline"/>
              <w:rPr>
                <w:rFonts w:ascii="宋体" w:hAnsi="宋体"/>
                <w:color w:val="auto"/>
                <w:szCs w:val="21"/>
                <w:highlight w:val="none"/>
              </w:rPr>
            </w:pP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11</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预付款保函金额</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jc w:val="center"/>
              <w:textAlignment w:val="baseline"/>
              <w:rPr>
                <w:rFonts w:ascii="宋体" w:hAnsi="宋体"/>
                <w:color w:val="auto"/>
                <w:szCs w:val="21"/>
                <w:highlight w:val="none"/>
              </w:rPr>
            </w:pP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12</w:t>
            </w:r>
          </w:p>
        </w:tc>
        <w:tc>
          <w:tcPr>
            <w:tcW w:w="2190" w:type="dxa"/>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质量保证金额度</w:t>
            </w:r>
          </w:p>
        </w:tc>
        <w:tc>
          <w:tcPr>
            <w:tcW w:w="2345" w:type="dxa"/>
            <w:noWrap w:val="0"/>
            <w:tcMar>
              <w:left w:w="170" w:type="dxa"/>
            </w:tcMar>
            <w:vAlign w:val="center"/>
          </w:tcPr>
          <w:p>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pPr>
              <w:widowControl/>
              <w:jc w:val="center"/>
              <w:textAlignment w:val="baseline"/>
              <w:rPr>
                <w:rFonts w:ascii="宋体" w:hAnsi="宋体"/>
                <w:color w:val="auto"/>
                <w:szCs w:val="21"/>
                <w:highlight w:val="none"/>
              </w:rPr>
            </w:pP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w:t>
            </w:r>
          </w:p>
        </w:tc>
        <w:tc>
          <w:tcPr>
            <w:tcW w:w="2190" w:type="dxa"/>
            <w:noWrap w:val="0"/>
            <w:vAlign w:val="center"/>
          </w:tcPr>
          <w:p>
            <w:pPr>
              <w:widowControl/>
              <w:jc w:val="center"/>
              <w:textAlignment w:val="baseline"/>
              <w:rPr>
                <w:rFonts w:ascii="宋体" w:hAnsi="宋体"/>
                <w:color w:val="auto"/>
                <w:szCs w:val="21"/>
                <w:highlight w:val="none"/>
              </w:rPr>
            </w:pPr>
            <w:r>
              <w:rPr>
                <w:rFonts w:ascii="宋体" w:hAnsi="宋体"/>
                <w:color w:val="auto"/>
                <w:szCs w:val="21"/>
                <w:highlight w:val="none"/>
              </w:rPr>
              <w:t>……</w:t>
            </w:r>
          </w:p>
        </w:tc>
        <w:tc>
          <w:tcPr>
            <w:tcW w:w="2345" w:type="dxa"/>
            <w:noWrap w:val="0"/>
            <w:tcMar>
              <w:left w:w="170" w:type="dxa"/>
            </w:tcMar>
            <w:vAlign w:val="center"/>
          </w:tcPr>
          <w:p>
            <w:pPr>
              <w:widowControl/>
              <w:textAlignment w:val="baseline"/>
              <w:rPr>
                <w:rFonts w:ascii="宋体" w:hAnsi="宋体"/>
                <w:color w:val="auto"/>
                <w:szCs w:val="21"/>
                <w:highlight w:val="none"/>
              </w:rPr>
            </w:pPr>
          </w:p>
        </w:tc>
        <w:tc>
          <w:tcPr>
            <w:tcW w:w="2190" w:type="dxa"/>
            <w:noWrap w:val="0"/>
            <w:vAlign w:val="center"/>
          </w:tcPr>
          <w:p>
            <w:pPr>
              <w:widowControl/>
              <w:jc w:val="center"/>
              <w:textAlignment w:val="baseline"/>
              <w:rPr>
                <w:rFonts w:ascii="宋体" w:hAnsi="宋体"/>
                <w:color w:val="auto"/>
                <w:szCs w:val="21"/>
                <w:highlight w:val="none"/>
              </w:rPr>
            </w:pPr>
          </w:p>
        </w:tc>
        <w:tc>
          <w:tcPr>
            <w:tcW w:w="1436" w:type="dxa"/>
            <w:noWrap w:val="0"/>
            <w:vAlign w:val="center"/>
          </w:tcPr>
          <w:p>
            <w:pPr>
              <w:widowControl/>
              <w:jc w:val="center"/>
              <w:textAlignment w:val="baseline"/>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9254" w:type="dxa"/>
            <w:gridSpan w:val="5"/>
            <w:noWrap w:val="0"/>
            <w:vAlign w:val="center"/>
          </w:tcPr>
          <w:p>
            <w:pPr>
              <w:widowControl/>
              <w:textAlignment w:val="baseline"/>
              <w:rPr>
                <w:rFonts w:ascii="宋体" w:hAnsi="宋体"/>
                <w:color w:val="auto"/>
                <w:szCs w:val="21"/>
                <w:highlight w:val="none"/>
              </w:rPr>
            </w:pPr>
            <w:r>
              <w:rPr>
                <w:rFonts w:ascii="宋体" w:hAnsi="宋体"/>
                <w:color w:val="auto"/>
                <w:szCs w:val="21"/>
                <w:highlight w:val="none"/>
              </w:rPr>
              <w:t>备注：</w:t>
            </w:r>
            <w:r>
              <w:rPr>
                <w:rFonts w:hint="eastAsia" w:ascii="宋体" w:hAnsi="宋体"/>
                <w:color w:val="auto"/>
                <w:szCs w:val="21"/>
                <w:highlight w:val="none"/>
              </w:rPr>
              <w:t>供应商</w:t>
            </w:r>
            <w:r>
              <w:rPr>
                <w:rFonts w:ascii="宋体" w:hAnsi="宋体"/>
                <w:color w:val="auto"/>
                <w:szCs w:val="21"/>
                <w:highlight w:val="none"/>
              </w:rPr>
              <w:t>在响应</w:t>
            </w:r>
            <w:r>
              <w:rPr>
                <w:rFonts w:hint="eastAsia" w:ascii="宋体" w:hAnsi="宋体"/>
                <w:color w:val="auto"/>
                <w:szCs w:val="21"/>
                <w:highlight w:val="none"/>
                <w:lang w:eastAsia="zh-CN"/>
              </w:rPr>
              <w:t>竞争性磋商</w:t>
            </w:r>
            <w:r>
              <w:rPr>
                <w:rFonts w:ascii="宋体" w:hAnsi="宋体"/>
                <w:color w:val="auto"/>
                <w:szCs w:val="21"/>
                <w:highlight w:val="none"/>
              </w:rPr>
              <w:t>文件中规定的实质性要求和条件的基础上，可做出其他有利于</w:t>
            </w:r>
            <w:r>
              <w:rPr>
                <w:rFonts w:hint="eastAsia" w:ascii="宋体" w:hAnsi="宋体"/>
                <w:color w:val="auto"/>
                <w:szCs w:val="21"/>
                <w:highlight w:val="none"/>
                <w:lang w:eastAsia="zh-CN"/>
              </w:rPr>
              <w:t>采购</w:t>
            </w:r>
            <w:r>
              <w:rPr>
                <w:rFonts w:ascii="宋体" w:hAnsi="宋体"/>
                <w:color w:val="auto"/>
                <w:szCs w:val="21"/>
                <w:highlight w:val="none"/>
              </w:rPr>
              <w:t>人的承诺。此类承诺可在本表中予以补充填写。</w:t>
            </w:r>
          </w:p>
        </w:tc>
      </w:tr>
    </w:tbl>
    <w:p>
      <w:pPr>
        <w:widowControl/>
        <w:snapToGrid w:val="0"/>
        <w:spacing w:line="400" w:lineRule="atLeast"/>
        <w:ind w:firstLine="2520" w:firstLineChars="1200"/>
        <w:textAlignment w:val="baseline"/>
        <w:outlineLvl w:val="4"/>
        <w:rPr>
          <w:rFonts w:ascii="宋体" w:hAnsi="宋体"/>
          <w:color w:val="auto"/>
          <w:szCs w:val="21"/>
          <w:highlight w:val="none"/>
        </w:rPr>
      </w:pPr>
    </w:p>
    <w:p>
      <w:pPr>
        <w:spacing w:line="340" w:lineRule="exact"/>
        <w:ind w:firstLine="420" w:firstLineChars="200"/>
        <w:rPr>
          <w:rFonts w:hint="eastAsia" w:ascii="宋体" w:hAnsi="宋体"/>
          <w:bCs/>
          <w:color w:val="auto"/>
          <w:sz w:val="21"/>
          <w:szCs w:val="21"/>
          <w:highlight w:val="none"/>
        </w:rPr>
      </w:pPr>
    </w:p>
    <w:p>
      <w:pPr>
        <w:spacing w:line="340" w:lineRule="exact"/>
        <w:ind w:firstLine="420" w:firstLineChars="2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pPr>
        <w:spacing w:line="34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法定代表人或相应的委托代理人签字[或盖章(CA签章)]：</w:t>
      </w:r>
      <w:r>
        <w:rPr>
          <w:rFonts w:hint="eastAsia" w:ascii="宋体" w:hAnsi="宋体"/>
          <w:color w:val="auto"/>
          <w:sz w:val="21"/>
          <w:szCs w:val="21"/>
          <w:highlight w:val="none"/>
          <w:u w:val="single"/>
        </w:rPr>
        <w:t xml:space="preserve">         </w:t>
      </w:r>
    </w:p>
    <w:p>
      <w:pPr>
        <w:spacing w:line="400" w:lineRule="exact"/>
        <w:ind w:firstLine="420" w:firstLineChars="2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pPr>
        <w:rPr>
          <w:rFonts w:hint="eastAsia" w:ascii="宋体" w:hAnsi="宋体" w:eastAsia="宋体" w:cs="宋体"/>
          <w:color w:val="auto"/>
          <w:sz w:val="21"/>
          <w:szCs w:val="21"/>
          <w:highlight w:val="none"/>
          <w:lang w:val="en-US" w:eastAsia="zh-CN"/>
        </w:rPr>
      </w:pPr>
    </w:p>
    <w:p>
      <w:pPr>
        <w:rPr>
          <w:rFonts w:hint="eastAsia" w:ascii="宋体" w:hAnsi="宋体" w:eastAsia="宋体" w:cs="宋体"/>
          <w:color w:val="auto"/>
          <w:sz w:val="21"/>
          <w:szCs w:val="21"/>
          <w:highlight w:val="none"/>
          <w:lang w:val="en-US" w:eastAsia="zh-CN"/>
        </w:rPr>
      </w:pPr>
    </w:p>
    <w:p>
      <w:pPr>
        <w:rPr>
          <w:rFonts w:hint="eastAsia" w:ascii="宋体" w:hAnsi="宋体" w:eastAsia="宋体" w:cs="宋体"/>
          <w:color w:val="auto"/>
          <w:sz w:val="21"/>
          <w:szCs w:val="21"/>
          <w:highlight w:val="none"/>
          <w:lang w:val="en-US" w:eastAsia="zh-CN"/>
        </w:rPr>
      </w:pPr>
    </w:p>
    <w:p>
      <w:pPr>
        <w:rPr>
          <w:rFonts w:hint="eastAsia" w:ascii="宋体" w:hAnsi="宋体" w:eastAsia="宋体" w:cs="宋体"/>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pPr>
        <w:pStyle w:val="11"/>
        <w:numPr>
          <w:ilvl w:val="0"/>
          <w:numId w:val="0"/>
        </w:numPr>
        <w:spacing w:line="34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2.已标价工程量清单（必须提供）</w:t>
      </w:r>
      <w:r>
        <w:rPr>
          <w:rFonts w:hint="eastAsia" w:ascii="宋体" w:hAnsi="宋体" w:eastAsia="宋体" w:cs="宋体"/>
          <w:b/>
          <w:color w:val="auto"/>
          <w:sz w:val="24"/>
          <w:szCs w:val="24"/>
          <w:highlight w:val="none"/>
        </w:rPr>
        <w:t>；</w:t>
      </w:r>
    </w:p>
    <w:p>
      <w:pPr>
        <w:pStyle w:val="11"/>
        <w:spacing w:line="320" w:lineRule="exact"/>
        <w:jc w:val="left"/>
        <w:rPr>
          <w:rFonts w:hint="eastAsia" w:ascii="宋体" w:hAnsi="宋体" w:eastAsia="宋体" w:cs="宋体"/>
          <w:b/>
          <w:color w:val="auto"/>
          <w:sz w:val="21"/>
          <w:szCs w:val="21"/>
          <w:highlight w:val="none"/>
        </w:rPr>
      </w:pP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应按照第</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章“工程量清单”的要求逐项填报工程量清单，包括工程量清单说明、</w:t>
      </w:r>
      <w:r>
        <w:rPr>
          <w:rFonts w:hint="eastAsia" w:ascii="宋体" w:hAnsi="宋体" w:eastAsia="宋体" w:cs="宋体"/>
          <w:color w:val="auto"/>
          <w:sz w:val="21"/>
          <w:szCs w:val="21"/>
          <w:highlight w:val="none"/>
          <w:lang w:eastAsia="zh-CN"/>
        </w:rPr>
        <w:t>磋商报价</w:t>
      </w:r>
      <w:r>
        <w:rPr>
          <w:rFonts w:hint="eastAsia" w:ascii="宋体" w:hAnsi="宋体" w:eastAsia="宋体" w:cs="宋体"/>
          <w:color w:val="auto"/>
          <w:sz w:val="21"/>
          <w:szCs w:val="21"/>
          <w:highlight w:val="none"/>
        </w:rPr>
        <w:t>说明及工程量清单各项表格</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提供的工程量清单）。</w:t>
      </w:r>
    </w:p>
    <w:p>
      <w:pPr>
        <w:tabs>
          <w:tab w:val="left" w:pos="1305"/>
        </w:tabs>
        <w:spacing w:line="340" w:lineRule="exact"/>
        <w:rPr>
          <w:rFonts w:hint="eastAsia" w:ascii="宋体" w:hAnsi="宋体" w:eastAsia="宋体" w:cs="宋体"/>
          <w:bCs/>
          <w:color w:val="auto"/>
          <w:sz w:val="21"/>
          <w:szCs w:val="21"/>
          <w:highlight w:val="none"/>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5"/>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23"/>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pStyle w:val="12"/>
        <w:rPr>
          <w:rFonts w:hint="eastAsia" w:ascii="宋体" w:hAnsi="宋体" w:eastAsia="宋体" w:cs="宋体"/>
          <w:color w:val="auto"/>
          <w:sz w:val="21"/>
          <w:szCs w:val="21"/>
          <w:highlight w:val="none"/>
        </w:rPr>
      </w:pPr>
    </w:p>
    <w:p>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cs="宋体"/>
          <w:b/>
          <w:color w:val="auto"/>
          <w:sz w:val="24"/>
          <w:szCs w:val="24"/>
          <w:highlight w:val="none"/>
          <w:lang w:val="en-US" w:eastAsia="zh-CN"/>
        </w:rPr>
        <w:t>3</w:t>
      </w:r>
      <w:r>
        <w:rPr>
          <w:rFonts w:hint="eastAsia" w:ascii="宋体" w:hAnsi="宋体" w:eastAsia="宋体" w:cs="宋体"/>
          <w:b/>
          <w:color w:val="auto"/>
          <w:sz w:val="24"/>
          <w:szCs w:val="24"/>
          <w:highlight w:val="none"/>
          <w:lang w:val="en-US" w:eastAsia="zh-CN"/>
        </w:rPr>
        <w:t>.项目管理机构组成表（必须提供)</w:t>
      </w:r>
      <w:r>
        <w:rPr>
          <w:rFonts w:hint="eastAsia" w:ascii="宋体" w:hAnsi="宋体" w:eastAsia="宋体" w:cs="宋体"/>
          <w:b/>
          <w:bCs/>
          <w:iCs/>
          <w:color w:val="auto"/>
          <w:kern w:val="2"/>
          <w:sz w:val="24"/>
          <w:szCs w:val="24"/>
          <w:highlight w:val="none"/>
          <w:lang w:val="en-US" w:eastAsia="zh-CN" w:bidi="ar-SA"/>
        </w:rPr>
        <w:t>；</w:t>
      </w:r>
    </w:p>
    <w:p>
      <w:pPr>
        <w:spacing w:line="500" w:lineRule="exact"/>
        <w:jc w:val="center"/>
        <w:rPr>
          <w:rFonts w:hint="eastAsia" w:ascii="宋体" w:hAnsi="宋体" w:eastAsia="宋体" w:cs="宋体"/>
          <w:b/>
          <w:color w:val="auto"/>
          <w:sz w:val="21"/>
          <w:szCs w:val="21"/>
          <w:highlight w:val="none"/>
          <w:lang w:val="en-US" w:eastAsia="zh-CN"/>
        </w:rPr>
      </w:pPr>
    </w:p>
    <w:p>
      <w:pPr>
        <w:spacing w:line="5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项目管理机构组成表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工程名称：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tbl>
      <w:tblPr>
        <w:tblStyle w:val="18"/>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793"/>
        <w:gridCol w:w="792"/>
        <w:gridCol w:w="1447"/>
        <w:gridCol w:w="3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职务</w:t>
            </w: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资质/职称</w:t>
            </w: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执业资格证号/上岗证号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一、总部</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1.项目主管</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2.其他人员</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二、现场</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lang w:eastAsia="zh-CN"/>
              </w:rPr>
            </w:pPr>
            <w:r>
              <w:rPr>
                <w:rFonts w:hint="eastAsia" w:ascii="宋体" w:hAnsi="宋体"/>
                <w:color w:val="auto"/>
                <w:szCs w:val="21"/>
                <w:highlight w:val="none"/>
              </w:rPr>
              <w:t>1.项目经理</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2.项目副经理（如有）</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3.技术负责人</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4.施工员</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5.质检员</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hint="eastAsia" w:ascii="宋体" w:hAnsi="宋体" w:eastAsia="宋体" w:cs="宋体"/>
                <w:color w:val="auto"/>
                <w:sz w:val="21"/>
                <w:szCs w:val="21"/>
                <w:highlight w:val="none"/>
                <w:lang w:val="en-US" w:eastAsia="zh-CN"/>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6.专职安全生产管理人员</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ascii="宋体" w:hAnsi="宋体"/>
                <w:color w:val="auto"/>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pPr>
              <w:widowControl/>
              <w:spacing w:line="300" w:lineRule="auto"/>
              <w:textAlignment w:val="baseline"/>
              <w:rPr>
                <w:rFonts w:ascii="宋体" w:hAnsi="宋体"/>
                <w:color w:val="auto"/>
                <w:szCs w:val="21"/>
                <w:highlight w:val="none"/>
              </w:rPr>
            </w:pPr>
          </w:p>
        </w:tc>
        <w:tc>
          <w:tcPr>
            <w:tcW w:w="7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kern w:val="0"/>
          <w:sz w:val="21"/>
          <w:szCs w:val="21"/>
          <w:highlight w:val="none"/>
        </w:rPr>
      </w:pPr>
      <w:r>
        <w:rPr>
          <w:rFonts w:hint="eastAsia" w:ascii="宋体" w:hAnsi="宋体" w:eastAsia="宋体" w:cs="宋体"/>
          <w:bCs/>
          <w:color w:val="auto"/>
          <w:spacing w:val="-2"/>
          <w:sz w:val="21"/>
          <w:szCs w:val="21"/>
          <w:highlight w:val="none"/>
        </w:rPr>
        <w:t>注：人员配备</w:t>
      </w:r>
      <w:r>
        <w:rPr>
          <w:rFonts w:hint="eastAsia" w:ascii="宋体" w:hAnsi="宋体" w:eastAsia="宋体" w:cs="宋体"/>
          <w:color w:val="auto"/>
          <w:spacing w:val="-2"/>
          <w:sz w:val="21"/>
          <w:szCs w:val="21"/>
          <w:highlight w:val="none"/>
        </w:rPr>
        <w:t>应按桂林市建设与规划委员会市建规〔2006〕270号文《关于调整建筑施工现场项目部管理的通知》的规定执行，须满足最低要求。</w:t>
      </w:r>
      <w:r>
        <w:rPr>
          <w:rFonts w:hint="eastAsia" w:ascii="宋体" w:hAnsi="宋体" w:eastAsia="宋体" w:cs="宋体"/>
          <w:color w:val="auto"/>
          <w:spacing w:val="-2"/>
          <w:kern w:val="0"/>
          <w:sz w:val="21"/>
          <w:szCs w:val="21"/>
          <w:highlight w:val="none"/>
        </w:rPr>
        <w:t>其中，</w:t>
      </w:r>
      <w:r>
        <w:rPr>
          <w:rFonts w:hint="eastAsia" w:ascii="宋体" w:hAnsi="宋体" w:eastAsia="宋体" w:cs="宋体"/>
          <w:color w:val="auto"/>
          <w:spacing w:val="-2"/>
          <w:kern w:val="0"/>
          <w:sz w:val="21"/>
          <w:szCs w:val="21"/>
          <w:highlight w:val="none"/>
          <w:lang w:eastAsia="zh-CN"/>
        </w:rPr>
        <w:t>项目经理</w:t>
      </w:r>
      <w:r>
        <w:rPr>
          <w:rFonts w:hint="eastAsia" w:ascii="宋体" w:hAnsi="宋体" w:eastAsia="宋体" w:cs="宋体"/>
          <w:color w:val="auto"/>
          <w:spacing w:val="-2"/>
          <w:kern w:val="0"/>
          <w:sz w:val="21"/>
          <w:szCs w:val="21"/>
          <w:highlight w:val="none"/>
        </w:rPr>
        <w:t>至少应附身份证复印件、</w:t>
      </w:r>
      <w:r>
        <w:rPr>
          <w:rFonts w:hint="eastAsia" w:ascii="宋体" w:hAnsi="宋体" w:eastAsia="宋体" w:cs="宋体"/>
          <w:color w:val="auto"/>
          <w:spacing w:val="-2"/>
          <w:kern w:val="0"/>
          <w:sz w:val="21"/>
          <w:szCs w:val="21"/>
          <w:highlight w:val="none"/>
          <w:lang w:val="en-US" w:eastAsia="zh-CN"/>
        </w:rPr>
        <w:t>建造师注册证书</w:t>
      </w:r>
      <w:r>
        <w:rPr>
          <w:rFonts w:hint="eastAsia" w:ascii="宋体" w:hAnsi="宋体" w:eastAsia="宋体" w:cs="宋体"/>
          <w:color w:val="auto"/>
          <w:spacing w:val="-2"/>
          <w:kern w:val="0"/>
          <w:sz w:val="21"/>
          <w:szCs w:val="21"/>
          <w:highlight w:val="none"/>
        </w:rPr>
        <w:t>复印件、安全生产考核合格证书（B类）复印件；技术负责人应附身份证复印件、职称证复印件；专职安全生产管理人员至少应附身份证复印件、专职安全员安全生产考核合格证书（C类）复印件；其他主要人员应附执业证或上岗证书复印件。</w:t>
      </w:r>
      <w:r>
        <w:rPr>
          <w:rFonts w:hint="eastAsia" w:ascii="宋体" w:hAnsi="宋体" w:eastAsia="宋体" w:cs="宋体"/>
          <w:color w:val="auto"/>
          <w:kern w:val="0"/>
          <w:sz w:val="21"/>
          <w:szCs w:val="21"/>
          <w:highlight w:val="none"/>
        </w:rPr>
        <w:t>同时还需提供社保部门出具</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为项目管理机构成员（包含项目经理、技术负责人、专职安全员、施工员、质检员）缴纳的响应文件递交截止时间前半年内任意连续三个月社保证明复印件。若为近期新聘员工的，以提供劳动合同证明材料复印件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若</w:t>
      </w:r>
      <w:r>
        <w:rPr>
          <w:rFonts w:hint="eastAsia" w:ascii="宋体" w:hAnsi="宋体" w:eastAsia="宋体" w:cs="宋体"/>
          <w:color w:val="auto"/>
          <w:kern w:val="0"/>
          <w:sz w:val="21"/>
          <w:szCs w:val="21"/>
          <w:highlight w:val="none"/>
          <w:lang w:val="en-US" w:eastAsia="zh-CN"/>
        </w:rPr>
        <w:t>为退休员工则需提供退休证明及劳动合同</w:t>
      </w:r>
      <w:r>
        <w:rPr>
          <w:rFonts w:hint="eastAsia" w:ascii="宋体" w:hAnsi="宋体" w:eastAsia="宋体" w:cs="宋体"/>
          <w:color w:val="auto"/>
          <w:kern w:val="0"/>
          <w:sz w:val="21"/>
          <w:szCs w:val="21"/>
          <w:highlight w:val="none"/>
        </w:rPr>
        <w:t>为准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spacing w:val="-2"/>
          <w:kern w:val="0"/>
          <w:sz w:val="21"/>
          <w:szCs w:val="21"/>
          <w:highlight w:val="none"/>
        </w:rPr>
        <w:t>上述复印件均需加盖</w:t>
      </w:r>
      <w:r>
        <w:rPr>
          <w:rFonts w:hint="eastAsia" w:ascii="宋体" w:hAnsi="宋体" w:eastAsia="宋体" w:cs="宋体"/>
          <w:color w:val="auto"/>
          <w:spacing w:val="-2"/>
          <w:kern w:val="0"/>
          <w:sz w:val="21"/>
          <w:szCs w:val="21"/>
          <w:highlight w:val="none"/>
          <w:lang w:val="en-US" w:eastAsia="zh-CN"/>
        </w:rPr>
        <w:t>供应商</w:t>
      </w:r>
      <w:r>
        <w:rPr>
          <w:rFonts w:hint="eastAsia" w:ascii="宋体" w:hAnsi="宋体" w:eastAsia="宋体" w:cs="宋体"/>
          <w:color w:val="auto"/>
          <w:spacing w:val="-2"/>
          <w:kern w:val="0"/>
          <w:sz w:val="21"/>
          <w:szCs w:val="21"/>
          <w:highlight w:val="none"/>
        </w:rPr>
        <w:t>公章。</w:t>
      </w:r>
    </w:p>
    <w:p>
      <w:pPr>
        <w:pStyle w:val="11"/>
        <w:spacing w:line="340" w:lineRule="exact"/>
        <w:jc w:val="center"/>
        <w:rPr>
          <w:rFonts w:hint="eastAsia" w:ascii="宋体" w:hAnsi="宋体" w:eastAsia="宋体" w:cs="宋体"/>
          <w:b/>
          <w:color w:val="auto"/>
          <w:sz w:val="21"/>
          <w:szCs w:val="21"/>
          <w:highlight w:val="none"/>
        </w:rPr>
      </w:pPr>
    </w:p>
    <w:p>
      <w:pPr>
        <w:pStyle w:val="6"/>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期：</w:t>
      </w:r>
      <w:r>
        <w:rPr>
          <w:rFonts w:hint="eastAsia" w:ascii="宋体" w:hAnsi="宋体" w:eastAsia="宋体" w:cs="宋体"/>
          <w:color w:val="auto"/>
          <w:sz w:val="21"/>
          <w:szCs w:val="21"/>
          <w:highlight w:val="none"/>
          <w:u w:val="single"/>
        </w:rPr>
        <w:t xml:space="preserve">                            </w:t>
      </w:r>
    </w:p>
    <w:p>
      <w:pPr>
        <w:pStyle w:val="8"/>
        <w:rPr>
          <w:rFonts w:hint="eastAsia" w:ascii="宋体" w:hAnsi="宋体" w:eastAsia="宋体" w:cs="宋体"/>
          <w:color w:val="auto"/>
          <w:sz w:val="21"/>
          <w:szCs w:val="21"/>
          <w:highlight w:val="none"/>
          <w:u w:val="single"/>
        </w:rPr>
      </w:pPr>
    </w:p>
    <w:p>
      <w:pPr>
        <w:pStyle w:val="11"/>
        <w:numPr>
          <w:ilvl w:val="0"/>
          <w:numId w:val="0"/>
        </w:numPr>
        <w:spacing w:line="340" w:lineRule="exact"/>
        <w:ind w:left="0" w:firstLine="0"/>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4</w:t>
      </w:r>
      <w:r>
        <w:rPr>
          <w:rFonts w:hint="eastAsia" w:ascii="宋体" w:hAnsi="宋体" w:eastAsia="宋体" w:cs="宋体"/>
          <w:b/>
          <w:color w:val="auto"/>
          <w:sz w:val="24"/>
          <w:szCs w:val="24"/>
          <w:highlight w:val="none"/>
          <w:lang w:val="en-US" w:eastAsia="zh-CN"/>
        </w:rPr>
        <w:t>.施工组织设计（必须提供）；</w:t>
      </w:r>
    </w:p>
    <w:p>
      <w:pPr>
        <w:snapToGrid w:val="0"/>
        <w:spacing w:line="400" w:lineRule="exact"/>
        <w:jc w:val="center"/>
        <w:outlineLvl w:val="4"/>
        <w:rPr>
          <w:rFonts w:hint="eastAsia" w:ascii="宋体" w:hAnsi="宋体" w:eastAsia="宋体" w:cs="宋体"/>
          <w:b/>
          <w:color w:val="auto"/>
          <w:sz w:val="21"/>
          <w:szCs w:val="21"/>
          <w:highlight w:val="none"/>
          <w:lang w:val="en-US" w:eastAsia="zh-CN"/>
        </w:rPr>
      </w:pPr>
    </w:p>
    <w:p>
      <w:pPr>
        <w:snapToGrid w:val="0"/>
        <w:spacing w:line="400" w:lineRule="exact"/>
        <w:jc w:val="center"/>
        <w:outlineLvl w:val="4"/>
        <w:rPr>
          <w:rFonts w:hint="eastAsia" w:ascii="宋体" w:hAnsi="宋体" w:eastAsia="宋体" w:cs="宋体"/>
          <w:b/>
          <w:color w:val="auto"/>
          <w:sz w:val="21"/>
          <w:szCs w:val="21"/>
          <w:highlight w:val="none"/>
        </w:rPr>
      </w:pPr>
    </w:p>
    <w:p>
      <w:pPr>
        <w:snapToGrid w:val="0"/>
        <w:spacing w:line="400" w:lineRule="exact"/>
        <w:jc w:val="center"/>
        <w:outlineLvl w:val="4"/>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（根据工程量清单、评分办法及工程情况自行编制，格式自拟）（必须提供）</w:t>
      </w:r>
    </w:p>
    <w:p>
      <w:pPr>
        <w:pStyle w:val="26"/>
        <w:rPr>
          <w:rFonts w:hint="eastAsia" w:ascii="宋体" w:hAnsi="宋体" w:eastAsia="宋体" w:cs="宋体"/>
          <w:color w:val="auto"/>
          <w:sz w:val="21"/>
          <w:szCs w:val="21"/>
          <w:highlight w:val="none"/>
        </w:rPr>
      </w:pPr>
    </w:p>
    <w:p>
      <w:pPr>
        <w:pStyle w:val="26"/>
        <w:rPr>
          <w:rFonts w:hint="eastAsia" w:ascii="宋体" w:hAnsi="宋体" w:eastAsia="宋体" w:cs="宋体"/>
          <w:color w:val="auto"/>
          <w:sz w:val="21"/>
          <w:szCs w:val="21"/>
          <w:highlight w:val="none"/>
        </w:rPr>
      </w:pPr>
    </w:p>
    <w:p>
      <w:pPr>
        <w:pStyle w:val="26"/>
        <w:rPr>
          <w:rFonts w:hint="eastAsia" w:ascii="宋体" w:hAnsi="宋体" w:eastAsia="宋体" w:cs="宋体"/>
          <w:color w:val="auto"/>
          <w:sz w:val="21"/>
          <w:szCs w:val="21"/>
          <w:highlight w:val="none"/>
        </w:rPr>
      </w:pPr>
    </w:p>
    <w:p>
      <w:pPr>
        <w:pStyle w:val="6"/>
        <w:widowControl w:val="0"/>
        <w:numPr>
          <w:ilvl w:val="0"/>
          <w:numId w:val="0"/>
        </w:numPr>
        <w:jc w:val="both"/>
        <w:rPr>
          <w:rFonts w:hint="eastAsia" w:ascii="宋体" w:hAnsi="宋体" w:eastAsia="宋体" w:cs="宋体"/>
          <w:color w:val="auto"/>
          <w:sz w:val="21"/>
          <w:szCs w:val="21"/>
          <w:highlight w:val="none"/>
        </w:rPr>
      </w:pPr>
    </w:p>
    <w:p>
      <w:pPr>
        <w:spacing w:line="340" w:lineRule="exact"/>
        <w:ind w:firstLine="3150" w:firstLineChars="1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pPr>
        <w:spacing w:line="340" w:lineRule="exact"/>
        <w:ind w:firstLine="3150" w:firstLineChars="1500"/>
        <w:rPr>
          <w:rFonts w:hint="eastAsia" w:ascii="宋体" w:hAnsi="宋体"/>
          <w:color w:val="auto"/>
          <w:sz w:val="21"/>
          <w:szCs w:val="21"/>
          <w:highlight w:val="none"/>
        </w:rPr>
      </w:pPr>
      <w:r>
        <w:rPr>
          <w:rFonts w:hint="eastAsia" w:ascii="宋体" w:hAnsi="宋体"/>
          <w:color w:val="auto"/>
          <w:sz w:val="21"/>
          <w:szCs w:val="21"/>
          <w:highlight w:val="none"/>
        </w:rPr>
        <w:t>法定代表人或相应的委托代理人签字[或盖章(CA签章)]：</w:t>
      </w:r>
      <w:r>
        <w:rPr>
          <w:rFonts w:hint="eastAsia" w:ascii="宋体" w:hAnsi="宋体"/>
          <w:color w:val="auto"/>
          <w:sz w:val="21"/>
          <w:szCs w:val="21"/>
          <w:highlight w:val="none"/>
          <w:u w:val="single"/>
        </w:rPr>
        <w:t xml:space="preserve">         </w:t>
      </w:r>
    </w:p>
    <w:p>
      <w:pPr>
        <w:spacing w:line="400" w:lineRule="exact"/>
        <w:ind w:firstLine="3150" w:firstLineChars="1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pPr>
        <w:pStyle w:val="3"/>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pPr>
        <w:pStyle w:val="5"/>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pStyle w:val="8"/>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pStyle w:val="3"/>
        <w:numPr>
          <w:ilvl w:val="0"/>
          <w:numId w:val="0"/>
        </w:numP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5</w:t>
      </w:r>
      <w:r>
        <w:rPr>
          <w:rFonts w:hint="eastAsia" w:ascii="宋体" w:hAnsi="宋体" w:eastAsia="宋体" w:cs="宋体"/>
          <w:b/>
          <w:color w:val="auto"/>
          <w:sz w:val="21"/>
          <w:szCs w:val="21"/>
          <w:highlight w:val="none"/>
          <w:lang w:val="en-US" w:eastAsia="zh-CN"/>
        </w:rPr>
        <w:t>.城乡清洁工程渣土清运承诺书（必须提供）。</w:t>
      </w: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ascii="宋体" w:hAnsi="宋体" w:eastAsia="宋体" w:cs="宋体"/>
          <w:b/>
          <w:color w:val="auto"/>
          <w:sz w:val="21"/>
          <w:szCs w:val="21"/>
          <w:highlight w:val="none"/>
          <w:lang w:val="en-US" w:eastAsia="zh-CN"/>
        </w:rPr>
      </w:pPr>
    </w:p>
    <w:p>
      <w:pPr>
        <w:rPr>
          <w:rFonts w:hint="eastAsia"/>
          <w:color w:val="auto"/>
          <w:highlight w:val="none"/>
          <w:lang w:val="en-US" w:eastAsia="zh-CN"/>
        </w:rPr>
      </w:pPr>
    </w:p>
    <w:p>
      <w:pPr>
        <w:pStyle w:val="11"/>
        <w:numPr>
          <w:ilvl w:val="0"/>
          <w:numId w:val="0"/>
        </w:numPr>
        <w:spacing w:line="34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.建设工程项目管理承诺书（必须提供）</w:t>
      </w:r>
      <w:r>
        <w:rPr>
          <w:rFonts w:hint="eastAsia" w:hAnsi="宋体" w:cs="宋体"/>
          <w:b/>
          <w:color w:val="auto"/>
          <w:sz w:val="24"/>
          <w:szCs w:val="24"/>
          <w:highlight w:val="none"/>
          <w:lang w:val="en-US" w:eastAsia="zh-CN"/>
        </w:rPr>
        <w:t>。</w:t>
      </w:r>
    </w:p>
    <w:p>
      <w:pPr>
        <w:spacing w:line="360" w:lineRule="auto"/>
        <w:jc w:val="center"/>
        <w:rPr>
          <w:rFonts w:hint="eastAsia" w:ascii="宋体" w:hAnsi="宋体" w:eastAsia="宋体" w:cs="宋体"/>
          <w:b/>
          <w:color w:val="auto"/>
          <w:sz w:val="21"/>
          <w:szCs w:val="21"/>
          <w:highlight w:val="none"/>
        </w:rPr>
      </w:pPr>
    </w:p>
    <w:p>
      <w:pPr>
        <w:spacing w:line="480" w:lineRule="auto"/>
        <w:jc w:val="left"/>
        <w:rPr>
          <w:rFonts w:hint="eastAsia" w:ascii="宋体"/>
          <w:color w:val="auto"/>
          <w:highlight w:val="none"/>
        </w:rPr>
      </w:pPr>
      <w:r>
        <w:rPr>
          <w:rFonts w:hint="eastAsia" w:ascii="宋体"/>
          <w:color w:val="auto"/>
          <w:highlight w:val="none"/>
          <w:u w:val="single"/>
        </w:rPr>
        <w:t xml:space="preserve">  </w:t>
      </w:r>
      <w:r>
        <w:rPr>
          <w:rFonts w:hint="eastAsia" w:ascii="宋体"/>
          <w:color w:val="auto"/>
          <w:highlight w:val="none"/>
          <w:u w:val="single"/>
          <w:lang w:val="en-US" w:eastAsia="zh-CN"/>
        </w:rPr>
        <w:t xml:space="preserve">（采购人）  </w:t>
      </w:r>
      <w:r>
        <w:rPr>
          <w:rFonts w:hint="eastAsia" w:ascii="宋体"/>
          <w:color w:val="auto"/>
          <w:highlight w:val="none"/>
          <w:u w:val="single"/>
        </w:rPr>
        <w:t xml:space="preserve"> </w:t>
      </w:r>
      <w:r>
        <w:rPr>
          <w:rFonts w:hint="eastAsia" w:ascii="宋体"/>
          <w:color w:val="auto"/>
          <w:highlight w:val="none"/>
        </w:rPr>
        <w:t>：</w:t>
      </w:r>
    </w:p>
    <w:p>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作为参与</w:t>
      </w:r>
      <w:r>
        <w:rPr>
          <w:rFonts w:hint="eastAsia" w:ascii="宋体" w:hAnsi="宋体" w:eastAsia="宋体" w:cs="宋体"/>
          <w:color w:val="auto"/>
          <w:szCs w:val="21"/>
          <w:highlight w:val="none"/>
          <w:u w:val="single"/>
          <w:lang w:bidi="ar-SA"/>
        </w:rPr>
        <w:t></w:t>
      </w:r>
      <w:r>
        <w:rPr>
          <w:rFonts w:hint="eastAsia" w:ascii="宋体" w:hAnsi="宋体" w:eastAsia="宋体" w:cs="宋体"/>
          <w:color w:val="auto"/>
          <w:highlight w:val="none"/>
          <w:u w:val="single"/>
        </w:rPr>
        <w:t>（项目名称、项目编号  ）</w:t>
      </w:r>
      <w:r>
        <w:rPr>
          <w:rFonts w:hint="eastAsia" w:ascii="宋体" w:hAnsi="宋体" w:eastAsia="宋体" w:cs="宋体"/>
          <w:color w:val="auto"/>
          <w:highlight w:val="none"/>
        </w:rPr>
        <w:t>项目的竞标方，根据国家、自治区及桂林市相关文件规定，我方在此向采购人承诺：</w:t>
      </w:r>
    </w:p>
    <w:p>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1.一旦成交，我方保证按照政府相关部门的规定，在规定时间内足额将农民工工资保障金转入农民工工资保障金专用账户。一旦我方所承包的该项目中出现拖欠农民工和工人工资情况，由建设行政主管部门或财政部门从我方农民工工资保障金中先予划支。我方在中标后如不按时、足额存入农民工工资保障金的，将被取消中标资格。</w:t>
      </w:r>
    </w:p>
    <w:p>
      <w:pPr>
        <w:spacing w:line="520" w:lineRule="exact"/>
        <w:ind w:left="-10" w:firstLine="455" w:firstLineChars="217"/>
        <w:jc w:val="left"/>
        <w:rPr>
          <w:rFonts w:hint="eastAsia" w:ascii="宋体" w:hAnsi="宋体" w:eastAsia="宋体" w:cs="宋体"/>
          <w:color w:val="auto"/>
          <w:highlight w:val="none"/>
        </w:rPr>
      </w:pPr>
      <w:r>
        <w:rPr>
          <w:rFonts w:hint="eastAsia" w:ascii="宋体" w:hAnsi="宋体" w:eastAsia="宋体" w:cs="宋体"/>
          <w:color w:val="auto"/>
          <w:highlight w:val="none"/>
        </w:rPr>
        <w:t>2.一旦成交，我方保证在施工过程中，严格执行桂建质安[2015]16号文《广西壮族自治区建筑工程安全文明施工费使用管理细则》的有关规定，确保建设工程各项安全防护、文明施工措施落实到位。如我方在该项目的承包中出现未按桂建质安[2015]16号文附件一规定执行的情形，我方愿意按照相关规定接受建设单位及有关主管部门的处罚。</w:t>
      </w:r>
    </w:p>
    <w:p>
      <w:pPr>
        <w:spacing w:line="520" w:lineRule="exact"/>
        <w:ind w:left="-2" w:leftChars="-1" w:firstLine="449" w:firstLineChars="214"/>
        <w:jc w:val="left"/>
        <w:rPr>
          <w:rFonts w:hint="eastAsia" w:ascii="宋体" w:hAnsi="宋体" w:eastAsia="宋体" w:cs="宋体"/>
          <w:color w:val="auto"/>
          <w:highlight w:val="none"/>
        </w:rPr>
      </w:pPr>
      <w:r>
        <w:rPr>
          <w:rFonts w:hint="eastAsia" w:ascii="宋体" w:hAnsi="宋体" w:eastAsia="宋体" w:cs="宋体"/>
          <w:color w:val="auto"/>
          <w:highlight w:val="none"/>
        </w:rPr>
        <w:t>3.一旦成交，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pPr>
        <w:pStyle w:val="49"/>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一旦中标，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pPr>
        <w:pStyle w:val="49"/>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pPr>
        <w:spacing w:line="400" w:lineRule="exact"/>
        <w:ind w:firstLine="551" w:firstLineChars="196"/>
        <w:rPr>
          <w:rFonts w:hint="eastAsia" w:ascii="宋体" w:cs="宋体"/>
          <w:b/>
          <w:color w:val="auto"/>
          <w:kern w:val="0"/>
          <w:sz w:val="28"/>
          <w:szCs w:val="28"/>
          <w:highlight w:val="none"/>
          <w:lang w:bidi="ar-SA"/>
        </w:rPr>
      </w:pPr>
    </w:p>
    <w:p>
      <w:pPr>
        <w:spacing w:line="400" w:lineRule="exact"/>
        <w:ind w:firstLine="551" w:firstLineChars="196"/>
        <w:rPr>
          <w:rFonts w:hint="eastAsia" w:ascii="宋体" w:cs="宋体"/>
          <w:b/>
          <w:color w:val="auto"/>
          <w:kern w:val="0"/>
          <w:sz w:val="28"/>
          <w:szCs w:val="28"/>
          <w:highlight w:val="none"/>
          <w:lang w:bidi="ar-SA"/>
        </w:rPr>
      </w:pPr>
    </w:p>
    <w:p>
      <w:pPr>
        <w:spacing w:line="340" w:lineRule="exact"/>
        <w:ind w:firstLine="5250" w:firstLineChars="2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pPr>
        <w:spacing w:line="400" w:lineRule="exact"/>
        <w:ind w:firstLine="5250" w:firstLineChars="2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pPr>
        <w:pStyle w:val="49"/>
        <w:spacing w:line="360" w:lineRule="auto"/>
        <w:jc w:val="center"/>
        <w:rPr>
          <w:rFonts w:hint="eastAsia" w:cs="宋体"/>
          <w:b/>
          <w:bCs/>
          <w:color w:val="auto"/>
          <w:sz w:val="28"/>
          <w:szCs w:val="28"/>
          <w:highlight w:val="none"/>
          <w:lang w:bidi="ar-SA"/>
        </w:rPr>
      </w:pPr>
    </w:p>
    <w:p>
      <w:pPr>
        <w:pStyle w:val="49"/>
        <w:spacing w:line="360" w:lineRule="auto"/>
        <w:jc w:val="center"/>
        <w:rPr>
          <w:rFonts w:hint="eastAsia" w:cs="宋体"/>
          <w:b/>
          <w:bCs/>
          <w:color w:val="auto"/>
          <w:sz w:val="28"/>
          <w:szCs w:val="28"/>
          <w:highlight w:val="none"/>
          <w:lang w:bidi="ar-SA"/>
        </w:rPr>
      </w:pPr>
    </w:p>
    <w:p>
      <w:pPr>
        <w:pStyle w:val="49"/>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 w:val="28"/>
          <w:szCs w:val="28"/>
          <w:highlight w:val="none"/>
          <w:lang w:bidi="ar-SA"/>
        </w:rPr>
        <w:t>广西壮族自治区建筑工程安全文明施工措施项目清单内容</w:t>
      </w:r>
    </w:p>
    <w:p>
      <w:pPr>
        <w:pStyle w:val="49"/>
        <w:spacing w:line="360" w:lineRule="auto"/>
        <w:ind w:firstLine="600" w:firstLineChars="2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SA"/>
        </w:rPr>
        <w:t>（桂建质〔</w:t>
      </w:r>
      <w:r>
        <w:rPr>
          <w:rFonts w:hint="eastAsia" w:ascii="宋体" w:hAnsi="宋体" w:eastAsia="宋体" w:cs="宋体"/>
          <w:color w:val="auto"/>
          <w:sz w:val="24"/>
          <w:szCs w:val="24"/>
          <w:highlight w:val="none"/>
        </w:rPr>
        <w:t>2015</w:t>
      </w:r>
      <w:r>
        <w:rPr>
          <w:rFonts w:hint="eastAsia" w:ascii="宋体" w:hAnsi="宋体" w:eastAsia="宋体" w:cs="宋体"/>
          <w:color w:val="auto"/>
          <w:sz w:val="24"/>
          <w:szCs w:val="24"/>
          <w:highlight w:val="none"/>
          <w:lang w:bidi="ar-SA"/>
        </w:rPr>
        <w:t>〕</w:t>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lang w:bidi="ar-SA"/>
        </w:rPr>
        <w:t>号文附件一）</w:t>
      </w:r>
    </w:p>
    <w:p>
      <w:pPr>
        <w:pStyle w:val="49"/>
        <w:spacing w:line="24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SA"/>
        </w:rPr>
        <w:t>广西壮族自治区</w:t>
      </w:r>
    </w:p>
    <w:p>
      <w:pPr>
        <w:pStyle w:val="49"/>
        <w:spacing w:line="240" w:lineRule="atLeast"/>
        <w:ind w:firstLine="546"/>
        <w:jc w:val="center"/>
        <w:rPr>
          <w:rFonts w:hint="eastAsia" w:ascii="宋体" w:hAnsi="宋体" w:eastAsia="宋体" w:cs="宋体"/>
          <w:b/>
          <w:bCs/>
          <w:color w:val="auto"/>
          <w:w w:val="90"/>
          <w:sz w:val="24"/>
          <w:szCs w:val="24"/>
          <w:highlight w:val="none"/>
        </w:rPr>
      </w:pPr>
      <w:r>
        <w:rPr>
          <w:rFonts w:hint="eastAsia" w:ascii="宋体" w:hAnsi="宋体" w:eastAsia="宋体" w:cs="宋体"/>
          <w:b/>
          <w:bCs/>
          <w:color w:val="auto"/>
          <w:w w:val="90"/>
          <w:sz w:val="24"/>
          <w:szCs w:val="24"/>
          <w:highlight w:val="none"/>
          <w:lang w:bidi="ar-SA"/>
        </w:rPr>
        <w:t>建设工程安全文明施工措施项目清单内容</w:t>
      </w:r>
    </w:p>
    <w:p>
      <w:pPr>
        <w:pStyle w:val="49"/>
        <w:spacing w:line="240" w:lineRule="atLeast"/>
        <w:ind w:firstLine="546"/>
        <w:jc w:val="center"/>
        <w:rPr>
          <w:rFonts w:hint="eastAsia" w:ascii="宋体" w:hAnsi="宋体" w:eastAsia="宋体" w:cs="宋体"/>
          <w:b/>
          <w:bCs/>
          <w:color w:val="auto"/>
          <w:w w:val="90"/>
          <w:sz w:val="24"/>
          <w:szCs w:val="24"/>
          <w:highlight w:val="none"/>
        </w:rPr>
      </w:pPr>
    </w:p>
    <w:tbl>
      <w:tblPr>
        <w:tblStyle w:val="18"/>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noWrap w:val="0"/>
            <w:vAlign w:val="center"/>
          </w:tcPr>
          <w:p>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tcBorders>
              <w:top w:val="single" w:color="auto" w:sz="12" w:space="0"/>
            </w:tcBorders>
            <w:noWrap w:val="0"/>
            <w:vAlign w:val="center"/>
          </w:tcPr>
          <w:p>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tcBorders>
              <w:top w:val="single" w:color="auto" w:sz="12" w:space="0"/>
            </w:tcBorders>
            <w:noWrap w:val="0"/>
            <w:vAlign w:val="center"/>
          </w:tcPr>
          <w:p>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文明</w:t>
            </w:r>
          </w:p>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w:t>
            </w:r>
          </w:p>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与</w:t>
            </w:r>
          </w:p>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环境</w:t>
            </w:r>
          </w:p>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保护</w:t>
            </w: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安全警示</w:t>
            </w:r>
          </w:p>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标志牌</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在易发伤亡事故（或危险）处设置明显的、符合国家标准要求的安全警示标志牌。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现场围挡</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现场采用封闭围挡，高度不小于1.8m。</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围挡材料可用彩色、定型钢板，砌块等墙体。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七牌二图</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在进门处悬挂工程概况、现场出入制度、管理人员名单及监督电话、安全生产规定、文明施工、消防保卫、节能公示等七牌以及施工现场总平面图、工程效果图。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企业标志</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现场出入的大门应设有本企业标志或企业标识。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场容场貌</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道路畅通。</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排水设施齐全畅通。</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工地地面硬化处理（办公区、生活区、现场道路、材料堆放、混凝土搅拌、砂浆搅拌、钢筋加工等场地和外脚手架基础等）。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材料堆放</w:t>
            </w:r>
          </w:p>
        </w:tc>
        <w:tc>
          <w:tcPr>
            <w:tcW w:w="6645" w:type="dxa"/>
            <w:noWrap w:val="0"/>
            <w:vAlign w:val="center"/>
          </w:tcPr>
          <w:p>
            <w:pPr>
              <w:pStyle w:val="49"/>
              <w:numPr>
                <w:ilvl w:val="0"/>
                <w:numId w:val="5"/>
              </w:numPr>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材料、构件、料具等堆放时，应有名称、品种、规格等标牌。</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水泥和其它易飞扬细颗粒建筑材料应封闭存放或采取覆盖等措施。</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易燃、易爆和有毒有害物品分类存放。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现场防火</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消防器材配置合理，符合消防要求。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垃圾清运</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施工现场应设置密闭式垃圾站，施工垃圾、生活垃圾应分类存放。</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施工垃圾必须采用相应容器或管道运输。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宣传栏、环保及不扰民措施</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宣传栏、安全宣传标语等，洗车（防止污染市区道路）、粉尘、噪声控制和排污（污水、废气）措施等。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临时设施</w:t>
            </w: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现场办公</w:t>
            </w:r>
          </w:p>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生活设施</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施工现场办公、生活区与作业区分开设置，保持安全距离。</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工地办公室、现场宿舍、食堂、厕所、饮水、沐浴、休息场所等符合卫生、消防安全要求。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restart"/>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w:t>
            </w:r>
          </w:p>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临时用电</w:t>
            </w:r>
          </w:p>
        </w:tc>
        <w:tc>
          <w:tcPr>
            <w:tcW w:w="1545" w:type="dxa"/>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配电线路</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按照TN-S系统要求配备五芯电缆、四芯电缆和三芯电缆。</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按要求架设临时用电线路的电杆、横担、瓷夹、瓷瓶等，或电缆埋地的地沟。</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对靠近施工现场的外电线路，设置木质、塑料等绝缘体的防护设施。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配电箱</w:t>
            </w:r>
          </w:p>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开关箱</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按三级配电要求，配备总配电箱、分配电箱、开关箱三类（铁质）标准电箱，开关箱应符合“一机、一箱、一闸、一漏”，三类电箱中的各类电器应是合格品。</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按两级保护的要求，选取符合容量要求和质量合格的总配电箱和开关箱中的漏电保护器。</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对大型、落地式分配电箱、开关箱设置防护棚和通透式围挡。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接地装置</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施工现场应设置不少于三处的重复接地装置。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现场变配电装置</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总配电房建筑材料必须达到消防防火要求，室内做硬地坪、电缆沟。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noWrap w:val="0"/>
            <w:vAlign w:val="center"/>
          </w:tcPr>
          <w:p>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noWrap w:val="0"/>
            <w:vAlign w:val="center"/>
          </w:tcPr>
          <w:p>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安全施工</w:t>
            </w:r>
          </w:p>
        </w:tc>
        <w:tc>
          <w:tcPr>
            <w:tcW w:w="525" w:type="dxa"/>
            <w:vMerge w:val="restart"/>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高处作业防护</w:t>
            </w:r>
          </w:p>
        </w:tc>
        <w:tc>
          <w:tcPr>
            <w:tcW w:w="15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楼层、屋面、阳台等临边</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设两道防护栏杆和18cm高的踢脚板，用密目式安全立网全封闭。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通道口</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设防护棚，防护棚应为不小于5cm厚的木板或两道相距50cm的竹笆。两侧应沿栏杆架用密目式安全网封闭。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预留洞口</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用硬质材料全封闭，短边超过1.5m长的洞口，除封闭外四周还应设有防护栏杆。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电梯井口</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设置定型化、工具化的防护门，在电梯井内每隔2层（不大于10m）设置一道水平防护。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楼梯边</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设1.2m高的定型化、工具化的防护栏，18cm高的踢脚板。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垂直方向交叉作业</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设置防护隔离棚或其它设施。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有悬挂安全带的悬索或其它设施，有操作平台，有上下的梯子或其它形式的通道。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基坑、物料平台</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设1.2m高标准化的防护栏，用密目式安全立网封闭，悬挂标识。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安全防护用品</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安全帽、安全带、特种作业人员（电工、焊工、架子工等）防护服装、用品等。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w:t>
            </w:r>
          </w:p>
        </w:tc>
        <w:tc>
          <w:tcPr>
            <w:tcW w:w="525" w:type="dxa"/>
            <w:vMerge w:val="restart"/>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机械设备防护</w:t>
            </w:r>
          </w:p>
        </w:tc>
        <w:tc>
          <w:tcPr>
            <w:tcW w:w="1545" w:type="dxa"/>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中小型机械</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设防护棚（同通道口防护并有防雨措施）。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pPr>
              <w:rPr>
                <w:rFonts w:hint="eastAsia" w:ascii="宋体" w:hAnsi="宋体" w:eastAsia="宋体" w:cs="宋体"/>
                <w:color w:val="auto"/>
                <w:highlight w:val="none"/>
              </w:rPr>
            </w:pPr>
          </w:p>
        </w:tc>
        <w:tc>
          <w:tcPr>
            <w:tcW w:w="525" w:type="dxa"/>
            <w:vMerge w:val="continue"/>
            <w:noWrap w:val="0"/>
            <w:vAlign w:val="center"/>
          </w:tcPr>
          <w:p>
            <w:pPr>
              <w:rPr>
                <w:rFonts w:hint="eastAsia" w:ascii="宋体" w:hAnsi="宋体" w:eastAsia="宋体" w:cs="宋体"/>
                <w:color w:val="auto"/>
                <w:highlight w:val="none"/>
              </w:rPr>
            </w:pPr>
          </w:p>
        </w:tc>
        <w:tc>
          <w:tcPr>
            <w:tcW w:w="1545" w:type="dxa"/>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垂直运输设备</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垂直运输设备检测、检验、日常维护、保养等。</w:t>
            </w:r>
          </w:p>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物料提升机、施工电梯等物料平台搭设、外侧用密目式安全立网全封闭，有安全通道、安全防护门、防护棚等。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专家论证审查</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超过一定规模的危险性较大分部分项工程专家论证审查。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pPr>
              <w:rPr>
                <w:rFonts w:hint="eastAsia" w:ascii="宋体" w:hAnsi="宋体" w:eastAsia="宋体" w:cs="宋体"/>
                <w:color w:val="auto"/>
                <w:highlight w:val="none"/>
              </w:rPr>
            </w:pPr>
          </w:p>
        </w:tc>
        <w:tc>
          <w:tcPr>
            <w:tcW w:w="2070" w:type="dxa"/>
            <w:gridSpan w:val="2"/>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应急救援预案</w:t>
            </w:r>
          </w:p>
        </w:tc>
        <w:tc>
          <w:tcPr>
            <w:tcW w:w="6645" w:type="dxa"/>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救援器材准备及演练等。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noWrap w:val="0"/>
            <w:vAlign w:val="center"/>
          </w:tcPr>
          <w:p>
            <w:pPr>
              <w:rPr>
                <w:rFonts w:hint="eastAsia" w:ascii="宋体" w:hAnsi="宋体" w:eastAsia="宋体" w:cs="宋体"/>
                <w:color w:val="auto"/>
                <w:highlight w:val="none"/>
              </w:rPr>
            </w:pPr>
          </w:p>
        </w:tc>
        <w:tc>
          <w:tcPr>
            <w:tcW w:w="2070" w:type="dxa"/>
            <w:gridSpan w:val="2"/>
            <w:tcBorders>
              <w:bottom w:val="single" w:color="auto" w:sz="12" w:space="0"/>
            </w:tcBorders>
            <w:noWrap w:val="0"/>
            <w:vAlign w:val="center"/>
          </w:tcPr>
          <w:p>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非正常情况施工</w:t>
            </w:r>
          </w:p>
        </w:tc>
        <w:tc>
          <w:tcPr>
            <w:tcW w:w="6645" w:type="dxa"/>
            <w:tcBorders>
              <w:bottom w:val="single" w:color="auto" w:sz="12" w:space="0"/>
            </w:tcBorders>
            <w:noWrap w:val="0"/>
            <w:vAlign w:val="center"/>
          </w:tcPr>
          <w:p>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其它特殊情况下的防护费用，如：城市主干道、人流密集、河边等处施工及文物、古建筑、古树保护等。</w:t>
            </w:r>
          </w:p>
        </w:tc>
      </w:tr>
    </w:tbl>
    <w:p>
      <w:pPr>
        <w:pStyle w:val="49"/>
        <w:spacing w:line="240" w:lineRule="atLeast"/>
        <w:ind w:firstLine="546"/>
        <w:jc w:val="center"/>
        <w:rPr>
          <w:rFonts w:hint="eastAsia" w:ascii="宋体" w:hAnsi="宋体" w:eastAsia="宋体" w:cs="宋体"/>
          <w:b/>
          <w:bCs/>
          <w:color w:val="auto"/>
          <w:w w:val="90"/>
          <w:sz w:val="24"/>
          <w:szCs w:val="24"/>
          <w:highlight w:val="none"/>
        </w:rPr>
      </w:pPr>
    </w:p>
    <w:p>
      <w:pPr>
        <w:pStyle w:val="49"/>
        <w:spacing w:before="156"/>
        <w:ind w:firstLine="420" w:firstLineChars="200"/>
        <w:rPr>
          <w:rFonts w:hint="eastAsia" w:ascii="宋体" w:hAnsi="宋体" w:eastAsia="宋体" w:cs="宋体"/>
          <w:color w:val="auto"/>
          <w:szCs w:val="21"/>
          <w:highlight w:val="none"/>
          <w:lang w:bidi="ar-SA"/>
        </w:rPr>
      </w:pPr>
      <w:r>
        <w:rPr>
          <w:rFonts w:hint="eastAsia" w:ascii="宋体" w:hAnsi="宋体" w:eastAsia="宋体" w:cs="宋体"/>
          <w:color w:val="auto"/>
          <w:szCs w:val="21"/>
          <w:highlight w:val="none"/>
          <w:lang w:bidi="ar-SA"/>
        </w:rPr>
        <w:t>注：本表所列建筑工程安全文明施工费，是依据现行法律法规及标准规范确定的。如法律法规和标准规范修订，本表所列项目应按照修订后的法律法规和标准规范进行调整。</w:t>
      </w:r>
    </w:p>
    <w:p>
      <w:pPr>
        <w:pStyle w:val="3"/>
        <w:numPr>
          <w:ilvl w:val="0"/>
          <w:numId w:val="0"/>
        </w:numPr>
        <w:rPr>
          <w:rFonts w:hint="eastAsia" w:ascii="宋体" w:hAnsi="宋体" w:cs="宋体"/>
          <w:b/>
          <w:color w:val="auto"/>
          <w:sz w:val="21"/>
          <w:szCs w:val="21"/>
          <w:highlight w:val="none"/>
          <w:lang w:val="en-US" w:eastAsia="zh-CN"/>
        </w:rPr>
      </w:pPr>
      <w:bookmarkStart w:id="856" w:name="_Toc21352"/>
      <w:bookmarkStart w:id="857" w:name="_Toc26788"/>
      <w:bookmarkStart w:id="858" w:name="_Toc10529"/>
      <w:bookmarkStart w:id="859" w:name="_Toc28672"/>
      <w:bookmarkStart w:id="860" w:name="_Toc9339"/>
      <w:bookmarkStart w:id="861" w:name="_Toc497927084"/>
    </w:p>
    <w:p>
      <w:pPr>
        <w:rPr>
          <w:rFonts w:hint="eastAsia" w:ascii="宋体" w:hAnsi="宋体" w:cs="宋体"/>
          <w:b/>
          <w:color w:val="auto"/>
          <w:sz w:val="21"/>
          <w:szCs w:val="21"/>
          <w:highlight w:val="none"/>
          <w:lang w:val="en-US" w:eastAsia="zh-CN"/>
        </w:rPr>
      </w:pPr>
    </w:p>
    <w:p>
      <w:pPr>
        <w:rPr>
          <w:rFonts w:hint="eastAsia" w:ascii="宋体" w:hAnsi="宋体" w:cs="宋体"/>
          <w:b/>
          <w:color w:val="auto"/>
          <w:sz w:val="21"/>
          <w:szCs w:val="21"/>
          <w:highlight w:val="none"/>
          <w:lang w:val="en-US" w:eastAsia="zh-CN"/>
        </w:rPr>
      </w:pPr>
    </w:p>
    <w:bookmarkEnd w:id="856"/>
    <w:bookmarkEnd w:id="857"/>
    <w:bookmarkEnd w:id="858"/>
    <w:p>
      <w:pPr>
        <w:widowControl w:val="0"/>
        <w:numPr>
          <w:ilvl w:val="0"/>
          <w:numId w:val="0"/>
        </w:numPr>
        <w:jc w:val="both"/>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bookmarkEnd w:id="859"/>
    <w:bookmarkEnd w:id="860"/>
    <w:bookmarkEnd w:id="861"/>
    <w:p>
      <w:pPr>
        <w:spacing w:line="360" w:lineRule="auto"/>
        <w:ind w:firstLine="420" w:firstLineChars="200"/>
        <w:rPr>
          <w:rFonts w:hint="eastAsia" w:ascii="宋体" w:hAnsi="宋体" w:eastAsia="宋体" w:cs="宋体"/>
          <w:color w:val="auto"/>
          <w:sz w:val="21"/>
          <w:szCs w:val="21"/>
          <w:highlight w:val="none"/>
        </w:rPr>
      </w:pPr>
    </w:p>
    <w:p>
      <w:pPr>
        <w:pStyle w:val="23"/>
        <w:rPr>
          <w:rFonts w:hint="eastAsia" w:ascii="宋体" w:hAnsi="宋体" w:eastAsia="宋体" w:cs="宋体"/>
          <w:b/>
          <w:bCs/>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sz w:val="24"/>
          <w:szCs w:val="24"/>
          <w:highlight w:val="none"/>
        </w:rPr>
        <w:t>其</w:t>
      </w:r>
      <w:r>
        <w:rPr>
          <w:rFonts w:hint="eastAsia" w:ascii="宋体" w:hAnsi="宋体" w:eastAsia="宋体" w:cs="宋体"/>
          <w:b/>
          <w:bCs/>
          <w:color w:val="auto"/>
          <w:sz w:val="24"/>
          <w:szCs w:val="24"/>
          <w:highlight w:val="none"/>
          <w:lang w:eastAsia="zh-CN"/>
        </w:rPr>
        <w:t>他</w:t>
      </w:r>
      <w:r>
        <w:rPr>
          <w:rFonts w:hint="eastAsia" w:ascii="宋体" w:hAnsi="宋体" w:eastAsia="宋体" w:cs="宋体"/>
          <w:b/>
          <w:bCs/>
          <w:color w:val="auto"/>
          <w:sz w:val="24"/>
          <w:szCs w:val="24"/>
          <w:highlight w:val="none"/>
        </w:rPr>
        <w:t>有效证明材料</w:t>
      </w:r>
    </w:p>
    <w:p>
      <w:pPr>
        <w:spacing w:line="240" w:lineRule="auto"/>
        <w:rPr>
          <w:rFonts w:hint="eastAsia" w:ascii="宋体" w:hAnsi="宋体" w:eastAsia="宋体" w:cs="宋体"/>
          <w:b/>
          <w:bCs/>
          <w:iCs/>
          <w:color w:val="auto"/>
          <w:kern w:val="2"/>
          <w:sz w:val="21"/>
          <w:szCs w:val="21"/>
          <w:highlight w:val="none"/>
          <w:lang w:val="en-US" w:eastAsia="zh-CN" w:bidi="ar-SA"/>
        </w:rPr>
      </w:pPr>
    </w:p>
    <w:p>
      <w:pPr>
        <w:spacing w:line="240" w:lineRule="auto"/>
        <w:rPr>
          <w:rFonts w:hint="eastAsia" w:ascii="宋体" w:hAnsi="宋体" w:eastAsia="宋体" w:cs="宋体"/>
          <w:b/>
          <w:bCs/>
          <w:iCs/>
          <w:color w:val="auto"/>
          <w:kern w:val="2"/>
          <w:sz w:val="21"/>
          <w:szCs w:val="21"/>
          <w:highlight w:val="none"/>
          <w:lang w:val="en-US" w:eastAsia="zh-CN" w:bidi="ar-SA"/>
        </w:rPr>
      </w:pPr>
      <w:r>
        <w:rPr>
          <w:rFonts w:hint="eastAsia" w:ascii="宋体" w:hAnsi="宋体" w:eastAsia="宋体" w:cs="宋体"/>
          <w:b/>
          <w:bCs/>
          <w:iCs/>
          <w:color w:val="auto"/>
          <w:kern w:val="2"/>
          <w:sz w:val="21"/>
          <w:szCs w:val="21"/>
          <w:highlight w:val="none"/>
          <w:lang w:val="en-US" w:eastAsia="zh-CN" w:bidi="ar-SA"/>
        </w:rPr>
        <w:t>1.供应商2021年1月1日以来具有同类项目业绩的相关证明材料（无不良记录，以中标、成交通知书或签订的合同复印件为准，并能清晰反映项目的名称、采购内容、采购金额、采购时间）（如有，请提供）</w:t>
      </w:r>
      <w:r>
        <w:rPr>
          <w:rFonts w:hint="eastAsia" w:ascii="宋体" w:hAnsi="宋体" w:cs="宋体"/>
          <w:b/>
          <w:bCs/>
          <w:iCs/>
          <w:color w:val="auto"/>
          <w:kern w:val="2"/>
          <w:sz w:val="21"/>
          <w:szCs w:val="21"/>
          <w:highlight w:val="none"/>
          <w:lang w:val="en-US" w:eastAsia="zh-CN" w:bidi="ar-SA"/>
        </w:rPr>
        <w:t>；</w:t>
      </w:r>
    </w:p>
    <w:p>
      <w:pPr>
        <w:spacing w:line="240" w:lineRule="auto"/>
        <w:rPr>
          <w:rFonts w:hint="eastAsia" w:ascii="宋体" w:hAnsi="宋体" w:eastAsia="宋体" w:cs="宋体"/>
          <w:b/>
          <w:bCs/>
          <w:iCs/>
          <w:color w:val="auto"/>
          <w:kern w:val="2"/>
          <w:sz w:val="21"/>
          <w:szCs w:val="21"/>
          <w:highlight w:val="none"/>
          <w:lang w:val="en-US" w:eastAsia="zh-CN" w:bidi="ar-SA"/>
        </w:rPr>
      </w:pPr>
    </w:p>
    <w:p>
      <w:pPr>
        <w:spacing w:line="240" w:lineRule="auto"/>
        <w:rPr>
          <w:rFonts w:hint="eastAsia" w:ascii="宋体" w:hAnsi="宋体" w:eastAsia="宋体" w:cs="宋体"/>
          <w:b/>
          <w:bCs/>
          <w:iCs/>
          <w:color w:val="auto"/>
          <w:kern w:val="2"/>
          <w:sz w:val="21"/>
          <w:szCs w:val="21"/>
          <w:highlight w:val="none"/>
          <w:lang w:val="en-US" w:eastAsia="zh-CN" w:bidi="ar-SA"/>
        </w:rPr>
      </w:pPr>
    </w:p>
    <w:p>
      <w:pPr>
        <w:spacing w:line="240" w:lineRule="auto"/>
        <w:rPr>
          <w:rFonts w:hint="eastAsia" w:ascii="宋体" w:hAnsi="宋体" w:eastAsia="宋体" w:cs="宋体"/>
          <w:b/>
          <w:bCs/>
          <w:iCs/>
          <w:color w:val="auto"/>
          <w:kern w:val="2"/>
          <w:sz w:val="21"/>
          <w:szCs w:val="21"/>
          <w:highlight w:val="none"/>
          <w:lang w:val="en-US" w:eastAsia="zh-CN" w:bidi="ar-SA"/>
        </w:rPr>
      </w:pPr>
    </w:p>
    <w:p>
      <w:pPr>
        <w:spacing w:line="240" w:lineRule="auto"/>
        <w:rPr>
          <w:rFonts w:hint="eastAsia" w:ascii="宋体" w:hAnsi="宋体" w:eastAsia="宋体" w:cs="宋体"/>
          <w:b/>
          <w:bCs/>
          <w:iCs/>
          <w:color w:val="auto"/>
          <w:kern w:val="2"/>
          <w:sz w:val="21"/>
          <w:szCs w:val="21"/>
          <w:highlight w:val="none"/>
          <w:lang w:val="en-US" w:eastAsia="zh-CN" w:bidi="ar-SA"/>
        </w:rPr>
      </w:pPr>
    </w:p>
    <w:p>
      <w:pPr>
        <w:pStyle w:val="8"/>
        <w:rPr>
          <w:rFonts w:hint="eastAsia"/>
          <w:color w:val="auto"/>
          <w:highlight w:val="none"/>
          <w:lang w:val="en-US" w:eastAsia="zh-CN"/>
        </w:rPr>
      </w:pPr>
    </w:p>
    <w:p>
      <w:pPr>
        <w:spacing w:line="240" w:lineRule="auto"/>
        <w:rPr>
          <w:rFonts w:hint="eastAsia" w:ascii="宋体" w:hAnsi="宋体" w:cs="宋体"/>
          <w:b/>
          <w:bCs/>
          <w:iCs/>
          <w:color w:val="auto"/>
          <w:kern w:val="2"/>
          <w:sz w:val="21"/>
          <w:szCs w:val="21"/>
          <w:highlight w:val="none"/>
          <w:lang w:val="en-US" w:eastAsia="zh-CN" w:bidi="ar-SA"/>
        </w:rPr>
      </w:pPr>
      <w:r>
        <w:rPr>
          <w:rFonts w:hint="eastAsia" w:ascii="宋体" w:hAnsi="宋体" w:cs="宋体"/>
          <w:b/>
          <w:bCs/>
          <w:iCs/>
          <w:color w:val="auto"/>
          <w:kern w:val="2"/>
          <w:sz w:val="21"/>
          <w:szCs w:val="21"/>
          <w:highlight w:val="none"/>
          <w:lang w:val="en-US" w:eastAsia="zh-CN" w:bidi="ar-SA"/>
        </w:rPr>
        <w:t>2.供应商相关获奖证书、认证证书等复印件（如有，请提供）；</w:t>
      </w:r>
    </w:p>
    <w:p>
      <w:pPr>
        <w:spacing w:line="240" w:lineRule="auto"/>
        <w:rPr>
          <w:rFonts w:hint="eastAsia" w:ascii="宋体" w:hAnsi="宋体" w:cs="宋体"/>
          <w:b/>
          <w:bCs/>
          <w:iCs/>
          <w:color w:val="auto"/>
          <w:kern w:val="2"/>
          <w:sz w:val="21"/>
          <w:szCs w:val="21"/>
          <w:highlight w:val="none"/>
          <w:lang w:val="en-US" w:eastAsia="zh-CN" w:bidi="ar-SA"/>
        </w:rPr>
      </w:pPr>
    </w:p>
    <w:p>
      <w:pPr>
        <w:spacing w:line="240" w:lineRule="auto"/>
        <w:rPr>
          <w:rFonts w:hint="eastAsia" w:ascii="宋体" w:hAnsi="宋体" w:cs="宋体"/>
          <w:b/>
          <w:bCs/>
          <w:iCs/>
          <w:color w:val="auto"/>
          <w:kern w:val="2"/>
          <w:sz w:val="21"/>
          <w:szCs w:val="21"/>
          <w:highlight w:val="none"/>
          <w:lang w:val="en-US" w:eastAsia="zh-CN" w:bidi="ar-SA"/>
        </w:rPr>
      </w:pPr>
    </w:p>
    <w:p>
      <w:pPr>
        <w:spacing w:line="240" w:lineRule="auto"/>
        <w:rPr>
          <w:rFonts w:hint="eastAsia" w:ascii="宋体" w:hAnsi="宋体" w:cs="宋体"/>
          <w:b/>
          <w:bCs/>
          <w:iCs/>
          <w:color w:val="auto"/>
          <w:kern w:val="2"/>
          <w:sz w:val="21"/>
          <w:szCs w:val="21"/>
          <w:highlight w:val="none"/>
          <w:lang w:val="en-US" w:eastAsia="zh-CN" w:bidi="ar-SA"/>
        </w:rPr>
      </w:pPr>
    </w:p>
    <w:p>
      <w:pPr>
        <w:spacing w:line="240" w:lineRule="auto"/>
        <w:rPr>
          <w:rFonts w:hint="eastAsia" w:ascii="宋体" w:hAnsi="宋体" w:cs="宋体"/>
          <w:b/>
          <w:bCs/>
          <w:iCs/>
          <w:color w:val="auto"/>
          <w:kern w:val="2"/>
          <w:sz w:val="21"/>
          <w:szCs w:val="21"/>
          <w:highlight w:val="none"/>
          <w:lang w:val="en-US" w:eastAsia="zh-CN" w:bidi="ar-SA"/>
        </w:rPr>
      </w:pPr>
    </w:p>
    <w:p>
      <w:pPr>
        <w:spacing w:line="240" w:lineRule="auto"/>
        <w:rPr>
          <w:rFonts w:hint="eastAsia" w:ascii="宋体" w:hAnsi="宋体" w:cs="宋体"/>
          <w:b/>
          <w:bCs/>
          <w:iCs/>
          <w:color w:val="auto"/>
          <w:kern w:val="2"/>
          <w:sz w:val="21"/>
          <w:szCs w:val="21"/>
          <w:highlight w:val="none"/>
          <w:lang w:val="en-US" w:eastAsia="zh-CN" w:bidi="ar-SA"/>
        </w:rPr>
      </w:pPr>
    </w:p>
    <w:p>
      <w:pPr>
        <w:spacing w:line="240" w:lineRule="auto"/>
        <w:rPr>
          <w:rFonts w:hint="eastAsia" w:ascii="宋体" w:hAnsi="宋体" w:eastAsia="宋体" w:cs="宋体"/>
          <w:b/>
          <w:bCs/>
          <w:iCs/>
          <w:color w:val="auto"/>
          <w:kern w:val="2"/>
          <w:sz w:val="21"/>
          <w:szCs w:val="21"/>
          <w:highlight w:val="none"/>
          <w:lang w:val="en-US" w:eastAsia="zh-CN" w:bidi="ar-SA"/>
        </w:rPr>
      </w:pPr>
      <w:r>
        <w:rPr>
          <w:rFonts w:hint="eastAsia" w:ascii="宋体" w:hAnsi="宋体" w:cs="宋体"/>
          <w:b/>
          <w:bCs/>
          <w:iCs/>
          <w:color w:val="auto"/>
          <w:kern w:val="2"/>
          <w:sz w:val="21"/>
          <w:szCs w:val="21"/>
          <w:highlight w:val="none"/>
          <w:lang w:val="en-US" w:eastAsia="zh-CN" w:bidi="ar-SA"/>
        </w:rPr>
        <w:t>3</w:t>
      </w:r>
      <w:r>
        <w:rPr>
          <w:rFonts w:hint="eastAsia" w:ascii="宋体" w:hAnsi="宋体" w:eastAsia="宋体" w:cs="宋体"/>
          <w:b/>
          <w:bCs/>
          <w:iCs/>
          <w:color w:val="auto"/>
          <w:kern w:val="2"/>
          <w:sz w:val="21"/>
          <w:szCs w:val="21"/>
          <w:highlight w:val="none"/>
          <w:lang w:val="en-US" w:eastAsia="zh-CN" w:bidi="ar-SA"/>
        </w:rPr>
        <w:t>.供应商可结合本项目的自身情况自行提交其它相关证明材料。</w:t>
      </w:r>
    </w:p>
    <w:p>
      <w:pPr>
        <w:bidi w:val="0"/>
        <w:rPr>
          <w:rFonts w:hint="eastAsia" w:ascii="宋体" w:hAnsi="宋体" w:eastAsia="宋体" w:cs="宋体"/>
          <w:color w:val="auto"/>
          <w:sz w:val="21"/>
          <w:szCs w:val="21"/>
          <w:highlight w:val="none"/>
          <w:lang w:val="en-US" w:eastAsia="zh-CN"/>
        </w:rPr>
      </w:pPr>
    </w:p>
    <w:p>
      <w:pPr>
        <w:rPr>
          <w:rFonts w:hint="eastAsia" w:ascii="宋体" w:hAnsi="宋体" w:eastAsia="宋体" w:cs="宋体"/>
          <w:color w:val="auto"/>
          <w:sz w:val="21"/>
          <w:szCs w:val="21"/>
          <w:highlight w:val="none"/>
          <w:lang w:val="en-US" w:eastAsia="zh-CN"/>
        </w:rPr>
      </w:pPr>
    </w:p>
    <w:p>
      <w:pPr>
        <w:pStyle w:val="2"/>
        <w:spacing w:line="240" w:lineRule="auto"/>
        <w:jc w:val="center"/>
        <w:rPr>
          <w:rFonts w:hint="eastAsia" w:ascii="宋体" w:hAnsi="宋体" w:eastAsia="宋体" w:cs="宋体"/>
          <w:color w:val="auto"/>
          <w:sz w:val="21"/>
          <w:szCs w:val="21"/>
          <w:highlight w:val="none"/>
        </w:rPr>
      </w:pPr>
      <w:bookmarkStart w:id="862" w:name="_Toc6973"/>
      <w:bookmarkStart w:id="863" w:name="_Toc2237"/>
      <w:bookmarkStart w:id="864" w:name="_Toc18780"/>
      <w:bookmarkStart w:id="865" w:name="_Toc22545"/>
      <w:bookmarkStart w:id="866" w:name="_Toc16390"/>
      <w:bookmarkStart w:id="867" w:name="_Toc12385"/>
      <w:bookmarkStart w:id="868" w:name="_Toc1637952"/>
    </w:p>
    <w:p>
      <w:pPr>
        <w:pStyle w:val="2"/>
        <w:spacing w:line="240" w:lineRule="auto"/>
        <w:jc w:val="center"/>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8"/>
        <w:rPr>
          <w:rFonts w:hint="eastAsia" w:ascii="宋体" w:hAnsi="宋体" w:eastAsia="宋体" w:cs="宋体"/>
          <w:color w:val="auto"/>
          <w:sz w:val="21"/>
          <w:szCs w:val="21"/>
          <w:highlight w:val="none"/>
        </w:rPr>
      </w:pPr>
    </w:p>
    <w:p>
      <w:pPr>
        <w:rPr>
          <w:rFonts w:hint="eastAsia"/>
          <w:color w:val="auto"/>
          <w:highlight w:val="none"/>
        </w:rPr>
      </w:pPr>
    </w:p>
    <w:p>
      <w:pPr>
        <w:pStyle w:val="2"/>
        <w:spacing w:line="240" w:lineRule="auto"/>
        <w:jc w:val="center"/>
        <w:rPr>
          <w:rFonts w:hint="eastAsia" w:ascii="宋体" w:hAnsi="宋体" w:eastAsia="宋体" w:cs="宋体"/>
          <w:color w:val="auto"/>
          <w:sz w:val="24"/>
          <w:szCs w:val="24"/>
          <w:highlight w:val="none"/>
        </w:rPr>
      </w:pPr>
      <w:bookmarkStart w:id="869" w:name="_Toc15967"/>
    </w:p>
    <w:p>
      <w:pPr>
        <w:pStyle w:val="2"/>
        <w:spacing w:line="240" w:lineRule="auto"/>
        <w:jc w:val="center"/>
        <w:rPr>
          <w:rFonts w:hint="eastAsia" w:ascii="宋体" w:hAnsi="宋体" w:eastAsia="宋体" w:cs="宋体"/>
          <w:color w:val="auto"/>
          <w:sz w:val="24"/>
          <w:szCs w:val="24"/>
          <w:highlight w:val="none"/>
        </w:rPr>
      </w:pPr>
    </w:p>
    <w:p>
      <w:pPr>
        <w:pStyle w:val="2"/>
        <w:spacing w:line="240" w:lineRule="auto"/>
        <w:jc w:val="center"/>
        <w:rPr>
          <w:rFonts w:hint="eastAsia" w:ascii="宋体" w:hAnsi="宋体" w:eastAsia="宋体" w:cs="宋体"/>
          <w:color w:val="auto"/>
          <w:sz w:val="24"/>
          <w:szCs w:val="24"/>
          <w:highlight w:val="none"/>
        </w:rPr>
      </w:pPr>
    </w:p>
    <w:p>
      <w:pPr>
        <w:pStyle w:val="2"/>
        <w:spacing w:line="240" w:lineRule="auto"/>
        <w:jc w:val="center"/>
        <w:rPr>
          <w:rFonts w:hint="eastAsia" w:ascii="宋体" w:hAnsi="宋体" w:eastAsia="宋体" w:cs="宋体"/>
          <w:color w:val="auto"/>
          <w:sz w:val="24"/>
          <w:szCs w:val="24"/>
          <w:highlight w:val="none"/>
        </w:rPr>
      </w:pPr>
    </w:p>
    <w:p>
      <w:pPr>
        <w:pStyle w:val="2"/>
        <w:spacing w:line="240" w:lineRule="auto"/>
        <w:jc w:val="center"/>
        <w:rPr>
          <w:rFonts w:hint="eastAsia" w:ascii="宋体" w:hAnsi="宋体" w:eastAsia="宋体" w:cs="宋体"/>
          <w:color w:val="auto"/>
          <w:sz w:val="24"/>
          <w:szCs w:val="24"/>
          <w:highlight w:val="none"/>
        </w:rPr>
      </w:pPr>
    </w:p>
    <w:p>
      <w:pPr>
        <w:pStyle w:val="2"/>
        <w:spacing w:line="240" w:lineRule="auto"/>
        <w:jc w:val="center"/>
        <w:rPr>
          <w:rFonts w:hint="eastAsia" w:ascii="宋体" w:hAnsi="宋体" w:eastAsia="宋体" w:cs="宋体"/>
          <w:color w:val="auto"/>
          <w:sz w:val="24"/>
          <w:szCs w:val="24"/>
          <w:highlight w:val="none"/>
        </w:rPr>
      </w:pPr>
    </w:p>
    <w:p>
      <w:pPr>
        <w:pStyle w:val="2"/>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第七章</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图纸</w:t>
      </w:r>
      <w:bookmarkEnd w:id="862"/>
      <w:bookmarkEnd w:id="863"/>
      <w:bookmarkEnd w:id="864"/>
      <w:bookmarkEnd w:id="865"/>
      <w:bookmarkEnd w:id="866"/>
      <w:bookmarkEnd w:id="867"/>
      <w:bookmarkEnd w:id="869"/>
    </w:p>
    <w:bookmarkEnd w:id="868"/>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另附</w:t>
      </w:r>
    </w:p>
    <w:sectPr>
      <w:headerReference r:id="rId11" w:type="default"/>
      <w:footerReference r:id="rId12" w:type="default"/>
      <w:pgSz w:w="11910" w:h="16850"/>
      <w:pgMar w:top="1417" w:right="1417" w:bottom="1417" w:left="1417" w:header="876" w:footer="861"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1"/>
      </w:rPr>
    </w:pPr>
    <w:r>
      <w:fldChar w:fldCharType="begin"/>
    </w:r>
    <w:r>
      <w:rPr>
        <w:rStyle w:val="21"/>
      </w:rPr>
      <w:instrText xml:space="preserve">PAGE  </w:instrText>
    </w:r>
    <w:r>
      <w:fldChar w:fldCharType="end"/>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22</w:t>
                    </w:r>
                    <w:r>
                      <w:fldChar w:fldCharType="end"/>
                    </w:r>
                  </w:p>
                </w:txbxContent>
              </v:textbox>
            </v:shape>
          </w:pict>
        </mc:Fallback>
      </mc:AlternateContent>
    </w:r>
    <w:r>
      <w:rPr>
        <w:rFonts w:ascii="Times New Roman" w:hAnsi="Times New Roman" w:eastAsia="Times New Roman" w:cs="Times New Roman"/>
        <w:spacing w:val="-2"/>
        <w:sz w:val="18"/>
        <w:szCs w:val="18"/>
      </w:rPr>
      <w:t>24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63</w:t>
                    </w:r>
                    <w:r>
                      <w:fldChar w:fldCharType="end"/>
                    </w:r>
                  </w:p>
                </w:txbxContent>
              </v:textbox>
            </v:shape>
          </w:pict>
        </mc:Fallback>
      </mc:AlternateConten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1"/>
        <w:right w:val="none" w:color="auto" w:sz="0" w:space="0"/>
        <w:between w:val="none" w:color="auto" w:sz="0" w:space="0"/>
      </w:pBdr>
      <w:ind w:firstLine="0" w:firstLineChars="0"/>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singleLevel"/>
    <w:tmpl w:val="00000003"/>
    <w:lvl w:ilvl="0" w:tentative="0">
      <w:start w:val="1"/>
      <w:numFmt w:val="chineseCounting"/>
      <w:suff w:val="space"/>
      <w:lvlText w:val="第%1部分"/>
      <w:lvlJc w:val="left"/>
      <w:rPr>
        <w:rFonts w:hint="eastAsia"/>
      </w:rPr>
    </w:lvl>
  </w:abstractNum>
  <w:abstractNum w:abstractNumId="1">
    <w:nsid w:val="00000005"/>
    <w:multiLevelType w:val="multilevel"/>
    <w:tmpl w:val="00000005"/>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
    <w:nsid w:val="00000008"/>
    <w:multiLevelType w:val="singleLevel"/>
    <w:tmpl w:val="00000008"/>
    <w:lvl w:ilvl="0" w:tentative="0">
      <w:start w:val="26"/>
      <w:numFmt w:val="decimal"/>
      <w:suff w:val="space"/>
      <w:lvlText w:val="%1."/>
      <w:lvlJc w:val="left"/>
    </w:lvl>
  </w:abstractNum>
  <w:abstractNum w:abstractNumId="3">
    <w:nsid w:val="45209809"/>
    <w:multiLevelType w:val="singleLevel"/>
    <w:tmpl w:val="45209809"/>
    <w:lvl w:ilvl="0" w:tentative="0">
      <w:start w:val="5"/>
      <w:numFmt w:val="decimal"/>
      <w:suff w:val="space"/>
      <w:lvlText w:val="%1."/>
      <w:lvlJc w:val="left"/>
    </w:lvl>
  </w:abstractNum>
  <w:abstractNum w:abstractNumId="4">
    <w:nsid w:val="7D335EFA"/>
    <w:multiLevelType w:val="singleLevel"/>
    <w:tmpl w:val="7D335EFA"/>
    <w:lvl w:ilvl="0" w:tentative="0">
      <w:start w:val="1"/>
      <w:numFmt w:val="decimal"/>
      <w:suff w:val="space"/>
      <w:lvlText w:val="%1."/>
      <w:lvlJc w:val="left"/>
      <w:pPr>
        <w:tabs>
          <w:tab w:val="left" w:pos="0"/>
        </w:tabs>
        <w:ind w:left="0" w:firstLine="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iYWU4MDA2NzdlMWE0NmJmM2E4NGZmOTgxMzJjYmYifQ=="/>
    <w:docVar w:name="KSO_WPS_MARK_KEY" w:val="a565c4c6-cdbb-421b-a993-67cfb3d4f25f"/>
  </w:docVars>
  <w:rsids>
    <w:rsidRoot w:val="5EF00040"/>
    <w:rsid w:val="000507AF"/>
    <w:rsid w:val="002F21B8"/>
    <w:rsid w:val="00733E26"/>
    <w:rsid w:val="00757B9E"/>
    <w:rsid w:val="00B561ED"/>
    <w:rsid w:val="00BA37FE"/>
    <w:rsid w:val="012515C4"/>
    <w:rsid w:val="01264394"/>
    <w:rsid w:val="012832B8"/>
    <w:rsid w:val="01344155"/>
    <w:rsid w:val="01395070"/>
    <w:rsid w:val="0183453D"/>
    <w:rsid w:val="01CC5EE4"/>
    <w:rsid w:val="01E574A6"/>
    <w:rsid w:val="02191E9F"/>
    <w:rsid w:val="024C406B"/>
    <w:rsid w:val="02A9590D"/>
    <w:rsid w:val="034B3E47"/>
    <w:rsid w:val="035B21B3"/>
    <w:rsid w:val="038E67AE"/>
    <w:rsid w:val="03A04F32"/>
    <w:rsid w:val="03C22016"/>
    <w:rsid w:val="03EB630D"/>
    <w:rsid w:val="040A684F"/>
    <w:rsid w:val="04DE21B6"/>
    <w:rsid w:val="04E723E0"/>
    <w:rsid w:val="05221155"/>
    <w:rsid w:val="0525608B"/>
    <w:rsid w:val="05A36F5B"/>
    <w:rsid w:val="05D26895"/>
    <w:rsid w:val="069F4D6B"/>
    <w:rsid w:val="06BD404D"/>
    <w:rsid w:val="06ED3844"/>
    <w:rsid w:val="07153E89"/>
    <w:rsid w:val="076B7C79"/>
    <w:rsid w:val="0772074A"/>
    <w:rsid w:val="08985E97"/>
    <w:rsid w:val="08B51B6E"/>
    <w:rsid w:val="08BE3EF5"/>
    <w:rsid w:val="08F31FA8"/>
    <w:rsid w:val="090C523D"/>
    <w:rsid w:val="092E1232"/>
    <w:rsid w:val="09997BB9"/>
    <w:rsid w:val="09B5725D"/>
    <w:rsid w:val="0A6A44EC"/>
    <w:rsid w:val="0A74381B"/>
    <w:rsid w:val="0B3222C4"/>
    <w:rsid w:val="0B770C6E"/>
    <w:rsid w:val="0B770D91"/>
    <w:rsid w:val="0BCF7E8A"/>
    <w:rsid w:val="0BD067C3"/>
    <w:rsid w:val="0BD40DA4"/>
    <w:rsid w:val="0C1B382B"/>
    <w:rsid w:val="0C630709"/>
    <w:rsid w:val="0D0F042B"/>
    <w:rsid w:val="0D584ACF"/>
    <w:rsid w:val="0D996408"/>
    <w:rsid w:val="0DCB34F3"/>
    <w:rsid w:val="0E2805A4"/>
    <w:rsid w:val="0EAF2A15"/>
    <w:rsid w:val="0EBA46A3"/>
    <w:rsid w:val="0F1F6743"/>
    <w:rsid w:val="0F2904D1"/>
    <w:rsid w:val="0F36499C"/>
    <w:rsid w:val="0F5C492A"/>
    <w:rsid w:val="0FC95811"/>
    <w:rsid w:val="0FD42EAB"/>
    <w:rsid w:val="10843F90"/>
    <w:rsid w:val="109776BD"/>
    <w:rsid w:val="10D74D03"/>
    <w:rsid w:val="11847C41"/>
    <w:rsid w:val="11F272A1"/>
    <w:rsid w:val="11F62D5C"/>
    <w:rsid w:val="11FA7260"/>
    <w:rsid w:val="122B4561"/>
    <w:rsid w:val="1238629D"/>
    <w:rsid w:val="12552003"/>
    <w:rsid w:val="126B3346"/>
    <w:rsid w:val="129F7A10"/>
    <w:rsid w:val="12AC01B1"/>
    <w:rsid w:val="12D76117"/>
    <w:rsid w:val="133336D3"/>
    <w:rsid w:val="13960100"/>
    <w:rsid w:val="13A22600"/>
    <w:rsid w:val="142B4CEC"/>
    <w:rsid w:val="149E2DF8"/>
    <w:rsid w:val="14FF3F1F"/>
    <w:rsid w:val="1504385E"/>
    <w:rsid w:val="154F67B8"/>
    <w:rsid w:val="1565422D"/>
    <w:rsid w:val="158C5316"/>
    <w:rsid w:val="15935560"/>
    <w:rsid w:val="15BA6327"/>
    <w:rsid w:val="15FD7FC2"/>
    <w:rsid w:val="165D7FC8"/>
    <w:rsid w:val="169150FA"/>
    <w:rsid w:val="16A6065A"/>
    <w:rsid w:val="16B71B8A"/>
    <w:rsid w:val="16FE2244"/>
    <w:rsid w:val="171C00F0"/>
    <w:rsid w:val="17992095"/>
    <w:rsid w:val="179A6980"/>
    <w:rsid w:val="17C00BA4"/>
    <w:rsid w:val="18447625"/>
    <w:rsid w:val="184A4D60"/>
    <w:rsid w:val="187355C6"/>
    <w:rsid w:val="18736C61"/>
    <w:rsid w:val="18AC0FBE"/>
    <w:rsid w:val="19257911"/>
    <w:rsid w:val="19524AC9"/>
    <w:rsid w:val="19546C0C"/>
    <w:rsid w:val="1A2521DD"/>
    <w:rsid w:val="1A98475D"/>
    <w:rsid w:val="1A9A2DBB"/>
    <w:rsid w:val="1C464130"/>
    <w:rsid w:val="1C8F3D4C"/>
    <w:rsid w:val="1D686669"/>
    <w:rsid w:val="1DC51272"/>
    <w:rsid w:val="1ED52081"/>
    <w:rsid w:val="1FF754EA"/>
    <w:rsid w:val="20450269"/>
    <w:rsid w:val="20607ACB"/>
    <w:rsid w:val="217A0AD8"/>
    <w:rsid w:val="21A63C04"/>
    <w:rsid w:val="22484CBB"/>
    <w:rsid w:val="22921153"/>
    <w:rsid w:val="23503E27"/>
    <w:rsid w:val="23627FFE"/>
    <w:rsid w:val="239D2EE6"/>
    <w:rsid w:val="241E3F25"/>
    <w:rsid w:val="246A0F18"/>
    <w:rsid w:val="24ED38F7"/>
    <w:rsid w:val="259A050D"/>
    <w:rsid w:val="25A2609B"/>
    <w:rsid w:val="25C70429"/>
    <w:rsid w:val="264F6618"/>
    <w:rsid w:val="26753B8F"/>
    <w:rsid w:val="26D4495E"/>
    <w:rsid w:val="26EB3E67"/>
    <w:rsid w:val="26F23447"/>
    <w:rsid w:val="27106584"/>
    <w:rsid w:val="27155F70"/>
    <w:rsid w:val="271931E2"/>
    <w:rsid w:val="2775116C"/>
    <w:rsid w:val="27A91D58"/>
    <w:rsid w:val="27B07790"/>
    <w:rsid w:val="27C2106B"/>
    <w:rsid w:val="27FA4B70"/>
    <w:rsid w:val="28060F58"/>
    <w:rsid w:val="28212236"/>
    <w:rsid w:val="287B7B98"/>
    <w:rsid w:val="28BC3A57"/>
    <w:rsid w:val="291435B3"/>
    <w:rsid w:val="29341AF5"/>
    <w:rsid w:val="294D5AFA"/>
    <w:rsid w:val="29863A77"/>
    <w:rsid w:val="29CE620A"/>
    <w:rsid w:val="29F45FE3"/>
    <w:rsid w:val="2A0E5353"/>
    <w:rsid w:val="2A3873C3"/>
    <w:rsid w:val="2A7D127A"/>
    <w:rsid w:val="2ABD7112"/>
    <w:rsid w:val="2ACC6349"/>
    <w:rsid w:val="2B2D0EF2"/>
    <w:rsid w:val="2B557467"/>
    <w:rsid w:val="2B6C0686"/>
    <w:rsid w:val="2C2426F0"/>
    <w:rsid w:val="2C57495C"/>
    <w:rsid w:val="2CB06359"/>
    <w:rsid w:val="2DF778AD"/>
    <w:rsid w:val="2E0A46C0"/>
    <w:rsid w:val="2E162111"/>
    <w:rsid w:val="2E562A17"/>
    <w:rsid w:val="2E9A4AF0"/>
    <w:rsid w:val="2F307202"/>
    <w:rsid w:val="2F32242C"/>
    <w:rsid w:val="2F554149"/>
    <w:rsid w:val="2F5A52D9"/>
    <w:rsid w:val="2FFD5337"/>
    <w:rsid w:val="30550CCF"/>
    <w:rsid w:val="30882505"/>
    <w:rsid w:val="3089305D"/>
    <w:rsid w:val="30BD7020"/>
    <w:rsid w:val="31190AAB"/>
    <w:rsid w:val="31456F95"/>
    <w:rsid w:val="31ED412D"/>
    <w:rsid w:val="32132053"/>
    <w:rsid w:val="3220530C"/>
    <w:rsid w:val="322F7F00"/>
    <w:rsid w:val="3249282A"/>
    <w:rsid w:val="327318E0"/>
    <w:rsid w:val="327A523A"/>
    <w:rsid w:val="327F2033"/>
    <w:rsid w:val="3317670F"/>
    <w:rsid w:val="33662EFE"/>
    <w:rsid w:val="34520411"/>
    <w:rsid w:val="34532B23"/>
    <w:rsid w:val="34B36291"/>
    <w:rsid w:val="34D04DC8"/>
    <w:rsid w:val="353510CF"/>
    <w:rsid w:val="35884DFE"/>
    <w:rsid w:val="35A45811"/>
    <w:rsid w:val="360630D9"/>
    <w:rsid w:val="36232DC2"/>
    <w:rsid w:val="36752690"/>
    <w:rsid w:val="36AB4D47"/>
    <w:rsid w:val="37EB2F17"/>
    <w:rsid w:val="37F05781"/>
    <w:rsid w:val="37F214F9"/>
    <w:rsid w:val="37FC1D34"/>
    <w:rsid w:val="38387E65"/>
    <w:rsid w:val="383C0630"/>
    <w:rsid w:val="38631FB3"/>
    <w:rsid w:val="38A65E3F"/>
    <w:rsid w:val="38C033A5"/>
    <w:rsid w:val="38C31254"/>
    <w:rsid w:val="38F52C52"/>
    <w:rsid w:val="39553D5C"/>
    <w:rsid w:val="39BB2D61"/>
    <w:rsid w:val="3A685AA2"/>
    <w:rsid w:val="3AB531AD"/>
    <w:rsid w:val="3AF573FA"/>
    <w:rsid w:val="3B293089"/>
    <w:rsid w:val="3B484019"/>
    <w:rsid w:val="3B796F44"/>
    <w:rsid w:val="3BF91C55"/>
    <w:rsid w:val="3C3A2D02"/>
    <w:rsid w:val="3C9568F7"/>
    <w:rsid w:val="3D2D2BA9"/>
    <w:rsid w:val="3E9820B8"/>
    <w:rsid w:val="3EB412B6"/>
    <w:rsid w:val="3EF3324B"/>
    <w:rsid w:val="3F1C1B1A"/>
    <w:rsid w:val="3FB12D7B"/>
    <w:rsid w:val="3FD33ACF"/>
    <w:rsid w:val="401E3791"/>
    <w:rsid w:val="40A02991"/>
    <w:rsid w:val="4148218A"/>
    <w:rsid w:val="41555735"/>
    <w:rsid w:val="417676E9"/>
    <w:rsid w:val="419F0A7B"/>
    <w:rsid w:val="41A32140"/>
    <w:rsid w:val="41EF14D0"/>
    <w:rsid w:val="4341737A"/>
    <w:rsid w:val="439A7D6E"/>
    <w:rsid w:val="43AA2C88"/>
    <w:rsid w:val="43F064F1"/>
    <w:rsid w:val="443E69A7"/>
    <w:rsid w:val="447B63D2"/>
    <w:rsid w:val="448B4FEE"/>
    <w:rsid w:val="44DF2E05"/>
    <w:rsid w:val="45390767"/>
    <w:rsid w:val="45592BB7"/>
    <w:rsid w:val="45984D0C"/>
    <w:rsid w:val="459B6790"/>
    <w:rsid w:val="45A2455E"/>
    <w:rsid w:val="46096450"/>
    <w:rsid w:val="46B06807"/>
    <w:rsid w:val="479C3360"/>
    <w:rsid w:val="47AC7348"/>
    <w:rsid w:val="47AD21BF"/>
    <w:rsid w:val="47F81D88"/>
    <w:rsid w:val="47FA3CDB"/>
    <w:rsid w:val="47FB627E"/>
    <w:rsid w:val="480908C5"/>
    <w:rsid w:val="484D62D8"/>
    <w:rsid w:val="49144504"/>
    <w:rsid w:val="49272E20"/>
    <w:rsid w:val="4929310F"/>
    <w:rsid w:val="49C56A6D"/>
    <w:rsid w:val="49ED1B20"/>
    <w:rsid w:val="4A2A7770"/>
    <w:rsid w:val="4A2B43F6"/>
    <w:rsid w:val="4AAA655F"/>
    <w:rsid w:val="4AE7656F"/>
    <w:rsid w:val="4B1112E1"/>
    <w:rsid w:val="4BA27C60"/>
    <w:rsid w:val="4BFA0C73"/>
    <w:rsid w:val="4D5F2D35"/>
    <w:rsid w:val="4DB025AE"/>
    <w:rsid w:val="4EFB083B"/>
    <w:rsid w:val="4FB41ED2"/>
    <w:rsid w:val="4FBA3327"/>
    <w:rsid w:val="4FD824CD"/>
    <w:rsid w:val="5085479A"/>
    <w:rsid w:val="50E33C7D"/>
    <w:rsid w:val="510F39DF"/>
    <w:rsid w:val="51D07D5D"/>
    <w:rsid w:val="51DA0BDC"/>
    <w:rsid w:val="51EA121F"/>
    <w:rsid w:val="522919DD"/>
    <w:rsid w:val="52453A54"/>
    <w:rsid w:val="525B6CEF"/>
    <w:rsid w:val="52927709"/>
    <w:rsid w:val="534F3F30"/>
    <w:rsid w:val="53517F52"/>
    <w:rsid w:val="537B07B2"/>
    <w:rsid w:val="539A6875"/>
    <w:rsid w:val="53D524B6"/>
    <w:rsid w:val="53E14A15"/>
    <w:rsid w:val="54B06E11"/>
    <w:rsid w:val="54E56216"/>
    <w:rsid w:val="54EC46B9"/>
    <w:rsid w:val="554A0159"/>
    <w:rsid w:val="55816FCE"/>
    <w:rsid w:val="55A75279"/>
    <w:rsid w:val="55AC6549"/>
    <w:rsid w:val="55C951EF"/>
    <w:rsid w:val="55D41E21"/>
    <w:rsid w:val="55E72D6A"/>
    <w:rsid w:val="562006F1"/>
    <w:rsid w:val="567C6706"/>
    <w:rsid w:val="568E01E7"/>
    <w:rsid w:val="56A456C1"/>
    <w:rsid w:val="56C241D6"/>
    <w:rsid w:val="585A0B36"/>
    <w:rsid w:val="58797859"/>
    <w:rsid w:val="588F30E3"/>
    <w:rsid w:val="58B043B9"/>
    <w:rsid w:val="58C5222B"/>
    <w:rsid w:val="58FA5D24"/>
    <w:rsid w:val="596820CB"/>
    <w:rsid w:val="597238D3"/>
    <w:rsid w:val="59A255B0"/>
    <w:rsid w:val="59A73A9A"/>
    <w:rsid w:val="59D35814"/>
    <w:rsid w:val="5A207A50"/>
    <w:rsid w:val="5A5F03A4"/>
    <w:rsid w:val="5A904005"/>
    <w:rsid w:val="5ADE798F"/>
    <w:rsid w:val="5AE44879"/>
    <w:rsid w:val="5B2E188E"/>
    <w:rsid w:val="5BC07095"/>
    <w:rsid w:val="5C215F1B"/>
    <w:rsid w:val="5C2528EA"/>
    <w:rsid w:val="5E06755A"/>
    <w:rsid w:val="5E0F0A83"/>
    <w:rsid w:val="5E354142"/>
    <w:rsid w:val="5E9D6065"/>
    <w:rsid w:val="5EF00040"/>
    <w:rsid w:val="5F4E0DEF"/>
    <w:rsid w:val="5F7C2472"/>
    <w:rsid w:val="5FA82319"/>
    <w:rsid w:val="602045A6"/>
    <w:rsid w:val="608A1210"/>
    <w:rsid w:val="608C7E04"/>
    <w:rsid w:val="60DA79A2"/>
    <w:rsid w:val="612358BE"/>
    <w:rsid w:val="61AD1E69"/>
    <w:rsid w:val="61B531E9"/>
    <w:rsid w:val="61E4459E"/>
    <w:rsid w:val="62986BDB"/>
    <w:rsid w:val="62AB3E7A"/>
    <w:rsid w:val="62DE774A"/>
    <w:rsid w:val="632C589D"/>
    <w:rsid w:val="64CA0F84"/>
    <w:rsid w:val="667967BE"/>
    <w:rsid w:val="66C57C55"/>
    <w:rsid w:val="66D46709"/>
    <w:rsid w:val="67B3259E"/>
    <w:rsid w:val="68EA5111"/>
    <w:rsid w:val="691E175E"/>
    <w:rsid w:val="69203758"/>
    <w:rsid w:val="6A044018"/>
    <w:rsid w:val="6A835E5D"/>
    <w:rsid w:val="6A876ECF"/>
    <w:rsid w:val="6ACB25B2"/>
    <w:rsid w:val="6AFE7291"/>
    <w:rsid w:val="6B0F4348"/>
    <w:rsid w:val="6B1765A5"/>
    <w:rsid w:val="6B8D36C3"/>
    <w:rsid w:val="6BD66471"/>
    <w:rsid w:val="6BDB5825"/>
    <w:rsid w:val="6BFF7765"/>
    <w:rsid w:val="6C824A7F"/>
    <w:rsid w:val="6D667493"/>
    <w:rsid w:val="6DB63E53"/>
    <w:rsid w:val="6DD54C21"/>
    <w:rsid w:val="6E192634"/>
    <w:rsid w:val="6E1F649C"/>
    <w:rsid w:val="6E414C6E"/>
    <w:rsid w:val="6E751F61"/>
    <w:rsid w:val="6ED66437"/>
    <w:rsid w:val="6EDF244A"/>
    <w:rsid w:val="6EE756FF"/>
    <w:rsid w:val="6F822D6C"/>
    <w:rsid w:val="7021086D"/>
    <w:rsid w:val="706C1FAA"/>
    <w:rsid w:val="706E6FBE"/>
    <w:rsid w:val="70C13FB6"/>
    <w:rsid w:val="70F27898"/>
    <w:rsid w:val="71BF3A88"/>
    <w:rsid w:val="71C805F9"/>
    <w:rsid w:val="72093FB8"/>
    <w:rsid w:val="724A54B2"/>
    <w:rsid w:val="72606E89"/>
    <w:rsid w:val="726725D2"/>
    <w:rsid w:val="72D01BF4"/>
    <w:rsid w:val="730D09BA"/>
    <w:rsid w:val="739B4217"/>
    <w:rsid w:val="73A43E98"/>
    <w:rsid w:val="73BC23E0"/>
    <w:rsid w:val="740833C5"/>
    <w:rsid w:val="740E3197"/>
    <w:rsid w:val="740F0761"/>
    <w:rsid w:val="7533382A"/>
    <w:rsid w:val="75B55115"/>
    <w:rsid w:val="75C018B9"/>
    <w:rsid w:val="761D55D2"/>
    <w:rsid w:val="761F35B7"/>
    <w:rsid w:val="767C2D4B"/>
    <w:rsid w:val="76932CC2"/>
    <w:rsid w:val="76A21419"/>
    <w:rsid w:val="76DC7606"/>
    <w:rsid w:val="770976EA"/>
    <w:rsid w:val="770A3467"/>
    <w:rsid w:val="775C13BB"/>
    <w:rsid w:val="77752FD1"/>
    <w:rsid w:val="783E17CA"/>
    <w:rsid w:val="783E7867"/>
    <w:rsid w:val="784F0E9C"/>
    <w:rsid w:val="78B5342E"/>
    <w:rsid w:val="79010967"/>
    <w:rsid w:val="7936725A"/>
    <w:rsid w:val="79A457A7"/>
    <w:rsid w:val="7A5A50FB"/>
    <w:rsid w:val="7A8C691C"/>
    <w:rsid w:val="7AE9365E"/>
    <w:rsid w:val="7AEE65ED"/>
    <w:rsid w:val="7BC2255D"/>
    <w:rsid w:val="7BCE0F02"/>
    <w:rsid w:val="7C503581"/>
    <w:rsid w:val="7C621BBC"/>
    <w:rsid w:val="7C9020F0"/>
    <w:rsid w:val="7CCD740C"/>
    <w:rsid w:val="7CCE084E"/>
    <w:rsid w:val="7E646FEA"/>
    <w:rsid w:val="7ED46A5A"/>
    <w:rsid w:val="7F156D37"/>
    <w:rsid w:val="7F8A7C40"/>
    <w:rsid w:val="7FCE4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36"/>
      <w:szCs w:val="44"/>
    </w:rPr>
  </w:style>
  <w:style w:type="paragraph" w:styleId="3">
    <w:name w:val="heading 2"/>
    <w:basedOn w:val="1"/>
    <w:next w:val="1"/>
    <w:autoRedefine/>
    <w:qFormat/>
    <w:uiPriority w:val="0"/>
    <w:pPr>
      <w:keepNext/>
      <w:keepLines/>
      <w:spacing w:before="260" w:after="260" w:line="415" w:lineRule="auto"/>
      <w:outlineLvl w:val="1"/>
    </w:pPr>
    <w:rPr>
      <w:rFonts w:ascii="Cambria" w:hAnsi="Cambria"/>
      <w:b/>
      <w:bCs/>
      <w:sz w:val="32"/>
      <w:szCs w:val="32"/>
    </w:rPr>
  </w:style>
  <w:style w:type="paragraph" w:styleId="4">
    <w:name w:val="heading 3"/>
    <w:basedOn w:val="1"/>
    <w:next w:val="1"/>
    <w:link w:val="25"/>
    <w:autoRedefine/>
    <w:qFormat/>
    <w:uiPriority w:val="0"/>
    <w:pPr>
      <w:keepNext/>
      <w:keepLines/>
      <w:widowControl/>
      <w:spacing w:before="260" w:after="260" w:line="416" w:lineRule="auto"/>
      <w:outlineLvl w:val="2"/>
    </w:pPr>
    <w:rPr>
      <w:b/>
      <w:bCs/>
      <w:sz w:val="24"/>
      <w:szCs w:val="32"/>
    </w:rPr>
  </w:style>
  <w:style w:type="paragraph" w:styleId="5">
    <w:name w:val="heading 4"/>
    <w:basedOn w:val="1"/>
    <w:next w:val="1"/>
    <w:autoRedefine/>
    <w:qFormat/>
    <w:uiPriority w:val="0"/>
    <w:pPr>
      <w:keepNext/>
      <w:keepLines/>
      <w:widowControl/>
      <w:spacing w:before="200" w:line="276" w:lineRule="auto"/>
      <w:jc w:val="left"/>
      <w:outlineLvl w:val="3"/>
    </w:pPr>
    <w:rPr>
      <w:rFonts w:ascii="Calibri Light" w:hAnsi="Calibri Light" w:cs="Times New Roman"/>
      <w:b/>
      <w:bCs/>
      <w:iCs/>
      <w:szCs w:val="22"/>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index 8"/>
    <w:basedOn w:val="1"/>
    <w:next w:val="1"/>
    <w:autoRedefine/>
    <w:qFormat/>
    <w:uiPriority w:val="0"/>
    <w:pPr>
      <w:ind w:left="1400" w:leftChars="1400" w:firstLine="0"/>
    </w:pPr>
  </w:style>
  <w:style w:type="paragraph" w:styleId="7">
    <w:name w:val="annotation text"/>
    <w:basedOn w:val="1"/>
    <w:autoRedefine/>
    <w:qFormat/>
    <w:uiPriority w:val="0"/>
    <w:pPr>
      <w:widowControl/>
      <w:jc w:val="left"/>
    </w:pPr>
    <w:rPr>
      <w:rFonts w:ascii="Calibri" w:hAnsi="Calibri" w:eastAsia="宋体" w:cs="Times New Roman"/>
    </w:rPr>
  </w:style>
  <w:style w:type="paragraph" w:styleId="8">
    <w:name w:val="Body Text"/>
    <w:basedOn w:val="1"/>
    <w:next w:val="1"/>
    <w:autoRedefine/>
    <w:qFormat/>
    <w:uiPriority w:val="0"/>
    <w:pPr>
      <w:spacing w:after="120"/>
    </w:pPr>
  </w:style>
  <w:style w:type="paragraph" w:styleId="9">
    <w:name w:val="Body Text Indent"/>
    <w:basedOn w:val="1"/>
    <w:autoRedefine/>
    <w:qFormat/>
    <w:uiPriority w:val="0"/>
    <w:pPr>
      <w:spacing w:after="120" w:line="360" w:lineRule="exact"/>
      <w:ind w:left="420" w:leftChars="200" w:firstLine="200" w:firstLineChars="200"/>
    </w:pPr>
  </w:style>
  <w:style w:type="paragraph" w:styleId="10">
    <w:name w:val="Block Text"/>
    <w:basedOn w:val="1"/>
    <w:autoRedefine/>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11">
    <w:name w:val="Plain Text"/>
    <w:basedOn w:val="1"/>
    <w:autoRedefine/>
    <w:qFormat/>
    <w:uiPriority w:val="0"/>
    <w:rPr>
      <w:rFonts w:ascii="宋体" w:hAnsi="Courier New" w:cs="Times New Roman"/>
      <w:szCs w:val="22"/>
    </w:rPr>
  </w:style>
  <w:style w:type="paragraph" w:styleId="12">
    <w:name w:val="footer"/>
    <w:basedOn w:val="1"/>
    <w:autoRedefine/>
    <w:qFormat/>
    <w:uiPriority w:val="0"/>
    <w:pPr>
      <w:tabs>
        <w:tab w:val="center" w:pos="4153"/>
        <w:tab w:val="right" w:pos="8306"/>
      </w:tabs>
      <w:snapToGrid w:val="0"/>
      <w:jc w:val="left"/>
    </w:pPr>
    <w:rPr>
      <w:sz w:val="18"/>
      <w:szCs w:val="18"/>
    </w:rPr>
  </w:style>
  <w:style w:type="paragraph" w:styleId="13">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uiPriority w:val="39"/>
  </w:style>
  <w:style w:type="paragraph" w:styleId="15">
    <w:name w:val="toc 2"/>
    <w:basedOn w:val="1"/>
    <w:next w:val="1"/>
    <w:autoRedefine/>
    <w:qFormat/>
    <w:uiPriority w:val="39"/>
    <w:pPr>
      <w:ind w:left="420" w:leftChars="200"/>
    </w:pPr>
  </w:style>
  <w:style w:type="paragraph" w:styleId="16">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17">
    <w:name w:val="Body Text First Indent 2"/>
    <w:basedOn w:val="9"/>
    <w:autoRedefine/>
    <w:qFormat/>
    <w:uiPriority w:val="99"/>
    <w:pPr>
      <w:ind w:firstLine="420" w:firstLineChars="200"/>
    </w:pPr>
  </w:style>
  <w:style w:type="table" w:styleId="19">
    <w:name w:val="Table Grid"/>
    <w:basedOn w:val="1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autoRedefine/>
    <w:qFormat/>
    <w:uiPriority w:val="99"/>
  </w:style>
  <w:style w:type="paragraph" w:customStyle="1" w:styleId="22">
    <w:name w:val="表格文字"/>
    <w:basedOn w:val="1"/>
    <w:autoRedefine/>
    <w:qFormat/>
    <w:uiPriority w:val="0"/>
    <w:pPr>
      <w:spacing w:before="25" w:after="25" w:line="240" w:lineRule="auto"/>
      <w:ind w:firstLine="0"/>
      <w:jc w:val="left"/>
    </w:pPr>
    <w:rPr>
      <w:bCs/>
      <w:spacing w:val="10"/>
      <w:kern w:val="0"/>
      <w:sz w:val="24"/>
    </w:rPr>
  </w:style>
  <w:style w:type="paragraph" w:customStyle="1" w:styleId="23">
    <w:name w:val="Default"/>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styleId="24">
    <w:name w:val="List Paragraph"/>
    <w:basedOn w:val="1"/>
    <w:autoRedefine/>
    <w:qFormat/>
    <w:uiPriority w:val="0"/>
    <w:pPr>
      <w:ind w:firstLine="420" w:firstLineChars="200"/>
    </w:pPr>
  </w:style>
  <w:style w:type="character" w:customStyle="1" w:styleId="25">
    <w:name w:val="标题 3 字符"/>
    <w:link w:val="4"/>
    <w:autoRedefine/>
    <w:qFormat/>
    <w:uiPriority w:val="0"/>
    <w:rPr>
      <w:b/>
      <w:bCs/>
      <w:sz w:val="24"/>
      <w:szCs w:val="32"/>
    </w:rPr>
  </w:style>
  <w:style w:type="paragraph" w:customStyle="1" w:styleId="26">
    <w:name w:val="p0"/>
    <w:basedOn w:val="1"/>
    <w:autoRedefine/>
    <w:qFormat/>
    <w:uiPriority w:val="0"/>
    <w:pPr>
      <w:widowControl/>
    </w:pPr>
    <w:rPr>
      <w:rFonts w:ascii="Calibri" w:hAnsi="Calibri" w:cs="宋体"/>
      <w:kern w:val="0"/>
      <w:szCs w:val="21"/>
    </w:rPr>
  </w:style>
  <w:style w:type="paragraph" w:customStyle="1" w:styleId="27">
    <w:name w:val="首行缩进"/>
    <w:basedOn w:val="1"/>
    <w:autoRedefine/>
    <w:qFormat/>
    <w:uiPriority w:val="0"/>
    <w:pPr>
      <w:spacing w:line="360" w:lineRule="auto"/>
      <w:ind w:firstLine="480" w:firstLineChars="200"/>
    </w:pPr>
    <w:rPr>
      <w:rFonts w:ascii="宋体" w:hAnsi="宋体"/>
      <w:kern w:val="0"/>
      <w:sz w:val="24"/>
    </w:rPr>
  </w:style>
  <w:style w:type="paragraph" w:customStyle="1" w:styleId="28">
    <w:name w:val="正文小标题_0"/>
    <w:basedOn w:val="29"/>
    <w:autoRedefine/>
    <w:qFormat/>
    <w:uiPriority w:val="0"/>
    <w:pPr>
      <w:spacing w:line="420" w:lineRule="exact"/>
    </w:pPr>
    <w:rPr>
      <w:rFonts w:hAnsi="宋体" w:eastAsia="宋体"/>
      <w:sz w:val="21"/>
      <w:szCs w:val="21"/>
    </w:rPr>
  </w:style>
  <w:style w:type="paragraph" w:customStyle="1" w:styleId="29">
    <w:name w:val="标题 1_0"/>
    <w:basedOn w:val="30"/>
    <w:next w:val="30"/>
    <w:autoRedefine/>
    <w:qFormat/>
    <w:uiPriority w:val="99"/>
    <w:pPr>
      <w:keepNext/>
      <w:keepLines/>
      <w:spacing w:line="360" w:lineRule="auto"/>
      <w:outlineLvl w:val="0"/>
    </w:pPr>
    <w:rPr>
      <w:rFonts w:eastAsia="黑体"/>
      <w:b/>
      <w:bCs/>
      <w:kern w:val="44"/>
      <w:sz w:val="32"/>
      <w:szCs w:val="44"/>
    </w:rPr>
  </w:style>
  <w:style w:type="paragraph" w:customStyle="1" w:styleId="30">
    <w:name w:val="正文_0"/>
    <w:next w:val="3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正文文本_0"/>
    <w:basedOn w:val="30"/>
    <w:autoRedefine/>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32">
    <w:name w:val="正文_1_0"/>
    <w:autoRedefine/>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33">
    <w:name w:val="正文呀2_0"/>
    <w:basedOn w:val="34"/>
    <w:autoRedefine/>
    <w:qFormat/>
    <w:uiPriority w:val="0"/>
    <w:rPr>
      <w:rFonts w:ascii="Times New Roman" w:hAnsi="Times New Roman"/>
    </w:rPr>
  </w:style>
  <w:style w:type="paragraph" w:customStyle="1" w:styleId="34">
    <w:name w:val="正文呀_0"/>
    <w:basedOn w:val="32"/>
    <w:autoRedefine/>
    <w:qFormat/>
    <w:uiPriority w:val="0"/>
    <w:pPr>
      <w:spacing w:line="420" w:lineRule="exact"/>
      <w:ind w:firstLine="420" w:firstLineChars="200"/>
    </w:pPr>
    <w:rPr>
      <w:rFonts w:ascii="宋体" w:hAnsi="宋体"/>
      <w:szCs w:val="21"/>
    </w:rPr>
  </w:style>
  <w:style w:type="paragraph" w:customStyle="1" w:styleId="35">
    <w:name w:val="正文呀2_1"/>
    <w:basedOn w:val="36"/>
    <w:autoRedefine/>
    <w:qFormat/>
    <w:uiPriority w:val="0"/>
    <w:rPr>
      <w:rFonts w:ascii="Times New Roman" w:hAnsi="Times New Roman" w:eastAsia="宋体" w:cs="Times New Roman"/>
      <w:kern w:val="2"/>
      <w:sz w:val="21"/>
      <w:lang w:val="en-US" w:eastAsia="zh-CN"/>
    </w:rPr>
  </w:style>
  <w:style w:type="paragraph" w:customStyle="1" w:styleId="36">
    <w:name w:val="正文呀_1"/>
    <w:basedOn w:val="30"/>
    <w:autoRedefine/>
    <w:qFormat/>
    <w:uiPriority w:val="0"/>
    <w:pPr>
      <w:spacing w:line="420" w:lineRule="exact"/>
      <w:ind w:firstLine="420" w:firstLineChars="200"/>
    </w:pPr>
    <w:rPr>
      <w:rFonts w:ascii="宋体" w:hAnsi="宋体"/>
      <w:kern w:val="0"/>
      <w:sz w:val="20"/>
      <w:szCs w:val="21"/>
      <w:lang w:val="zh-CN" w:eastAsia="zh-CN"/>
    </w:rPr>
  </w:style>
  <w:style w:type="paragraph" w:customStyle="1" w:styleId="37">
    <w:name w:val="纯文本_0"/>
    <w:basedOn w:val="30"/>
    <w:autoRedefine/>
    <w:qFormat/>
    <w:uiPriority w:val="0"/>
    <w:rPr>
      <w:rFonts w:ascii="宋体" w:hAnsi="Courier New"/>
      <w:szCs w:val="24"/>
    </w:rPr>
  </w:style>
  <w:style w:type="paragraph" w:customStyle="1" w:styleId="38">
    <w:name w:val="无间隔_0"/>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_2"/>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40">
    <w:name w:val="NormalCharacter"/>
    <w:autoRedefine/>
    <w:qFormat/>
    <w:uiPriority w:val="0"/>
  </w:style>
  <w:style w:type="paragraph" w:customStyle="1" w:styleId="41">
    <w:name w:val="BodyText"/>
    <w:basedOn w:val="1"/>
    <w:autoRedefine/>
    <w:qFormat/>
    <w:uiPriority w:val="0"/>
    <w:pPr>
      <w:spacing w:after="60" w:line="360" w:lineRule="atLeast"/>
      <w:ind w:left="72" w:leftChars="30" w:right="30" w:rightChars="30"/>
      <w:jc w:val="center"/>
    </w:pPr>
    <w:rPr>
      <w:kern w:val="0"/>
      <w:sz w:val="20"/>
      <w:szCs w:val="20"/>
    </w:rPr>
  </w:style>
  <w:style w:type="paragraph" w:customStyle="1" w:styleId="42">
    <w:name w:val="PlainText"/>
    <w:basedOn w:val="1"/>
    <w:next w:val="43"/>
    <w:autoRedefine/>
    <w:qFormat/>
    <w:uiPriority w:val="0"/>
    <w:rPr>
      <w:rFonts w:ascii="宋体" w:hAnsi="Courier New"/>
      <w:szCs w:val="20"/>
    </w:rPr>
  </w:style>
  <w:style w:type="paragraph" w:customStyle="1" w:styleId="43">
    <w:name w:val="Index8"/>
    <w:basedOn w:val="1"/>
    <w:next w:val="1"/>
    <w:autoRedefine/>
    <w:qFormat/>
    <w:uiPriority w:val="0"/>
    <w:pPr>
      <w:ind w:left="2940"/>
    </w:pPr>
  </w:style>
  <w:style w:type="paragraph" w:customStyle="1" w:styleId="44">
    <w:name w:val="style4"/>
    <w:basedOn w:val="1"/>
    <w:next w:val="45"/>
    <w:autoRedefine/>
    <w:qFormat/>
    <w:uiPriority w:val="0"/>
    <w:pPr>
      <w:widowControl/>
      <w:spacing w:before="280" w:after="280"/>
    </w:pPr>
    <w:rPr>
      <w:rFonts w:ascii="宋体"/>
      <w:sz w:val="18"/>
    </w:rPr>
  </w:style>
  <w:style w:type="paragraph" w:customStyle="1" w:styleId="45">
    <w:name w:val="2"/>
    <w:basedOn w:val="4"/>
    <w:next w:val="1"/>
    <w:autoRedefine/>
    <w:qFormat/>
    <w:uiPriority w:val="0"/>
    <w:pPr>
      <w:widowControl w:val="0"/>
      <w:spacing w:before="120" w:beforeLines="50" w:after="120" w:afterLines="50" w:line="240" w:lineRule="auto"/>
      <w:jc w:val="center"/>
    </w:pPr>
    <w:rPr>
      <w:rFonts w:ascii="黑体" w:eastAsia="黑体"/>
      <w:sz w:val="44"/>
      <w:szCs w:val="28"/>
    </w:rPr>
  </w:style>
  <w:style w:type="paragraph" w:customStyle="1" w:styleId="46">
    <w:name w:val="Table Text"/>
    <w:basedOn w:val="1"/>
    <w:autoRedefine/>
    <w:semiHidden/>
    <w:qFormat/>
    <w:uiPriority w:val="0"/>
    <w:rPr>
      <w:rFonts w:ascii="宋体" w:hAnsi="宋体" w:eastAsia="宋体" w:cs="宋体"/>
      <w:sz w:val="20"/>
      <w:szCs w:val="20"/>
      <w:lang w:val="en-US" w:eastAsia="en-US" w:bidi="ar-SA"/>
    </w:rPr>
  </w:style>
  <w:style w:type="table" w:customStyle="1" w:styleId="47">
    <w:name w:val="Table Normal"/>
    <w:autoRedefine/>
    <w:semiHidden/>
    <w:unhideWhenUsed/>
    <w:qFormat/>
    <w:uiPriority w:val="0"/>
    <w:tblPr>
      <w:tblCellMar>
        <w:top w:w="0" w:type="dxa"/>
        <w:left w:w="0" w:type="dxa"/>
        <w:bottom w:w="0" w:type="dxa"/>
        <w:right w:w="0" w:type="dxa"/>
      </w:tblCellMar>
    </w:tblPr>
  </w:style>
  <w:style w:type="paragraph" w:customStyle="1" w:styleId="48">
    <w:name w:val="Blockquote"/>
    <w:basedOn w:val="1"/>
    <w:autoRedefine/>
    <w:qFormat/>
    <w:uiPriority w:val="0"/>
    <w:pPr>
      <w:autoSpaceDE w:val="0"/>
      <w:autoSpaceDN w:val="0"/>
      <w:adjustRightInd w:val="0"/>
      <w:spacing w:before="100" w:after="100"/>
      <w:ind w:left="360" w:right="360"/>
      <w:jc w:val="left"/>
    </w:pPr>
    <w:rPr>
      <w:kern w:val="0"/>
      <w:sz w:val="24"/>
    </w:rPr>
  </w:style>
  <w:style w:type="paragraph" w:customStyle="1" w:styleId="49">
    <w:name w:val="正文_5"/>
    <w:autoRedefine/>
    <w:qFormat/>
    <w:uiPriority w:val="0"/>
    <w:pPr>
      <w:widowControl w:val="0"/>
      <w:jc w:val="both"/>
    </w:pPr>
    <w:rPr>
      <w:rFonts w:ascii="Times New Roman" w:hAnsi="Times New Roman" w:eastAsia="宋体" w:cs="Times New Roman"/>
      <w:kern w:val="2"/>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emf"/><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62863</Words>
  <Characters>67129</Characters>
  <Lines>0</Lines>
  <Paragraphs>0</Paragraphs>
  <TotalTime>20</TotalTime>
  <ScaleCrop>false</ScaleCrop>
  <LinksUpToDate>false</LinksUpToDate>
  <CharactersWithSpaces>72351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2023-10-09T06:18:00Z</dcterms:created>
  <dc:creator>歪歪</dc:creator>
  <cp:lastModifiedBy>NTKO</cp:lastModifiedBy>
  <dcterms:modified xsi:type="dcterms:W3CDTF">2024-05-11T10:05:39Z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B560AA33C8EE467A8FCC399843BE1168_13</vt:lpwstr>
  </property>
</Properties>
</file>