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distribute"/>
        <w:rPr>
          <w:rFonts w:hint="eastAsia" w:ascii="楷体" w:hAnsi="楷体" w:eastAsia="楷体" w:cs="楷体"/>
          <w:b/>
          <w:bCs/>
          <w:color w:val="auto"/>
          <w:spacing w:val="80"/>
          <w:sz w:val="52"/>
          <w:szCs w:val="52"/>
          <w:highlight w:val="none"/>
          <w:lang w:eastAsia="zh-CN"/>
        </w:rPr>
      </w:pPr>
    </w:p>
    <w:p>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pPr>
        <w:pStyle w:val="11"/>
        <w:jc w:val="center"/>
        <w:rPr>
          <w:rFonts w:hint="eastAsia" w:ascii="楷体" w:hAnsi="楷体" w:eastAsia="楷体" w:cs="楷体"/>
          <w:b/>
          <w:bCs/>
          <w:color w:val="auto"/>
          <w:spacing w:val="80"/>
          <w:sz w:val="72"/>
          <w:highlight w:val="none"/>
        </w:rPr>
      </w:pPr>
    </w:p>
    <w:p>
      <w:pPr>
        <w:pStyle w:val="11"/>
        <w:jc w:val="center"/>
        <w:rPr>
          <w:rFonts w:hint="eastAsia" w:ascii="楷体" w:hAnsi="楷体" w:eastAsia="楷体" w:cs="楷体"/>
          <w:b/>
          <w:bCs/>
          <w:color w:val="auto"/>
          <w:sz w:val="72"/>
          <w:highlight w:val="none"/>
        </w:rPr>
      </w:pPr>
    </w:p>
    <w:p>
      <w:pPr>
        <w:pStyle w:val="11"/>
        <w:jc w:val="center"/>
        <w:rPr>
          <w:rFonts w:hint="eastAsia" w:ascii="楷体" w:hAnsi="楷体" w:eastAsia="楷体" w:cs="楷体"/>
          <w:color w:val="auto"/>
          <w:highlight w:val="none"/>
        </w:rPr>
      </w:pPr>
    </w:p>
    <w:p>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pPr>
        <w:pStyle w:val="11"/>
        <w:rPr>
          <w:rFonts w:hint="eastAsia" w:ascii="宋体" w:hAnsi="宋体" w:eastAsia="宋体" w:cs="宋体"/>
          <w:color w:val="auto"/>
          <w:highlight w:val="none"/>
        </w:rPr>
      </w:pPr>
    </w:p>
    <w:p>
      <w:pPr>
        <w:pStyle w:val="11"/>
        <w:ind w:firstLine="3885" w:firstLineChars="1850"/>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sz w:val="30"/>
          <w:szCs w:val="30"/>
          <w:highlight w:val="none"/>
        </w:rPr>
      </w:pPr>
    </w:p>
    <w:p>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灌阳县西山瑶族乡2024年少数民族特色油茶技艺项目</w:t>
      </w:r>
    </w:p>
    <w:p>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GLZC2024-C2-270159-GXJY</w:t>
      </w:r>
    </w:p>
    <w:p>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pPr>
        <w:ind w:left="-2" w:leftChars="-1" w:firstLine="840" w:firstLineChars="4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24</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5</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11</w:t>
      </w:r>
      <w:r>
        <w:rPr>
          <w:rFonts w:hint="eastAsia" w:ascii="宋体" w:hAnsi="宋体" w:eastAsia="宋体" w:cs="宋体"/>
          <w:b/>
          <w:bCs/>
          <w:color w:val="auto"/>
          <w:sz w:val="30"/>
          <w:szCs w:val="30"/>
          <w:highlight w:val="none"/>
          <w:lang w:val="en-US" w:eastAsia="zh-CN"/>
        </w:rPr>
        <w:t>日</w:t>
      </w:r>
    </w:p>
    <w:p>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pPr>
        <w:rPr>
          <w:rFonts w:hint="eastAsia" w:ascii="宋体" w:hAnsi="宋体" w:eastAsia="宋体" w:cs="宋体"/>
          <w:color w:val="auto"/>
          <w:sz w:val="24"/>
          <w:szCs w:val="24"/>
          <w:highlight w:val="none"/>
          <w:lang w:eastAsia="zh-CN"/>
        </w:rPr>
      </w:pP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pPr>
        <w:pStyle w:val="3"/>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z w:val="21"/>
          <w:szCs w:val="21"/>
          <w:highlight w:val="none"/>
        </w:rPr>
      </w:pPr>
    </w:p>
    <w:p>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6809"/>
      <w:bookmarkStart w:id="1" w:name="_Toc35393797"/>
      <w:bookmarkStart w:id="2" w:name="_Toc21930"/>
      <w:bookmarkStart w:id="3" w:name="_Toc30170"/>
      <w:bookmarkStart w:id="4" w:name="_Toc28359011"/>
    </w:p>
    <w:p>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灌阳县西山瑶族乡2024年少数民族特色油茶技艺项目</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获取采购文件，并于2024年</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22</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629"/>
      <w:bookmarkStart w:id="7" w:name="_Toc28359089"/>
      <w:bookmarkStart w:id="8" w:name="_Toc35393798"/>
      <w:bookmarkStart w:id="9" w:name="_Toc28359012"/>
      <w:r>
        <w:rPr>
          <w:rFonts w:hint="eastAsia" w:ascii="宋体" w:hAnsi="宋体" w:eastAsia="宋体" w:cs="宋体"/>
          <w:b/>
          <w:bCs/>
          <w:color w:val="auto"/>
          <w:sz w:val="21"/>
          <w:szCs w:val="21"/>
          <w:highlight w:val="none"/>
        </w:rPr>
        <w:t>一、项目基本情况</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GLZC2024-C2-270159-GXJY</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灌阳县西山瑶族乡2024年少数民族特色油茶技艺项目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788865.82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灌阳县西山瑶族乡2024年少数民族特色油茶技艺项目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不限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w:t>
      </w:r>
      <w:r>
        <w:rPr>
          <w:rFonts w:hint="eastAsia" w:ascii="宋体" w:hAnsi="宋体" w:cs="宋体"/>
          <w:b w:val="0"/>
          <w:bCs w:val="0"/>
          <w:color w:val="auto"/>
          <w:kern w:val="2"/>
          <w:sz w:val="21"/>
          <w:szCs w:val="21"/>
          <w:highlight w:val="none"/>
          <w:lang w:val="en-US" w:eastAsia="zh-CN" w:bidi="ar-SA"/>
        </w:rPr>
        <w:t>788865.82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灌阳县西山瑶族乡2024年少数民族特色油茶技艺项目具体详见工程量清单、图纸等要求的内容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788865.82</w:t>
      </w:r>
      <w:r>
        <w:rPr>
          <w:rFonts w:hint="eastAsia" w:ascii="宋体" w:hAnsi="宋体" w:eastAsia="宋体" w:cs="宋体"/>
          <w:b w:val="0"/>
          <w:bCs w:val="0"/>
          <w:color w:val="auto"/>
          <w:kern w:val="2"/>
          <w:sz w:val="21"/>
          <w:szCs w:val="21"/>
          <w:highlight w:val="none"/>
          <w:lang w:val="en-US" w:eastAsia="zh-CN" w:bidi="ar-SA"/>
        </w:rPr>
        <w:t>元</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合同履约期限：自合同签订之日起</w:t>
      </w:r>
      <w:r>
        <w:rPr>
          <w:rFonts w:hint="eastAsia" w:ascii="宋体" w:hAnsi="宋体" w:cs="宋体"/>
          <w:b w:val="0"/>
          <w:bCs w:val="0"/>
          <w:color w:val="auto"/>
          <w:kern w:val="2"/>
          <w:sz w:val="21"/>
          <w:szCs w:val="21"/>
          <w:highlight w:val="none"/>
          <w:lang w:val="en-US" w:eastAsia="zh-CN" w:bidi="ar-SA"/>
        </w:rPr>
        <w:t>90</w:t>
      </w:r>
      <w:r>
        <w:rPr>
          <w:rFonts w:hint="eastAsia" w:ascii="宋体" w:hAnsi="宋体" w:eastAsia="宋体" w:cs="宋体"/>
          <w:b w:val="0"/>
          <w:bCs w:val="0"/>
          <w:color w:val="auto"/>
          <w:kern w:val="2"/>
          <w:sz w:val="21"/>
          <w:szCs w:val="21"/>
          <w:highlight w:val="none"/>
          <w:lang w:val="en-US" w:eastAsia="zh-CN" w:bidi="ar-SA"/>
        </w:rPr>
        <w:t>个日历天内完工。</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35393630"/>
      <w:bookmarkStart w:id="12" w:name="_Toc28359013"/>
      <w:bookmarkStart w:id="13" w:name="_Toc35393799"/>
      <w:r>
        <w:rPr>
          <w:rFonts w:hint="eastAsia" w:ascii="宋体" w:hAnsi="宋体" w:eastAsia="宋体" w:cs="宋体"/>
          <w:b/>
          <w:bCs/>
          <w:color w:val="auto"/>
          <w:sz w:val="21"/>
          <w:szCs w:val="21"/>
          <w:highlight w:val="none"/>
        </w:rPr>
        <w:t>二、申请人的资格要求：</w:t>
      </w:r>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14"/>
      <w:bookmarkStart w:id="15" w:name="_Toc28359091"/>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631"/>
      <w:bookmarkStart w:id="17" w:name="_Toc35393800"/>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28359095"/>
      <w:bookmarkStart w:id="21" w:name="_Toc28359018"/>
      <w:bookmarkStart w:id="22" w:name="_Toc35393805"/>
      <w:bookmarkStart w:id="23" w:name="_Toc35393636"/>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28359005"/>
      <w:bookmarkStart w:id="25" w:name="_Toc28359082"/>
      <w:bookmarkStart w:id="26" w:name="_Toc35393793"/>
      <w:bookmarkStart w:id="27" w:name="_Toc35393624"/>
      <w:r>
        <w:rPr>
          <w:rFonts w:hint="eastAsia" w:ascii="宋体" w:hAnsi="宋体" w:eastAsia="宋体" w:cs="宋体"/>
          <w:color w:val="auto"/>
          <w:kern w:val="2"/>
          <w:sz w:val="21"/>
          <w:szCs w:val="21"/>
          <w:highlight w:val="none"/>
          <w:lang w:val="en-US" w:eastAsia="zh-CN" w:bidi="ar-SA"/>
        </w:rPr>
        <w:t>时间：2024年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11</w:t>
      </w:r>
      <w:r>
        <w:rPr>
          <w:rFonts w:hint="eastAsia" w:ascii="宋体" w:hAnsi="宋体" w:eastAsia="宋体" w:cs="宋体"/>
          <w:color w:val="auto"/>
          <w:kern w:val="2"/>
          <w:sz w:val="21"/>
          <w:szCs w:val="21"/>
          <w:highlight w:val="none"/>
          <w:lang w:val="en-US" w:eastAsia="zh-CN" w:bidi="ar-SA"/>
        </w:rPr>
        <w:t>日至2024年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22</w:t>
      </w:r>
      <w:r>
        <w:rPr>
          <w:rFonts w:hint="eastAsia" w:ascii="宋体" w:hAnsi="宋体" w:eastAsia="宋体" w:cs="宋体"/>
          <w:color w:val="auto"/>
          <w:kern w:val="2"/>
          <w:sz w:val="21"/>
          <w:szCs w:val="21"/>
          <w:highlight w:val="none"/>
          <w:lang w:val="en-US" w:eastAsia="zh-CN" w:bidi="ar-SA"/>
        </w:rPr>
        <w:t>日，每天上午00:00至12:00，下午12:00至23:59（北京时间，法定节假日除外）。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794"/>
      <w:bookmarkStart w:id="29" w:name="_Toc28359084"/>
      <w:bookmarkStart w:id="30" w:name="_Toc35393625"/>
      <w:bookmarkStart w:id="31" w:name="_Toc28359007"/>
      <w:r>
        <w:rPr>
          <w:rFonts w:hint="eastAsia" w:ascii="宋体" w:hAnsi="宋体" w:eastAsia="宋体" w:cs="宋体"/>
          <w:color w:val="auto"/>
          <w:sz w:val="21"/>
          <w:szCs w:val="21"/>
          <w:highlight w:val="none"/>
        </w:rPr>
        <w:t>地点：桂林市公共资源交易中心</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号开标室（广西桂林市临桂区西城中路69号创业大厦西辅楼4楼北区）通过广西政府采购云平台实行在线解密开启。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中国共产党灌阳县委员会统一战线工作部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灌阳县胜利路39号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刘义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0773-4212260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0773-5899196</w:t>
      </w:r>
      <w:r>
        <w:rPr>
          <w:rFonts w:hint="eastAsia" w:ascii="宋体" w:hAnsi="宋体" w:eastAsia="宋体" w:cs="宋体"/>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7588"/>
      <w:bookmarkStart w:id="35" w:name="_Toc32438"/>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p>
    <w:p>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6" w:name="_Toc8483"/>
      <w:bookmarkStart w:id="37" w:name="_Toc32670"/>
      <w:r>
        <w:rPr>
          <w:rFonts w:hint="eastAsia" w:ascii="宋体" w:hAnsi="宋体" w:eastAsia="宋体" w:cs="宋体"/>
          <w:b w:val="0"/>
          <w:bCs/>
          <w:i w:val="0"/>
          <w:iCs w:val="0"/>
          <w:color w:val="auto"/>
          <w:sz w:val="21"/>
          <w:szCs w:val="21"/>
          <w:highlight w:val="none"/>
          <w:lang w:eastAsia="zh-CN"/>
        </w:rPr>
        <w:t>灌</w:t>
      </w:r>
      <w:r>
        <w:rPr>
          <w:rFonts w:hint="eastAsia" w:ascii="宋体" w:hAnsi="宋体" w:eastAsia="宋体" w:cs="宋体"/>
          <w:color w:val="auto"/>
          <w:szCs w:val="21"/>
          <w:highlight w:val="none"/>
          <w:lang w:eastAsia="zh-CN"/>
        </w:rPr>
        <w:t>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0773-4250206</w:t>
      </w:r>
      <w:bookmarkEnd w:id="36"/>
    </w:p>
    <w:bookmarkEnd w:id="37"/>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bookmarkStart w:id="38" w:name="_Toc26924"/>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pPr>
        <w:rPr>
          <w:rFonts w:hint="eastAsia" w:ascii="宋体" w:hAnsi="宋体" w:eastAsia="宋体" w:cs="宋体"/>
          <w:color w:val="auto"/>
          <w:sz w:val="21"/>
          <w:szCs w:val="21"/>
          <w:highlight w:val="none"/>
          <w:lang w:eastAsia="zh-CN"/>
        </w:rPr>
      </w:pPr>
    </w:p>
    <w:p>
      <w:pPr>
        <w:pStyle w:val="8"/>
        <w:rPr>
          <w:rFonts w:hint="eastAsia" w:ascii="宋体" w:hAnsi="宋体" w:eastAsia="宋体" w:cs="宋体"/>
          <w:color w:val="auto"/>
          <w:sz w:val="21"/>
          <w:szCs w:val="21"/>
          <w:highlight w:val="none"/>
          <w:lang w:eastAsia="zh-CN"/>
        </w:rPr>
      </w:pPr>
    </w:p>
    <w:p>
      <w:pPr>
        <w:rPr>
          <w:rFonts w:hint="eastAsia" w:ascii="宋体" w:hAnsi="宋体" w:eastAsia="宋体" w:cs="宋体"/>
          <w:color w:val="auto"/>
          <w:sz w:val="21"/>
          <w:szCs w:val="21"/>
          <w:highlight w:val="none"/>
          <w:lang w:eastAsia="zh-CN"/>
        </w:rPr>
      </w:pPr>
    </w:p>
    <w:p>
      <w:pPr>
        <w:pStyle w:val="8"/>
        <w:rPr>
          <w:rFonts w:hint="eastAsia"/>
          <w:color w:val="auto"/>
          <w:highlight w:val="none"/>
          <w:lang w:eastAsia="zh-CN"/>
        </w:rPr>
      </w:pPr>
    </w:p>
    <w:p>
      <w:pPr>
        <w:rPr>
          <w:rFonts w:hint="eastAsia"/>
          <w:color w:val="auto"/>
          <w:highlight w:val="none"/>
          <w:lang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bookmarkStart w:id="39"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供应商须知</w:t>
      </w:r>
      <w:bookmarkEnd w:id="39"/>
    </w:p>
    <w:p>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0" w:name="_Toc1585"/>
      <w:bookmarkStart w:id="41" w:name="_Toc13547"/>
      <w:bookmarkStart w:id="42" w:name="_Toc25063"/>
      <w:bookmarkStart w:id="43" w:name="_Toc23030"/>
      <w:bookmarkStart w:id="44" w:name="_Toc9508"/>
      <w:r>
        <w:rPr>
          <w:rFonts w:hint="eastAsia" w:ascii="宋体" w:hAnsi="宋体" w:eastAsia="宋体" w:cs="宋体"/>
          <w:b/>
          <w:bCs w:val="0"/>
          <w:color w:val="auto"/>
          <w:sz w:val="21"/>
          <w:szCs w:val="21"/>
          <w:highlight w:val="none"/>
        </w:rPr>
        <w:t>供 应 商 须 知 前 附 表</w:t>
      </w:r>
      <w:bookmarkEnd w:id="40"/>
      <w:bookmarkEnd w:id="41"/>
      <w:bookmarkEnd w:id="42"/>
      <w:bookmarkEnd w:id="43"/>
      <w:bookmarkEnd w:id="44"/>
    </w:p>
    <w:bookmarkEnd w:id="38"/>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灌阳县西山瑶族乡2024年少数民族特色油茶技艺项目</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GLZC2024-C2-270159-GXJY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788865.82</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5" w:name="_Toc19911"/>
            <w:bookmarkStart w:id="46" w:name="_Toc27452"/>
            <w:bookmarkStart w:id="47" w:name="_Toc19954"/>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5"/>
            <w:bookmarkEnd w:id="46"/>
            <w:bookmarkEnd w:id="47"/>
          </w:p>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【在接到无法解密或解密失败的通知后，供应商可根据自身实际情况按通知时要求的时间到桂林市公共资源交易中心</w:t>
            </w:r>
            <w:r>
              <w:rPr>
                <w:rFonts w:hint="eastAsia" w:ascii="宋体" w:hAnsi="宋体" w:cs="宋体"/>
                <w:b/>
                <w:bCs/>
                <w:color w:val="auto"/>
                <w:kern w:val="2"/>
                <w:sz w:val="21"/>
                <w:szCs w:val="21"/>
                <w:highlight w:val="none"/>
                <w:u w:val="single"/>
                <w:lang w:val="en-US" w:eastAsia="zh-CN"/>
              </w:rPr>
              <w:t xml:space="preserve"> 8 </w:t>
            </w:r>
            <w:r>
              <w:rPr>
                <w:rFonts w:hint="eastAsia" w:ascii="宋体" w:hAnsi="宋体" w:eastAsia="宋体" w:cs="宋体"/>
                <w:b/>
                <w:bCs/>
                <w:color w:val="auto"/>
                <w:kern w:val="2"/>
                <w:sz w:val="21"/>
                <w:szCs w:val="21"/>
                <w:highlight w:val="none"/>
                <w:lang w:eastAsia="zh-CN"/>
              </w:rPr>
              <w:t>号开标室现场提交或以电子邮件的形式（以通知时所告知的电子邮箱地址为准）提交电子备份响应文件】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Cs/>
                <w:color w:val="auto"/>
                <w:kern w:val="0"/>
                <w:sz w:val="21"/>
                <w:szCs w:val="21"/>
                <w:highlight w:val="none"/>
                <w:lang w:val="en-US" w:eastAsia="zh-CN"/>
              </w:rPr>
              <w:t>8个工作日</w:t>
            </w:r>
            <w:r>
              <w:rPr>
                <w:rFonts w:hint="eastAsia" w:ascii="宋体" w:hAnsi="宋体" w:eastAsia="宋体" w:cs="宋体"/>
                <w:bCs/>
                <w:color w:val="auto"/>
                <w:kern w:val="0"/>
                <w:sz w:val="21"/>
                <w:szCs w:val="21"/>
                <w:highlight w:val="none"/>
              </w:rPr>
              <w:t>内签订合同</w:t>
            </w:r>
            <w:r>
              <w:rPr>
                <w:rFonts w:hint="eastAsia" w:ascii="宋体" w:hAnsi="宋体" w:eastAsia="宋体" w:cs="宋体"/>
                <w:color w:val="auto"/>
                <w:sz w:val="21"/>
                <w:szCs w:val="21"/>
                <w:highlight w:val="none"/>
              </w:rPr>
              <w:t>。成交供应商领取成交通知书后，应按规定与采购人签订合同。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pPr>
        <w:pStyle w:val="17"/>
        <w:ind w:left="0" w:leftChars="0" w:firstLine="0" w:firstLineChars="0"/>
        <w:rPr>
          <w:rFonts w:hint="eastAsia" w:ascii="宋体" w:hAnsi="宋体" w:eastAsia="宋体" w:cs="宋体"/>
          <w:b/>
          <w:color w:val="auto"/>
          <w:sz w:val="21"/>
          <w:szCs w:val="21"/>
          <w:highlight w:val="none"/>
        </w:rPr>
      </w:pPr>
    </w:p>
    <w:p>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8" w:name="_Toc22792"/>
      <w:bookmarkStart w:id="49" w:name="_Toc27120"/>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0" w:name="_Toc19520"/>
      <w:r>
        <w:rPr>
          <w:rFonts w:hint="eastAsia" w:ascii="宋体" w:hAnsi="宋体" w:eastAsia="宋体" w:cs="宋体"/>
          <w:b/>
          <w:bCs w:val="0"/>
          <w:color w:val="auto"/>
          <w:sz w:val="21"/>
          <w:szCs w:val="21"/>
          <w:highlight w:val="none"/>
        </w:rPr>
        <w:t>一、总则</w:t>
      </w:r>
      <w:bookmarkEnd w:id="48"/>
      <w:bookmarkEnd w:id="49"/>
      <w:bookmarkEnd w:id="50"/>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1" w:name="_Toc6626"/>
      <w:bookmarkStart w:id="52" w:name="_Toc3367"/>
      <w:r>
        <w:rPr>
          <w:rFonts w:hint="eastAsia" w:ascii="宋体" w:hAnsi="宋体" w:eastAsia="宋体" w:cs="宋体"/>
          <w:color w:val="auto"/>
          <w:sz w:val="21"/>
          <w:szCs w:val="21"/>
          <w:highlight w:val="none"/>
        </w:rPr>
        <w:t>1. 适应范围</w:t>
      </w:r>
      <w:bookmarkEnd w:id="51"/>
      <w:bookmarkEnd w:id="52"/>
    </w:p>
    <w:p>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灌阳县西山瑶族乡2024年少数民族特色油茶技艺项目</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GLZC2024-C2-270159-GXJY</w:t>
      </w:r>
    </w:p>
    <w:p>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3" w:name="_Toc2845"/>
      <w:bookmarkStart w:id="54" w:name="_Toc28336"/>
      <w:r>
        <w:rPr>
          <w:rFonts w:hint="eastAsia" w:ascii="宋体" w:hAnsi="宋体" w:eastAsia="宋体" w:cs="宋体"/>
          <w:color w:val="auto"/>
          <w:sz w:val="21"/>
          <w:szCs w:val="21"/>
          <w:highlight w:val="none"/>
        </w:rPr>
        <w:t>2. 定义</w:t>
      </w:r>
      <w:bookmarkEnd w:id="53"/>
      <w:bookmarkEnd w:id="54"/>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5" w:name="_Toc25441"/>
      <w:bookmarkStart w:id="56" w:name="_Toc13017"/>
      <w:r>
        <w:rPr>
          <w:rFonts w:hint="eastAsia" w:ascii="宋体" w:hAnsi="宋体" w:eastAsia="宋体" w:cs="宋体"/>
          <w:color w:val="auto"/>
          <w:sz w:val="21"/>
          <w:szCs w:val="21"/>
          <w:highlight w:val="none"/>
        </w:rPr>
        <w:t>3. 供应商资格</w:t>
      </w:r>
      <w:bookmarkEnd w:id="55"/>
      <w:bookmarkEnd w:id="56"/>
    </w:p>
    <w:p>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7"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8" w:name="_Toc4527"/>
      <w:bookmarkStart w:id="59" w:name="_Toc5736"/>
      <w:bookmarkStart w:id="60"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8"/>
      <w:bookmarkEnd w:id="59"/>
      <w:bookmarkEnd w:id="60"/>
      <w:bookmarkStart w:id="61" w:name="_Toc9216"/>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eastAsia="zh-CN"/>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7"/>
      <w:bookmarkEnd w:id="61"/>
    </w:p>
    <w:p>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31376"/>
      <w:bookmarkStart w:id="63" w:name="_Toc22877"/>
      <w:r>
        <w:rPr>
          <w:rFonts w:hint="eastAsia" w:ascii="宋体" w:hAnsi="宋体" w:eastAsia="宋体" w:cs="宋体"/>
          <w:color w:val="auto"/>
          <w:sz w:val="21"/>
          <w:szCs w:val="21"/>
          <w:highlight w:val="none"/>
        </w:rPr>
        <w:t>联合体要求</w:t>
      </w:r>
      <w:bookmarkEnd w:id="62"/>
      <w:bookmarkEnd w:id="6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4152"/>
      <w:bookmarkStart w:id="65" w:name="_Toc18940"/>
      <w:r>
        <w:rPr>
          <w:rFonts w:hint="eastAsia" w:ascii="宋体" w:hAnsi="宋体" w:eastAsia="宋体" w:cs="宋体"/>
          <w:color w:val="auto"/>
          <w:sz w:val="21"/>
          <w:szCs w:val="21"/>
          <w:highlight w:val="none"/>
        </w:rPr>
        <w:t>6. 质疑和投诉</w:t>
      </w:r>
      <w:bookmarkEnd w:id="64"/>
      <w:bookmarkEnd w:id="65"/>
      <w:r>
        <w:rPr>
          <w:rFonts w:hint="eastAsia" w:ascii="宋体" w:hAnsi="宋体" w:eastAsia="宋体" w:cs="宋体"/>
          <w:color w:val="auto"/>
          <w:sz w:val="21"/>
          <w:szCs w:val="21"/>
          <w:highlight w:val="none"/>
        </w:rPr>
        <w:tab/>
      </w:r>
    </w:p>
    <w:p>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6" w:name="_Toc26087"/>
      <w:bookmarkStart w:id="67"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0773-5899196</w:t>
      </w:r>
    </w:p>
    <w:bookmarkEnd w:id="66"/>
    <w:bookmarkEnd w:id="67"/>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6998"/>
      <w:bookmarkStart w:id="69" w:name="_Toc5032"/>
      <w:r>
        <w:rPr>
          <w:rFonts w:hint="eastAsia" w:ascii="宋体" w:hAnsi="宋体" w:eastAsia="宋体" w:cs="宋体"/>
          <w:color w:val="auto"/>
          <w:sz w:val="21"/>
          <w:szCs w:val="21"/>
          <w:highlight w:val="none"/>
        </w:rPr>
        <w:t>7. 转包与分包</w:t>
      </w:r>
      <w:bookmarkEnd w:id="68"/>
      <w:bookmarkEnd w:id="69"/>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5097"/>
      <w:bookmarkStart w:id="71" w:name="_Toc3368"/>
      <w:r>
        <w:rPr>
          <w:rFonts w:hint="eastAsia" w:ascii="宋体" w:hAnsi="宋体" w:eastAsia="宋体" w:cs="宋体"/>
          <w:color w:val="auto"/>
          <w:sz w:val="21"/>
          <w:szCs w:val="21"/>
          <w:highlight w:val="none"/>
        </w:rPr>
        <w:t>8. 特别说明</w:t>
      </w:r>
      <w:bookmarkEnd w:id="70"/>
      <w:bookmarkEnd w:id="71"/>
    </w:p>
    <w:p>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pPr>
        <w:tabs>
          <w:tab w:val="left" w:pos="1635"/>
        </w:tabs>
        <w:wordWrap w:val="0"/>
        <w:spacing w:line="360" w:lineRule="exact"/>
        <w:ind w:firstLine="420" w:firstLineChars="200"/>
        <w:rPr>
          <w:rFonts w:ascii="宋体" w:hAnsi="宋体"/>
          <w:color w:val="auto"/>
          <w:szCs w:val="21"/>
          <w:highlight w:val="none"/>
        </w:rPr>
      </w:pPr>
      <w:bookmarkStart w:id="72" w:name="_Toc5168"/>
      <w:bookmarkStart w:id="73" w:name="_Toc22498"/>
      <w:bookmarkStart w:id="74" w:name="_Toc29496"/>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2"/>
      <w:bookmarkEnd w:id="73"/>
      <w:bookmarkEnd w:id="74"/>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5" w:name="_Toc20057"/>
      <w:bookmarkStart w:id="76" w:name="_Toc18964"/>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5"/>
      <w:bookmarkEnd w:id="7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7"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8" w:name="_Toc17932"/>
      <w:r>
        <w:rPr>
          <w:rFonts w:hint="eastAsia" w:ascii="宋体" w:hAnsi="宋体" w:eastAsia="宋体" w:cs="宋体"/>
          <w:color w:val="auto"/>
          <w:sz w:val="21"/>
          <w:szCs w:val="21"/>
          <w:highlight w:val="none"/>
        </w:rPr>
        <w:t>10. 磋商文件的澄清与修改</w:t>
      </w:r>
      <w:bookmarkEnd w:id="77"/>
      <w:bookmarkEnd w:id="78"/>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9" w:name="_Toc26857"/>
      <w:bookmarkStart w:id="80" w:name="_Toc17820"/>
      <w:bookmarkStart w:id="81" w:name="_Toc20830"/>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79"/>
      <w:bookmarkEnd w:id="80"/>
      <w:bookmarkEnd w:id="81"/>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2" w:name="_Toc19747"/>
      <w:r>
        <w:rPr>
          <w:rFonts w:hint="eastAsia" w:ascii="宋体" w:hAnsi="宋体" w:eastAsia="宋体" w:cs="宋体"/>
          <w:b/>
          <w:color w:val="auto"/>
          <w:sz w:val="21"/>
          <w:szCs w:val="21"/>
          <w:highlight w:val="none"/>
          <w:lang w:val="en-US" w:eastAsia="zh-CN"/>
        </w:rPr>
        <w:t>11.竞争性磋商响应文件编制基本要求</w:t>
      </w:r>
      <w:bookmarkEnd w:id="82"/>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）供应商2022年度以来任意一个年度内的财务状况报告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3" w:name="_Toc16312"/>
      <w:bookmarkStart w:id="84" w:name="_Toc28932"/>
      <w:bookmarkStart w:id="85" w:name="_Toc2809"/>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3"/>
      <w:r>
        <w:rPr>
          <w:rFonts w:hint="eastAsia" w:ascii="宋体" w:hAnsi="宋体" w:eastAsia="宋体" w:cs="宋体"/>
          <w:color w:val="auto"/>
          <w:sz w:val="21"/>
          <w:szCs w:val="21"/>
          <w:highlight w:val="none"/>
          <w:lang w:val="en-US" w:eastAsia="zh-CN"/>
        </w:rPr>
        <w:t>；</w:t>
      </w:r>
      <w:bookmarkEnd w:id="84"/>
      <w:bookmarkEnd w:id="85"/>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pPr>
        <w:pStyle w:val="17"/>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供应商提供的以上相关证明材料属于“必须提供”的文件应加盖</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CA签章，否则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6" w:name="_Toc13660"/>
      <w:bookmarkStart w:id="87" w:name="_Toc2180"/>
      <w:r>
        <w:rPr>
          <w:rFonts w:hint="eastAsia" w:ascii="宋体" w:hAnsi="宋体" w:eastAsia="宋体" w:cs="宋体"/>
          <w:color w:val="auto"/>
          <w:sz w:val="21"/>
          <w:szCs w:val="21"/>
          <w:highlight w:val="none"/>
        </w:rPr>
        <w:t>12. 响应文件的语言及计量</w:t>
      </w:r>
      <w:bookmarkEnd w:id="86"/>
      <w:bookmarkEnd w:id="87"/>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8" w:name="_Toc3058"/>
      <w:bookmarkStart w:id="89" w:name="_Toc10838"/>
      <w:r>
        <w:rPr>
          <w:rFonts w:hint="eastAsia" w:ascii="宋体" w:hAnsi="宋体" w:eastAsia="宋体" w:cs="宋体"/>
          <w:color w:val="auto"/>
          <w:sz w:val="21"/>
          <w:szCs w:val="21"/>
          <w:highlight w:val="none"/>
        </w:rPr>
        <w:t>13. 磋商报价及采购预算金额</w:t>
      </w:r>
      <w:bookmarkEnd w:id="88"/>
      <w:bookmarkEnd w:id="89"/>
    </w:p>
    <w:p>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0" w:name="_Toc26881"/>
      <w:bookmarkStart w:id="91" w:name="_Toc30554"/>
      <w:r>
        <w:rPr>
          <w:rFonts w:hint="eastAsia" w:ascii="宋体" w:hAnsi="宋体" w:eastAsia="宋体" w:cs="宋体"/>
          <w:color w:val="auto"/>
          <w:sz w:val="21"/>
          <w:szCs w:val="21"/>
          <w:highlight w:val="none"/>
        </w:rPr>
        <w:t>14. 响应文件有效期</w:t>
      </w:r>
      <w:bookmarkEnd w:id="90"/>
      <w:bookmarkEnd w:id="91"/>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0698"/>
      <w:bookmarkStart w:id="93"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2"/>
      <w:bookmarkEnd w:id="9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4" w:name="_Toc387"/>
      <w:bookmarkStart w:id="95" w:name="_Toc30118"/>
      <w:r>
        <w:rPr>
          <w:rFonts w:hint="eastAsia" w:ascii="宋体" w:hAnsi="宋体" w:eastAsia="宋体" w:cs="宋体"/>
          <w:color w:val="auto"/>
          <w:sz w:val="21"/>
          <w:szCs w:val="21"/>
          <w:highlight w:val="none"/>
        </w:rPr>
        <w:t>16. 响应文件的</w:t>
      </w:r>
      <w:bookmarkEnd w:id="94"/>
      <w:r>
        <w:rPr>
          <w:rFonts w:hint="eastAsia" w:ascii="宋体" w:hAnsi="宋体" w:eastAsia="宋体" w:cs="宋体"/>
          <w:color w:val="auto"/>
          <w:sz w:val="21"/>
          <w:szCs w:val="21"/>
          <w:highlight w:val="none"/>
          <w:lang w:eastAsia="zh-CN"/>
        </w:rPr>
        <w:t>制作</w:t>
      </w:r>
      <w:bookmarkEnd w:id="95"/>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9738"/>
      <w:r>
        <w:rPr>
          <w:rFonts w:hint="eastAsia" w:ascii="宋体" w:hAnsi="宋体" w:eastAsia="宋体" w:cs="宋体"/>
          <w:color w:val="auto"/>
          <w:sz w:val="21"/>
          <w:szCs w:val="21"/>
          <w:highlight w:val="none"/>
        </w:rPr>
        <w:t>17. 响应文件的修改和撤回</w:t>
      </w:r>
      <w:bookmarkEnd w:id="9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7" w:name="_Toc30156"/>
      <w:bookmarkStart w:id="98"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7"/>
      <w:bookmarkEnd w:id="9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【在接到无法解密或解密失败的通知后，供应商可根据自身实际情况按通知时要求的时间到桂林市公共资源交易中心</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single"/>
          <w:lang w:val="en-US" w:eastAsia="zh-CN"/>
        </w:rPr>
        <w:t>8</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号开标室现场提交或以电子邮件的形式（以通知时所告知的电子邮箱地址为准）提交电子备份响应文件】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9" w:name="_Toc2647"/>
      <w:bookmarkStart w:id="100" w:name="_Toc5807"/>
      <w:bookmarkStart w:id="101" w:name="_Toc2433"/>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99"/>
      <w:bookmarkEnd w:id="100"/>
      <w:bookmarkEnd w:id="101"/>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11021"/>
      <w:bookmarkStart w:id="103" w:name="_Toc31588"/>
      <w:r>
        <w:rPr>
          <w:rFonts w:hint="eastAsia" w:ascii="宋体" w:hAnsi="宋体" w:eastAsia="宋体" w:cs="宋体"/>
          <w:color w:val="auto"/>
          <w:sz w:val="21"/>
          <w:szCs w:val="21"/>
          <w:highlight w:val="none"/>
        </w:rPr>
        <w:t>19. 磋商小组组成及磋商时间、地点、人员</w:t>
      </w:r>
      <w:bookmarkEnd w:id="102"/>
      <w:bookmarkEnd w:id="10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4"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4"/>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5" w:name="_Toc21088"/>
      <w:bookmarkStart w:id="106" w:name="_Toc25258"/>
      <w:r>
        <w:rPr>
          <w:rFonts w:hint="eastAsia" w:ascii="宋体" w:hAnsi="宋体" w:eastAsia="宋体" w:cs="宋体"/>
          <w:color w:val="auto"/>
          <w:sz w:val="21"/>
          <w:szCs w:val="21"/>
          <w:highlight w:val="none"/>
        </w:rPr>
        <w:t>20. 评审原则</w:t>
      </w:r>
      <w:bookmarkEnd w:id="105"/>
      <w:bookmarkEnd w:id="10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7" w:name="_Toc27193"/>
      <w:bookmarkStart w:id="108" w:name="_Toc21012"/>
      <w:r>
        <w:rPr>
          <w:rFonts w:hint="eastAsia" w:ascii="宋体" w:hAnsi="宋体" w:eastAsia="宋体" w:cs="宋体"/>
          <w:color w:val="auto"/>
          <w:sz w:val="21"/>
          <w:szCs w:val="21"/>
          <w:highlight w:val="none"/>
        </w:rPr>
        <w:t>21. 评审程序及磋商要求</w:t>
      </w:r>
      <w:bookmarkEnd w:id="107"/>
      <w:bookmarkEnd w:id="10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9" w:name="_Toc32470"/>
      <w:bookmarkStart w:id="110" w:name="_Toc18722"/>
      <w:r>
        <w:rPr>
          <w:rFonts w:hint="eastAsia" w:ascii="宋体" w:hAnsi="宋体" w:eastAsia="宋体" w:cs="宋体"/>
          <w:color w:val="auto"/>
          <w:sz w:val="21"/>
          <w:szCs w:val="21"/>
          <w:highlight w:val="none"/>
        </w:rPr>
        <w:t xml:space="preserve">22. </w:t>
      </w:r>
      <w:bookmarkEnd w:id="109"/>
      <w:bookmarkEnd w:id="110"/>
      <w:r>
        <w:rPr>
          <w:rFonts w:hint="eastAsia" w:ascii="宋体" w:hAnsi="宋体" w:eastAsia="宋体" w:cs="宋体"/>
          <w:color w:val="auto"/>
          <w:sz w:val="21"/>
          <w:szCs w:val="21"/>
          <w:highlight w:val="none"/>
        </w:rPr>
        <w:t>推荐及确定成交候选供应商原则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15332"/>
      <w:bookmarkStart w:id="112" w:name="_Toc21715"/>
      <w:r>
        <w:rPr>
          <w:rFonts w:hint="eastAsia" w:ascii="宋体" w:hAnsi="宋体" w:eastAsia="宋体" w:cs="宋体"/>
          <w:color w:val="auto"/>
          <w:sz w:val="21"/>
          <w:szCs w:val="21"/>
          <w:highlight w:val="none"/>
        </w:rPr>
        <w:t>23. 属于下列情况之一者，响应文件无效</w:t>
      </w:r>
      <w:bookmarkEnd w:id="111"/>
      <w:bookmarkEnd w:id="112"/>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5714"/>
      <w:bookmarkStart w:id="114"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3"/>
      <w:bookmarkEnd w:id="114"/>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5" w:name="_Toc19105"/>
      <w:bookmarkStart w:id="116" w:name="_Toc19910"/>
      <w:r>
        <w:rPr>
          <w:rFonts w:hint="eastAsia" w:ascii="宋体" w:hAnsi="宋体" w:eastAsia="宋体" w:cs="宋体"/>
          <w:color w:val="auto"/>
          <w:sz w:val="21"/>
          <w:szCs w:val="21"/>
          <w:highlight w:val="none"/>
        </w:rPr>
        <w:t>25. 磋商过程的监控</w:t>
      </w:r>
      <w:bookmarkEnd w:id="115"/>
      <w:bookmarkEnd w:id="11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14787"/>
      <w:bookmarkStart w:id="118" w:name="_Toc26291"/>
      <w:r>
        <w:rPr>
          <w:rFonts w:hint="eastAsia" w:ascii="宋体" w:hAnsi="宋体" w:eastAsia="宋体" w:cs="宋体"/>
          <w:color w:val="auto"/>
          <w:sz w:val="21"/>
          <w:szCs w:val="21"/>
          <w:highlight w:val="none"/>
        </w:rPr>
        <w:t>信用查询</w:t>
      </w:r>
      <w:bookmarkEnd w:id="117"/>
      <w:bookmarkEnd w:id="11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9438"/>
      <w:bookmarkStart w:id="120" w:name="_Toc25468"/>
      <w:r>
        <w:rPr>
          <w:rFonts w:hint="eastAsia" w:ascii="宋体" w:hAnsi="宋体" w:eastAsia="宋体" w:cs="宋体"/>
          <w:color w:val="auto"/>
          <w:sz w:val="21"/>
          <w:szCs w:val="21"/>
          <w:highlight w:val="none"/>
        </w:rPr>
        <w:t>27. 成交结果公告及成交通知书</w:t>
      </w:r>
      <w:bookmarkEnd w:id="119"/>
      <w:bookmarkEnd w:id="120"/>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1" w:name="_Toc6064"/>
      <w:bookmarkStart w:id="122" w:name="_Toc25593"/>
      <w:bookmarkStart w:id="123" w:name="_Toc24102"/>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1"/>
      <w:bookmarkEnd w:id="122"/>
      <w:bookmarkEnd w:id="123"/>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520"/>
      <w:bookmarkStart w:id="125" w:name="_Toc1032"/>
      <w:r>
        <w:rPr>
          <w:rFonts w:hint="eastAsia" w:ascii="宋体" w:hAnsi="宋体" w:eastAsia="宋体" w:cs="宋体"/>
          <w:color w:val="auto"/>
          <w:sz w:val="21"/>
          <w:szCs w:val="21"/>
          <w:highlight w:val="none"/>
        </w:rPr>
        <w:t>28. 履约保证金</w:t>
      </w:r>
      <w:bookmarkEnd w:id="124"/>
      <w:bookmarkEnd w:id="125"/>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6" w:name="_Toc4956"/>
      <w:bookmarkStart w:id="127" w:name="_Toc22004"/>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6"/>
      <w:bookmarkEnd w:id="127"/>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17898"/>
      <w:bookmarkStart w:id="129" w:name="_Toc26986"/>
      <w:bookmarkStart w:id="130" w:name="_Toc16348"/>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28"/>
      <w:bookmarkEnd w:id="129"/>
      <w:bookmarkEnd w:id="130"/>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29572"/>
      <w:bookmarkStart w:id="132" w:name="_Toc28647"/>
      <w:r>
        <w:rPr>
          <w:rFonts w:hint="eastAsia" w:ascii="宋体" w:hAnsi="宋体" w:eastAsia="宋体" w:cs="宋体"/>
          <w:color w:val="auto"/>
          <w:sz w:val="21"/>
          <w:szCs w:val="21"/>
          <w:highlight w:val="none"/>
        </w:rPr>
        <w:t>30. 采购代理服务费</w:t>
      </w:r>
      <w:bookmarkEnd w:id="131"/>
      <w:bookmarkEnd w:id="132"/>
    </w:p>
    <w:p>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3"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bookmarkStart w:id="134" w:name="_Toc9779"/>
      <w:r>
        <w:rPr>
          <w:rStyle w:val="25"/>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5"/>
          <w:rFonts w:hint="eastAsia" w:ascii="宋体" w:hAnsi="宋体" w:eastAsia="宋体" w:cs="宋体"/>
          <w:color w:val="auto"/>
          <w:sz w:val="21"/>
          <w:szCs w:val="21"/>
          <w:highlight w:val="none"/>
        </w:rPr>
        <w:t>31. 解释权</w:t>
      </w:r>
      <w:bookmarkEnd w:id="133"/>
      <w:bookmarkEnd w:id="134"/>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35" w:name="_Toc32738"/>
      <w:r>
        <w:rPr>
          <w:rStyle w:val="25"/>
          <w:rFonts w:hint="eastAsia" w:ascii="宋体" w:hAnsi="宋体" w:eastAsia="宋体" w:cs="宋体"/>
          <w:color w:val="auto"/>
          <w:sz w:val="21"/>
          <w:szCs w:val="21"/>
          <w:highlight w:val="none"/>
        </w:rPr>
        <w:t>32. 监督管理机构</w:t>
      </w:r>
      <w:bookmarkEnd w:id="135"/>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5"/>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snapToGrid w:val="0"/>
        <w:rPr>
          <w:rFonts w:hint="eastAsia" w:ascii="宋体" w:hAnsi="宋体" w:eastAsia="宋体" w:cs="宋体"/>
          <w:b/>
          <w:color w:val="auto"/>
          <w:kern w:val="0"/>
          <w:sz w:val="21"/>
          <w:szCs w:val="21"/>
          <w:highlight w:val="none"/>
        </w:rPr>
      </w:pPr>
    </w:p>
    <w:p>
      <w:pPr>
        <w:snapToGrid w:val="0"/>
        <w:rPr>
          <w:rFonts w:hint="eastAsia" w:ascii="宋体" w:hAnsi="宋体" w:eastAsia="宋体" w:cs="宋体"/>
          <w:b/>
          <w:color w:val="auto"/>
          <w:kern w:val="0"/>
          <w:sz w:val="21"/>
          <w:szCs w:val="21"/>
          <w:highlight w:val="none"/>
        </w:rPr>
      </w:pPr>
    </w:p>
    <w:p>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pPr>
        <w:spacing w:line="360" w:lineRule="exact"/>
        <w:ind w:left="25" w:leftChars="12" w:firstLine="308" w:firstLineChars="147"/>
        <w:rPr>
          <w:rFonts w:hint="eastAsia" w:ascii="宋体" w:hAnsi="宋体" w:eastAsia="宋体" w:cs="宋体"/>
          <w:color w:val="auto"/>
          <w:kern w:val="0"/>
          <w:sz w:val="21"/>
          <w:szCs w:val="21"/>
          <w:highlight w:val="none"/>
        </w:rPr>
      </w:pP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pPr>
        <w:spacing w:line="360" w:lineRule="exact"/>
        <w:ind w:left="25" w:leftChars="12" w:firstLine="308" w:firstLineChars="147"/>
        <w:rPr>
          <w:rFonts w:hint="eastAsia" w:ascii="宋体" w:hAnsi="宋体" w:eastAsia="宋体" w:cs="宋体"/>
          <w:color w:val="auto"/>
          <w:kern w:val="0"/>
          <w:sz w:val="21"/>
          <w:szCs w:val="21"/>
          <w:highlight w:val="none"/>
        </w:rPr>
      </w:pP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pPr>
        <w:snapToGrid w:val="0"/>
        <w:spacing w:line="340" w:lineRule="exact"/>
        <w:rPr>
          <w:rFonts w:hint="eastAsia" w:ascii="宋体" w:hAnsi="宋体" w:eastAsia="宋体" w:cs="宋体"/>
          <w:b/>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pPr>
        <w:spacing w:line="460" w:lineRule="exact"/>
        <w:jc w:val="center"/>
        <w:rPr>
          <w:rFonts w:hint="eastAsia" w:ascii="宋体" w:hAnsi="宋体" w:eastAsia="宋体" w:cs="宋体"/>
          <w:color w:val="auto"/>
          <w:kern w:val="0"/>
          <w:sz w:val="21"/>
          <w:szCs w:val="21"/>
          <w:highlight w:val="none"/>
        </w:rPr>
      </w:pPr>
    </w:p>
    <w:p>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pPr>
        <w:spacing w:line="400" w:lineRule="exact"/>
        <w:rPr>
          <w:rFonts w:hint="eastAsia" w:ascii="宋体" w:hAnsi="宋体" w:eastAsia="宋体" w:cs="宋体"/>
          <w:bCs/>
          <w:color w:val="auto"/>
          <w:kern w:val="0"/>
          <w:sz w:val="21"/>
          <w:szCs w:val="21"/>
          <w:highlight w:val="none"/>
          <w:u w:val="single"/>
        </w:rPr>
      </w:pPr>
    </w:p>
    <w:p>
      <w:pPr>
        <w:spacing w:line="400" w:lineRule="exact"/>
        <w:rPr>
          <w:rFonts w:hint="eastAsia" w:ascii="宋体" w:hAnsi="宋体" w:eastAsia="宋体" w:cs="宋体"/>
          <w:bCs/>
          <w:color w:val="auto"/>
          <w:kern w:val="0"/>
          <w:sz w:val="21"/>
          <w:szCs w:val="21"/>
          <w:highlight w:val="none"/>
          <w:u w:val="single"/>
        </w:rPr>
      </w:pPr>
    </w:p>
    <w:p>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pPr>
        <w:spacing w:line="400" w:lineRule="exact"/>
        <w:ind w:left="25" w:leftChars="12" w:firstLine="413" w:firstLineChars="197"/>
        <w:rPr>
          <w:rFonts w:hint="eastAsia" w:ascii="宋体" w:hAnsi="宋体" w:eastAsia="宋体" w:cs="宋体"/>
          <w:color w:val="auto"/>
          <w:kern w:val="0"/>
          <w:sz w:val="21"/>
          <w:szCs w:val="21"/>
          <w:highlight w:val="none"/>
        </w:rPr>
      </w:pPr>
    </w:p>
    <w:p>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pPr>
        <w:spacing w:line="400" w:lineRule="exact"/>
        <w:ind w:left="25" w:leftChars="12" w:firstLine="308" w:firstLineChars="147"/>
        <w:rPr>
          <w:rFonts w:hint="eastAsia" w:ascii="宋体" w:hAnsi="宋体" w:eastAsia="宋体" w:cs="宋体"/>
          <w:color w:val="auto"/>
          <w:kern w:val="0"/>
          <w:sz w:val="21"/>
          <w:szCs w:val="21"/>
          <w:highlight w:val="none"/>
        </w:rPr>
      </w:pP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pPr>
        <w:spacing w:line="400" w:lineRule="exact"/>
        <w:ind w:left="25" w:leftChars="12" w:firstLine="308" w:firstLineChars="147"/>
        <w:rPr>
          <w:rFonts w:hint="eastAsia" w:ascii="宋体" w:hAnsi="宋体" w:eastAsia="宋体" w:cs="宋体"/>
          <w:color w:val="auto"/>
          <w:kern w:val="0"/>
          <w:sz w:val="21"/>
          <w:szCs w:val="21"/>
          <w:highlight w:val="none"/>
        </w:rPr>
      </w:pP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pPr>
        <w:spacing w:line="360" w:lineRule="exact"/>
        <w:ind w:left="25" w:leftChars="12" w:firstLine="413" w:firstLineChars="197"/>
        <w:rPr>
          <w:rFonts w:hint="eastAsia" w:ascii="宋体" w:hAnsi="宋体" w:eastAsia="宋体" w:cs="宋体"/>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pPr>
        <w:spacing w:line="340" w:lineRule="exact"/>
        <w:ind w:left="25" w:leftChars="12" w:firstLine="310" w:firstLineChars="147"/>
        <w:rPr>
          <w:rFonts w:hint="eastAsia" w:ascii="宋体" w:hAnsi="宋体" w:eastAsia="宋体" w:cs="宋体"/>
          <w:b/>
          <w:color w:val="auto"/>
          <w:kern w:val="0"/>
          <w:sz w:val="21"/>
          <w:szCs w:val="21"/>
          <w:highlight w:val="no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rPr>
          <w:color w:val="auto"/>
          <w:highlight w:val="none"/>
        </w:rPr>
      </w:pPr>
    </w:p>
    <w:p>
      <w:pPr>
        <w:pStyle w:val="8"/>
        <w:rPr>
          <w:color w:val="auto"/>
          <w:highlight w:val="none"/>
        </w:rPr>
      </w:pP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pPr>
              <w:pStyle w:val="46"/>
              <w:spacing w:before="172" w:line="228" w:lineRule="auto"/>
              <w:ind w:left="1103"/>
              <w:rPr>
                <w:color w:val="auto"/>
                <w:highlight w:val="none"/>
              </w:rPr>
            </w:pPr>
            <w:r>
              <w:rPr>
                <w:color w:val="auto"/>
                <w:spacing w:val="6"/>
                <w:highlight w:val="none"/>
              </w:rPr>
              <w:t>验收方式：</w:t>
            </w:r>
          </w:p>
        </w:tc>
        <w:tc>
          <w:tcPr>
            <w:tcW w:w="5194" w:type="dxa"/>
            <w:gridSpan w:val="6"/>
            <w:vAlign w:val="top"/>
          </w:tcPr>
          <w:p>
            <w:pPr>
              <w:pStyle w:val="46"/>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pPr>
              <w:pStyle w:val="46"/>
              <w:spacing w:before="234" w:line="229" w:lineRule="auto"/>
              <w:ind w:left="458"/>
              <w:rPr>
                <w:color w:val="auto"/>
                <w:highlight w:val="none"/>
              </w:rPr>
            </w:pPr>
            <w:r>
              <w:rPr>
                <w:color w:val="auto"/>
                <w:spacing w:val="5"/>
                <w:highlight w:val="none"/>
              </w:rPr>
              <w:t>序号</w:t>
            </w:r>
          </w:p>
        </w:tc>
        <w:tc>
          <w:tcPr>
            <w:tcW w:w="1917" w:type="dxa"/>
            <w:vAlign w:val="top"/>
          </w:tcPr>
          <w:p>
            <w:pPr>
              <w:pStyle w:val="46"/>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pPr>
              <w:pStyle w:val="46"/>
              <w:spacing w:before="75" w:line="227" w:lineRule="auto"/>
              <w:ind w:left="91"/>
              <w:rPr>
                <w:color w:val="auto"/>
                <w:highlight w:val="none"/>
              </w:rPr>
            </w:pPr>
            <w:r>
              <w:rPr>
                <w:color w:val="auto"/>
                <w:spacing w:val="8"/>
                <w:highlight w:val="none"/>
              </w:rPr>
              <w:t>货物型号规格、标准及配置等</w:t>
            </w:r>
          </w:p>
          <w:p>
            <w:pPr>
              <w:pStyle w:val="46"/>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pPr>
              <w:pStyle w:val="46"/>
              <w:spacing w:before="234" w:line="228" w:lineRule="auto"/>
              <w:ind w:left="227"/>
              <w:rPr>
                <w:color w:val="auto"/>
                <w:highlight w:val="none"/>
              </w:rPr>
            </w:pPr>
            <w:r>
              <w:rPr>
                <w:color w:val="auto"/>
                <w:spacing w:val="3"/>
                <w:highlight w:val="none"/>
              </w:rPr>
              <w:t>数量</w:t>
            </w:r>
          </w:p>
        </w:tc>
        <w:tc>
          <w:tcPr>
            <w:tcW w:w="1435" w:type="dxa"/>
            <w:vAlign w:val="top"/>
          </w:tcPr>
          <w:p>
            <w:pPr>
              <w:pStyle w:val="46"/>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pPr>
              <w:pStyle w:val="46"/>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pPr>
              <w:pStyle w:val="46"/>
              <w:spacing w:before="238" w:line="228" w:lineRule="auto"/>
              <w:ind w:left="15"/>
              <w:rPr>
                <w:color w:val="auto"/>
                <w:highlight w:val="none"/>
              </w:rPr>
            </w:pPr>
            <w:r>
              <w:rPr>
                <w:color w:val="auto"/>
                <w:spacing w:val="6"/>
                <w:highlight w:val="none"/>
              </w:rPr>
              <w:t>合计大写金额：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pPr>
              <w:pStyle w:val="46"/>
              <w:spacing w:before="240" w:line="227" w:lineRule="auto"/>
              <w:ind w:left="44"/>
              <w:rPr>
                <w:color w:val="auto"/>
                <w:highlight w:val="none"/>
              </w:rPr>
            </w:pPr>
            <w:r>
              <w:rPr>
                <w:color w:val="auto"/>
                <w:spacing w:val="7"/>
                <w:highlight w:val="none"/>
              </w:rPr>
              <w:t>实际供货日期</w:t>
            </w:r>
          </w:p>
        </w:tc>
        <w:tc>
          <w:tcPr>
            <w:tcW w:w="2714" w:type="dxa"/>
            <w:gridSpan w:val="3"/>
            <w:vAlign w:val="top"/>
          </w:tcPr>
          <w:p>
            <w:pPr>
              <w:rPr>
                <w:rFonts w:ascii="Arial"/>
                <w:color w:val="auto"/>
                <w:sz w:val="21"/>
                <w:highlight w:val="none"/>
              </w:rPr>
            </w:pPr>
          </w:p>
        </w:tc>
        <w:tc>
          <w:tcPr>
            <w:tcW w:w="2278" w:type="dxa"/>
            <w:gridSpan w:val="2"/>
            <w:vAlign w:val="top"/>
          </w:tcPr>
          <w:p>
            <w:pPr>
              <w:pStyle w:val="46"/>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pPr>
              <w:rPr>
                <w:rFonts w:ascii="Arial"/>
                <w:color w:val="auto"/>
                <w:sz w:val="21"/>
                <w:highlight w:val="none"/>
              </w:rPr>
            </w:pPr>
          </w:p>
        </w:tc>
        <w:tc>
          <w:tcPr>
            <w:tcW w:w="2714" w:type="dxa"/>
            <w:gridSpan w:val="3"/>
            <w:vAlign w:val="top"/>
          </w:tcPr>
          <w:p>
            <w:pPr>
              <w:rPr>
                <w:rFonts w:ascii="Arial"/>
                <w:color w:val="auto"/>
                <w:sz w:val="21"/>
                <w:highlight w:val="none"/>
              </w:rPr>
            </w:pPr>
          </w:p>
        </w:tc>
        <w:tc>
          <w:tcPr>
            <w:tcW w:w="2278" w:type="dxa"/>
            <w:gridSpan w:val="2"/>
            <w:vAlign w:val="top"/>
          </w:tcPr>
          <w:p>
            <w:pPr>
              <w:rPr>
                <w:rFonts w:ascii="Arial"/>
                <w:color w:val="auto"/>
                <w:sz w:val="21"/>
                <w:highlight w:val="none"/>
              </w:rPr>
            </w:pPr>
          </w:p>
        </w:tc>
        <w:tc>
          <w:tcPr>
            <w:tcW w:w="2119" w:type="dxa"/>
            <w:gridSpan w:val="2"/>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pPr>
              <w:spacing w:line="332" w:lineRule="auto"/>
              <w:rPr>
                <w:rFonts w:ascii="Arial"/>
                <w:color w:val="auto"/>
                <w:sz w:val="21"/>
                <w:highlight w:val="none"/>
              </w:rPr>
            </w:pPr>
          </w:p>
          <w:p>
            <w:pPr>
              <w:pStyle w:val="46"/>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pPr>
              <w:pStyle w:val="46"/>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pPr>
              <w:spacing w:line="267" w:lineRule="auto"/>
              <w:rPr>
                <w:rFonts w:ascii="Arial"/>
                <w:color w:val="auto"/>
                <w:sz w:val="21"/>
                <w:highlight w:val="none"/>
              </w:rPr>
            </w:pPr>
          </w:p>
          <w:p>
            <w:pPr>
              <w:spacing w:line="268" w:lineRule="auto"/>
              <w:rPr>
                <w:rFonts w:ascii="Arial"/>
                <w:color w:val="auto"/>
                <w:sz w:val="21"/>
                <w:highlight w:val="none"/>
              </w:rPr>
            </w:pPr>
          </w:p>
          <w:p>
            <w:pPr>
              <w:spacing w:line="268" w:lineRule="auto"/>
              <w:rPr>
                <w:rFonts w:ascii="Arial"/>
                <w:color w:val="auto"/>
                <w:sz w:val="21"/>
                <w:highlight w:val="none"/>
              </w:rPr>
            </w:pPr>
          </w:p>
          <w:p>
            <w:pPr>
              <w:pStyle w:val="46"/>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pPr>
              <w:spacing w:line="247" w:lineRule="auto"/>
              <w:rPr>
                <w:rFonts w:ascii="Arial"/>
                <w:color w:val="auto"/>
                <w:sz w:val="21"/>
                <w:highlight w:val="none"/>
              </w:rPr>
            </w:pPr>
          </w:p>
          <w:p>
            <w:pPr>
              <w:spacing w:line="248" w:lineRule="auto"/>
              <w:rPr>
                <w:rFonts w:ascii="Arial"/>
                <w:color w:val="auto"/>
                <w:sz w:val="21"/>
                <w:highlight w:val="none"/>
              </w:rPr>
            </w:pPr>
          </w:p>
          <w:p>
            <w:pPr>
              <w:pStyle w:val="46"/>
              <w:spacing w:before="65" w:line="228" w:lineRule="auto"/>
              <w:ind w:left="5"/>
              <w:rPr>
                <w:color w:val="auto"/>
                <w:highlight w:val="none"/>
              </w:rPr>
            </w:pPr>
            <w:r>
              <w:rPr>
                <w:color w:val="auto"/>
                <w:spacing w:val="7"/>
                <w:highlight w:val="none"/>
              </w:rPr>
              <w:t>验收结论性意见：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pPr>
              <w:rPr>
                <w:rFonts w:ascii="Arial"/>
                <w:color w:val="auto"/>
                <w:sz w:val="21"/>
                <w:highlight w:val="none"/>
              </w:rPr>
            </w:pPr>
          </w:p>
        </w:tc>
        <w:tc>
          <w:tcPr>
            <w:tcW w:w="7111" w:type="dxa"/>
            <w:gridSpan w:val="7"/>
            <w:vAlign w:val="top"/>
          </w:tcPr>
          <w:p>
            <w:pPr>
              <w:pStyle w:val="46"/>
              <w:spacing w:before="85" w:line="600" w:lineRule="exact"/>
              <w:ind w:left="7"/>
              <w:rPr>
                <w:color w:val="auto"/>
                <w:highlight w:val="none"/>
              </w:rPr>
            </w:pPr>
            <w:r>
              <w:rPr>
                <w:color w:val="auto"/>
                <w:spacing w:val="8"/>
                <w:position w:val="30"/>
                <w:highlight w:val="none"/>
              </w:rPr>
              <w:t>有异议的意见和说明理由：</w:t>
            </w:r>
          </w:p>
          <w:p>
            <w:pPr>
              <w:pStyle w:val="46"/>
              <w:spacing w:line="210" w:lineRule="auto"/>
              <w:ind w:left="6"/>
              <w:rPr>
                <w:color w:val="auto"/>
                <w:highlight w:val="none"/>
              </w:rPr>
            </w:pPr>
            <w:r>
              <w:rPr>
                <w:color w:val="auto"/>
                <w:spacing w:val="3"/>
                <w:highlight w:val="none"/>
              </w:rPr>
              <w:t>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pPr>
              <w:pStyle w:val="46"/>
              <w:spacing w:before="178" w:line="228" w:lineRule="auto"/>
              <w:ind w:left="110"/>
              <w:rPr>
                <w:color w:val="auto"/>
                <w:highlight w:val="none"/>
              </w:rPr>
            </w:pPr>
            <w:r>
              <w:rPr>
                <w:color w:val="auto"/>
                <w:spacing w:val="7"/>
                <w:highlight w:val="none"/>
              </w:rPr>
              <w:t>验收小组成员签字：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pPr>
              <w:pStyle w:val="46"/>
              <w:spacing w:before="87" w:line="600" w:lineRule="exact"/>
              <w:ind w:left="111"/>
              <w:rPr>
                <w:color w:val="auto"/>
                <w:highlight w:val="none"/>
              </w:rPr>
            </w:pPr>
            <w:r>
              <w:rPr>
                <w:color w:val="auto"/>
                <w:spacing w:val="8"/>
                <w:position w:val="30"/>
                <w:highlight w:val="none"/>
              </w:rPr>
              <w:t>监督人员或其他相关人员签字：</w:t>
            </w:r>
          </w:p>
          <w:p>
            <w:pPr>
              <w:pStyle w:val="46"/>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pPr>
              <w:pStyle w:val="46"/>
              <w:spacing w:before="89" w:line="600" w:lineRule="exact"/>
              <w:ind w:left="130"/>
              <w:rPr>
                <w:color w:val="auto"/>
                <w:highlight w:val="none"/>
              </w:rPr>
            </w:pPr>
            <w:r>
              <w:rPr>
                <w:color w:val="auto"/>
                <w:spacing w:val="7"/>
                <w:position w:val="30"/>
                <w:highlight w:val="none"/>
              </w:rPr>
              <w:t>中标或者成交供应商负责人签字或盖章：</w:t>
            </w:r>
          </w:p>
          <w:p>
            <w:pPr>
              <w:pStyle w:val="46"/>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pPr>
              <w:pStyle w:val="46"/>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pPr>
              <w:pStyle w:val="46"/>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pPr>
        <w:rPr>
          <w:rFonts w:ascii="Arial"/>
          <w:color w:val="auto"/>
          <w:sz w:val="21"/>
          <w:highlight w:val="none"/>
        </w:rPr>
      </w:pPr>
    </w:p>
    <w:p>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pPr>
        <w:rPr>
          <w:rFonts w:hint="eastAsia" w:ascii="宋体" w:hAnsi="宋体" w:eastAsia="宋体" w:cs="宋体"/>
          <w:color w:val="auto"/>
          <w:sz w:val="21"/>
          <w:szCs w:val="21"/>
          <w:highlight w:val="none"/>
          <w:lang w:eastAsia="zh-CN"/>
        </w:rPr>
      </w:pPr>
      <w:bookmarkStart w:id="13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02960" cy="8350885"/>
                    </a:xfrm>
                    <a:prstGeom prst="rect">
                      <a:avLst/>
                    </a:prstGeom>
                    <a:noFill/>
                    <a:ln>
                      <a:noFill/>
                    </a:ln>
                  </pic:spPr>
                </pic:pic>
              </a:graphicData>
            </a:graphic>
          </wp:inline>
        </w:drawing>
      </w:r>
      <w:bookmarkEnd w:id="136"/>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7" w:name="_Toc28939"/>
      <w:bookmarkStart w:id="138" w:name="_Toc2989"/>
    </w:p>
    <w:p>
      <w:pPr>
        <w:rPr>
          <w:rFonts w:hint="eastAsia"/>
          <w:color w:val="auto"/>
          <w:highlight w:val="none"/>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highlight w:val="none"/>
          <w:lang w:eastAsia="zh-CN"/>
        </w:rPr>
      </w:pPr>
      <w:bookmarkStart w:id="139" w:name="_Toc23263"/>
      <w:r>
        <w:rPr>
          <w:rFonts w:hint="eastAsia" w:ascii="宋体" w:hAnsi="宋体" w:eastAsia="宋体" w:cs="宋体"/>
          <w:color w:val="auto"/>
          <w:sz w:val="28"/>
          <w:szCs w:val="28"/>
          <w:highlight w:val="none"/>
        </w:rPr>
        <w:t xml:space="preserve">第三章 </w:t>
      </w:r>
      <w:r>
        <w:rPr>
          <w:rFonts w:hint="eastAsia" w:ascii="宋体" w:hAnsi="宋体" w:eastAsia="宋体" w:cs="宋体"/>
          <w:color w:val="auto"/>
          <w:sz w:val="28"/>
          <w:szCs w:val="28"/>
          <w:highlight w:val="none"/>
          <w:lang w:eastAsia="zh-CN"/>
        </w:rPr>
        <w:t>工程量清单</w:t>
      </w:r>
      <w:bookmarkEnd w:id="137"/>
      <w:bookmarkEnd w:id="139"/>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0" w:name="_Toc160609998"/>
      <w:bookmarkStart w:id="141" w:name="_Toc194308407"/>
      <w:bookmarkStart w:id="142" w:name="_Toc16413805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）《建设工程工程量清单计价规范广西壮族自治区实施细则》（GB50500-2013）</w:t>
      </w:r>
      <w:r>
        <w:rPr>
          <w:rFonts w:hint="eastAsia" w:hAnsi="宋体" w:cs="宋体"/>
          <w:color w:val="auto"/>
          <w:kern w:val="0"/>
          <w:sz w:val="21"/>
          <w:szCs w:val="21"/>
          <w:highlight w:val="none"/>
          <w:lang w:eastAsia="zh-CN"/>
        </w:rPr>
        <w:t>、《建设工程工程量计算规范广西壮族自治区实施细则》（GB50854~50862-2013）（2015修订本）、2013年《广西壮族自治区建筑装饰装修工程消耗量定额》及相应配套费用定额、2015年《广西壮族自治区安装工程消耗量定额》及相应配套费用定额、2011年《广西壮族自治区拆除工程消耗量定额》及相应配套费用定额、2022年《广西壮族自治区市政工程消耗量定额》及相应配套费用定额、2021年《广西壮族自治区园林工程消耗量定额》及相应配套费用定额、自治区住房城乡建设厅《关于建筑业实施营业税改增值税后广西壮族自治区建设工程计价依据调整的通知》（桂建标【2016】17号）、自治区住房城乡建设厅《关于调整建设工程定额人工费及有关费率的通知》（桂建标【2023】07号）、自治区住房城乡建设厅《关于调整建设工程计价增值税税率的通知》（桂建标【2019】12号）</w:t>
      </w:r>
      <w:r>
        <w:rPr>
          <w:rFonts w:hint="eastAsia" w:ascii="宋体" w:hAnsi="宋体" w:eastAsia="宋体" w:cs="宋体"/>
          <w:color w:val="auto"/>
          <w:kern w:val="0"/>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）信息价按2024年《桂林市建设工程造价信息》第1期灌阳县计取，灌阳县无信息价的按桂林市信息价计取，对于工程信息没有发布价格按照市场询价。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90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本工程预算控制价（最高磋商限价）为人民币</w:t>
      </w:r>
      <w:r>
        <w:rPr>
          <w:rFonts w:hint="eastAsia" w:hAnsi="宋体" w:cs="宋体"/>
          <w:b/>
          <w:bCs/>
          <w:color w:val="auto"/>
          <w:kern w:val="0"/>
          <w:sz w:val="21"/>
          <w:szCs w:val="21"/>
          <w:highlight w:val="none"/>
          <w:u w:val="single"/>
          <w:shd w:val="clear" w:color="auto" w:fill="auto"/>
          <w:lang w:val="en-US" w:eastAsia="zh-CN"/>
        </w:rPr>
        <w:t>788865.82</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8"/>
    <w:bookmarkEnd w:id="140"/>
    <w:bookmarkEnd w:id="141"/>
    <w:bookmarkEnd w:id="142"/>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43" w:name="_Toc5828"/>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pPr>
        <w:rPr>
          <w:rFonts w:hint="eastAsia"/>
          <w:color w:val="auto"/>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评审办法</w:t>
      </w:r>
      <w:bookmarkEnd w:id="143"/>
    </w:p>
    <w:p>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二档（3分）：关键线路基本准确，计划编制合理，关键节点的控制措施基本可行；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三档（6分）：关键线路清晰、准确、完整，计划编制可行，关键节点的控制措施合理、可行；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四档（10分）：关键线路清晰、准确、完整，计划编制合理、可行，关键节点的控制措施有力、合理、可行</w:t>
      </w:r>
      <w:bookmarkStart w:id="870" w:name="_GoBack"/>
      <w:bookmarkEnd w:id="870"/>
      <w:r>
        <w:rPr>
          <w:rFonts w:hint="eastAsia" w:ascii="宋体" w:hAnsi="宋体" w:eastAsia="宋体" w:cs="宋体"/>
          <w:b w:val="0"/>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三档（3分）：投入计划与进度计划呼应，基本满足施工需要，调配投入计划基本合理、准确；</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四档（5分）：投入计划与进度计划呼应，较好满足施工需要，调配投入计划合理、准确。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（5）关键施工技术、工艺及工程实施的重点、难点和解决方案（满分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二档（3分）：对项目关键技术有一定了解，对重点、难点有建议，解决方案基本可行。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三档（6分）：对项目关键技术、工艺有深入的表达，对重点、难点有合理的建议，解决方案经济、安全、基本可行。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四档（10分）：对项目关键技术、工艺有深入的表达，对重点、难点有先进合理的施工措施并有可行的安全措施，解决方案完整、经济、安全、切实可行，措施得力。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（7）质量保证与承诺（满分</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二档（3分）：针对项目实际提出先进、可行、具体的保证措施，满足招标文件的质量要求。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三档（6分）：具体措施可行，满足采购文件的质量要求。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年以来具有本工程类似业绩的每个得5分，满分10分[（业绩证明材料须提供中标（成交）通知书或施工承包合同协议书复印并加盖供应商公章（CA签章）]。</w:t>
      </w:r>
    </w:p>
    <w:p>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144" w:name="_Toc4774"/>
      <w:bookmarkStart w:id="145" w:name="_Toc25717"/>
      <w:bookmarkStart w:id="146" w:name="_Toc8466"/>
      <w:bookmarkStart w:id="147" w:name="_Toc5821"/>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采购合同（合同主要条款及格式）</w:t>
      </w:r>
      <w:bookmarkEnd w:id="144"/>
      <w:bookmarkEnd w:id="145"/>
      <w:bookmarkEnd w:id="146"/>
      <w:bookmarkEnd w:id="147"/>
    </w:p>
    <w:p>
      <w:pPr>
        <w:pStyle w:val="28"/>
        <w:numPr>
          <w:ilvl w:val="0"/>
          <w:numId w:val="4"/>
        </w:numPr>
        <w:spacing w:line="340" w:lineRule="exact"/>
        <w:jc w:val="center"/>
        <w:rPr>
          <w:rFonts w:hint="eastAsia" w:ascii="宋体" w:hAnsi="宋体" w:eastAsia="宋体" w:cs="宋体"/>
          <w:color w:val="auto"/>
          <w:sz w:val="21"/>
          <w:szCs w:val="21"/>
          <w:highlight w:val="none"/>
        </w:rPr>
      </w:pPr>
      <w:bookmarkStart w:id="148" w:name="_Toc256000031"/>
      <w:bookmarkStart w:id="149" w:name="_Toc522201558"/>
      <w:bookmarkStart w:id="150" w:name="_Toc30988"/>
      <w:bookmarkStart w:id="151" w:name="_Toc24269"/>
      <w:bookmarkStart w:id="152" w:name="_Toc10014"/>
      <w:r>
        <w:rPr>
          <w:rFonts w:hint="eastAsia" w:ascii="宋体" w:hAnsi="宋体" w:eastAsia="宋体" w:cs="宋体"/>
          <w:color w:val="auto"/>
          <w:sz w:val="21"/>
          <w:szCs w:val="21"/>
          <w:highlight w:val="none"/>
        </w:rPr>
        <w:t>合同协议书</w:t>
      </w:r>
      <w:bookmarkEnd w:id="148"/>
      <w:bookmarkEnd w:id="149"/>
      <w:bookmarkEnd w:id="150"/>
    </w:p>
    <w:p>
      <w:pPr>
        <w:pStyle w:val="28"/>
        <w:numPr>
          <w:ilvl w:val="0"/>
          <w:numId w:val="0"/>
        </w:numPr>
        <w:spacing w:line="340" w:lineRule="exact"/>
        <w:jc w:val="both"/>
        <w:rPr>
          <w:rFonts w:hint="eastAsia" w:ascii="宋体" w:hAnsi="宋体" w:eastAsia="宋体" w:cs="宋体"/>
          <w:color w:val="auto"/>
          <w:sz w:val="21"/>
          <w:szCs w:val="21"/>
          <w:highlight w:val="none"/>
        </w:rPr>
      </w:pPr>
    </w:p>
    <w:p>
      <w:pPr>
        <w:pStyle w:val="32"/>
        <w:adjustRightInd w:val="0"/>
        <w:snapToGrid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发包人（全称）：</w:t>
      </w:r>
      <w:r>
        <w:rPr>
          <w:rFonts w:hint="eastAsia" w:ascii="宋体" w:hAnsi="宋体" w:cs="宋体"/>
          <w:color w:val="auto"/>
          <w:sz w:val="21"/>
          <w:szCs w:val="21"/>
          <w:highlight w:val="none"/>
          <w:u w:val="single"/>
          <w:lang w:eastAsia="zh-CN"/>
        </w:rPr>
        <w:t>中国共产党灌阳县委员会统一战线工作部</w:t>
      </w:r>
      <w:r>
        <w:rPr>
          <w:rFonts w:hint="eastAsia" w:ascii="宋体" w:hAnsi="宋体" w:eastAsia="宋体" w:cs="宋体"/>
          <w:color w:val="auto"/>
          <w:sz w:val="21"/>
          <w:szCs w:val="21"/>
          <w:highlight w:val="none"/>
          <w:lang w:val="en-US" w:eastAsia="zh-CN"/>
        </w:rPr>
        <w:t xml:space="preserve"> </w:t>
      </w:r>
    </w:p>
    <w:p>
      <w:pPr>
        <w:pStyle w:val="32"/>
        <w:adjustRightInd w:val="0"/>
        <w:snapToGrid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cs="宋体"/>
          <w:color w:val="auto"/>
          <w:sz w:val="21"/>
          <w:szCs w:val="21"/>
          <w:highlight w:val="none"/>
          <w:u w:val="single"/>
          <w:lang w:val="en-US" w:eastAsia="zh-CN"/>
        </w:rPr>
        <w:t>灌阳县西山瑶族乡2024年少数民族特色油茶技艺项目</w:t>
      </w:r>
      <w:r>
        <w:rPr>
          <w:rFonts w:hint="eastAsia" w:ascii="宋体" w:hAnsi="宋体" w:eastAsia="宋体" w:cs="宋体"/>
          <w:color w:val="auto"/>
          <w:sz w:val="21"/>
          <w:szCs w:val="21"/>
          <w:highlight w:val="none"/>
        </w:rPr>
        <w:t>及有关事项协商一致，共同达成如下协议：</w:t>
      </w:r>
      <w:bookmarkStart w:id="153" w:name="_Toc351203481"/>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4" w:name="_Toc20764"/>
      <w:bookmarkStart w:id="155" w:name="_Toc522201559"/>
      <w:bookmarkStart w:id="156" w:name="_Toc406522028"/>
      <w:bookmarkStart w:id="157" w:name="_Toc406419153"/>
      <w:bookmarkStart w:id="158" w:name="_Toc17678"/>
      <w:r>
        <w:rPr>
          <w:rFonts w:hint="eastAsia" w:ascii="宋体" w:hAnsi="宋体" w:eastAsia="宋体" w:cs="宋体"/>
          <w:b/>
          <w:color w:val="auto"/>
          <w:sz w:val="21"/>
          <w:szCs w:val="21"/>
          <w:highlight w:val="none"/>
        </w:rPr>
        <w:t>一、工程概况</w:t>
      </w:r>
      <w:bookmarkEnd w:id="153"/>
      <w:bookmarkEnd w:id="154"/>
      <w:bookmarkEnd w:id="155"/>
      <w:bookmarkEnd w:id="156"/>
      <w:bookmarkEnd w:id="157"/>
      <w:bookmarkEnd w:id="158"/>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1.工程名称：</w:t>
      </w:r>
      <w:r>
        <w:rPr>
          <w:rFonts w:hint="eastAsia" w:ascii="宋体" w:hAnsi="宋体" w:cs="宋体"/>
          <w:color w:val="auto"/>
          <w:sz w:val="21"/>
          <w:szCs w:val="21"/>
          <w:highlight w:val="none"/>
          <w:u w:val="single"/>
          <w:lang w:val="en-US" w:eastAsia="zh-CN"/>
        </w:rPr>
        <w:t>灌阳县西山瑶族乡2024年少数民族特色油茶技艺项目</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2.工程地点：</w:t>
      </w:r>
      <w:r>
        <w:rPr>
          <w:rFonts w:hint="eastAsia" w:ascii="宋体" w:hAnsi="宋体" w:cs="宋体"/>
          <w:color w:val="auto"/>
          <w:sz w:val="21"/>
          <w:szCs w:val="21"/>
          <w:highlight w:val="none"/>
          <w:u w:val="single"/>
          <w:lang w:val="en-US" w:eastAsia="zh-CN"/>
        </w:rPr>
        <w:t>灌阳县西山瑶族乡</w:t>
      </w:r>
    </w:p>
    <w:p>
      <w:pPr>
        <w:pStyle w:val="32"/>
        <w:adjustRightInd w:val="0"/>
        <w:snapToGrid w:val="0"/>
        <w:spacing w:line="400" w:lineRule="exact"/>
        <w:ind w:firstLine="45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3.资金来源：</w:t>
      </w:r>
      <w:r>
        <w:rPr>
          <w:rFonts w:hint="eastAsia" w:ascii="宋体" w:hAnsi="宋体" w:eastAsia="宋体" w:cs="宋体"/>
          <w:color w:val="auto"/>
          <w:sz w:val="21"/>
          <w:szCs w:val="21"/>
          <w:highlight w:val="none"/>
          <w:u w:val="single"/>
          <w:lang w:val="en-US" w:eastAsia="zh-CN"/>
        </w:rPr>
        <w:t>财政资金</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.工程内容：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32"/>
        <w:adjustRightInd w:val="0"/>
        <w:snapToGrid w:val="0"/>
        <w:spacing w:line="400" w:lineRule="exact"/>
        <w:ind w:firstLine="45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.工程承包范围：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9" w:name="_Toc351203482"/>
      <w:bookmarkStart w:id="160" w:name="_Toc349"/>
      <w:bookmarkStart w:id="161" w:name="_Toc522201560"/>
      <w:bookmarkStart w:id="162" w:name="_Toc406522029"/>
      <w:bookmarkStart w:id="163" w:name="_Toc3754"/>
      <w:bookmarkStart w:id="164" w:name="_Toc406419154"/>
      <w:r>
        <w:rPr>
          <w:rFonts w:hint="eastAsia" w:ascii="宋体" w:hAnsi="宋体" w:eastAsia="宋体" w:cs="宋体"/>
          <w:b/>
          <w:color w:val="auto"/>
          <w:sz w:val="21"/>
          <w:szCs w:val="21"/>
          <w:highlight w:val="none"/>
        </w:rPr>
        <w:t>二、合同工期</w:t>
      </w:r>
      <w:bookmarkEnd w:id="159"/>
      <w:bookmarkEnd w:id="160"/>
      <w:bookmarkEnd w:id="161"/>
      <w:bookmarkEnd w:id="162"/>
      <w:bookmarkEnd w:id="163"/>
      <w:bookmarkEnd w:id="164"/>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lang w:val="en-US" w:eastAsia="zh-CN"/>
        </w:rPr>
        <w:t>2024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日。（实际开工日期以开工令为准）</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lang w:val="en-US"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65" w:name="_Toc406419155"/>
      <w:bookmarkStart w:id="166" w:name="_Toc406522030"/>
      <w:bookmarkStart w:id="167" w:name="_Toc522201561"/>
      <w:bookmarkStart w:id="168" w:name="_Toc351203483"/>
      <w:bookmarkStart w:id="169" w:name="_Toc15140"/>
      <w:bookmarkStart w:id="170" w:name="_Toc21915"/>
      <w:r>
        <w:rPr>
          <w:rFonts w:hint="eastAsia" w:ascii="宋体" w:hAnsi="宋体" w:eastAsia="宋体" w:cs="宋体"/>
          <w:b/>
          <w:color w:val="auto"/>
          <w:sz w:val="21"/>
          <w:szCs w:val="21"/>
          <w:highlight w:val="none"/>
        </w:rPr>
        <w:t>三、质量标准</w:t>
      </w:r>
      <w:bookmarkEnd w:id="165"/>
      <w:bookmarkEnd w:id="166"/>
      <w:bookmarkEnd w:id="167"/>
      <w:bookmarkEnd w:id="168"/>
      <w:bookmarkEnd w:id="169"/>
      <w:bookmarkEnd w:id="170"/>
    </w:p>
    <w:p>
      <w:pPr>
        <w:tabs>
          <w:tab w:val="left" w:pos="210"/>
        </w:tabs>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质量标准：</w:t>
      </w:r>
      <w:r>
        <w:rPr>
          <w:rFonts w:hint="eastAsia" w:ascii="宋体" w:hAnsi="宋体" w:eastAsia="宋体" w:cs="宋体"/>
          <w:color w:val="auto"/>
          <w:sz w:val="21"/>
          <w:szCs w:val="21"/>
          <w:highlight w:val="none"/>
          <w:lang w:eastAsia="zh-CN"/>
        </w:rPr>
        <w:t>达到国家施工验收规范合格标准</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1" w:name="_Toc20328"/>
      <w:bookmarkStart w:id="172" w:name="_Toc8031"/>
      <w:bookmarkStart w:id="173" w:name="_Toc351203484"/>
      <w:bookmarkStart w:id="174" w:name="_Toc522201562"/>
      <w:bookmarkStart w:id="175" w:name="_Toc406419156"/>
      <w:bookmarkStart w:id="176" w:name="_Toc406522031"/>
      <w:r>
        <w:rPr>
          <w:rFonts w:hint="eastAsia" w:ascii="宋体" w:hAnsi="宋体" w:eastAsia="宋体" w:cs="宋体"/>
          <w:b/>
          <w:color w:val="auto"/>
          <w:sz w:val="21"/>
          <w:szCs w:val="21"/>
          <w:highlight w:val="none"/>
        </w:rPr>
        <w:t>四、签约合同价与合同价格形式</w:t>
      </w:r>
      <w:bookmarkEnd w:id="171"/>
      <w:bookmarkEnd w:id="172"/>
      <w:bookmarkEnd w:id="173"/>
      <w:bookmarkEnd w:id="174"/>
      <w:bookmarkEnd w:id="175"/>
      <w:bookmarkEnd w:id="176"/>
    </w:p>
    <w:p>
      <w:pPr>
        <w:pStyle w:val="32"/>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元)。以实际完成工程量编制结算报告，</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highlight w:val="none"/>
        </w:rPr>
        <w:t>由建设单位委托具有造价咨询资质单位审核的双方确认的结算造价作为本项目正式合同价进行结算。</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合同价格形式：</w:t>
      </w:r>
      <w:r>
        <w:rPr>
          <w:rFonts w:hint="eastAsia" w:ascii="宋体" w:hAnsi="宋体" w:eastAsia="宋体" w:cs="宋体"/>
          <w:color w:val="auto"/>
          <w:sz w:val="21"/>
          <w:szCs w:val="21"/>
          <w:highlight w:val="none"/>
          <w:u w:val="single"/>
        </w:rPr>
        <w:t>采用固定综合单价合同形式</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7" w:name="_Toc351203485"/>
      <w:bookmarkStart w:id="178" w:name="_Toc10860"/>
      <w:bookmarkStart w:id="179" w:name="_Toc522201563"/>
      <w:bookmarkStart w:id="180" w:name="_Toc2133"/>
      <w:bookmarkStart w:id="181" w:name="_Toc406522032"/>
      <w:bookmarkStart w:id="182" w:name="_Toc406419157"/>
      <w:r>
        <w:rPr>
          <w:rFonts w:hint="eastAsia" w:ascii="宋体" w:hAnsi="宋体" w:eastAsia="宋体" w:cs="宋体"/>
          <w:b/>
          <w:color w:val="auto"/>
          <w:sz w:val="21"/>
          <w:szCs w:val="21"/>
          <w:highlight w:val="none"/>
        </w:rPr>
        <w:t>五、</w:t>
      </w:r>
      <w:bookmarkEnd w:id="177"/>
      <w:r>
        <w:rPr>
          <w:rFonts w:hint="eastAsia" w:ascii="宋体" w:hAnsi="宋体" w:eastAsia="宋体" w:cs="宋体"/>
          <w:b/>
          <w:color w:val="auto"/>
          <w:sz w:val="21"/>
          <w:szCs w:val="21"/>
          <w:highlight w:val="none"/>
        </w:rPr>
        <w:t>项目经理</w:t>
      </w:r>
      <w:bookmarkEnd w:id="178"/>
      <w:bookmarkEnd w:id="179"/>
      <w:bookmarkEnd w:id="180"/>
      <w:bookmarkEnd w:id="181"/>
      <w:bookmarkEnd w:id="182"/>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83" w:name="_Toc406522033"/>
      <w:bookmarkStart w:id="184" w:name="_Toc351203486"/>
      <w:bookmarkStart w:id="185" w:name="_Toc406419158"/>
      <w:bookmarkStart w:id="186" w:name="_Toc23735"/>
      <w:bookmarkStart w:id="187" w:name="_Toc29699"/>
      <w:bookmarkStart w:id="188" w:name="_Toc522201564"/>
      <w:r>
        <w:rPr>
          <w:rFonts w:hint="eastAsia" w:ascii="宋体" w:hAnsi="宋体" w:eastAsia="宋体" w:cs="宋体"/>
          <w:b/>
          <w:color w:val="auto"/>
          <w:sz w:val="21"/>
          <w:szCs w:val="21"/>
          <w:highlight w:val="none"/>
        </w:rPr>
        <w:t>六、合同文件构成</w:t>
      </w:r>
      <w:bookmarkEnd w:id="183"/>
      <w:bookmarkEnd w:id="184"/>
      <w:bookmarkEnd w:id="185"/>
      <w:bookmarkEnd w:id="186"/>
      <w:bookmarkEnd w:id="187"/>
      <w:bookmarkEnd w:id="188"/>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89" w:name="_Toc7021"/>
      <w:bookmarkStart w:id="190" w:name="_Toc406522034"/>
      <w:bookmarkStart w:id="191" w:name="_Toc351203487"/>
      <w:bookmarkStart w:id="192" w:name="_Toc406419159"/>
      <w:r>
        <w:rPr>
          <w:rFonts w:hint="eastAsia" w:ascii="宋体" w:hAnsi="宋体" w:eastAsia="宋体" w:cs="宋体"/>
          <w:color w:val="auto"/>
          <w:sz w:val="21"/>
          <w:szCs w:val="21"/>
          <w:highlight w:val="none"/>
        </w:rPr>
        <w:t>本协议书与下列文件一起构成合同文件：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（1）中标通知书（如果有）；</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（2）投标函及其附录（如果有）； </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（5）技术标准和要求；</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（6）图纸；</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（7）已标价工程量清单或预算书；</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3" w:name="_Toc4424"/>
      <w:bookmarkStart w:id="194" w:name="_Toc522201565"/>
      <w:r>
        <w:rPr>
          <w:rFonts w:hint="eastAsia" w:ascii="宋体" w:hAnsi="宋体" w:eastAsia="宋体" w:cs="宋体"/>
          <w:b/>
          <w:color w:val="auto"/>
          <w:sz w:val="21"/>
          <w:szCs w:val="21"/>
          <w:highlight w:val="none"/>
        </w:rPr>
        <w:t>七、承诺</w:t>
      </w:r>
      <w:bookmarkEnd w:id="189"/>
      <w:bookmarkEnd w:id="190"/>
      <w:bookmarkEnd w:id="191"/>
      <w:bookmarkEnd w:id="192"/>
      <w:bookmarkEnd w:id="193"/>
      <w:bookmarkEnd w:id="194"/>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95" w:name="_Toc406522035"/>
      <w:bookmarkStart w:id="196" w:name="_Toc406419160"/>
      <w:bookmarkStart w:id="197" w:name="_Toc351203488"/>
      <w:bookmarkStart w:id="198" w:name="_Toc11962"/>
      <w:r>
        <w:rPr>
          <w:rFonts w:hint="eastAsia" w:ascii="宋体" w:hAnsi="宋体" w:eastAsia="宋体" w:cs="宋体"/>
          <w:color w:val="auto"/>
          <w:sz w:val="21"/>
          <w:szCs w:val="21"/>
          <w:highlight w:val="none"/>
        </w:rPr>
        <w:t>1.发包人承诺按照法律规定履行项目审批手续、筹集工程建设资金并按照合同约定的期限和方式支付合同价款。</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9" w:name="_Toc28024"/>
      <w:bookmarkStart w:id="200" w:name="_Toc522201566"/>
      <w:r>
        <w:rPr>
          <w:rFonts w:hint="eastAsia" w:ascii="宋体" w:hAnsi="宋体" w:eastAsia="宋体" w:cs="宋体"/>
          <w:b/>
          <w:color w:val="auto"/>
          <w:sz w:val="21"/>
          <w:szCs w:val="21"/>
          <w:highlight w:val="none"/>
        </w:rPr>
        <w:t>八、词语含义</w:t>
      </w:r>
      <w:bookmarkEnd w:id="195"/>
      <w:bookmarkEnd w:id="196"/>
      <w:bookmarkEnd w:id="197"/>
      <w:bookmarkEnd w:id="198"/>
      <w:bookmarkEnd w:id="199"/>
      <w:bookmarkEnd w:id="200"/>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本协议书中词语含义与第二部分通用合同条款中赋予的含义相同。</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1" w:name="_Toc22011"/>
      <w:bookmarkStart w:id="202" w:name="_Toc406522036"/>
      <w:bookmarkStart w:id="203" w:name="_Toc522201567"/>
      <w:bookmarkStart w:id="204" w:name="_Toc406419161"/>
      <w:bookmarkStart w:id="205" w:name="_Toc32285"/>
      <w:bookmarkStart w:id="206" w:name="_Toc351203489"/>
      <w:r>
        <w:rPr>
          <w:rFonts w:hint="eastAsia" w:ascii="宋体" w:hAnsi="宋体" w:eastAsia="宋体" w:cs="宋体"/>
          <w:b/>
          <w:color w:val="auto"/>
          <w:sz w:val="21"/>
          <w:szCs w:val="21"/>
          <w:highlight w:val="none"/>
        </w:rPr>
        <w:t>九、签订时间</w:t>
      </w:r>
      <w:bookmarkEnd w:id="201"/>
      <w:bookmarkEnd w:id="202"/>
      <w:bookmarkEnd w:id="203"/>
      <w:bookmarkEnd w:id="204"/>
      <w:bookmarkEnd w:id="205"/>
      <w:bookmarkEnd w:id="206"/>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7" w:name="_Toc406522037"/>
      <w:bookmarkStart w:id="208" w:name="_Toc522201568"/>
      <w:bookmarkStart w:id="209" w:name="_Toc406419162"/>
      <w:bookmarkStart w:id="210" w:name="_Toc351203490"/>
      <w:bookmarkStart w:id="211" w:name="_Toc3692"/>
      <w:bookmarkStart w:id="212" w:name="_Toc22784"/>
      <w:r>
        <w:rPr>
          <w:rFonts w:hint="eastAsia" w:ascii="宋体" w:hAnsi="宋体" w:eastAsia="宋体" w:cs="宋体"/>
          <w:b/>
          <w:color w:val="auto"/>
          <w:sz w:val="21"/>
          <w:szCs w:val="21"/>
          <w:highlight w:val="none"/>
        </w:rPr>
        <w:t>十、签订地点</w:t>
      </w:r>
      <w:bookmarkEnd w:id="207"/>
      <w:bookmarkEnd w:id="208"/>
      <w:bookmarkEnd w:id="209"/>
      <w:bookmarkEnd w:id="210"/>
      <w:bookmarkEnd w:id="211"/>
      <w:bookmarkEnd w:id="212"/>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3" w:name="_Toc522201569"/>
      <w:bookmarkStart w:id="214" w:name="_Toc351203491"/>
      <w:bookmarkStart w:id="215" w:name="_Toc406419163"/>
      <w:bookmarkStart w:id="216" w:name="_Toc9576"/>
      <w:bookmarkStart w:id="217" w:name="_Toc406522038"/>
      <w:bookmarkStart w:id="218" w:name="_Toc27791"/>
      <w:r>
        <w:rPr>
          <w:rFonts w:hint="eastAsia" w:ascii="宋体" w:hAnsi="宋体" w:eastAsia="宋体" w:cs="宋体"/>
          <w:b/>
          <w:color w:val="auto"/>
          <w:sz w:val="21"/>
          <w:szCs w:val="21"/>
          <w:highlight w:val="none"/>
        </w:rPr>
        <w:t>十一、补充协议</w:t>
      </w:r>
      <w:bookmarkEnd w:id="213"/>
      <w:bookmarkEnd w:id="214"/>
      <w:bookmarkEnd w:id="215"/>
      <w:bookmarkEnd w:id="216"/>
      <w:bookmarkEnd w:id="217"/>
      <w:bookmarkEnd w:id="218"/>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9" w:name="_Toc406419164"/>
      <w:bookmarkStart w:id="220" w:name="_Toc406522039"/>
      <w:bookmarkStart w:id="221" w:name="_Toc32443"/>
      <w:bookmarkStart w:id="222" w:name="_Toc522201570"/>
      <w:bookmarkStart w:id="223" w:name="_Toc9517"/>
      <w:bookmarkStart w:id="224" w:name="_Toc351203492"/>
      <w:r>
        <w:rPr>
          <w:rFonts w:hint="eastAsia" w:ascii="宋体" w:hAnsi="宋体" w:eastAsia="宋体" w:cs="宋体"/>
          <w:b/>
          <w:color w:val="auto"/>
          <w:sz w:val="21"/>
          <w:szCs w:val="21"/>
          <w:highlight w:val="none"/>
        </w:rPr>
        <w:t>十二、合同生效</w:t>
      </w:r>
      <w:bookmarkEnd w:id="219"/>
      <w:bookmarkEnd w:id="220"/>
      <w:bookmarkEnd w:id="221"/>
      <w:bookmarkEnd w:id="222"/>
      <w:bookmarkEnd w:id="223"/>
      <w:bookmarkEnd w:id="224"/>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u w:val="single"/>
        </w:rPr>
        <w:t>双方法定代表人或其委托代理人签字或盖章并加盖单位</w:t>
      </w:r>
      <w:r>
        <w:rPr>
          <w:rFonts w:hint="eastAsia" w:ascii="宋体" w:hAnsi="宋体" w:eastAsia="宋体" w:cs="宋体"/>
          <w:color w:val="auto"/>
          <w:sz w:val="21"/>
          <w:szCs w:val="21"/>
          <w:highlight w:val="none"/>
          <w:u w:val="single"/>
          <w:lang w:eastAsia="zh-CN"/>
        </w:rPr>
        <w:t>公</w:t>
      </w:r>
      <w:r>
        <w:rPr>
          <w:rFonts w:hint="eastAsia" w:ascii="宋体" w:hAnsi="宋体" w:eastAsia="宋体" w:cs="宋体"/>
          <w:color w:val="auto"/>
          <w:sz w:val="21"/>
          <w:szCs w:val="21"/>
          <w:highlight w:val="none"/>
          <w:u w:val="single"/>
        </w:rPr>
        <w:t>章后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生效。</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25" w:name="_Toc16804"/>
      <w:bookmarkStart w:id="226" w:name="_Toc406522040"/>
      <w:bookmarkStart w:id="227" w:name="_Toc14945"/>
      <w:bookmarkStart w:id="228" w:name="_Toc406419165"/>
      <w:bookmarkStart w:id="229" w:name="_Toc522201571"/>
      <w:bookmarkStart w:id="230" w:name="_Toc351203493"/>
      <w:r>
        <w:rPr>
          <w:rFonts w:hint="eastAsia" w:ascii="宋体" w:hAnsi="宋体" w:eastAsia="宋体" w:cs="宋体"/>
          <w:b/>
          <w:color w:val="auto"/>
          <w:sz w:val="21"/>
          <w:szCs w:val="21"/>
          <w:highlight w:val="none"/>
        </w:rPr>
        <w:t>十三、合同份数</w:t>
      </w:r>
      <w:bookmarkEnd w:id="225"/>
      <w:bookmarkEnd w:id="226"/>
      <w:bookmarkEnd w:id="227"/>
      <w:bookmarkEnd w:id="228"/>
      <w:bookmarkEnd w:id="229"/>
      <w:bookmarkEnd w:id="230"/>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份，招标代理机构执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pPr>
              <w:pStyle w:val="8"/>
              <w:rPr>
                <w:rFonts w:hint="eastAsia" w:ascii="宋体" w:hAnsi="宋体" w:eastAsia="宋体" w:cs="宋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pPr>
        <w:pStyle w:val="32"/>
        <w:adjustRightInd w:val="0"/>
        <w:snapToGrid w:val="0"/>
        <w:spacing w:line="400" w:lineRule="exact"/>
        <w:jc w:val="center"/>
        <w:rPr>
          <w:rFonts w:hint="eastAsia" w:ascii="宋体" w:hAnsi="宋体" w:eastAsia="宋体" w:cs="宋体"/>
          <w:b/>
          <w:bCs/>
          <w:color w:val="auto"/>
          <w:sz w:val="21"/>
          <w:szCs w:val="21"/>
          <w:highlight w:val="none"/>
        </w:rPr>
      </w:pPr>
    </w:p>
    <w:p>
      <w:pPr>
        <w:pStyle w:val="28"/>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bookmarkStart w:id="231" w:name="_Toc256000032"/>
      <w:bookmarkStart w:id="232" w:name="_Toc522201572"/>
      <w:bookmarkStart w:id="233" w:name="_Toc2370"/>
      <w:bookmarkStart w:id="234" w:name="_Toc351203494"/>
      <w:bookmarkStart w:id="235" w:name="_Toc30906"/>
      <w:r>
        <w:rPr>
          <w:rFonts w:hint="eastAsia" w:ascii="宋体" w:hAnsi="宋体" w:eastAsia="宋体" w:cs="宋体"/>
          <w:color w:val="auto"/>
          <w:sz w:val="21"/>
          <w:szCs w:val="21"/>
          <w:highlight w:val="none"/>
        </w:rPr>
        <w:t>第二部分 通用合同条款</w:t>
      </w:r>
      <w:bookmarkEnd w:id="231"/>
      <w:bookmarkEnd w:id="232"/>
      <w:bookmarkEnd w:id="233"/>
      <w:bookmarkEnd w:id="234"/>
      <w:bookmarkEnd w:id="235"/>
      <w:bookmarkStart w:id="236" w:name="_Toc337558727"/>
    </w:p>
    <w:bookmarkEnd w:id="236"/>
    <w:p>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bookmarkStart w:id="237" w:name="_Toc16978"/>
    </w:p>
    <w:p>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本工程的施工合同通用条款按国家工商行政管理局和建设部颁布的：《建设工程施工合同（示范文本）》（GF-2017-0201）通用条款执行。</w:t>
      </w:r>
      <w:bookmarkEnd w:id="237"/>
    </w:p>
    <w:p>
      <w:pPr>
        <w:pStyle w:val="31"/>
        <w:ind w:left="63" w:right="63"/>
        <w:rPr>
          <w:rFonts w:hint="eastAsia" w:ascii="宋体" w:hAnsi="宋体" w:eastAsia="宋体" w:cs="宋体"/>
          <w:color w:val="auto"/>
          <w:sz w:val="21"/>
          <w:szCs w:val="21"/>
          <w:highlight w:val="none"/>
        </w:rPr>
        <w:sectPr>
          <w:footerReference r:id="rId10" w:type="default"/>
          <w:pgSz w:w="11906" w:h="16838"/>
          <w:pgMar w:top="1134" w:right="1134" w:bottom="1134" w:left="1418" w:header="851" w:footer="992" w:gutter="0"/>
          <w:pgNumType w:fmt="decimal"/>
          <w:cols w:space="720" w:num="1"/>
          <w:docGrid w:type="lines" w:linePitch="312" w:charSpace="0"/>
        </w:sectPr>
      </w:pPr>
    </w:p>
    <w:p>
      <w:pPr>
        <w:pStyle w:val="28"/>
        <w:spacing w:line="400" w:lineRule="atLeast"/>
        <w:jc w:val="center"/>
        <w:rPr>
          <w:rFonts w:hint="eastAsia" w:ascii="宋体" w:hAnsi="宋体" w:eastAsia="宋体" w:cs="宋体"/>
          <w:color w:val="auto"/>
          <w:sz w:val="21"/>
          <w:szCs w:val="21"/>
          <w:highlight w:val="none"/>
        </w:rPr>
      </w:pPr>
      <w:bookmarkStart w:id="238" w:name="_Toc20404"/>
      <w:bookmarkStart w:id="239" w:name="_Toc256000171"/>
      <w:r>
        <w:rPr>
          <w:rFonts w:hint="eastAsia" w:ascii="宋体" w:hAnsi="宋体" w:eastAsia="宋体" w:cs="宋体"/>
          <w:color w:val="auto"/>
          <w:sz w:val="21"/>
          <w:szCs w:val="21"/>
          <w:highlight w:val="none"/>
        </w:rPr>
        <w:t>第三部分 专用合同条款</w:t>
      </w:r>
      <w:bookmarkEnd w:id="238"/>
      <w:bookmarkEnd w:id="239"/>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40" w:name="_Toc351203633"/>
      <w:bookmarkStart w:id="241" w:name="_Toc267251515"/>
      <w:bookmarkStart w:id="242" w:name="_Toc267251493"/>
      <w:bookmarkStart w:id="243" w:name="_Toc267251502"/>
      <w:bookmarkStart w:id="244" w:name="_Toc267251511"/>
      <w:bookmarkStart w:id="245" w:name="_Toc267251495"/>
      <w:bookmarkStart w:id="246" w:name="_Toc267251506"/>
      <w:bookmarkStart w:id="247" w:name="_Toc267251499"/>
      <w:bookmarkStart w:id="248" w:name="_Toc267251498"/>
      <w:bookmarkStart w:id="249" w:name="_Toc267251497"/>
      <w:bookmarkStart w:id="250" w:name="_Toc267251513"/>
      <w:bookmarkStart w:id="251" w:name="_Toc267251508"/>
      <w:bookmarkStart w:id="252" w:name="_Toc267251514"/>
      <w:bookmarkStart w:id="253" w:name="_Toc267251492"/>
      <w:bookmarkStart w:id="254" w:name="_Toc267251496"/>
      <w:bookmarkStart w:id="255" w:name="_Toc267251494"/>
      <w:bookmarkStart w:id="256" w:name="_Toc267251491"/>
      <w:bookmarkStart w:id="257" w:name="_Toc267251503"/>
      <w:bookmarkStart w:id="258" w:name="_Toc267251509"/>
      <w:bookmarkStart w:id="259" w:name="_Toc267251501"/>
      <w:bookmarkStart w:id="260" w:name="_Toc267251504"/>
      <w:bookmarkStart w:id="261" w:name="_Toc267251507"/>
      <w:bookmarkStart w:id="262" w:name="_Toc267251510"/>
      <w:r>
        <w:rPr>
          <w:rFonts w:hint="eastAsia" w:ascii="宋体" w:hAnsi="宋体" w:eastAsia="宋体" w:cs="宋体"/>
          <w:b w:val="0"/>
          <w:color w:val="auto"/>
          <w:sz w:val="21"/>
          <w:szCs w:val="21"/>
          <w:highlight w:val="none"/>
        </w:rPr>
        <w:t>1</w:t>
      </w:r>
      <w:bookmarkStart w:id="263" w:name="_Toc296944495"/>
      <w:bookmarkStart w:id="264" w:name="_Toc296891196"/>
      <w:bookmarkStart w:id="265" w:name="_Toc296346657"/>
      <w:bookmarkStart w:id="266" w:name="_Toc296890984"/>
      <w:bookmarkStart w:id="267" w:name="_Toc296503156"/>
      <w:bookmarkStart w:id="268" w:name="_Toc297048342"/>
      <w:bookmarkStart w:id="269" w:name="_Toc292559866"/>
      <w:bookmarkStart w:id="270" w:name="_Toc297120456"/>
      <w:bookmarkStart w:id="271" w:name="_Toc296347155"/>
      <w:bookmarkStart w:id="272" w:name="_Toc292559361"/>
      <w:r>
        <w:rPr>
          <w:rFonts w:hint="eastAsia" w:ascii="宋体" w:hAnsi="宋体" w:eastAsia="宋体" w:cs="宋体"/>
          <w:b w:val="0"/>
          <w:color w:val="auto"/>
          <w:sz w:val="21"/>
          <w:szCs w:val="21"/>
          <w:highlight w:val="none"/>
        </w:rPr>
        <w:t>. 一般约定</w:t>
      </w:r>
      <w:bookmarkEnd w:id="240"/>
    </w:p>
    <w:bookmarkEnd w:id="263"/>
    <w:bookmarkEnd w:id="264"/>
    <w:bookmarkEnd w:id="265"/>
    <w:bookmarkEnd w:id="266"/>
    <w:bookmarkEnd w:id="267"/>
    <w:bookmarkEnd w:id="268"/>
    <w:bookmarkEnd w:id="269"/>
    <w:bookmarkEnd w:id="270"/>
    <w:bookmarkEnd w:id="271"/>
    <w:bookmarkEnd w:id="272"/>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kern w:val="0"/>
          <w:sz w:val="21"/>
          <w:szCs w:val="21"/>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招标文件及其他合同文件（10）履行合同过程中双方书面确认的对合同内容有实际影响的会议纪要、签证、设计变更等资料</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1.1.3.9 永久占地包括： </w:t>
      </w:r>
      <w:r>
        <w:rPr>
          <w:rFonts w:hint="eastAsia" w:ascii="宋体" w:hAnsi="宋体" w:eastAsia="宋体" w:cs="宋体"/>
          <w:color w:val="auto"/>
          <w:sz w:val="21"/>
          <w:szCs w:val="21"/>
          <w:highlight w:val="none"/>
          <w:u w:val="single"/>
        </w:rPr>
        <w:t>按合同约定建造并移交给发包人的工程（包括工程设备）                       所占用的土地</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为完成合同约定的永久工程所修建的各类临时性工程及设施所占用的土地，由承包人根据现场踏勘情况结合施工现场所处位置自行解决</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中华人民共和国民法典》、《中华人民共和国建筑法》、《建设工程质量管理条例》、《建设工程安全管理条例》及现行的国家法律、行政法规及部门规章，工程所在地政府、行政主管部门的有关法规和规章及规范性文件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国家及工程所在地省市颁布的与本合同工程有关的现行的法律、行政法规、技术标准及规范。国家和本地方没有规定的，按发包人指定的规范、标准执行</w:t>
      </w:r>
      <w:r>
        <w:rPr>
          <w:rFonts w:hint="eastAsia" w:ascii="宋体" w:hAnsi="宋体" w:eastAsia="宋体" w:cs="宋体"/>
          <w:b w:val="0"/>
          <w:bCs/>
          <w:color w:val="auto"/>
          <w:sz w:val="21"/>
          <w:szCs w:val="21"/>
          <w:highlight w:val="none"/>
          <w:u w:val="none"/>
        </w:rPr>
        <w:t>。</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b/>
          <w:color w:val="auto"/>
          <w:sz w:val="21"/>
          <w:szCs w:val="21"/>
          <w:highlight w:val="none"/>
          <w:u w:val="single"/>
        </w:rPr>
        <w:t>无。</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b/>
          <w:color w:val="auto"/>
          <w:kern w:val="0"/>
          <w:sz w:val="21"/>
          <w:szCs w:val="21"/>
          <w:highlight w:val="none"/>
          <w:u w:val="singl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b/>
          <w:color w:val="auto"/>
          <w:sz w:val="21"/>
          <w:szCs w:val="21"/>
          <w:highlight w:val="none"/>
          <w:u w:val="single"/>
        </w:rPr>
        <w:t>（1）本合同协议书（2）中标通知书（3）报价文件及其附件（4）本合同专用条款（5）本合同通用条款（6）技术标准和要求（7）图纸（含图纸修改通知单及图纸设计变更文件）（8）已标价工程量清单（9）本工程预算控制价造价成果文件。</w:t>
      </w:r>
      <w:r>
        <w:rPr>
          <w:rFonts w:hint="eastAsia" w:ascii="宋体" w:hAnsi="宋体" w:eastAsia="宋体" w:cs="宋体"/>
          <w:b/>
          <w:color w:val="auto"/>
          <w:kern w:val="0"/>
          <w:sz w:val="21"/>
          <w:szCs w:val="21"/>
          <w:highlight w:val="none"/>
          <w:u w:val="single"/>
        </w:rPr>
        <w:t>（10）招标文件（11）其他合同文件。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图纸和承包人文件</w:t>
      </w:r>
      <w:r>
        <w:rPr>
          <w:rFonts w:hint="eastAsia" w:ascii="宋体" w:hAnsi="宋体" w:eastAsia="宋体" w:cs="宋体"/>
          <w:color w:val="auto"/>
          <w:sz w:val="21"/>
          <w:szCs w:val="21"/>
          <w:highlight w:val="none"/>
        </w:rPr>
        <w:tab/>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 xml:space="preserve">合同签订生效后7天内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合同签订生效后五天内向承包人免费提供施工图叁份</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 xml:space="preserve">       施工图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施工图以外的大样图、加工图、标准图等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施工前7天内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8份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7天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7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3" w:name="_Toc300934943"/>
      <w:bookmarkStart w:id="274" w:name="_Toc303539100"/>
      <w:bookmarkStart w:id="275" w:name="_Toc318581155"/>
      <w:bookmarkStart w:id="276" w:name="_Toc312677986"/>
      <w:bookmarkStart w:id="277" w:name="_Toc304295521"/>
      <w:r>
        <w:rPr>
          <w:rFonts w:hint="eastAsia" w:ascii="宋体" w:hAnsi="宋体" w:eastAsia="宋体" w:cs="宋体"/>
          <w:color w:val="auto"/>
          <w:sz w:val="21"/>
          <w:szCs w:val="21"/>
          <w:highlight w:val="none"/>
        </w:rPr>
        <w:t>.10.1 出入现场的权利</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273"/>
    <w:bookmarkEnd w:id="274"/>
    <w:bookmarkEnd w:id="275"/>
    <w:bookmarkEnd w:id="276"/>
    <w:bookmarkEnd w:id="277"/>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8" w:name="_Toc312677987"/>
      <w:bookmarkStart w:id="279" w:name="_Toc304295522"/>
      <w:bookmarkStart w:id="280" w:name="_Toc300934944"/>
      <w:bookmarkStart w:id="281" w:name="_Toc303539101"/>
      <w:bookmarkStart w:id="282" w:name="_Toc318581156"/>
      <w:r>
        <w:rPr>
          <w:rFonts w:hint="eastAsia" w:ascii="宋体" w:hAnsi="宋体" w:eastAsia="宋体" w:cs="宋体"/>
          <w:color w:val="auto"/>
          <w:sz w:val="21"/>
          <w:szCs w:val="21"/>
          <w:highlight w:val="none"/>
        </w:rPr>
        <w:t>.10.3 场内交通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由承包人负责场内道路和交通设施的修建并承担相应费用     </w:t>
      </w:r>
      <w:r>
        <w:rPr>
          <w:rFonts w:hint="eastAsia" w:ascii="宋体" w:hAnsi="宋体" w:eastAsia="宋体" w:cs="宋体"/>
          <w:color w:val="auto"/>
          <w:sz w:val="21"/>
          <w:szCs w:val="21"/>
          <w:highlight w:val="none"/>
        </w:rPr>
        <w:t>。</w:t>
      </w:r>
      <w:bookmarkEnd w:id="278"/>
      <w:bookmarkEnd w:id="279"/>
      <w:bookmarkEnd w:id="280"/>
      <w:bookmarkEnd w:id="281"/>
      <w:bookmarkEnd w:id="282"/>
      <w:r>
        <w:rPr>
          <w:rFonts w:hint="eastAsia" w:ascii="宋体" w:hAnsi="宋体" w:eastAsia="宋体" w:cs="宋体"/>
          <w:color w:val="auto"/>
          <w:sz w:val="21"/>
          <w:szCs w:val="21"/>
          <w:highlight w:val="none"/>
        </w:rPr>
        <w:t xml:space="preserve">  </w:t>
      </w:r>
      <w:bookmarkStart w:id="283" w:name="_Toc318581157"/>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sz w:val="21"/>
          <w:szCs w:val="21"/>
          <w:highlight w:val="none"/>
        </w:rPr>
        <w:t>承担。</w:t>
      </w:r>
    </w:p>
    <w:bookmarkEnd w:id="28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著作权属于发包人</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除署名以外著作权属于发包人</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由承包人承担</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超出15%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84" w:name="_Toc351203634"/>
      <w:r>
        <w:rPr>
          <w:rFonts w:hint="eastAsia" w:ascii="宋体" w:hAnsi="宋体" w:eastAsia="宋体" w:cs="宋体"/>
          <w:b w:val="0"/>
          <w:color w:val="auto"/>
          <w:sz w:val="21"/>
          <w:szCs w:val="21"/>
          <w:highlight w:val="none"/>
        </w:rPr>
        <w:t>2</w:t>
      </w:r>
      <w:bookmarkStart w:id="285" w:name="_Toc292559362"/>
      <w:bookmarkStart w:id="286" w:name="_Toc296346658"/>
      <w:bookmarkStart w:id="287" w:name="_Toc297048343"/>
      <w:bookmarkStart w:id="288" w:name="_Toc296891197"/>
      <w:bookmarkStart w:id="289" w:name="_Toc296347156"/>
      <w:bookmarkStart w:id="290" w:name="_Toc297120457"/>
      <w:bookmarkStart w:id="291" w:name="_Toc296890985"/>
      <w:bookmarkStart w:id="292" w:name="_Toc296944496"/>
      <w:bookmarkStart w:id="293" w:name="_Toc292559867"/>
      <w:bookmarkStart w:id="294" w:name="_Toc296503157"/>
      <w:r>
        <w:rPr>
          <w:rFonts w:hint="eastAsia" w:ascii="宋体" w:hAnsi="宋体" w:eastAsia="宋体" w:cs="宋体"/>
          <w:b w:val="0"/>
          <w:color w:val="auto"/>
          <w:sz w:val="21"/>
          <w:szCs w:val="21"/>
          <w:highlight w:val="none"/>
        </w:rPr>
        <w:t>. 发包人</w:t>
      </w:r>
      <w:bookmarkEnd w:id="284"/>
    </w:p>
    <w:bookmarkEnd w:id="285"/>
    <w:bookmarkEnd w:id="286"/>
    <w:bookmarkEnd w:id="287"/>
    <w:bookmarkEnd w:id="288"/>
    <w:bookmarkEnd w:id="289"/>
    <w:bookmarkEnd w:id="290"/>
    <w:bookmarkEnd w:id="291"/>
    <w:bookmarkEnd w:id="292"/>
    <w:bookmarkEnd w:id="293"/>
    <w:bookmarkEnd w:id="294"/>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95" w:name="_Toc351203635"/>
      <w:r>
        <w:rPr>
          <w:rFonts w:hint="eastAsia" w:ascii="宋体" w:hAnsi="宋体" w:eastAsia="宋体" w:cs="宋体"/>
          <w:b w:val="0"/>
          <w:color w:val="auto"/>
          <w:sz w:val="21"/>
          <w:szCs w:val="21"/>
          <w:highlight w:val="none"/>
        </w:rPr>
        <w:t>3</w:t>
      </w:r>
      <w:bookmarkStart w:id="296" w:name="_Toc296944497"/>
      <w:bookmarkStart w:id="297" w:name="_Toc296346659"/>
      <w:bookmarkStart w:id="298" w:name="_Toc296891198"/>
      <w:bookmarkStart w:id="299" w:name="_Toc297048344"/>
      <w:bookmarkStart w:id="300" w:name="_Toc292559363"/>
      <w:bookmarkStart w:id="301" w:name="_Toc292559868"/>
      <w:bookmarkStart w:id="302" w:name="_Toc296890986"/>
      <w:bookmarkStart w:id="303" w:name="_Toc296347157"/>
      <w:bookmarkStart w:id="304" w:name="_Toc296503158"/>
      <w:bookmarkStart w:id="305" w:name="_Toc297120458"/>
      <w:r>
        <w:rPr>
          <w:rFonts w:hint="eastAsia" w:ascii="宋体" w:hAnsi="宋体" w:eastAsia="宋体" w:cs="宋体"/>
          <w:b w:val="0"/>
          <w:color w:val="auto"/>
          <w:sz w:val="21"/>
          <w:szCs w:val="21"/>
          <w:highlight w:val="none"/>
        </w:rPr>
        <w:t>. 承包人</w:t>
      </w:r>
      <w:bookmarkEnd w:id="295"/>
    </w:p>
    <w:bookmarkEnd w:id="296"/>
    <w:bookmarkEnd w:id="297"/>
    <w:bookmarkEnd w:id="298"/>
    <w:bookmarkEnd w:id="299"/>
    <w:bookmarkEnd w:id="300"/>
    <w:bookmarkEnd w:id="301"/>
    <w:bookmarkEnd w:id="302"/>
    <w:bookmarkEnd w:id="303"/>
    <w:bookmarkEnd w:id="304"/>
    <w:bookmarkEnd w:id="305"/>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position w:val="-2"/>
          <w:sz w:val="21"/>
          <w:szCs w:val="21"/>
          <w:highlight w:val="none"/>
          <w:u w:val="single"/>
        </w:rPr>
        <w:t>①工程具备竣工验收条件，承包人按工程竣工验收有关规定，向发包人提交符合归档要求内容装订成册的完整竣工资料及竣工验收报告、工程竣工图；②承包人所提交的竣工资料必须符合《建设工程文件归档整理规范》要求，并在结算审批时出具符合规定的《工程档案验收合格证明》及建设单位接收档案资料清单证明。</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全套竣工资料一式4份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由承包人承担相关费用</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工程竣工验收合格后14天内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①承包人应当主动配合发包人协调与施工现场周边农村及村民的关系，确保项目施工顺利进行；②农民工工资按桂劳社发[2009]50号文件执行</w:t>
      </w:r>
      <w:r>
        <w:rPr>
          <w:rFonts w:hint="eastAsia" w:ascii="宋体" w:hAnsi="宋体" w:eastAsia="宋体" w:cs="宋体"/>
          <w:color w:val="auto"/>
          <w:kern w:val="0"/>
          <w:sz w:val="21"/>
          <w:szCs w:val="21"/>
          <w:highlight w:val="none"/>
          <w:u w:val="single"/>
        </w:rPr>
        <w:t>，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w:t>
      </w:r>
      <w:r>
        <w:rPr>
          <w:rFonts w:hint="eastAsia" w:ascii="宋体" w:hAnsi="宋体" w:eastAsia="宋体" w:cs="宋体"/>
          <w:color w:val="auto"/>
          <w:sz w:val="21"/>
          <w:szCs w:val="21"/>
          <w:highlight w:val="none"/>
          <w:u w:val="single"/>
        </w:rPr>
        <w:t>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不少于22</w:t>
      </w:r>
      <w:r>
        <w:rPr>
          <w:rFonts w:hint="eastAsia" w:ascii="宋体" w:hAnsi="宋体" w:eastAsia="宋体" w:cs="宋体"/>
          <w:color w:val="auto"/>
          <w:sz w:val="21"/>
          <w:szCs w:val="21"/>
          <w:highlight w:val="none"/>
          <w:u w:val="single"/>
          <w:lang w:val="en-US" w:eastAsia="zh-CN"/>
        </w:rPr>
        <w:t>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发包人有权更换项目经理直至解除承包合同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承包人若不能按投标书的承诺派驻项目经理必须承担违约责任：若经发包人检查发现人员不齐、不符合要求的，发包人发出整改通知书，承包人按整改通知书进行整改，若整改仍不符合要求，则扣款2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元；若未经发包人同意，承包人擅自更换注册建造师，每更换一次，扣款2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元；直至实现承诺。</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 承包人无正当理由拒绝更换项目经理的违约责任：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rPr>
        <w:t>按通用条款执行，无特殊约定</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rPr>
        <w:t xml:space="preserve"> 按通用条款执行，无特殊约定</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kern w:val="0"/>
          <w:sz w:val="21"/>
          <w:szCs w:val="21"/>
          <w:highlight w:val="none"/>
          <w:u w:val="single"/>
        </w:rPr>
        <w:t>承包人若不能按投标书的承诺派驻主要技术管理人员及施工人员，必须承担违约责任：若经发包人检查发现人员不齐、不符合要求的，发包人发出整改通知书，承包人按整改通知书进行整改，若整改仍不符合要求，</w:t>
      </w:r>
      <w:r>
        <w:rPr>
          <w:rFonts w:hint="eastAsia" w:ascii="宋体" w:hAnsi="宋体" w:eastAsia="宋体" w:cs="宋体"/>
          <w:color w:val="auto"/>
          <w:sz w:val="21"/>
          <w:szCs w:val="21"/>
          <w:highlight w:val="none"/>
          <w:u w:val="single"/>
        </w:rPr>
        <w:t>发包人有权终止合同，原承包人无条件退出现场</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解除承包合同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06" w:name="_Toc304295523"/>
      <w:bookmarkStart w:id="307" w:name="_Toc296347158"/>
      <w:bookmarkStart w:id="308" w:name="_Toc296891199"/>
      <w:bookmarkStart w:id="309" w:name="_Toc296944498"/>
      <w:bookmarkStart w:id="310" w:name="_Toc303539102"/>
      <w:bookmarkStart w:id="311" w:name="_Toc297120459"/>
      <w:bookmarkStart w:id="312" w:name="_Toc312677988"/>
      <w:bookmarkStart w:id="313" w:name="_Toc297048345"/>
      <w:bookmarkStart w:id="314" w:name="_Toc297123492"/>
      <w:bookmarkStart w:id="315" w:name="_Toc296890987"/>
      <w:bookmarkStart w:id="316" w:name="_Toc296346660"/>
      <w:bookmarkStart w:id="317" w:name="_Toc297216151"/>
      <w:bookmarkStart w:id="318" w:name="_Toc300934945"/>
      <w:bookmarkStart w:id="319" w:name="_Toc296503159"/>
      <w:bookmarkStart w:id="320" w:name="_Toc292559869"/>
      <w:bookmarkStart w:id="321" w:name="_Toc292559364"/>
      <w:r>
        <w:rPr>
          <w:rFonts w:hint="eastAsia" w:ascii="宋体" w:hAnsi="宋体" w:eastAsia="宋体" w:cs="宋体"/>
          <w:color w:val="auto"/>
          <w:sz w:val="21"/>
          <w:szCs w:val="21"/>
          <w:highlight w:val="none"/>
        </w:rPr>
        <w:t>.5 分包</w:t>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22" w:name="_Toc297216152"/>
      <w:bookmarkStart w:id="323" w:name="_Toc297120460"/>
      <w:bookmarkStart w:id="324" w:name="_Toc300934946"/>
      <w:bookmarkStart w:id="325" w:name="_Toc297048346"/>
      <w:bookmarkStart w:id="326" w:name="_Toc303539103"/>
      <w:bookmarkStart w:id="327" w:name="_Toc296891200"/>
      <w:bookmarkStart w:id="328" w:name="_Toc304295524"/>
      <w:bookmarkStart w:id="329" w:name="_Toc292559365"/>
      <w:bookmarkStart w:id="330" w:name="_Toc296347159"/>
      <w:bookmarkStart w:id="331" w:name="_Toc297123493"/>
      <w:bookmarkStart w:id="332" w:name="_Toc292559870"/>
      <w:bookmarkStart w:id="333" w:name="_Toc296944499"/>
      <w:bookmarkStart w:id="334" w:name="_Toc296346661"/>
      <w:bookmarkStart w:id="335" w:name="_Toc296503160"/>
      <w:bookmarkStart w:id="336" w:name="_Toc296890988"/>
      <w:bookmarkStart w:id="337" w:name="_Toc312677989"/>
      <w:bookmarkStart w:id="338" w:name="_Toc318581158"/>
      <w:r>
        <w:rPr>
          <w:rFonts w:hint="eastAsia" w:ascii="宋体" w:hAnsi="宋体" w:eastAsia="宋体" w:cs="宋体"/>
          <w:color w:val="auto"/>
          <w:sz w:val="21"/>
          <w:szCs w:val="21"/>
          <w:highlight w:val="none"/>
        </w:rPr>
        <w:t>.5.1 分包的一般约定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9" w:name="_Toc300934947"/>
      <w:bookmarkStart w:id="340" w:name="_Toc303539104"/>
      <w:bookmarkStart w:id="341" w:name="_Toc296347160"/>
      <w:bookmarkStart w:id="342" w:name="_Toc297048347"/>
      <w:bookmarkStart w:id="343" w:name="_Toc297216153"/>
      <w:bookmarkStart w:id="344" w:name="_Toc296503161"/>
      <w:bookmarkStart w:id="345" w:name="_Toc296944500"/>
      <w:bookmarkStart w:id="346" w:name="_Toc296891201"/>
      <w:bookmarkStart w:id="347" w:name="_Toc297120461"/>
      <w:bookmarkStart w:id="348" w:name="_Toc297123494"/>
      <w:bookmarkStart w:id="349" w:name="_Toc296890989"/>
      <w:bookmarkStart w:id="350" w:name="_Toc296346662"/>
      <w:bookmarkStart w:id="351" w:name="_Toc304295525"/>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52" w:name="_Toc312677990"/>
      <w:bookmarkStart w:id="353" w:name="_Toc318581159"/>
      <w:r>
        <w:rPr>
          <w:rFonts w:hint="eastAsia" w:ascii="宋体" w:hAnsi="宋体" w:eastAsia="宋体" w:cs="宋体"/>
          <w:color w:val="auto"/>
          <w:sz w:val="21"/>
          <w:szCs w:val="21"/>
          <w:highlight w:val="none"/>
        </w:rPr>
        <w:t>.5.2分包的确定</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352"/>
    <w:bookmarkEnd w:id="35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承包人提供履约担保的形式、金额及期限的：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54" w:name="_Toc351203636"/>
      <w:r>
        <w:rPr>
          <w:rFonts w:hint="eastAsia" w:ascii="宋体" w:hAnsi="宋体" w:eastAsia="宋体" w:cs="宋体"/>
          <w:b w:val="0"/>
          <w:color w:val="auto"/>
          <w:sz w:val="21"/>
          <w:szCs w:val="21"/>
          <w:highlight w:val="none"/>
        </w:rPr>
        <w:t>4</w:t>
      </w:r>
      <w:bookmarkStart w:id="355" w:name="_Toc292559871"/>
      <w:bookmarkStart w:id="356" w:name="_Toc296347161"/>
      <w:bookmarkStart w:id="357" w:name="_Toc296346663"/>
      <w:bookmarkStart w:id="358" w:name="_Toc296891202"/>
      <w:bookmarkStart w:id="359" w:name="_Toc296944501"/>
      <w:bookmarkStart w:id="360" w:name="_Toc297048348"/>
      <w:bookmarkStart w:id="361" w:name="_Toc296503162"/>
      <w:bookmarkStart w:id="362" w:name="_Toc296890990"/>
      <w:bookmarkStart w:id="363" w:name="_Toc292559366"/>
      <w:bookmarkStart w:id="364" w:name="_Toc267251413"/>
      <w:bookmarkStart w:id="365" w:name="_Toc297120462"/>
      <w:r>
        <w:rPr>
          <w:rFonts w:hint="eastAsia" w:ascii="宋体" w:hAnsi="宋体" w:eastAsia="宋体" w:cs="宋体"/>
          <w:b w:val="0"/>
          <w:color w:val="auto"/>
          <w:sz w:val="21"/>
          <w:szCs w:val="21"/>
          <w:highlight w:val="none"/>
        </w:rPr>
        <w:t>. 监</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val="0"/>
          <w:color w:val="auto"/>
          <w:sz w:val="21"/>
          <w:szCs w:val="21"/>
          <w:highlight w:val="none"/>
        </w:rPr>
        <w:t>理人</w:t>
      </w:r>
      <w:bookmarkEnd w:id="354"/>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366"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67" w:name="_Toc351203637"/>
      <w:r>
        <w:rPr>
          <w:rFonts w:hint="eastAsia" w:ascii="宋体" w:hAnsi="宋体" w:eastAsia="宋体" w:cs="宋体"/>
          <w:b w:val="0"/>
          <w:color w:val="auto"/>
          <w:sz w:val="21"/>
          <w:szCs w:val="21"/>
          <w:highlight w:val="none"/>
        </w:rPr>
        <w:t>5</w:t>
      </w:r>
      <w:bookmarkEnd w:id="366"/>
      <w:bookmarkStart w:id="368" w:name="_Toc296891203"/>
      <w:bookmarkStart w:id="369" w:name="_Toc296944502"/>
      <w:bookmarkStart w:id="370" w:name="_Toc292559367"/>
      <w:bookmarkStart w:id="371" w:name="_Toc296346664"/>
      <w:bookmarkStart w:id="372" w:name="_Toc297048349"/>
      <w:bookmarkStart w:id="373" w:name="_Toc296347162"/>
      <w:bookmarkStart w:id="374" w:name="_Toc296890991"/>
      <w:bookmarkStart w:id="375" w:name="_Toc296503163"/>
      <w:bookmarkStart w:id="376" w:name="_Toc297120463"/>
      <w:bookmarkStart w:id="377" w:name="_Toc292559872"/>
      <w:r>
        <w:rPr>
          <w:rFonts w:hint="eastAsia" w:ascii="宋体" w:hAnsi="宋体" w:eastAsia="宋体" w:cs="宋体"/>
          <w:b w:val="0"/>
          <w:color w:val="auto"/>
          <w:sz w:val="21"/>
          <w:szCs w:val="21"/>
          <w:highlight w:val="none"/>
        </w:rPr>
        <w:t>. 工程质量</w:t>
      </w:r>
      <w:bookmarkEnd w:id="36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bookmarkStart w:id="378" w:name="_Toc312677997"/>
      <w:bookmarkStart w:id="379" w:name="_Toc303539106"/>
      <w:bookmarkStart w:id="380" w:name="_Toc300934949"/>
      <w:bookmarkStart w:id="381" w:name="_Toc304295527"/>
      <w:bookmarkStart w:id="382" w:name="_Toc297216155"/>
      <w:bookmarkStart w:id="383" w:name="_Toc297123496"/>
      <w:bookmarkStart w:id="384" w:name="_Toc318581164"/>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kern w:val="0"/>
          <w:sz w:val="21"/>
          <w:szCs w:val="21"/>
          <w:highlight w:val="none"/>
          <w:u w:val="single"/>
        </w:rPr>
        <w:t>任何部位的工程需要覆盖或隐蔽前，均应提前24小时通知监理工程师及建设工程质量监督站进行中间验收并拍照，没有监理工程师及质量监督站的批准，均不得隐蔽或验收。</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5" w:name="_Toc351203638"/>
      <w:r>
        <w:rPr>
          <w:rFonts w:hint="eastAsia" w:ascii="宋体" w:hAnsi="宋体" w:eastAsia="宋体" w:cs="宋体"/>
          <w:b w:val="0"/>
          <w:color w:val="auto"/>
          <w:sz w:val="21"/>
          <w:szCs w:val="21"/>
          <w:highlight w:val="none"/>
        </w:rPr>
        <w:t>6. 安全文明施工与环境保护</w:t>
      </w:r>
      <w:bookmarkEnd w:id="385"/>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按照国家及地方安全文明施工的有关规定执行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承包人应当负责统一管理施工场地的治安保卫事项，履行合同工程的治安保卫职责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开工前7天内承包人编制施工场地治安管理计划和突发治安事件紧急预案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按照国家及地方安全文明施工的有关规定执行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378"/>
    <w:bookmarkEnd w:id="379"/>
    <w:bookmarkEnd w:id="380"/>
    <w:bookmarkEnd w:id="381"/>
    <w:bookmarkEnd w:id="382"/>
    <w:bookmarkEnd w:id="383"/>
    <w:bookmarkEnd w:id="384"/>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6" w:name="_Toc351203639"/>
      <w:r>
        <w:rPr>
          <w:rFonts w:hint="eastAsia" w:ascii="宋体" w:hAnsi="宋体" w:eastAsia="宋体" w:cs="宋体"/>
          <w:b w:val="0"/>
          <w:color w:val="auto"/>
          <w:sz w:val="21"/>
          <w:szCs w:val="21"/>
          <w:highlight w:val="none"/>
        </w:rPr>
        <w:t>7. 工期和进度</w:t>
      </w:r>
      <w:bookmarkEnd w:id="386"/>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施工组织设计</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同当事人约定的施工组织设计应包括的其他内容：</w:t>
      </w:r>
      <w:r>
        <w:rPr>
          <w:rFonts w:hint="eastAsia" w:ascii="宋体" w:hAnsi="宋体" w:eastAsia="宋体" w:cs="宋体"/>
          <w:color w:val="auto"/>
          <w:sz w:val="21"/>
          <w:szCs w:val="21"/>
          <w:highlight w:val="none"/>
          <w:u w:val="single"/>
        </w:rPr>
        <w:t>①管理人员名单、职称、职务、上岗证等；②按照国家及地方有关规定应当提交的内容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7" w:name="_Toc297123514"/>
      <w:bookmarkStart w:id="388" w:name="_Toc303539123"/>
      <w:bookmarkStart w:id="389" w:name="_Toc304295541"/>
      <w:bookmarkStart w:id="390" w:name="_Toc312677479"/>
      <w:bookmarkStart w:id="391" w:name="_Toc297216173"/>
      <w:bookmarkStart w:id="392" w:name="_Toc312678005"/>
      <w:bookmarkStart w:id="393" w:name="_Toc300934966"/>
      <w:r>
        <w:rPr>
          <w:rFonts w:hint="eastAsia" w:ascii="宋体" w:hAnsi="宋体" w:eastAsia="宋体" w:cs="宋体"/>
          <w:color w:val="auto"/>
          <w:sz w:val="21"/>
          <w:szCs w:val="21"/>
          <w:highlight w:val="none"/>
        </w:rPr>
        <w:t>.2 施工进度计划</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天内发出开工通知的，承包人有权提出价格调整要求，或者解除合同。</w:t>
      </w:r>
    </w:p>
    <w:bookmarkEnd w:id="387"/>
    <w:bookmarkEnd w:id="388"/>
    <w:bookmarkEnd w:id="389"/>
    <w:bookmarkEnd w:id="390"/>
    <w:bookmarkEnd w:id="391"/>
    <w:bookmarkEnd w:id="392"/>
    <w:bookmarkEnd w:id="39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承包人进入工地后进行现场书面交桩</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94" w:name="_Toc304295546"/>
      <w:bookmarkStart w:id="395" w:name="_Toc312678010"/>
      <w:bookmarkStart w:id="396" w:name="_Toc297216175"/>
      <w:bookmarkStart w:id="397" w:name="_Toc312677484"/>
      <w:bookmarkStart w:id="398" w:name="_Toc300934968"/>
      <w:bookmarkStart w:id="399" w:name="_Toc303539125"/>
      <w:bookmarkStart w:id="400" w:name="_Toc297123516"/>
      <w:r>
        <w:rPr>
          <w:rFonts w:hint="eastAsia" w:ascii="宋体" w:hAnsi="宋体" w:eastAsia="宋体" w:cs="宋体"/>
          <w:color w:val="auto"/>
          <w:sz w:val="21"/>
          <w:szCs w:val="21"/>
          <w:highlight w:val="none"/>
        </w:rPr>
        <w:t>.5 工期延误</w:t>
      </w:r>
    </w:p>
    <w:bookmarkEnd w:id="394"/>
    <w:bookmarkEnd w:id="395"/>
    <w:bookmarkEnd w:id="396"/>
    <w:bookmarkEnd w:id="397"/>
    <w:bookmarkEnd w:id="398"/>
    <w:bookmarkEnd w:id="399"/>
    <w:bookmarkEnd w:id="400"/>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开工时间由发包人确定，发包人提前7天向承包人发出书面通知，期间的工期顺延，发包人不赔偿承包人因延期开工造成的损失。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01" w:name="_Toc318581169"/>
      <w:bookmarkStart w:id="402" w:name="_Toc312677486"/>
      <w:bookmarkStart w:id="403" w:name="_Toc312678012"/>
      <w:bookmarkStart w:id="404" w:name="_Toc300934970"/>
      <w:bookmarkStart w:id="405" w:name="_Toc297216177"/>
      <w:bookmarkStart w:id="406" w:name="_Toc303539127"/>
      <w:bookmarkStart w:id="407" w:name="_Toc297123518"/>
      <w:bookmarkStart w:id="408" w:name="_Toc304295548"/>
      <w:r>
        <w:rPr>
          <w:rFonts w:hint="eastAsia" w:ascii="宋体" w:hAnsi="宋体" w:eastAsia="宋体" w:cs="宋体"/>
          <w:color w:val="auto"/>
          <w:sz w:val="21"/>
          <w:szCs w:val="21"/>
          <w:highlight w:val="none"/>
        </w:rPr>
        <w:t>.5.2 因承包人原因导致工期延误</w:t>
      </w:r>
    </w:p>
    <w:bookmarkEnd w:id="401"/>
    <w:bookmarkEnd w:id="402"/>
    <w:bookmarkEnd w:id="40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因</w:t>
      </w:r>
      <w:bookmarkStart w:id="409" w:name="_Toc312678013"/>
      <w:bookmarkStart w:id="410" w:name="_Toc312677487"/>
      <w:bookmarkStart w:id="411" w:name="_Toc318581170"/>
      <w:r>
        <w:rPr>
          <w:rFonts w:hint="eastAsia" w:ascii="宋体" w:hAnsi="宋体" w:eastAsia="宋体" w:cs="宋体"/>
          <w:color w:val="auto"/>
          <w:sz w:val="21"/>
          <w:szCs w:val="21"/>
          <w:highlight w:val="none"/>
        </w:rPr>
        <w:t>承包人原因造成工期延误，逾期竣工违约金的计算方法为：</w:t>
      </w:r>
      <w:r>
        <w:rPr>
          <w:rFonts w:hint="eastAsia" w:ascii="宋体" w:hAnsi="宋体" w:eastAsia="宋体" w:cs="宋体"/>
          <w:color w:val="auto"/>
          <w:sz w:val="21"/>
          <w:szCs w:val="21"/>
          <w:highlight w:val="none"/>
          <w:u w:val="single"/>
        </w:rPr>
        <w:t xml:space="preserve">  每拖延一天工期支付给发包人最终结算价的0.4‰/天的违约金        </w:t>
      </w:r>
      <w:r>
        <w:rPr>
          <w:rFonts w:hint="eastAsia" w:ascii="宋体" w:hAnsi="宋体" w:eastAsia="宋体" w:cs="宋体"/>
          <w:color w:val="auto"/>
          <w:sz w:val="21"/>
          <w:szCs w:val="21"/>
          <w:highlight w:val="none"/>
        </w:rPr>
        <w:t>。</w:t>
      </w:r>
      <w:bookmarkEnd w:id="404"/>
      <w:bookmarkEnd w:id="405"/>
      <w:bookmarkEnd w:id="406"/>
      <w:bookmarkEnd w:id="407"/>
      <w:bookmarkEnd w:id="408"/>
      <w:bookmarkEnd w:id="409"/>
      <w:bookmarkEnd w:id="410"/>
    </w:p>
    <w:bookmarkEnd w:id="41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412" w:name="_Toc312678014"/>
      <w:bookmarkStart w:id="413" w:name="_Toc318581171"/>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违约金最高限额为最终结算价的4％</w:t>
      </w:r>
      <w:r>
        <w:rPr>
          <w:rFonts w:hint="eastAsia" w:ascii="宋体" w:hAnsi="宋体" w:eastAsia="宋体" w:cs="宋体"/>
          <w:color w:val="auto"/>
          <w:sz w:val="21"/>
          <w:szCs w:val="21"/>
          <w:highlight w:val="none"/>
        </w:rPr>
        <w:t>。</w:t>
      </w:r>
    </w:p>
    <w:bookmarkEnd w:id="412"/>
    <w:bookmarkEnd w:id="41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14" w:name="_Toc304295549"/>
      <w:bookmarkStart w:id="415" w:name="_Toc312678015"/>
      <w:bookmarkStart w:id="416" w:name="_Toc297216178"/>
      <w:bookmarkStart w:id="417" w:name="_Toc303539128"/>
      <w:bookmarkStart w:id="418" w:name="_Toc297123519"/>
      <w:bookmarkStart w:id="419" w:name="_Toc300934971"/>
      <w:r>
        <w:rPr>
          <w:rFonts w:hint="eastAsia" w:ascii="宋体" w:hAnsi="宋体" w:eastAsia="宋体" w:cs="宋体"/>
          <w:color w:val="auto"/>
          <w:sz w:val="21"/>
          <w:szCs w:val="21"/>
          <w:highlight w:val="none"/>
        </w:rPr>
        <w:t>.6 不</w:t>
      </w:r>
      <w:bookmarkEnd w:id="414"/>
      <w:bookmarkEnd w:id="415"/>
      <w:bookmarkEnd w:id="416"/>
      <w:bookmarkEnd w:id="417"/>
      <w:bookmarkEnd w:id="418"/>
      <w:bookmarkEnd w:id="419"/>
      <w:r>
        <w:rPr>
          <w:rFonts w:hint="eastAsia" w:ascii="宋体" w:hAnsi="宋体" w:eastAsia="宋体" w:cs="宋体"/>
          <w:color w:val="auto"/>
          <w:sz w:val="21"/>
          <w:szCs w:val="21"/>
          <w:highlight w:val="none"/>
        </w:rPr>
        <w:t>利物质条件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bookmarkStart w:id="420" w:name="_Toc303539129"/>
      <w:bookmarkStart w:id="421" w:name="_Toc304295550"/>
      <w:bookmarkStart w:id="422" w:name="_Toc297123520"/>
      <w:bookmarkStart w:id="423" w:name="_Toc312678016"/>
      <w:bookmarkStart w:id="424" w:name="_Toc297216179"/>
      <w:bookmarkStart w:id="425" w:name="_Toc318581172"/>
      <w:bookmarkStart w:id="426" w:name="_Toc300934972"/>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420"/>
    <w:bookmarkEnd w:id="421"/>
    <w:bookmarkEnd w:id="422"/>
    <w:bookmarkEnd w:id="423"/>
    <w:bookmarkEnd w:id="424"/>
    <w:bookmarkEnd w:id="425"/>
    <w:bookmarkEnd w:id="42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27" w:name="_Toc300934973"/>
      <w:bookmarkStart w:id="428" w:name="_Toc304295551"/>
      <w:bookmarkStart w:id="429" w:name="_Toc303539130"/>
      <w:bookmarkStart w:id="430" w:name="_Toc297216180"/>
      <w:bookmarkStart w:id="431" w:name="_Toc297123521"/>
      <w:bookmarkStart w:id="432" w:name="_Toc312678017"/>
      <w:r>
        <w:rPr>
          <w:rFonts w:hint="eastAsia" w:ascii="宋体" w:hAnsi="宋体" w:eastAsia="宋体" w:cs="宋体"/>
          <w:color w:val="auto"/>
          <w:sz w:val="21"/>
          <w:szCs w:val="21"/>
          <w:highlight w:val="none"/>
        </w:rPr>
        <w:t>.7异常恶劣的气候条件</w:t>
      </w:r>
    </w:p>
    <w:bookmarkEnd w:id="427"/>
    <w:bookmarkEnd w:id="428"/>
    <w:bookmarkEnd w:id="429"/>
    <w:bookmarkEnd w:id="430"/>
    <w:bookmarkEnd w:id="431"/>
    <w:bookmarkEnd w:id="43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当地6级以上的破坏性地震</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u w:val="single"/>
        </w:rPr>
        <w:t>5年以上未发生过的，持续5天的高温天气</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33" w:name="_Toc351203640"/>
      <w:r>
        <w:rPr>
          <w:rFonts w:hint="eastAsia" w:ascii="宋体" w:hAnsi="宋体" w:eastAsia="宋体" w:cs="宋体"/>
          <w:b w:val="0"/>
          <w:color w:val="auto"/>
          <w:sz w:val="21"/>
          <w:szCs w:val="21"/>
          <w:highlight w:val="none"/>
        </w:rPr>
        <w:t>8. 材料与设备</w:t>
      </w:r>
      <w:bookmarkEnd w:id="433"/>
    </w:p>
    <w:bookmarkEnd w:id="368"/>
    <w:bookmarkEnd w:id="369"/>
    <w:bookmarkEnd w:id="370"/>
    <w:bookmarkEnd w:id="371"/>
    <w:bookmarkEnd w:id="372"/>
    <w:bookmarkEnd w:id="373"/>
    <w:bookmarkEnd w:id="374"/>
    <w:bookmarkEnd w:id="375"/>
    <w:bookmarkEnd w:id="376"/>
    <w:bookmarkEnd w:id="377"/>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34" w:name="_Toc312677493"/>
      <w:bookmarkStart w:id="435" w:name="_Toc296891207"/>
      <w:bookmarkStart w:id="436" w:name="_Toc297123527"/>
      <w:bookmarkStart w:id="437" w:name="_Toc296890995"/>
      <w:bookmarkStart w:id="438" w:name="_Toc296346668"/>
      <w:bookmarkStart w:id="439" w:name="_Toc280868654"/>
      <w:bookmarkStart w:id="440" w:name="_Toc297216186"/>
      <w:bookmarkStart w:id="441" w:name="_Toc303539136"/>
      <w:bookmarkStart w:id="442" w:name="_Toc297120467"/>
      <w:bookmarkStart w:id="443" w:name="_Toc312678019"/>
      <w:bookmarkStart w:id="444" w:name="_Toc292559877"/>
      <w:bookmarkStart w:id="445" w:name="_Toc297048353"/>
      <w:bookmarkStart w:id="446" w:name="_Toc296347166"/>
      <w:bookmarkStart w:id="447" w:name="_Toc296944506"/>
      <w:bookmarkStart w:id="448" w:name="_Toc300934979"/>
      <w:bookmarkStart w:id="449" w:name="_Toc304295556"/>
      <w:bookmarkStart w:id="450" w:name="_Toc296503167"/>
      <w:bookmarkStart w:id="451" w:name="_Toc292559372"/>
      <w:bookmarkStart w:id="452" w:name="_Toc267251424"/>
      <w:bookmarkStart w:id="453" w:name="_Toc280868656"/>
      <w:bookmarkStart w:id="454" w:name="_Toc280868655"/>
      <w:r>
        <w:rPr>
          <w:rFonts w:hint="eastAsia" w:ascii="宋体" w:hAnsi="宋体" w:eastAsia="宋体" w:cs="宋体"/>
          <w:color w:val="auto"/>
          <w:sz w:val="21"/>
          <w:szCs w:val="21"/>
          <w:highlight w:val="none"/>
        </w:rPr>
        <w:t>.4材料与工程设备的保管与使用</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55" w:name="_Toc292559373"/>
      <w:bookmarkStart w:id="456" w:name="_Toc292559878"/>
      <w:bookmarkStart w:id="457" w:name="_Toc296890996"/>
      <w:bookmarkStart w:id="458" w:name="_Toc312677494"/>
      <w:bookmarkStart w:id="459" w:name="_Toc304295557"/>
      <w:bookmarkStart w:id="460" w:name="_Toc300934980"/>
      <w:bookmarkStart w:id="461" w:name="_Toc312678020"/>
      <w:bookmarkStart w:id="462" w:name="_Toc296346669"/>
      <w:bookmarkStart w:id="463" w:name="_Toc297120468"/>
      <w:bookmarkStart w:id="464" w:name="_Toc296891208"/>
      <w:bookmarkStart w:id="465" w:name="_Toc303539137"/>
      <w:bookmarkStart w:id="466" w:name="_Toc297216187"/>
      <w:bookmarkStart w:id="467" w:name="_Toc297048354"/>
      <w:bookmarkStart w:id="468" w:name="_Toc297123528"/>
      <w:bookmarkStart w:id="469" w:name="_Toc318581173"/>
      <w:bookmarkStart w:id="470" w:name="_Toc296944507"/>
      <w:bookmarkStart w:id="471" w:name="_Toc296503168"/>
      <w:bookmarkStart w:id="472" w:name="_Toc296347167"/>
      <w:r>
        <w:rPr>
          <w:rFonts w:hint="eastAsia" w:ascii="宋体" w:hAnsi="宋体" w:eastAsia="宋体" w:cs="宋体"/>
          <w:color w:val="auto"/>
          <w:sz w:val="21"/>
          <w:szCs w:val="21"/>
          <w:highlight w:val="none"/>
        </w:rPr>
        <w:t>.4.1发包人供应的材料设备的保管费用的承担：</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bookmarkEnd w:id="455"/>
      <w:bookmarkEnd w:id="456"/>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kern w:val="0"/>
          <w:sz w:val="21"/>
          <w:szCs w:val="21"/>
          <w:highlight w:val="none"/>
          <w:u w:val="single"/>
        </w:rPr>
        <w:t>承包人按设计及图纸要求根据工程所需采购材料且</w:t>
      </w:r>
      <w:r>
        <w:rPr>
          <w:rFonts w:hint="eastAsia" w:ascii="宋体" w:hAnsi="宋体" w:eastAsia="宋体" w:cs="宋体"/>
          <w:b/>
          <w:color w:val="auto"/>
          <w:kern w:val="0"/>
          <w:sz w:val="21"/>
          <w:szCs w:val="21"/>
          <w:highlight w:val="none"/>
          <w:u w:val="single"/>
        </w:rPr>
        <w:t>①按投标单位报价指定的材料采购，其品种、规格、型号、质量等级应与投标清单相符，采购的样品必须先经监理和发包人认可；如因特殊原因不能从发包人推荐品牌中采购相应材料或设备时，应报请发包人并取得发包人书面同意方可采用，否则因此造成的一切后果由承包人负责；②货到接受监理、发包人检查；③在监理监督下，按规定送检或试验；④工程量清单中的暂定价的材料，必须经发包人在品牌、规格、颜色及单价等方面审定后方能采购。</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73" w:name="_Toc351203641"/>
      <w:r>
        <w:rPr>
          <w:rFonts w:hint="eastAsia" w:ascii="宋体" w:hAnsi="宋体" w:eastAsia="宋体" w:cs="宋体"/>
          <w:b w:val="0"/>
          <w:color w:val="auto"/>
          <w:sz w:val="21"/>
          <w:szCs w:val="21"/>
          <w:highlight w:val="none"/>
        </w:rPr>
        <w:t>9</w:t>
      </w:r>
      <w:bookmarkEnd w:id="452"/>
      <w:bookmarkEnd w:id="453"/>
      <w:bookmarkEnd w:id="454"/>
      <w:bookmarkStart w:id="474" w:name="_Toc312678021"/>
      <w:bookmarkStart w:id="475" w:name="_Toc300934982"/>
      <w:bookmarkStart w:id="476" w:name="_Toc297123533"/>
      <w:bookmarkStart w:id="477" w:name="_Toc297216192"/>
      <w:bookmarkStart w:id="478" w:name="_Toc312677495"/>
      <w:bookmarkStart w:id="479" w:name="_Toc304295559"/>
      <w:bookmarkStart w:id="480" w:name="_Toc303539139"/>
      <w:bookmarkStart w:id="481" w:name="_Toc267251427"/>
      <w:bookmarkStart w:id="482" w:name="_Toc267251428"/>
      <w:bookmarkStart w:id="483" w:name="_Toc296944512"/>
      <w:bookmarkStart w:id="484" w:name="_Toc297120473"/>
      <w:bookmarkStart w:id="485" w:name="_Toc292559378"/>
      <w:bookmarkStart w:id="486" w:name="_Toc297048359"/>
      <w:bookmarkStart w:id="487" w:name="_Toc296891213"/>
      <w:bookmarkStart w:id="488" w:name="_Toc296891001"/>
      <w:bookmarkStart w:id="489" w:name="_Toc296346674"/>
      <w:bookmarkStart w:id="490" w:name="_Toc296503173"/>
      <w:bookmarkStart w:id="491" w:name="_Toc292559883"/>
      <w:bookmarkStart w:id="492" w:name="_Toc296347172"/>
      <w:r>
        <w:rPr>
          <w:rFonts w:hint="eastAsia" w:ascii="宋体" w:hAnsi="宋体" w:eastAsia="宋体" w:cs="宋体"/>
          <w:b w:val="0"/>
          <w:color w:val="auto"/>
          <w:sz w:val="21"/>
          <w:szCs w:val="21"/>
          <w:highlight w:val="none"/>
        </w:rPr>
        <w:t>. 试验与检验</w:t>
      </w:r>
      <w:bookmarkEnd w:id="473"/>
    </w:p>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93" w:name="_Toc300934983"/>
      <w:bookmarkStart w:id="494" w:name="_Toc297123534"/>
      <w:bookmarkStart w:id="495" w:name="_Toc303539140"/>
      <w:bookmarkStart w:id="496" w:name="_Toc304295560"/>
      <w:bookmarkStart w:id="497" w:name="_Toc312678022"/>
      <w:bookmarkStart w:id="498" w:name="_Toc312677496"/>
      <w:bookmarkStart w:id="499" w:name="_Toc297216193"/>
      <w:r>
        <w:rPr>
          <w:rFonts w:hint="eastAsia" w:ascii="宋体" w:hAnsi="宋体" w:eastAsia="宋体" w:cs="宋体"/>
          <w:color w:val="auto"/>
          <w:sz w:val="21"/>
          <w:szCs w:val="21"/>
          <w:highlight w:val="none"/>
        </w:rPr>
        <w:t>.1试验设备与试验人员</w:t>
      </w:r>
    </w:p>
    <w:bookmarkEnd w:id="493"/>
    <w:bookmarkEnd w:id="494"/>
    <w:bookmarkEnd w:id="495"/>
    <w:bookmarkEnd w:id="496"/>
    <w:bookmarkEnd w:id="497"/>
    <w:bookmarkEnd w:id="498"/>
    <w:bookmarkEnd w:id="499"/>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500" w:name="_Toc297123535"/>
      <w:bookmarkStart w:id="501" w:name="_Toc303539141"/>
      <w:bookmarkStart w:id="502" w:name="_Toc304295561"/>
      <w:bookmarkStart w:id="503" w:name="_Toc300934984"/>
      <w:bookmarkStart w:id="504" w:name="_Toc312678023"/>
      <w:bookmarkStart w:id="505" w:name="_Toc297216194"/>
      <w:bookmarkStart w:id="506" w:name="_Toc312677497"/>
      <w:bookmarkStart w:id="507" w:name="_Toc318581174"/>
      <w:r>
        <w:rPr>
          <w:rFonts w:hint="eastAsia" w:ascii="宋体" w:hAnsi="宋体" w:eastAsia="宋体" w:cs="宋体"/>
          <w:color w:val="auto"/>
          <w:sz w:val="21"/>
          <w:szCs w:val="21"/>
          <w:highlight w:val="none"/>
        </w:rPr>
        <w:t>.1.2 试验设备</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施工现场需要配置的试验场所：</w:t>
      </w:r>
      <w:bookmarkEnd w:id="500"/>
      <w:bookmarkEnd w:id="501"/>
      <w:bookmarkEnd w:id="502"/>
      <w:bookmarkEnd w:id="503"/>
      <w:bookmarkEnd w:id="504"/>
      <w:bookmarkEnd w:id="505"/>
      <w:bookmarkEnd w:id="506"/>
      <w:bookmarkStart w:id="508" w:name="_Toc312678024"/>
      <w:bookmarkStart w:id="509" w:name="_Toc304295562"/>
      <w:bookmarkStart w:id="510" w:name="_Toc303539142"/>
      <w:bookmarkStart w:id="511" w:name="_Toc297123536"/>
      <w:bookmarkStart w:id="512" w:name="_Toc297216195"/>
      <w:bookmarkStart w:id="513" w:name="_Toc300934985"/>
      <w:bookmarkStart w:id="514" w:name="_Toc312677498"/>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bookmarkEnd w:id="507"/>
    <w:bookmarkEnd w:id="508"/>
    <w:bookmarkEnd w:id="509"/>
    <w:bookmarkEnd w:id="510"/>
    <w:bookmarkEnd w:id="511"/>
    <w:bookmarkEnd w:id="512"/>
    <w:bookmarkEnd w:id="513"/>
    <w:bookmarkEnd w:id="514"/>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515" w:name="_Toc351203642"/>
      <w:r>
        <w:rPr>
          <w:rFonts w:hint="eastAsia" w:ascii="宋体" w:hAnsi="宋体" w:eastAsia="宋体" w:cs="宋体"/>
          <w:b w:val="0"/>
          <w:color w:val="auto"/>
          <w:sz w:val="21"/>
          <w:szCs w:val="21"/>
          <w:highlight w:val="none"/>
        </w:rPr>
        <w:t>1</w:t>
      </w:r>
      <w:bookmarkEnd w:id="481"/>
      <w:bookmarkEnd w:id="482"/>
      <w:bookmarkEnd w:id="483"/>
      <w:bookmarkEnd w:id="484"/>
      <w:bookmarkEnd w:id="485"/>
      <w:bookmarkEnd w:id="486"/>
      <w:bookmarkEnd w:id="487"/>
      <w:bookmarkEnd w:id="488"/>
      <w:bookmarkEnd w:id="489"/>
      <w:bookmarkEnd w:id="490"/>
      <w:bookmarkEnd w:id="491"/>
      <w:bookmarkEnd w:id="492"/>
      <w:bookmarkStart w:id="516" w:name="_Toc297216199"/>
      <w:bookmarkStart w:id="517" w:name="_Toc296346694"/>
      <w:bookmarkStart w:id="518" w:name="_Toc297120493"/>
      <w:bookmarkStart w:id="519" w:name="_Toc292559398"/>
      <w:bookmarkStart w:id="520" w:name="_Toc297123540"/>
      <w:bookmarkStart w:id="521" w:name="_Toc296891021"/>
      <w:bookmarkStart w:id="522" w:name="_Toc304295566"/>
      <w:bookmarkStart w:id="523" w:name="_Toc297048379"/>
      <w:bookmarkStart w:id="524" w:name="_Toc296891233"/>
      <w:bookmarkStart w:id="525" w:name="_Toc296503193"/>
      <w:bookmarkStart w:id="526" w:name="_Toc300934989"/>
      <w:bookmarkStart w:id="527" w:name="_Toc303539146"/>
      <w:bookmarkStart w:id="528" w:name="_Toc296944532"/>
      <w:bookmarkStart w:id="529" w:name="_Toc292559903"/>
      <w:bookmarkStart w:id="530" w:name="_Toc296347192"/>
      <w:bookmarkStart w:id="531" w:name="_Toc312678025"/>
      <w:bookmarkStart w:id="532" w:name="_Toc312677499"/>
      <w:bookmarkStart w:id="533" w:name="_Toc267251441"/>
      <w:bookmarkStart w:id="534" w:name="_Toc267251439"/>
      <w:bookmarkStart w:id="535" w:name="_Toc267251440"/>
      <w:bookmarkStart w:id="536" w:name="_Toc267251435"/>
      <w:bookmarkStart w:id="537" w:name="_Toc267251433"/>
      <w:bookmarkStart w:id="538" w:name="_Toc267251437"/>
      <w:bookmarkStart w:id="539" w:name="_Toc267251442"/>
      <w:r>
        <w:rPr>
          <w:rFonts w:hint="eastAsia" w:ascii="宋体" w:hAnsi="宋体" w:eastAsia="宋体" w:cs="宋体"/>
          <w:b w:val="0"/>
          <w:color w:val="auto"/>
          <w:sz w:val="21"/>
          <w:szCs w:val="21"/>
          <w:highlight w:val="none"/>
        </w:rPr>
        <w:t>0. 变更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bookmarkEnd w:id="532"/>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40" w:name="_Toc312678026"/>
      <w:bookmarkStart w:id="541" w:name="_Toc297048380"/>
      <w:bookmarkStart w:id="542" w:name="_Toc303539147"/>
      <w:bookmarkStart w:id="543" w:name="_Toc297123541"/>
      <w:bookmarkStart w:id="544" w:name="_Toc304295567"/>
      <w:bookmarkStart w:id="545" w:name="_Toc312677500"/>
      <w:bookmarkStart w:id="546" w:name="_Toc300934990"/>
      <w:bookmarkStart w:id="547" w:name="_Toc296346695"/>
      <w:bookmarkStart w:id="548" w:name="_Toc292559904"/>
      <w:bookmarkStart w:id="549" w:name="_Toc297120494"/>
      <w:bookmarkStart w:id="550" w:name="_Toc296944533"/>
      <w:bookmarkStart w:id="551" w:name="_Toc296891022"/>
      <w:bookmarkStart w:id="552" w:name="_Toc297216200"/>
      <w:bookmarkStart w:id="553" w:name="_Toc292559399"/>
      <w:bookmarkStart w:id="554" w:name="_Toc296503194"/>
      <w:bookmarkStart w:id="555" w:name="_Toc296891234"/>
      <w:bookmarkStart w:id="556" w:name="_Toc296347193"/>
      <w:r>
        <w:rPr>
          <w:rFonts w:hint="eastAsia" w:ascii="宋体" w:hAnsi="宋体" w:eastAsia="宋体" w:cs="宋体"/>
          <w:color w:val="auto"/>
          <w:sz w:val="21"/>
          <w:szCs w:val="21"/>
          <w:highlight w:val="none"/>
        </w:rPr>
        <w:t>0.1变更的范围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val="0"/>
          <w:bCs/>
          <w:color w:val="auto"/>
          <w:sz w:val="21"/>
          <w:szCs w:val="21"/>
          <w:highlight w:val="none"/>
        </w:rPr>
      </w:pPr>
      <w:bookmarkStart w:id="557" w:name="_Toc251051742"/>
      <w:r>
        <w:rPr>
          <w:rFonts w:hint="eastAsia" w:ascii="宋体" w:hAnsi="宋体" w:eastAsia="宋体" w:cs="宋体"/>
          <w:b w:val="0"/>
          <w:bCs/>
          <w:color w:val="auto"/>
          <w:sz w:val="21"/>
          <w:szCs w:val="21"/>
          <w:highlight w:val="none"/>
          <w:u w:val="single"/>
        </w:rPr>
        <w:t>因设计变更、相关签证及招标工程量清单错项、漏项引起工程项目、工程量任何变化的，变更合同价款按下列方法进行：</w:t>
      </w:r>
      <w:bookmarkEnd w:id="557"/>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1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①</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合同中已有适用于变更工程的项，按合同中已有的综合单价确定；</w:t>
      </w:r>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2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②</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有类似变更工程的项（指工程量清单项目中除主要材料不同外，人工、机械及其他材料均相同的项），综合单价按已有类似的综合单价加材料价差来确定；③合同中没有适用或类似于变更工程的项，其综合单价套用广西现行消耗量定额，费率按预算价的费率构成计取，材料价按施工期《桂林建设工程造价信息》（</w:t>
      </w:r>
      <w:r>
        <w:rPr>
          <w:rFonts w:hint="eastAsia" w:ascii="宋体" w:hAnsi="宋体" w:eastAsia="宋体" w:cs="宋体"/>
          <w:b w:val="0"/>
          <w:bCs/>
          <w:color w:val="auto"/>
          <w:sz w:val="21"/>
          <w:szCs w:val="21"/>
          <w:highlight w:val="none"/>
          <w:u w:val="single"/>
          <w:lang w:val="en-US" w:eastAsia="zh-CN"/>
        </w:rPr>
        <w:t>灌阳县</w:t>
      </w:r>
      <w:r>
        <w:rPr>
          <w:rFonts w:hint="eastAsia" w:ascii="宋体" w:hAnsi="宋体" w:eastAsia="宋体" w:cs="宋体"/>
          <w:b w:val="0"/>
          <w:bCs/>
          <w:color w:val="auto"/>
          <w:sz w:val="21"/>
          <w:szCs w:val="21"/>
          <w:highlight w:val="none"/>
          <w:u w:val="single"/>
        </w:rPr>
        <w:t>）公布价格的算数平均值计取，材料价格缺项的根据市场询价签证确定其材料价格，最后总价乘以系数（投标报价/预算价）；④不适用上述条款的项，则由发包人和承包人协商签证确定；⑤因不可抗力产生的费用由发包人及承包人双方协商分担</w:t>
      </w:r>
      <w:r>
        <w:rPr>
          <w:rFonts w:hint="eastAsia" w:ascii="宋体" w:hAnsi="宋体" w:eastAsia="宋体" w:cs="宋体"/>
          <w:b w:val="0"/>
          <w:bCs/>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8" w:name="_Toc297120497"/>
      <w:bookmarkStart w:id="559" w:name="_Toc297123544"/>
      <w:bookmarkStart w:id="560" w:name="_Toc296503197"/>
      <w:bookmarkStart w:id="561" w:name="_Toc292559402"/>
      <w:bookmarkStart w:id="562" w:name="_Toc296891237"/>
      <w:bookmarkStart w:id="563" w:name="_Toc297048383"/>
      <w:bookmarkStart w:id="564" w:name="_Toc296346698"/>
      <w:bookmarkStart w:id="565" w:name="_Toc292559907"/>
      <w:bookmarkStart w:id="566" w:name="_Toc297216203"/>
      <w:bookmarkStart w:id="567" w:name="_Toc300934993"/>
      <w:bookmarkStart w:id="568" w:name="_Toc296944536"/>
      <w:bookmarkStart w:id="569" w:name="_Toc296891025"/>
      <w:bookmarkStart w:id="570" w:name="_Toc303539150"/>
      <w:bookmarkStart w:id="571" w:name="_Toc296347196"/>
      <w:bookmarkStart w:id="572" w:name="_Toc312678029"/>
      <w:bookmarkStart w:id="573" w:name="_Toc304295570"/>
      <w:bookmarkStart w:id="574" w:name="_Toc312677503"/>
      <w:r>
        <w:rPr>
          <w:rFonts w:hint="eastAsia" w:ascii="宋体" w:hAnsi="宋体" w:eastAsia="宋体" w:cs="宋体"/>
          <w:color w:val="auto"/>
          <w:sz w:val="21"/>
          <w:szCs w:val="21"/>
          <w:highlight w:val="none"/>
        </w:rPr>
        <w:t>0.5承</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5" w:name="_Toc300934994"/>
      <w:bookmarkStart w:id="576" w:name="_Toc292559408"/>
      <w:bookmarkStart w:id="577" w:name="_Toc297216204"/>
      <w:bookmarkStart w:id="578" w:name="_Toc296346704"/>
      <w:bookmarkStart w:id="579" w:name="_Toc297123545"/>
      <w:bookmarkStart w:id="580" w:name="_Toc296891031"/>
      <w:bookmarkStart w:id="581" w:name="_Toc303539151"/>
      <w:bookmarkStart w:id="582" w:name="_Toc292559913"/>
      <w:bookmarkStart w:id="583" w:name="_Toc297120503"/>
      <w:bookmarkStart w:id="584" w:name="_Toc296944542"/>
      <w:bookmarkStart w:id="585" w:name="_Toc297048389"/>
      <w:bookmarkStart w:id="586" w:name="_Toc296891243"/>
      <w:bookmarkStart w:id="587" w:name="_Toc296347202"/>
      <w:bookmarkStart w:id="588" w:name="_Toc296503203"/>
      <w:r>
        <w:rPr>
          <w:rFonts w:hint="eastAsia" w:ascii="宋体" w:hAnsi="宋体" w:eastAsia="宋体" w:cs="宋体"/>
          <w:color w:val="auto"/>
          <w:sz w:val="21"/>
          <w:szCs w:val="21"/>
          <w:highlight w:val="none"/>
        </w:rPr>
        <w:t>包人的合理化建议</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89" w:name="_Toc292559914"/>
      <w:bookmarkStart w:id="590" w:name="_Toc300934995"/>
      <w:bookmarkStart w:id="591" w:name="_Toc312678030"/>
      <w:bookmarkStart w:id="592" w:name="_Toc296347203"/>
      <w:bookmarkStart w:id="593" w:name="_Toc296944543"/>
      <w:bookmarkStart w:id="594" w:name="_Toc304295571"/>
      <w:bookmarkStart w:id="595" w:name="_Toc296503204"/>
      <w:bookmarkStart w:id="596" w:name="_Toc303539152"/>
      <w:bookmarkStart w:id="597" w:name="_Toc297123546"/>
      <w:bookmarkStart w:id="598" w:name="_Toc296891032"/>
      <w:bookmarkStart w:id="599" w:name="_Toc297120504"/>
      <w:bookmarkStart w:id="600" w:name="_Toc297216205"/>
      <w:bookmarkStart w:id="601" w:name="_Toc312677504"/>
      <w:bookmarkStart w:id="602" w:name="_Toc292559409"/>
      <w:bookmarkStart w:id="603" w:name="_Toc297048390"/>
      <w:bookmarkStart w:id="604" w:name="_Toc296346705"/>
      <w:bookmarkStart w:id="605" w:name="_Toc296891244"/>
      <w:bookmarkStart w:id="606" w:name="_Toc318581175"/>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07" w:name="_Toc304295574"/>
      <w:bookmarkStart w:id="608" w:name="_Toc312677507"/>
      <w:bookmarkStart w:id="609" w:name="_Toc296944538"/>
      <w:bookmarkStart w:id="610" w:name="_Toc296503199"/>
      <w:bookmarkStart w:id="611" w:name="_Toc303539154"/>
      <w:bookmarkStart w:id="612" w:name="_Toc292559404"/>
      <w:bookmarkStart w:id="613" w:name="_Toc297216207"/>
      <w:bookmarkStart w:id="614" w:name="_Toc296891027"/>
      <w:bookmarkStart w:id="615" w:name="_Toc292559909"/>
      <w:bookmarkStart w:id="616" w:name="_Toc312678033"/>
      <w:bookmarkStart w:id="617" w:name="_Toc297120499"/>
      <w:bookmarkStart w:id="618" w:name="_Toc300934997"/>
      <w:bookmarkStart w:id="619" w:name="_Toc296346700"/>
      <w:bookmarkStart w:id="620" w:name="_Toc297123548"/>
      <w:bookmarkStart w:id="621" w:name="_Toc296891239"/>
      <w:bookmarkStart w:id="622" w:name="_Toc296347198"/>
      <w:bookmarkStart w:id="623" w:name="_Toc297048385"/>
      <w:r>
        <w:rPr>
          <w:rFonts w:hint="eastAsia" w:ascii="宋体" w:hAnsi="宋体" w:eastAsia="宋体" w:cs="宋体"/>
          <w:color w:val="auto"/>
          <w:sz w:val="21"/>
          <w:szCs w:val="21"/>
          <w:highlight w:val="none"/>
        </w:rPr>
        <w:t>0.7 暂估价</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w:t>
      </w:r>
      <w:bookmarkStart w:id="624" w:name="_Toc312677508"/>
      <w:bookmarkStart w:id="625" w:name="_Toc318581176"/>
      <w:bookmarkStart w:id="626" w:name="_Toc312678034"/>
      <w:r>
        <w:rPr>
          <w:rFonts w:hint="eastAsia" w:ascii="宋体" w:hAnsi="宋体" w:eastAsia="宋体" w:cs="宋体"/>
          <w:color w:val="auto"/>
          <w:kern w:val="0"/>
          <w:sz w:val="21"/>
          <w:szCs w:val="21"/>
          <w:highlight w:val="none"/>
        </w:rPr>
        <w:t>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bookmarkEnd w:id="624"/>
    <w:bookmarkEnd w:id="625"/>
    <w:bookmarkEnd w:id="62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27" w:name="_Toc312677509"/>
      <w:bookmarkStart w:id="628" w:name="_Toc312678035"/>
      <w:bookmarkStart w:id="629" w:name="_Toc318581177"/>
      <w:r>
        <w:rPr>
          <w:rFonts w:hint="eastAsia" w:ascii="宋体" w:hAnsi="宋体" w:eastAsia="宋体" w:cs="宋体"/>
          <w:color w:val="auto"/>
          <w:sz w:val="21"/>
          <w:szCs w:val="21"/>
          <w:highlight w:val="none"/>
        </w:rPr>
        <w:t>0.7.1 依法必须招标的暂估价项目</w:t>
      </w:r>
    </w:p>
    <w:bookmarkEnd w:id="627"/>
    <w:bookmarkEnd w:id="628"/>
    <w:bookmarkEnd w:id="629"/>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第1种方式：对于依法必须招标的暂估价项目，由承包人招标，对该暂估价项目的确认和批准按照以下约定执行：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第3种方式：发包人作为招标人，承包人配合、协助发包人的招标工作。</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第1种方式：对于不属于依法必须招标的暂估价项目，按本项约定确认和批准：</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根据施工进度计划，在签订暂估价项目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（3）承包人应当在签订暂估价合同后7天内，将暂估价合同副本报送发包人留存。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第2种方式：承包人按照第10.7.1项〔依法必须招标的暂估价项目〕约定的第1种方式确定暂估价项目。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第3种方式：承包人实施的暂估价项目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sz w:val="21"/>
          <w:szCs w:val="21"/>
          <w:highlight w:val="none"/>
          <w:u w:val="single"/>
        </w:rPr>
        <w:t xml:space="preserve">（1）已签约合同价中的暂列金额由发包人掌握使用。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single"/>
        </w:rPr>
        <w:t>（2）发包人按照规定所作支付后，暂列金额如有余额归发包人</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30" w:name="_Toc351203643"/>
      <w:r>
        <w:rPr>
          <w:rFonts w:hint="eastAsia" w:ascii="宋体" w:hAnsi="宋体" w:eastAsia="宋体" w:cs="宋体"/>
          <w:b w:val="0"/>
          <w:color w:val="auto"/>
          <w:sz w:val="21"/>
          <w:szCs w:val="21"/>
          <w:highlight w:val="none"/>
        </w:rPr>
        <w:t>11. 价格调整</w:t>
      </w:r>
      <w:bookmarkEnd w:id="630"/>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31" w:name="_Toc296891241"/>
      <w:bookmarkStart w:id="632" w:name="_Toc303539157"/>
      <w:bookmarkStart w:id="633" w:name="_Toc297120501"/>
      <w:bookmarkStart w:id="634" w:name="_Toc296891029"/>
      <w:bookmarkStart w:id="635" w:name="_Toc304295577"/>
      <w:bookmarkStart w:id="636" w:name="_Toc297216209"/>
      <w:bookmarkStart w:id="637" w:name="_Toc296346702"/>
      <w:bookmarkStart w:id="638" w:name="_Toc292559406"/>
      <w:bookmarkStart w:id="639" w:name="_Toc300935000"/>
      <w:bookmarkStart w:id="640" w:name="_Toc312678039"/>
      <w:bookmarkStart w:id="641" w:name="_Toc296944540"/>
      <w:bookmarkStart w:id="642" w:name="_Toc297048387"/>
      <w:bookmarkStart w:id="643" w:name="_Toc296347200"/>
      <w:bookmarkStart w:id="644" w:name="_Toc292559911"/>
      <w:bookmarkStart w:id="645" w:name="_Toc297123550"/>
      <w:bookmarkStart w:id="646" w:name="_Toc296503201"/>
      <w:r>
        <w:rPr>
          <w:rFonts w:hint="eastAsia" w:ascii="宋体" w:hAnsi="宋体" w:eastAsia="宋体" w:cs="宋体"/>
          <w:color w:val="auto"/>
          <w:sz w:val="21"/>
          <w:szCs w:val="21"/>
          <w:highlight w:val="none"/>
        </w:rPr>
        <w:t>11.1 市场价格波动引起的调整</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color w:val="auto"/>
          <w:sz w:val="21"/>
          <w:szCs w:val="21"/>
          <w:highlight w:val="none"/>
          <w:u w:val="single"/>
        </w:rPr>
        <w:t xml:space="preserve">     调整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种方式对合同价格进行调整：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pPr>
        <w:pageBreakBefore w:val="0"/>
        <w:widowControl w:val="0"/>
        <w:kinsoku/>
        <w:wordWrap/>
        <w:overflowPunct/>
        <w:topLinePunct w:val="0"/>
        <w:bidi w:val="0"/>
        <w:snapToGrid/>
        <w:spacing w:line="360" w:lineRule="exact"/>
        <w:ind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33"/>
    <w:bookmarkEnd w:id="534"/>
    <w:bookmarkEnd w:id="535"/>
    <w:bookmarkEnd w:id="536"/>
    <w:bookmarkEnd w:id="537"/>
    <w:bookmarkEnd w:id="538"/>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47" w:name="_Toc296891245"/>
      <w:bookmarkStart w:id="648" w:name="_Toc296347204"/>
      <w:bookmarkStart w:id="649" w:name="_Toc292559915"/>
      <w:bookmarkStart w:id="650" w:name="_Toc296503205"/>
      <w:bookmarkStart w:id="651" w:name="_Toc296944544"/>
      <w:bookmarkStart w:id="652" w:name="_Toc296891033"/>
      <w:bookmarkStart w:id="653" w:name="_Toc296346706"/>
      <w:bookmarkStart w:id="654" w:name="_Toc297120505"/>
      <w:bookmarkStart w:id="655" w:name="_Toc292559410"/>
      <w:bookmarkStart w:id="656" w:name="_Toc297048391"/>
      <w:bookmarkStart w:id="657" w:name="_Toc351203644"/>
      <w:bookmarkStart w:id="658" w:name="_Toc300935002"/>
      <w:bookmarkStart w:id="659" w:name="_Toc297123552"/>
      <w:bookmarkStart w:id="660" w:name="_Toc304295579"/>
      <w:bookmarkStart w:id="661" w:name="_Toc303539159"/>
      <w:bookmarkStart w:id="662" w:name="_Toc312678040"/>
      <w:bookmarkStart w:id="663" w:name="_Toc297216211"/>
      <w:r>
        <w:rPr>
          <w:rFonts w:hint="eastAsia" w:ascii="宋体" w:hAnsi="宋体" w:eastAsia="宋体" w:cs="宋体"/>
          <w:b w:val="0"/>
          <w:color w:val="auto"/>
          <w:sz w:val="21"/>
          <w:szCs w:val="21"/>
          <w:highlight w:val="none"/>
        </w:rPr>
        <w:t xml:space="preserve">12. </w:t>
      </w:r>
      <w:bookmarkEnd w:id="647"/>
      <w:bookmarkEnd w:id="648"/>
      <w:bookmarkEnd w:id="649"/>
      <w:bookmarkEnd w:id="650"/>
      <w:bookmarkEnd w:id="651"/>
      <w:bookmarkEnd w:id="652"/>
      <w:bookmarkEnd w:id="653"/>
      <w:bookmarkEnd w:id="654"/>
      <w:bookmarkEnd w:id="655"/>
      <w:bookmarkEnd w:id="656"/>
      <w:r>
        <w:rPr>
          <w:rFonts w:hint="eastAsia" w:ascii="宋体" w:hAnsi="宋体" w:eastAsia="宋体" w:cs="宋体"/>
          <w:b w:val="0"/>
          <w:color w:val="auto"/>
          <w:sz w:val="21"/>
          <w:szCs w:val="21"/>
          <w:highlight w:val="none"/>
        </w:rPr>
        <w:t>合同价格、计量与支付</w:t>
      </w:r>
      <w:bookmarkEnd w:id="657"/>
    </w:p>
    <w:bookmarkEnd w:id="658"/>
    <w:bookmarkEnd w:id="659"/>
    <w:bookmarkEnd w:id="660"/>
    <w:bookmarkEnd w:id="661"/>
    <w:bookmarkEnd w:id="662"/>
    <w:bookmarkEnd w:id="66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64" w:name="_Toc267251461"/>
      <w:bookmarkStart w:id="665" w:name="_Toc292559916"/>
      <w:bookmarkStart w:id="666" w:name="_Toc292559411"/>
      <w:bookmarkStart w:id="667" w:name="_Toc296503206"/>
      <w:bookmarkStart w:id="668" w:name="_Toc296891034"/>
      <w:bookmarkStart w:id="669" w:name="_Toc296944545"/>
      <w:bookmarkStart w:id="670" w:name="_Toc297048392"/>
      <w:bookmarkStart w:id="671" w:name="_Toc297120506"/>
      <w:bookmarkStart w:id="672" w:name="_Toc296347205"/>
      <w:bookmarkStart w:id="673" w:name="_Toc296346707"/>
      <w:bookmarkStart w:id="674" w:name="_Toc296891246"/>
      <w:bookmarkStart w:id="675" w:name="_Toc297216212"/>
      <w:bookmarkStart w:id="676" w:name="_Toc297123553"/>
      <w:bookmarkStart w:id="677" w:name="_Toc312678041"/>
      <w:bookmarkStart w:id="678" w:name="_Toc303539160"/>
      <w:bookmarkStart w:id="679" w:name="_Toc304295580"/>
      <w:bookmarkStart w:id="680" w:name="_Toc300935003"/>
      <w:r>
        <w:rPr>
          <w:rFonts w:hint="eastAsia" w:ascii="宋体" w:hAnsi="宋体" w:eastAsia="宋体" w:cs="宋体"/>
          <w:color w:val="auto"/>
          <w:sz w:val="21"/>
          <w:szCs w:val="21"/>
          <w:highlight w:val="none"/>
        </w:rPr>
        <w:t>12.1 合</w:t>
      </w:r>
      <w:bookmarkEnd w:id="664"/>
      <w:bookmarkEnd w:id="665"/>
      <w:bookmarkEnd w:id="666"/>
      <w:r>
        <w:rPr>
          <w:rFonts w:hint="eastAsia" w:ascii="宋体" w:hAnsi="宋体" w:eastAsia="宋体" w:cs="宋体"/>
          <w:color w:val="auto"/>
          <w:sz w:val="21"/>
          <w:szCs w:val="21"/>
          <w:highlight w:val="none"/>
        </w:rPr>
        <w:t>同价</w:t>
      </w:r>
      <w:bookmarkEnd w:id="667"/>
      <w:bookmarkEnd w:id="668"/>
      <w:bookmarkEnd w:id="669"/>
      <w:bookmarkEnd w:id="670"/>
      <w:bookmarkEnd w:id="671"/>
      <w:bookmarkEnd w:id="672"/>
      <w:bookmarkEnd w:id="673"/>
      <w:bookmarkEnd w:id="674"/>
      <w:r>
        <w:rPr>
          <w:rFonts w:hint="eastAsia" w:ascii="宋体" w:hAnsi="宋体" w:eastAsia="宋体" w:cs="宋体"/>
          <w:color w:val="auto"/>
          <w:sz w:val="21"/>
          <w:szCs w:val="21"/>
          <w:highlight w:val="none"/>
        </w:rPr>
        <w:t>格形式：合同价款采用</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方式确定。</w:t>
      </w:r>
    </w:p>
    <w:bookmarkEnd w:id="675"/>
    <w:bookmarkEnd w:id="676"/>
    <w:bookmarkEnd w:id="677"/>
    <w:bookmarkEnd w:id="678"/>
    <w:bookmarkEnd w:id="679"/>
    <w:bookmarkEnd w:id="680"/>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综合单价包含的风险范围：</w:t>
      </w:r>
      <w:r>
        <w:rPr>
          <w:rFonts w:hint="eastAsia" w:ascii="宋体" w:hAnsi="宋体" w:eastAsia="宋体" w:cs="宋体"/>
          <w:color w:val="auto"/>
          <w:sz w:val="21"/>
          <w:szCs w:val="21"/>
          <w:highlight w:val="none"/>
          <w:u w:val="single"/>
        </w:rPr>
        <w:t>承担施工中的一切风险，本合同单价在合同实施期间不因市场变化因素而变化；由于承包人因施工方法的修正、变更而引起的费用增加，由承包人自理，发包人不另追加费用。项目措施费包干使用，结算时不作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①工程变更：按10.4.1变更估价原则的约定调整。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②政策性调整：按自治区建设行政主管部门颁布的文件执行。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③材料价格风险：按11.1的约定调整。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④发包人缴纳的可办理退费的各项规费，由承包人提供相关资料并配合发包人退费，如因承包人原因造成不能退费的，相关损失从承包人结算中扣除。</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⑤</w:t>
      </w:r>
      <w:r>
        <w:rPr>
          <w:rFonts w:hint="eastAsia" w:ascii="宋体" w:hAnsi="宋体" w:eastAsia="宋体" w:cs="宋体"/>
          <w:color w:val="auto"/>
          <w:sz w:val="21"/>
          <w:szCs w:val="21"/>
          <w:highlight w:val="none"/>
          <w:u w:val="single"/>
        </w:rPr>
        <w:t>工程量偏差：按1.13工程量清单错误修正的约定调整。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总价包含的风险范围：</w:t>
      </w:r>
      <w:r>
        <w:rPr>
          <w:rFonts w:hint="eastAsia" w:ascii="宋体" w:hAnsi="宋体" w:eastAsia="宋体" w:cs="宋体"/>
          <w:color w:val="auto"/>
          <w:sz w:val="21"/>
          <w:szCs w:val="21"/>
          <w:highlight w:val="none"/>
          <w:u w:val="single"/>
        </w:rPr>
        <w:t>承担施工中的一切风险，本合同总价在合同实施期间不因市场变化因素而变化；由于承包人因施工方法的修正、变更而引起的费用增加，由承包人自理，发包人不另追加费用。</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81" w:name="_Toc312678042"/>
      <w:bookmarkStart w:id="682" w:name="_Toc297123554"/>
      <w:bookmarkStart w:id="683" w:name="_Toc300935004"/>
      <w:bookmarkStart w:id="684" w:name="_Toc297216213"/>
      <w:bookmarkStart w:id="685" w:name="_Toc303539161"/>
      <w:bookmarkStart w:id="686" w:name="_Toc304295581"/>
      <w:bookmarkStart w:id="687" w:name="_Toc296891035"/>
      <w:bookmarkStart w:id="688" w:name="_Toc296346708"/>
      <w:bookmarkStart w:id="689" w:name="_Toc297120507"/>
      <w:bookmarkStart w:id="690" w:name="_Toc292559412"/>
      <w:bookmarkStart w:id="691" w:name="_Toc296891247"/>
      <w:bookmarkStart w:id="692" w:name="_Toc296347206"/>
      <w:bookmarkStart w:id="693" w:name="_Toc297048393"/>
      <w:bookmarkStart w:id="694" w:name="_Toc296503207"/>
      <w:bookmarkStart w:id="695" w:name="_Toc292559917"/>
      <w:bookmarkStart w:id="696" w:name="_Toc296944546"/>
      <w:r>
        <w:rPr>
          <w:rFonts w:hint="eastAsia" w:ascii="宋体" w:hAnsi="宋体" w:eastAsia="宋体" w:cs="宋体"/>
          <w:color w:val="auto"/>
          <w:sz w:val="21"/>
          <w:szCs w:val="21"/>
          <w:highlight w:val="none"/>
        </w:rPr>
        <w:t>12.2 预付款</w:t>
      </w:r>
    </w:p>
    <w:bookmarkEnd w:id="681"/>
    <w:bookmarkEnd w:id="682"/>
    <w:bookmarkEnd w:id="683"/>
    <w:bookmarkEnd w:id="684"/>
    <w:bookmarkEnd w:id="685"/>
    <w:bookmarkEnd w:id="68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工程进度款支付至80%前全部扣回</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687"/>
    <w:bookmarkEnd w:id="688"/>
    <w:bookmarkEnd w:id="689"/>
    <w:bookmarkEnd w:id="690"/>
    <w:bookmarkEnd w:id="691"/>
    <w:bookmarkEnd w:id="692"/>
    <w:bookmarkEnd w:id="693"/>
    <w:bookmarkEnd w:id="694"/>
    <w:bookmarkEnd w:id="695"/>
    <w:bookmarkEnd w:id="69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实际完成的工程量按国家标准及广西壮族自治区各相关文件规定的计算规则和有关合同约束力的图纸进行计量。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12.3.3 单价合同的计量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697" w:name="_Toc296346712"/>
      <w:bookmarkStart w:id="698" w:name="_Toc296347210"/>
      <w:bookmarkStart w:id="699" w:name="_Toc296891251"/>
      <w:bookmarkStart w:id="700" w:name="_Toc296944550"/>
      <w:bookmarkStart w:id="701" w:name="_Toc297216215"/>
      <w:bookmarkStart w:id="702" w:name="_Toc292559416"/>
      <w:bookmarkStart w:id="703" w:name="_Toc303539163"/>
      <w:bookmarkStart w:id="704" w:name="_Toc292559921"/>
      <w:bookmarkStart w:id="705" w:name="_Toc297120511"/>
      <w:bookmarkStart w:id="706" w:name="_Toc297048397"/>
      <w:bookmarkStart w:id="707" w:name="_Toc296891039"/>
      <w:bookmarkStart w:id="708" w:name="_Toc300935006"/>
      <w:bookmarkStart w:id="709" w:name="_Toc296503211"/>
      <w:bookmarkStart w:id="710" w:name="_Toc297123556"/>
      <w:r>
        <w:rPr>
          <w:rFonts w:hint="eastAsia" w:ascii="宋体" w:hAnsi="宋体" w:eastAsia="宋体" w:cs="宋体"/>
          <w:color w:val="auto"/>
          <w:sz w:val="21"/>
          <w:szCs w:val="21"/>
          <w:highlight w:val="none"/>
        </w:rPr>
        <w:t>12.4.1 付款周期</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  按工程进度付款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color w:val="auto"/>
          <w:sz w:val="21"/>
          <w:szCs w:val="21"/>
          <w:highlight w:val="none"/>
        </w:rPr>
        <w:t>2.4.3 进度付款申请单的提交</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收到相关资料后7天内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收到相关资料后7天内</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办理相关付款手续后的7天内</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bookmarkEnd w:id="539"/>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11" w:name="_Toc351203645"/>
      <w:bookmarkStart w:id="712" w:name="_Toc296346720"/>
      <w:bookmarkStart w:id="713" w:name="_Toc296891259"/>
      <w:bookmarkStart w:id="714" w:name="_Toc300935015"/>
      <w:bookmarkStart w:id="715" w:name="_Toc297120519"/>
      <w:bookmarkStart w:id="716" w:name="_Toc297216223"/>
      <w:bookmarkStart w:id="717" w:name="_Toc296944558"/>
      <w:bookmarkStart w:id="718" w:name="_Toc296891047"/>
      <w:bookmarkStart w:id="719" w:name="_Toc304295593"/>
      <w:bookmarkStart w:id="720" w:name="_Toc292559424"/>
      <w:bookmarkStart w:id="721" w:name="_Toc292559929"/>
      <w:bookmarkStart w:id="722" w:name="_Toc312678053"/>
      <w:bookmarkStart w:id="723" w:name="_Toc296503219"/>
      <w:bookmarkStart w:id="724" w:name="_Toc297123564"/>
      <w:bookmarkStart w:id="725" w:name="_Toc297048405"/>
      <w:bookmarkStart w:id="726" w:name="_Toc296347218"/>
      <w:bookmarkStart w:id="727" w:name="_Toc303539172"/>
      <w:r>
        <w:rPr>
          <w:rFonts w:hint="eastAsia" w:ascii="宋体" w:hAnsi="宋体" w:eastAsia="宋体" w:cs="宋体"/>
          <w:b w:val="0"/>
          <w:color w:val="auto"/>
          <w:sz w:val="21"/>
          <w:szCs w:val="21"/>
          <w:highlight w:val="none"/>
        </w:rPr>
        <w:t>13. 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w:t>
      </w:r>
      <w:r>
        <w:rPr>
          <w:rFonts w:hint="eastAsia" w:ascii="宋体" w:hAnsi="宋体" w:eastAsia="宋体" w:cs="宋体"/>
          <w:color w:val="auto"/>
          <w:sz w:val="21"/>
          <w:szCs w:val="21"/>
          <w:highlight w:val="none"/>
        </w:rPr>
        <w:t>小时。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728" w:name="_Toc296346724"/>
      <w:bookmarkStart w:id="729" w:name="_Toc292559933"/>
      <w:bookmarkStart w:id="730" w:name="_Toc300935016"/>
      <w:bookmarkStart w:id="731" w:name="_Toc292559428"/>
      <w:bookmarkStart w:id="732" w:name="_Toc304295596"/>
      <w:bookmarkStart w:id="733" w:name="_Toc297123565"/>
      <w:bookmarkStart w:id="734" w:name="_Toc303539173"/>
      <w:bookmarkStart w:id="735" w:name="_Toc296347222"/>
      <w:bookmarkStart w:id="736" w:name="_Toc296891051"/>
      <w:bookmarkStart w:id="737" w:name="_Toc297216224"/>
      <w:bookmarkStart w:id="738" w:name="_Toc297048409"/>
      <w:bookmarkStart w:id="739" w:name="_Toc296891263"/>
      <w:bookmarkStart w:id="740" w:name="_Toc296944562"/>
      <w:bookmarkStart w:id="741" w:name="_Toc296503223"/>
      <w:bookmarkStart w:id="742" w:name="_Toc297120523"/>
      <w:bookmarkStart w:id="743" w:name="_Toc312678056"/>
      <w:bookmarkStart w:id="744" w:name="_Toc267251474"/>
      <w:bookmarkStart w:id="745" w:name="_Toc267251473"/>
      <w:bookmarkStart w:id="746" w:name="_Toc267251475"/>
      <w:bookmarkStart w:id="747" w:name="_Toc267251472"/>
      <w:bookmarkStart w:id="748" w:name="_Toc267251476"/>
      <w:bookmarkStart w:id="749" w:name="_Toc267251471"/>
      <w:bookmarkStart w:id="750" w:name="_Toc267251470"/>
      <w:r>
        <w:rPr>
          <w:rFonts w:hint="eastAsia" w:ascii="宋体" w:hAnsi="宋体" w:eastAsia="宋体" w:cs="宋体"/>
          <w:color w:val="auto"/>
          <w:sz w:val="21"/>
          <w:szCs w:val="21"/>
          <w:highlight w:val="none"/>
        </w:rPr>
        <w:t>13.2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751" w:name="_Toc280868704"/>
      <w:bookmarkStart w:id="752" w:name="_Toc280868705"/>
      <w:bookmarkStart w:id="753" w:name="_Toc280868706"/>
      <w:bookmarkStart w:id="754" w:name="_Toc280868707"/>
      <w:bookmarkStart w:id="755" w:name="_Toc280868708"/>
      <w:bookmarkStart w:id="756" w:name="_Toc280868709"/>
      <w:r>
        <w:rPr>
          <w:rFonts w:hint="eastAsia" w:ascii="宋体" w:hAnsi="宋体" w:eastAsia="宋体" w:cs="宋体"/>
          <w:color w:val="auto"/>
          <w:sz w:val="21"/>
          <w:szCs w:val="21"/>
          <w:highlight w:val="none"/>
        </w:rPr>
        <w:t>13.2.2竣工验收程序</w:t>
      </w:r>
    </w:p>
    <w:bookmarkEnd w:id="75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bookmarkEnd w:id="75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4"/>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每拖延一天工期支付给发包人最终结算总价的0.5‰/天的违约金，违约金最高限额为整个工程总价款的2%</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bookmarkEnd w:id="755"/>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竣工退场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竣工验收合格后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7" w:name="_Toc351203646"/>
      <w:r>
        <w:rPr>
          <w:rFonts w:hint="eastAsia" w:ascii="宋体" w:hAnsi="宋体" w:eastAsia="宋体" w:cs="宋体"/>
          <w:b w:val="0"/>
          <w:color w:val="auto"/>
          <w:sz w:val="21"/>
          <w:szCs w:val="21"/>
          <w:highlight w:val="none"/>
        </w:rPr>
        <w:t>14. 竣工结算</w:t>
      </w:r>
      <w:bookmarkEnd w:id="75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竣工付款申请</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承包人提交竣工付款申请单的期限：</w:t>
      </w:r>
      <w:r>
        <w:rPr>
          <w:rFonts w:hint="eastAsia" w:ascii="宋体" w:hAnsi="宋体" w:eastAsia="宋体" w:cs="宋体"/>
          <w:color w:val="auto"/>
          <w:sz w:val="21"/>
          <w:szCs w:val="21"/>
          <w:highlight w:val="none"/>
          <w:u w:val="single"/>
        </w:rPr>
        <w:t>经审定工程竣工结算并由承包人提出申请后28天内。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竣工付款申请单应包括的内容：</w:t>
      </w:r>
      <w:r>
        <w:rPr>
          <w:rFonts w:hint="eastAsia" w:ascii="宋体" w:hAnsi="宋体" w:eastAsia="宋体" w:cs="宋体"/>
          <w:color w:val="auto"/>
          <w:sz w:val="21"/>
          <w:szCs w:val="21"/>
          <w:highlight w:val="none"/>
          <w:u w:val="single"/>
        </w:rPr>
        <w:t>竣工结算由承包人提交相关结算资料（主要包括合同、工程量计算书、结算书、变更设计通知单、签证单、竣工图）齐全后经监理初审、发包人审核后，必须经发包人审定后方可办理工程结算或竣工决算，最终结算以按财政部门的审计结果为准。工程款按最终审定的结算造价支付至9</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w:t>
      </w:r>
      <w:r>
        <w:rPr>
          <w:rFonts w:hint="eastAsia" w:ascii="宋体" w:hAnsi="宋体" w:eastAsia="宋体" w:cs="宋体"/>
          <w:color w:val="auto"/>
          <w:spacing w:val="-2"/>
          <w:sz w:val="21"/>
          <w:szCs w:val="21"/>
          <w:highlight w:val="none"/>
          <w:u w:val="single"/>
        </w:rPr>
        <w:t>预留</w:t>
      </w:r>
      <w:r>
        <w:rPr>
          <w:rFonts w:hint="eastAsia" w:ascii="宋体" w:hAnsi="宋体" w:eastAsia="宋体" w:cs="宋体"/>
          <w:color w:val="auto"/>
          <w:spacing w:val="-2"/>
          <w:sz w:val="21"/>
          <w:szCs w:val="21"/>
          <w:highlight w:val="none"/>
          <w:u w:val="single"/>
          <w:lang w:val="en-US" w:eastAsia="zh-CN"/>
        </w:rPr>
        <w:t>3</w:t>
      </w:r>
      <w:r>
        <w:rPr>
          <w:rFonts w:hint="eastAsia" w:ascii="宋体" w:hAnsi="宋体" w:eastAsia="宋体" w:cs="宋体"/>
          <w:color w:val="auto"/>
          <w:spacing w:val="-2"/>
          <w:sz w:val="21"/>
          <w:szCs w:val="21"/>
          <w:highlight w:val="none"/>
          <w:u w:val="single"/>
        </w:rPr>
        <w:t>％的质保金。</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 xml:space="preserve">在签发竣工付款证书后的30天内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一式四份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缺陷责任期终止证书签发后14天内向监理人提交4份竣工付款申请单及相关证明材料。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在颁发最终结清证书后的30天内      </w:t>
      </w:r>
      <w:r>
        <w:rPr>
          <w:rFonts w:hint="eastAsia" w:ascii="宋体" w:hAnsi="宋体" w:eastAsia="宋体" w:cs="宋体"/>
          <w:color w:val="auto"/>
          <w:sz w:val="21"/>
          <w:szCs w:val="21"/>
          <w:highlight w:val="none"/>
        </w:rPr>
        <w:t>。</w:t>
      </w:r>
    </w:p>
    <w:bookmarkEnd w:id="744"/>
    <w:bookmarkEnd w:id="745"/>
    <w:bookmarkEnd w:id="746"/>
    <w:bookmarkEnd w:id="747"/>
    <w:bookmarkEnd w:id="748"/>
    <w:bookmarkEnd w:id="749"/>
    <w:bookmarkEnd w:id="750"/>
    <w:bookmarkEnd w:id="756"/>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8" w:name="_Toc351203647"/>
      <w:bookmarkStart w:id="759" w:name="_Toc267251483"/>
      <w:bookmarkStart w:id="760" w:name="_Toc267251484"/>
      <w:bookmarkStart w:id="761" w:name="_Toc267251482"/>
      <w:bookmarkStart w:id="762" w:name="_Toc267251485"/>
      <w:bookmarkStart w:id="763" w:name="_Toc267251489"/>
      <w:bookmarkStart w:id="764" w:name="_Toc267251488"/>
      <w:bookmarkStart w:id="765" w:name="_Toc267251490"/>
      <w:bookmarkStart w:id="766" w:name="_Toc267251486"/>
      <w:r>
        <w:rPr>
          <w:rFonts w:hint="eastAsia" w:ascii="宋体" w:hAnsi="宋体" w:eastAsia="宋体" w:cs="宋体"/>
          <w:b w:val="0"/>
          <w:color w:val="auto"/>
          <w:sz w:val="21"/>
          <w:szCs w:val="21"/>
          <w:highlight w:val="none"/>
        </w:rPr>
        <w:t>15. 缺陷责任期与保修</w:t>
      </w:r>
      <w:bookmarkEnd w:id="758"/>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bookmarkEnd w:id="759"/>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rPr>
        <w:t>个月</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关于是否扣留质量保证金的约定：按</w:t>
      </w:r>
      <w:r>
        <w:rPr>
          <w:rFonts w:hint="eastAsia" w:ascii="宋体" w:hAnsi="宋体" w:eastAsia="宋体" w:cs="宋体"/>
          <w:color w:val="auto"/>
          <w:sz w:val="21"/>
          <w:szCs w:val="21"/>
          <w:highlight w:val="none"/>
          <w:u w:val="single"/>
        </w:rPr>
        <w:t>工程审核造价金额的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%作为质保金</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15.3.1 承包人提供质量保证金的方式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 xml:space="preserve">； </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%的工程款；</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（2）工程竣工结算时一次性扣留质量保证金；</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sz w:val="21"/>
          <w:szCs w:val="21"/>
          <w:highlight w:val="none"/>
          <w:u w:val="single"/>
        </w:rPr>
        <w:t>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）满后一个月内将质保金的全部返回给承包人。质量保证金的返还，并不能免除承包人按照合同约定应承担的质量保修责任和应履行的质量保修义务。</w:t>
      </w:r>
    </w:p>
    <w:bookmarkEnd w:id="760"/>
    <w:bookmarkEnd w:id="76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bookmarkEnd w:id="76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15.4.2 修复通知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sz w:val="21"/>
          <w:szCs w:val="21"/>
          <w:highlight w:val="none"/>
          <w:u w:val="single"/>
        </w:rPr>
        <w:t>承包人应当在接到保修通知之日起七天内派人保修</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承包人不在约定期限内派人保修的，发包人可以委托他人修理，所产生的费用由承包人承担。</w:t>
      </w:r>
    </w:p>
    <w:bookmarkEnd w:id="763"/>
    <w:bookmarkEnd w:id="764"/>
    <w:bookmarkEnd w:id="765"/>
    <w:bookmarkEnd w:id="766"/>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67" w:name="_Toc351203648"/>
      <w:bookmarkStart w:id="768" w:name="_Toc280868717"/>
      <w:bookmarkStart w:id="769" w:name="_Toc280868718"/>
      <w:r>
        <w:rPr>
          <w:rFonts w:hint="eastAsia" w:ascii="宋体" w:hAnsi="宋体" w:eastAsia="宋体" w:cs="宋体"/>
          <w:b w:val="0"/>
          <w:color w:val="auto"/>
          <w:sz w:val="21"/>
          <w:szCs w:val="21"/>
          <w:highlight w:val="none"/>
        </w:rPr>
        <w:t>16. 违约</w:t>
      </w:r>
      <w:bookmarkEnd w:id="76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发包人违约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承包人违约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承包人违约责任的承担方式和计算方法：</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每拖延一天工期支付给发包人最终结算价的0.4‰/天的违约金。误期时间从合同规定竣工日期起直到全部合同工程或相应工程的全部移交竣工报告的批准日期之间的天数（不足一日的按一日计算）。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合同解除后承包人应立即退场，退场标准参照13.6.1的规定执行</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无偿使用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0" w:name="_Toc351203649"/>
      <w:r>
        <w:rPr>
          <w:rFonts w:hint="eastAsia" w:ascii="宋体" w:hAnsi="宋体" w:eastAsia="宋体" w:cs="宋体"/>
          <w:b w:val="0"/>
          <w:color w:val="auto"/>
          <w:sz w:val="21"/>
          <w:szCs w:val="21"/>
          <w:highlight w:val="none"/>
        </w:rPr>
        <w:t>17. 不可抗力</w:t>
      </w:r>
      <w:bookmarkEnd w:id="770"/>
      <w:r>
        <w:rPr>
          <w:rFonts w:hint="eastAsia" w:ascii="宋体" w:hAnsi="宋体" w:eastAsia="宋体" w:cs="宋体"/>
          <w:b w:val="0"/>
          <w:color w:val="auto"/>
          <w:sz w:val="21"/>
          <w:szCs w:val="21"/>
          <w:highlight w:val="none"/>
        </w:rPr>
        <w:t xml:space="preserve"> </w:t>
      </w:r>
      <w:bookmarkEnd w:id="768"/>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eastAsia" w:ascii="宋体" w:hAnsi="宋体" w:eastAsia="宋体" w:cs="宋体"/>
          <w:color w:val="auto"/>
          <w:kern w:val="0"/>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天内完成款项的支付。</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1" w:name="_Toc351203650"/>
      <w:r>
        <w:rPr>
          <w:rFonts w:hint="eastAsia" w:ascii="宋体" w:hAnsi="宋体" w:eastAsia="宋体" w:cs="宋体"/>
          <w:b w:val="0"/>
          <w:color w:val="auto"/>
          <w:sz w:val="21"/>
          <w:szCs w:val="21"/>
          <w:highlight w:val="none"/>
        </w:rPr>
        <w:t>18. 保险</w:t>
      </w:r>
      <w:bookmarkEnd w:id="771"/>
    </w:p>
    <w:bookmarkEnd w:id="769"/>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关于工程保险的特别约定：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承包人应投保建筑工程一切险并承担相关费用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kern w:val="0"/>
          <w:sz w:val="21"/>
          <w:szCs w:val="21"/>
          <w:highlight w:val="none"/>
          <w:u w:val="single"/>
        </w:rPr>
        <w:t xml:space="preserve"> 承包人根据市建协字【2009】3号文须缴纳建筑意外伤害保险费。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2" w:name="_Toc351203651"/>
      <w:r>
        <w:rPr>
          <w:rFonts w:hint="eastAsia" w:ascii="宋体" w:hAnsi="宋体" w:eastAsia="宋体" w:cs="宋体"/>
          <w:b w:val="0"/>
          <w:color w:val="auto"/>
          <w:sz w:val="21"/>
          <w:szCs w:val="21"/>
          <w:highlight w:val="none"/>
        </w:rPr>
        <w:t>20. 争议解决</w:t>
      </w:r>
      <w:bookmarkEnd w:id="772"/>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不同意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建设行政主管部门 </w:t>
      </w:r>
      <w:r>
        <w:rPr>
          <w:rFonts w:hint="eastAsia" w:ascii="宋体" w:hAnsi="宋体" w:eastAsia="宋体" w:cs="宋体"/>
          <w:color w:val="auto"/>
          <w:sz w:val="21"/>
          <w:szCs w:val="21"/>
          <w:highlight w:val="none"/>
        </w:rPr>
        <w:t>仲裁委员会申请仲裁；</w:t>
      </w:r>
    </w:p>
    <w:p>
      <w:pPr>
        <w:autoSpaceDE w:val="0"/>
        <w:autoSpaceDN w:val="0"/>
        <w:spacing w:line="360" w:lineRule="exact"/>
        <w:ind w:firstLine="420" w:firstLineChars="200"/>
        <w:jc w:val="left"/>
        <w:rPr>
          <w:rFonts w:ascii="宋体" w:hAnsi="宋体" w:cs="宋体"/>
          <w:color w:val="auto"/>
          <w:kern w:val="0"/>
          <w:sz w:val="22"/>
          <w:szCs w:val="21"/>
          <w:highlight w:val="none"/>
          <w:u w:val="single"/>
          <w:lang w:val="zh-CN" w:bidi="zh-CN"/>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本工程辖区内  </w:t>
      </w:r>
      <w:r>
        <w:rPr>
          <w:rFonts w:hint="eastAsia" w:ascii="宋体" w:hAnsi="宋体" w:eastAsia="宋体" w:cs="宋体"/>
          <w:color w:val="auto"/>
          <w:sz w:val="21"/>
          <w:szCs w:val="21"/>
          <w:highlight w:val="none"/>
        </w:rPr>
        <w:t>人民法院起诉。</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Pr>
        <w:pStyle w:val="30"/>
        <w:autoSpaceDE w:val="0"/>
        <w:autoSpaceDN w:val="0"/>
        <w:adjustRightInd w:val="0"/>
        <w:spacing w:line="380" w:lineRule="exact"/>
        <w:ind w:firstLine="422" w:firstLineChars="200"/>
        <w:rPr>
          <w:rFonts w:hint="eastAsia" w:ascii="宋体" w:hAnsi="宋体" w:eastAsia="宋体" w:cs="宋体"/>
          <w:b/>
          <w:color w:val="auto"/>
          <w:sz w:val="21"/>
          <w:szCs w:val="21"/>
          <w:highlight w:val="none"/>
        </w:rPr>
      </w:pPr>
    </w:p>
    <w:p>
      <w:pPr>
        <w:pStyle w:val="22"/>
        <w:rPr>
          <w:rFonts w:hint="eastAsia" w:ascii="宋体" w:hAnsi="宋体" w:eastAsia="宋体" w:cs="宋体"/>
          <w:b/>
          <w:color w:val="auto"/>
          <w:sz w:val="21"/>
          <w:szCs w:val="21"/>
          <w:highlight w:val="none"/>
        </w:rPr>
      </w:pPr>
    </w:p>
    <w:p>
      <w:pPr>
        <w:rPr>
          <w:rFonts w:hint="eastAsia"/>
          <w:color w:val="auto"/>
          <w:highlight w:val="none"/>
        </w:rPr>
      </w:pP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pPr>
        <w:pStyle w:val="8"/>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18"/>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18"/>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pPr>
              <w:pStyle w:val="8"/>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pPr>
        <w:pStyle w:val="35"/>
        <w:tabs>
          <w:tab w:val="left" w:pos="0"/>
        </w:tabs>
        <w:spacing w:line="276"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3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w:t>
      </w:r>
    </w:p>
    <w:p>
      <w:pPr>
        <w:pStyle w:val="31"/>
        <w:rPr>
          <w:rFonts w:hint="eastAsia" w:ascii="宋体" w:hAnsi="宋体" w:eastAsia="宋体" w:cs="宋体"/>
          <w:color w:val="auto"/>
          <w:sz w:val="21"/>
          <w:szCs w:val="21"/>
          <w:highlight w:val="none"/>
        </w:rPr>
      </w:pPr>
    </w:p>
    <w:p>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工程</w:t>
      </w:r>
      <w:r>
        <w:rPr>
          <w:rFonts w:hint="eastAsia" w:ascii="宋体" w:hAnsi="宋体" w:eastAsia="宋体" w:cs="宋体"/>
          <w:color w:val="auto"/>
          <w:sz w:val="21"/>
          <w:szCs w:val="21"/>
          <w:highlight w:val="none"/>
        </w:rPr>
        <w:t>在合理使用期限内正常使用，经发包人、承包人协商一致签订本工程质量保修书。承包人在质量保修期内按照有关管理规定及双方约定承担工程质量保修责任。</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3" w:name="_Toc25270"/>
      <w:bookmarkStart w:id="774" w:name="_Toc522201808"/>
      <w:r>
        <w:rPr>
          <w:rFonts w:hint="eastAsia" w:ascii="宋体" w:hAnsi="宋体" w:eastAsia="宋体" w:cs="宋体"/>
          <w:color w:val="auto"/>
          <w:sz w:val="21"/>
          <w:szCs w:val="21"/>
          <w:highlight w:val="none"/>
        </w:rPr>
        <w:t>一、工程保修范围和内容</w:t>
      </w:r>
      <w:bookmarkEnd w:id="773"/>
      <w:bookmarkEnd w:id="774"/>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质量保修范围为施工图纸所包括的工程内容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具体质量保修内容双方约定如下：</w:t>
      </w:r>
      <w:r>
        <w:rPr>
          <w:rFonts w:hint="eastAsia" w:ascii="宋体" w:hAnsi="宋体" w:eastAsia="宋体" w:cs="宋体"/>
          <w:color w:val="auto"/>
          <w:sz w:val="21"/>
          <w:szCs w:val="21"/>
          <w:highlight w:val="none"/>
          <w:u w:val="single"/>
        </w:rPr>
        <w:t xml:space="preserve"> 承包方所承包施工的全部工程内容 </w:t>
      </w:r>
      <w:r>
        <w:rPr>
          <w:rFonts w:hint="eastAsia" w:ascii="宋体" w:hAnsi="宋体" w:eastAsia="宋体" w:cs="宋体"/>
          <w:color w:val="auto"/>
          <w:sz w:val="21"/>
          <w:szCs w:val="21"/>
          <w:highlight w:val="none"/>
        </w:rPr>
        <w:t>。</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5" w:name="_Toc32666"/>
      <w:bookmarkStart w:id="776" w:name="_Toc522201809"/>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质量</w:t>
      </w:r>
      <w:r>
        <w:rPr>
          <w:rFonts w:hint="eastAsia" w:ascii="宋体" w:hAnsi="宋体" w:eastAsia="宋体" w:cs="宋体"/>
          <w:color w:val="auto"/>
          <w:sz w:val="21"/>
          <w:szCs w:val="21"/>
          <w:highlight w:val="none"/>
        </w:rPr>
        <w:t>保修期</w:t>
      </w:r>
      <w:bookmarkEnd w:id="775"/>
      <w:bookmarkEnd w:id="776"/>
    </w:p>
    <w:p>
      <w:pPr>
        <w:pStyle w:val="39"/>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质量保修期从工程实际竣工验收通过之日算起。分单项竣工验收的工程，按单项工程分别计算质量保修期。</w:t>
      </w:r>
    </w:p>
    <w:p>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根据《建设工程质量管理条例》及有关规定，工程的质量保修期如下：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1．地基基础工程和主体结构工程为设计文件规定的工程合理使用年限；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2．屋面防水工程、有防水要求的卫生间、房间和外墙面的防渗为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五</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3．装修工程为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4．电气管线、给排水管道、设备安装工程为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5．供热与供冷系统为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个采暖期、供冷期；</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6．住宅小区内的给排水设施、道路等配套工程为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color w:val="auto"/>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7．其他项目保修期限约定如下：</w:t>
      </w:r>
      <w:r>
        <w:rPr>
          <w:rFonts w:hint="eastAsia" w:ascii="宋体" w:hAnsi="宋体" w:eastAsia="宋体" w:cs="宋体"/>
          <w:color w:val="auto"/>
          <w:sz w:val="21"/>
          <w:szCs w:val="21"/>
          <w:highlight w:val="none"/>
          <w:u w:val="single"/>
        </w:rPr>
        <w:t xml:space="preserve"> 本工程其余项目质保期均为两年，</w:t>
      </w:r>
      <w:r>
        <w:rPr>
          <w:rFonts w:hint="eastAsia" w:ascii="宋体" w:hAnsi="宋体" w:eastAsia="宋体" w:cs="宋体"/>
          <w:color w:val="auto"/>
          <w:highlight w:val="none"/>
          <w:u w:val="single"/>
        </w:rPr>
        <w:t>质量保修规范如国家有新规定，则按新规定执行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质量保修期自工程竣工验收合格之日起计算。</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7" w:name="_Toc17657"/>
      <w:r>
        <w:rPr>
          <w:rFonts w:hint="eastAsia" w:ascii="宋体" w:hAnsi="宋体" w:eastAsia="宋体" w:cs="宋体"/>
          <w:color w:val="auto"/>
          <w:sz w:val="21"/>
          <w:szCs w:val="21"/>
          <w:highlight w:val="none"/>
        </w:rPr>
        <w:t>三、缺陷责任期</w:t>
      </w:r>
      <w:bookmarkEnd w:id="777"/>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工程缺陷责任期为</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个月（最长不超过24个月），缺陷责任期自工程竣工验收合格之日起计算。单位工程先于全部工程进行验收，单位工程缺陷责任期自单位工程验收合格之日起算。</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缺陷责任期终止后，发包人应退还剩余的质量保证金。</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8" w:name="_Toc23338"/>
      <w:r>
        <w:rPr>
          <w:rFonts w:hint="eastAsia" w:ascii="宋体" w:hAnsi="宋体" w:eastAsia="宋体" w:cs="宋体"/>
          <w:color w:val="auto"/>
          <w:sz w:val="21"/>
          <w:szCs w:val="21"/>
          <w:highlight w:val="none"/>
        </w:rPr>
        <w:t>四、质量保修责任</w:t>
      </w:r>
      <w:bookmarkEnd w:id="778"/>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1．属于保修范围、内容的项目，承包人应当在接到保修通知之日起</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天内派人保修。承包人不在约定期限内派人保修的，发包人可以委托他人修理，修理费用从</w:t>
      </w:r>
      <w:r>
        <w:rPr>
          <w:rFonts w:hint="eastAsia" w:ascii="宋体" w:hAnsi="宋体" w:eastAsia="宋体" w:cs="宋体"/>
          <w:color w:val="auto"/>
          <w:sz w:val="21"/>
          <w:szCs w:val="21"/>
          <w:highlight w:val="none"/>
          <w:lang w:eastAsia="zh-CN"/>
        </w:rPr>
        <w:t>质量保证金</w:t>
      </w:r>
      <w:r>
        <w:rPr>
          <w:rFonts w:hint="eastAsia" w:ascii="宋体" w:hAnsi="宋体" w:eastAsia="宋体" w:cs="宋体"/>
          <w:color w:val="auto"/>
          <w:sz w:val="21"/>
          <w:szCs w:val="21"/>
          <w:highlight w:val="none"/>
        </w:rPr>
        <w:t>内扣除。</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2．发生紧急事故需抢修的，承包人在接到事故通知后，应当立即到达事故现场抢修。</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9" w:name="_Toc30305"/>
      <w:r>
        <w:rPr>
          <w:rFonts w:hint="eastAsia" w:ascii="宋体" w:hAnsi="宋体" w:eastAsia="宋体" w:cs="宋体"/>
          <w:color w:val="auto"/>
          <w:sz w:val="21"/>
          <w:szCs w:val="21"/>
          <w:highlight w:val="none"/>
        </w:rPr>
        <w:t>五、保修费用</w:t>
      </w:r>
      <w:bookmarkEnd w:id="779"/>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p>
    <w:p>
      <w:pPr>
        <w:pStyle w:val="35"/>
        <w:numPr>
          <w:ilvl w:val="0"/>
          <w:numId w:val="0"/>
        </w:numPr>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六、</w:t>
      </w:r>
      <w:r>
        <w:rPr>
          <w:rFonts w:hint="eastAsia" w:ascii="宋体" w:hAnsi="宋体" w:eastAsia="宋体" w:cs="宋体"/>
          <w:color w:val="auto"/>
          <w:sz w:val="21"/>
          <w:szCs w:val="21"/>
          <w:highlight w:val="none"/>
        </w:rPr>
        <w:t xml:space="preserve">双方约定的其他工程质量保修事项：  </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比例：工程结算价的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返还：发包人在质保期（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 xml:space="preserve">）满后一个月内将质保金的全部返回给承包人。质量保证金的返还，并不能免除承包人按照合同约定应承担的质量保修责任和应履行的质量保修义务 </w:t>
      </w:r>
      <w:r>
        <w:rPr>
          <w:rFonts w:hint="eastAsia" w:ascii="宋体" w:hAnsi="宋体" w:eastAsia="宋体" w:cs="宋体"/>
          <w:color w:val="auto"/>
          <w:sz w:val="21"/>
          <w:szCs w:val="21"/>
          <w:highlight w:val="none"/>
        </w:rPr>
        <w:t>。</w:t>
      </w:r>
    </w:p>
    <w:p>
      <w:pPr>
        <w:pStyle w:val="30"/>
        <w:spacing w:line="3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工程质量保修书由发包人、承包人在工程竣工验收前共同签署，作为施工合同附件，其有效期限至保修期满。</w:t>
      </w:r>
    </w:p>
    <w:p>
      <w:pPr>
        <w:pStyle w:val="30"/>
        <w:spacing w:line="320" w:lineRule="exact"/>
        <w:ind w:firstLine="420" w:firstLineChars="200"/>
        <w:rPr>
          <w:rFonts w:hint="eastAsia" w:ascii="宋体" w:hAnsi="宋体" w:eastAsia="宋体" w:cs="宋体"/>
          <w:color w:val="auto"/>
          <w:sz w:val="21"/>
          <w:szCs w:val="21"/>
          <w:highlight w:val="none"/>
        </w:rPr>
      </w:pPr>
    </w:p>
    <w:p>
      <w:pPr>
        <w:pStyle w:val="31"/>
        <w:ind w:left="63" w:right="63"/>
        <w:rPr>
          <w:rFonts w:hint="eastAsia" w:ascii="宋体" w:hAnsi="宋体" w:eastAsia="宋体" w:cs="宋体"/>
          <w:color w:val="auto"/>
          <w:sz w:val="21"/>
          <w:szCs w:val="21"/>
          <w:highlight w:val="none"/>
          <w:lang w:val="en-US" w:eastAsia="zh-CN"/>
        </w:rPr>
      </w:pPr>
    </w:p>
    <w:p>
      <w:pPr>
        <w:pStyle w:val="35"/>
        <w:spacing w:line="320" w:lineRule="exact"/>
        <w:ind w:left="0" w:leftChars="0"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发包人(公章)：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承包人(公章)：</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委托代理人</w:t>
      </w:r>
    </w:p>
    <w:p>
      <w:pPr>
        <w:pStyle w:val="35"/>
        <w:spacing w:line="32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18"/>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780" w:name="_Toc296891055"/>
      <w:bookmarkStart w:id="781" w:name="_Toc296503227"/>
      <w:bookmarkStart w:id="782" w:name="_Toc296891267"/>
      <w:bookmarkStart w:id="783" w:name="_Toc296347226"/>
      <w:bookmarkStart w:id="784" w:name="_Toc296346728"/>
      <w:bookmarkStart w:id="785" w:name="_Toc296944566"/>
      <w:bookmarkStart w:id="786" w:name="_Toc267261698"/>
      <w:r>
        <w:rPr>
          <w:rFonts w:hint="eastAsia" w:ascii="宋体" w:hAnsi="宋体" w:eastAsia="宋体" w:cs="宋体"/>
          <w:color w:val="auto"/>
          <w:sz w:val="21"/>
          <w:szCs w:val="21"/>
          <w:highlight w:val="none"/>
        </w:rPr>
        <w:t>件5：</w:t>
      </w:r>
    </w:p>
    <w:bookmarkEnd w:id="780"/>
    <w:bookmarkEnd w:id="781"/>
    <w:bookmarkEnd w:id="782"/>
    <w:bookmarkEnd w:id="783"/>
    <w:bookmarkEnd w:id="784"/>
    <w:bookmarkEnd w:id="785"/>
    <w:bookmarkEnd w:id="786"/>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18"/>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18"/>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18"/>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787" w:name="_Toc296347231"/>
      <w:bookmarkStart w:id="788" w:name="_Toc267261702"/>
      <w:bookmarkStart w:id="789" w:name="_Toc296891272"/>
      <w:bookmarkStart w:id="790" w:name="_Toc296346733"/>
      <w:bookmarkStart w:id="791" w:name="_Toc296944571"/>
      <w:bookmarkStart w:id="792" w:name="_Toc296503232"/>
      <w:bookmarkStart w:id="793" w:name="_Toc296891060"/>
      <w:r>
        <w:rPr>
          <w:rFonts w:hint="eastAsia" w:ascii="宋体" w:hAnsi="宋体" w:eastAsia="宋体" w:cs="宋体"/>
          <w:color w:val="auto"/>
          <w:sz w:val="21"/>
          <w:szCs w:val="21"/>
          <w:highlight w:val="none"/>
        </w:rPr>
        <w:t>件9 ：</w:t>
      </w:r>
    </w:p>
    <w:bookmarkEnd w:id="787"/>
    <w:bookmarkEnd w:id="788"/>
    <w:bookmarkEnd w:id="789"/>
    <w:bookmarkEnd w:id="790"/>
    <w:bookmarkEnd w:id="791"/>
    <w:bookmarkEnd w:id="792"/>
    <w:bookmarkEnd w:id="793"/>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794" w:name="_Toc6475"/>
      <w:bookmarkStart w:id="795" w:name="_Toc19561"/>
      <w:bookmarkStart w:id="796" w:name="_Toc29110"/>
      <w:bookmarkStart w:id="797" w:name="_Toc23079"/>
      <w:r>
        <w:rPr>
          <w:rFonts w:hint="eastAsia" w:ascii="宋体" w:hAnsi="宋体" w:eastAsia="宋体" w:cs="宋体"/>
          <w:color w:val="auto"/>
          <w:sz w:val="21"/>
          <w:szCs w:val="21"/>
          <w:highlight w:val="none"/>
        </w:rPr>
        <w:t>（发包人名称）（以下简称“发包人”）</w:t>
      </w:r>
      <w:bookmarkEnd w:id="794"/>
      <w:bookmarkEnd w:id="795"/>
      <w:bookmarkEnd w:id="796"/>
      <w:bookmarkEnd w:id="797"/>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 xml:space="preserve">附件10:  </w:t>
      </w: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pPr>
        <w:spacing w:line="440" w:lineRule="exact"/>
        <w:jc w:val="left"/>
        <w:rPr>
          <w:rFonts w:hint="eastAsia" w:ascii="宋体" w:hAnsi="宋体" w:eastAsia="宋体" w:cs="宋体"/>
          <w:color w:val="auto"/>
          <w:sz w:val="21"/>
          <w:szCs w:val="21"/>
          <w:highlight w:val="none"/>
        </w:rPr>
      </w:pP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798" w:name="_Toc25964"/>
      <w:bookmarkStart w:id="799" w:name="_Toc26895"/>
      <w:bookmarkStart w:id="800" w:name="_Toc20380"/>
      <w:bookmarkStart w:id="801" w:name="_Toc31131"/>
      <w:r>
        <w:rPr>
          <w:rFonts w:hint="eastAsia" w:ascii="宋体" w:hAnsi="宋体" w:eastAsia="宋体" w:cs="宋体"/>
          <w:color w:val="auto"/>
          <w:sz w:val="21"/>
          <w:szCs w:val="21"/>
          <w:highlight w:val="none"/>
        </w:rPr>
        <w:t>一、保证的范围及保证金额</w:t>
      </w:r>
      <w:bookmarkEnd w:id="798"/>
      <w:bookmarkEnd w:id="799"/>
      <w:bookmarkEnd w:id="800"/>
      <w:bookmarkEnd w:id="801"/>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02" w:name="_Toc19889"/>
      <w:bookmarkStart w:id="803" w:name="_Toc10162"/>
      <w:bookmarkStart w:id="804" w:name="_Toc16286"/>
      <w:bookmarkStart w:id="805" w:name="_Toc31793"/>
      <w:r>
        <w:rPr>
          <w:rFonts w:hint="eastAsia" w:ascii="宋体" w:hAnsi="宋体" w:eastAsia="宋体" w:cs="宋体"/>
          <w:color w:val="auto"/>
          <w:sz w:val="21"/>
          <w:szCs w:val="21"/>
          <w:highlight w:val="none"/>
        </w:rPr>
        <w:t>二、保证的方式及保证期间</w:t>
      </w:r>
      <w:bookmarkEnd w:id="802"/>
      <w:bookmarkEnd w:id="803"/>
      <w:bookmarkEnd w:id="804"/>
      <w:bookmarkEnd w:id="805"/>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06" w:name="_Toc3217"/>
      <w:bookmarkStart w:id="807" w:name="_Toc30478"/>
      <w:bookmarkStart w:id="808" w:name="_Toc27567"/>
      <w:bookmarkStart w:id="809" w:name="_Toc30010"/>
      <w:r>
        <w:rPr>
          <w:rFonts w:hint="eastAsia" w:ascii="宋体" w:hAnsi="宋体" w:eastAsia="宋体" w:cs="宋体"/>
          <w:color w:val="auto"/>
          <w:sz w:val="21"/>
          <w:szCs w:val="21"/>
          <w:highlight w:val="none"/>
        </w:rPr>
        <w:t>三、承担保证责任的形式</w:t>
      </w:r>
      <w:bookmarkEnd w:id="806"/>
      <w:bookmarkEnd w:id="807"/>
      <w:bookmarkEnd w:id="808"/>
      <w:bookmarkEnd w:id="809"/>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0" w:name="_Toc19016"/>
      <w:bookmarkStart w:id="811" w:name="_Toc4883"/>
      <w:bookmarkStart w:id="812" w:name="_Toc11312"/>
      <w:bookmarkStart w:id="813" w:name="_Toc5876"/>
      <w:r>
        <w:rPr>
          <w:rFonts w:hint="eastAsia" w:ascii="宋体" w:hAnsi="宋体" w:eastAsia="宋体" w:cs="宋体"/>
          <w:color w:val="auto"/>
          <w:sz w:val="21"/>
          <w:szCs w:val="21"/>
          <w:highlight w:val="none"/>
        </w:rPr>
        <w:t>四、代偿的安排</w:t>
      </w:r>
      <w:bookmarkEnd w:id="810"/>
      <w:bookmarkEnd w:id="811"/>
      <w:bookmarkEnd w:id="812"/>
      <w:bookmarkEnd w:id="813"/>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4" w:name="_Toc25107"/>
      <w:bookmarkStart w:id="815" w:name="_Toc2711"/>
      <w:bookmarkStart w:id="816" w:name="_Toc1507"/>
      <w:bookmarkStart w:id="817" w:name="_Toc30624"/>
      <w:r>
        <w:rPr>
          <w:rFonts w:hint="eastAsia" w:ascii="宋体" w:hAnsi="宋体" w:eastAsia="宋体" w:cs="宋体"/>
          <w:color w:val="auto"/>
          <w:sz w:val="21"/>
          <w:szCs w:val="21"/>
          <w:highlight w:val="none"/>
        </w:rPr>
        <w:t>五、保证责任的解除</w:t>
      </w:r>
      <w:bookmarkEnd w:id="814"/>
      <w:bookmarkEnd w:id="815"/>
      <w:bookmarkEnd w:id="816"/>
      <w:bookmarkEnd w:id="817"/>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8" w:name="_Toc3962"/>
      <w:bookmarkStart w:id="819" w:name="_Toc11064"/>
      <w:bookmarkStart w:id="820" w:name="_Toc23407"/>
      <w:bookmarkStart w:id="821" w:name="_Toc32712"/>
      <w:r>
        <w:rPr>
          <w:rFonts w:hint="eastAsia" w:ascii="宋体" w:hAnsi="宋体" w:eastAsia="宋体" w:cs="宋体"/>
          <w:color w:val="auto"/>
          <w:sz w:val="21"/>
          <w:szCs w:val="21"/>
          <w:highlight w:val="none"/>
        </w:rPr>
        <w:t>六、免责条款</w:t>
      </w:r>
      <w:bookmarkEnd w:id="818"/>
      <w:bookmarkEnd w:id="819"/>
      <w:bookmarkEnd w:id="820"/>
      <w:bookmarkEnd w:id="821"/>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22" w:name="_Toc24210"/>
      <w:bookmarkStart w:id="823" w:name="_Toc28001"/>
      <w:bookmarkStart w:id="824" w:name="_Toc5169"/>
      <w:bookmarkStart w:id="825" w:name="_Toc20106"/>
      <w:r>
        <w:rPr>
          <w:rFonts w:hint="eastAsia" w:ascii="宋体" w:hAnsi="宋体" w:eastAsia="宋体" w:cs="宋体"/>
          <w:color w:val="auto"/>
          <w:sz w:val="21"/>
          <w:szCs w:val="21"/>
          <w:highlight w:val="none"/>
        </w:rPr>
        <w:t>七、争议解决</w:t>
      </w:r>
      <w:bookmarkEnd w:id="822"/>
      <w:bookmarkEnd w:id="823"/>
      <w:bookmarkEnd w:id="824"/>
      <w:bookmarkEnd w:id="825"/>
    </w:p>
    <w:p>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26" w:name="_Toc24785"/>
      <w:bookmarkStart w:id="827" w:name="_Toc29914"/>
      <w:bookmarkStart w:id="828" w:name="_Toc5124"/>
      <w:bookmarkStart w:id="829" w:name="_Toc15122"/>
      <w:r>
        <w:rPr>
          <w:rFonts w:hint="eastAsia" w:ascii="宋体" w:hAnsi="宋体" w:eastAsia="宋体" w:cs="宋体"/>
          <w:color w:val="auto"/>
          <w:sz w:val="21"/>
          <w:szCs w:val="21"/>
          <w:highlight w:val="none"/>
        </w:rPr>
        <w:t>八、保函的生效</w:t>
      </w:r>
      <w:bookmarkEnd w:id="826"/>
      <w:bookmarkEnd w:id="827"/>
      <w:bookmarkEnd w:id="828"/>
      <w:bookmarkEnd w:id="829"/>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pPr>
        <w:spacing w:line="360" w:lineRule="auto"/>
        <w:ind w:firstLine="420" w:firstLineChars="200"/>
        <w:jc w:val="left"/>
        <w:rPr>
          <w:rFonts w:hint="eastAsia" w:ascii="宋体" w:hAnsi="宋体" w:eastAsia="宋体" w:cs="宋体"/>
          <w:color w:val="auto"/>
          <w:sz w:val="21"/>
          <w:szCs w:val="21"/>
          <w:highlight w:val="none"/>
        </w:rPr>
      </w:pPr>
    </w:p>
    <w:p>
      <w:pPr>
        <w:spacing w:line="360" w:lineRule="auto"/>
        <w:ind w:right="600"/>
        <w:jc w:val="left"/>
        <w:rPr>
          <w:rFonts w:hint="eastAsia" w:ascii="宋体" w:hAnsi="宋体" w:eastAsia="宋体" w:cs="宋体"/>
          <w:color w:val="auto"/>
          <w:sz w:val="21"/>
          <w:szCs w:val="21"/>
          <w:highlight w:val="none"/>
        </w:rPr>
      </w:pPr>
    </w:p>
    <w:p>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pPr>
        <w:spacing w:line="360" w:lineRule="auto"/>
        <w:ind w:right="150" w:firstLine="420" w:firstLineChars="200"/>
        <w:jc w:val="left"/>
        <w:rPr>
          <w:rFonts w:hint="eastAsia" w:ascii="宋体" w:hAnsi="宋体" w:eastAsia="宋体" w:cs="宋体"/>
          <w:color w:val="auto"/>
          <w:sz w:val="21"/>
          <w:szCs w:val="21"/>
          <w:highlight w:val="none"/>
          <w:u w:val="single"/>
        </w:rPr>
      </w:pPr>
    </w:p>
    <w:p>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附件11：</w:t>
      </w:r>
    </w:p>
    <w:p>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830" w:name="_Toc15518"/>
      <w:bookmarkStart w:id="831" w:name="_Toc18176"/>
      <w:bookmarkStart w:id="832" w:name="_Toc24367"/>
      <w:bookmarkStart w:id="833" w:name="_Toc20900"/>
      <w:r>
        <w:rPr>
          <w:rFonts w:hint="eastAsia" w:ascii="宋体" w:hAnsi="宋体" w:eastAsia="宋体" w:cs="宋体"/>
          <w:color w:val="auto"/>
          <w:sz w:val="21"/>
          <w:szCs w:val="21"/>
          <w:highlight w:val="none"/>
        </w:rPr>
        <w:t>11-1：材料暂估价表</w:t>
      </w:r>
      <w:bookmarkEnd w:id="830"/>
      <w:bookmarkEnd w:id="831"/>
      <w:bookmarkEnd w:id="832"/>
      <w:bookmarkEnd w:id="833"/>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pPr>
        <w:spacing w:before="120" w:beforeLines="50" w:after="120" w:afterLines="50" w:line="440" w:lineRule="exact"/>
        <w:rPr>
          <w:rFonts w:hint="eastAsia" w:ascii="宋体" w:hAnsi="宋体" w:eastAsia="宋体" w:cs="宋体"/>
          <w:color w:val="auto"/>
          <w:sz w:val="21"/>
          <w:szCs w:val="21"/>
          <w:highlight w:val="none"/>
        </w:rPr>
      </w:pP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pPr>
        <w:spacing w:line="440" w:lineRule="exact"/>
        <w:rPr>
          <w:rFonts w:hint="eastAsia" w:ascii="宋体" w:hAnsi="宋体" w:eastAsia="宋体" w:cs="宋体"/>
          <w:color w:val="auto"/>
          <w:sz w:val="21"/>
          <w:szCs w:val="21"/>
          <w:highlight w:val="none"/>
        </w:rPr>
      </w:pP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11-3：专业工程暂估价表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专业工程名称</w:t>
            </w:r>
          </w:p>
        </w:tc>
        <w:tc>
          <w:tcPr>
            <w:tcW w:w="4395"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工程内容</w:t>
            </w:r>
          </w:p>
        </w:tc>
        <w:tc>
          <w:tcPr>
            <w:tcW w:w="1417"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小计：</w:t>
            </w:r>
          </w:p>
        </w:tc>
      </w:tr>
    </w:tbl>
    <w:p>
      <w:pPr>
        <w:spacing w:line="480" w:lineRule="auto"/>
        <w:rPr>
          <w:rFonts w:hint="eastAsia" w:ascii="宋体" w:hAnsi="宋体" w:eastAsia="宋体" w:cs="宋体"/>
          <w:color w:val="auto"/>
          <w:sz w:val="21"/>
          <w:szCs w:val="21"/>
          <w:highlight w:val="none"/>
        </w:rPr>
      </w:pPr>
    </w:p>
    <w:p>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sz w:val="24"/>
          <w:szCs w:val="24"/>
          <w:highlight w:val="none"/>
        </w:rPr>
      </w:pPr>
      <w:bookmarkStart w:id="834" w:name="_Toc2274"/>
      <w:bookmarkStart w:id="835" w:name="_Toc6509"/>
      <w:r>
        <w:rPr>
          <w:rFonts w:hint="eastAsia" w:ascii="宋体" w:hAnsi="宋体" w:eastAsia="宋体" w:cs="宋体"/>
          <w:b/>
          <w:bCs/>
          <w:color w:val="auto"/>
          <w:kern w:val="44"/>
          <w:sz w:val="24"/>
          <w:szCs w:val="24"/>
          <w:highlight w:val="none"/>
        </w:rPr>
        <w:t xml:space="preserve">第六章  </w:t>
      </w:r>
      <w:bookmarkEnd w:id="151"/>
      <w:bookmarkEnd w:id="152"/>
      <w:bookmarkStart w:id="836" w:name="_Toc13185"/>
      <w:r>
        <w:rPr>
          <w:rFonts w:hint="eastAsia" w:ascii="宋体" w:hAnsi="宋体" w:eastAsia="宋体" w:cs="宋体"/>
          <w:b/>
          <w:bCs/>
          <w:color w:val="auto"/>
          <w:sz w:val="24"/>
          <w:szCs w:val="24"/>
          <w:highlight w:val="none"/>
        </w:rPr>
        <w:t>响应文件（格式）</w:t>
      </w:r>
      <w:bookmarkEnd w:id="834"/>
      <w:bookmarkEnd w:id="835"/>
      <w:bookmarkEnd w:id="836"/>
    </w:p>
    <w:p>
      <w:pPr>
        <w:rPr>
          <w:rFonts w:hint="eastAsia" w:ascii="宋体" w:hAnsi="宋体" w:eastAsia="宋体" w:cs="宋体"/>
          <w:color w:val="auto"/>
          <w:sz w:val="24"/>
          <w:szCs w:val="24"/>
          <w:highlight w:val="none"/>
        </w:rPr>
      </w:pPr>
    </w:p>
    <w:p>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pPr>
        <w:adjustRightInd w:val="0"/>
        <w:snapToGrid w:val="0"/>
        <w:rPr>
          <w:rFonts w:hint="eastAsia" w:ascii="宋体" w:hAnsi="宋体" w:eastAsia="宋体" w:cs="宋体"/>
          <w:b/>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snapToGrid w:val="0"/>
        <w:spacing w:before="156" w:beforeLines="50" w:after="50"/>
        <w:jc w:val="center"/>
        <w:rPr>
          <w:rFonts w:hint="eastAsia" w:ascii="宋体" w:hAnsi="宋体" w:eastAsia="宋体" w:cs="宋体"/>
          <w:b/>
          <w:color w:val="auto"/>
          <w:sz w:val="30"/>
          <w:szCs w:val="30"/>
          <w:highlight w:val="none"/>
        </w:rPr>
      </w:pPr>
    </w:p>
    <w:p>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pPr>
        <w:snapToGrid w:val="0"/>
        <w:spacing w:before="156" w:beforeLines="50" w:after="50"/>
        <w:ind w:firstLine="361" w:firstLineChars="150"/>
        <w:rPr>
          <w:rFonts w:hint="eastAsia" w:ascii="宋体" w:hAnsi="宋体" w:eastAsia="宋体" w:cs="宋体"/>
          <w:b/>
          <w:color w:val="auto"/>
          <w:sz w:val="24"/>
          <w:szCs w:val="24"/>
          <w:highlight w:val="none"/>
        </w:rPr>
      </w:pPr>
    </w:p>
    <w:p>
      <w:pPr>
        <w:pStyle w:val="8"/>
        <w:rPr>
          <w:rFonts w:hint="eastAsia"/>
          <w:color w:val="auto"/>
          <w:highlight w:val="none"/>
        </w:rPr>
      </w:pPr>
    </w:p>
    <w:p>
      <w:pPr>
        <w:pStyle w:val="8"/>
        <w:rPr>
          <w:rFonts w:hint="eastAsia"/>
          <w:color w:val="auto"/>
          <w:highlight w:val="none"/>
        </w:rPr>
      </w:pPr>
    </w:p>
    <w:p>
      <w:pPr>
        <w:rPr>
          <w:rFonts w:hint="eastAsia"/>
          <w:color w:val="auto"/>
          <w:highlight w:val="none"/>
        </w:rPr>
      </w:pPr>
    </w:p>
    <w:p>
      <w:pPr>
        <w:snapToGrid w:val="0"/>
        <w:spacing w:before="156" w:beforeLines="50" w:after="50"/>
        <w:ind w:firstLine="361" w:firstLineChars="150"/>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灌阳县西山瑶族乡2024年少数民族特色油茶技艺项目</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GLZC2024-C2-270159-GXJY</w:t>
      </w:r>
    </w:p>
    <w:p>
      <w:pPr>
        <w:rPr>
          <w:rFonts w:hint="eastAsia" w:ascii="宋体" w:hAnsi="宋体" w:eastAsia="宋体" w:cs="宋体"/>
          <w:b/>
          <w:color w:val="auto"/>
          <w:sz w:val="24"/>
          <w:szCs w:val="24"/>
          <w:highlight w:val="none"/>
        </w:rPr>
      </w:pPr>
    </w:p>
    <w:p>
      <w:pPr>
        <w:spacing w:line="400" w:lineRule="exact"/>
        <w:ind w:firstLine="2318" w:firstLineChars="962"/>
        <w:rPr>
          <w:rFonts w:hint="eastAsia" w:ascii="宋体" w:hAnsi="宋体" w:eastAsia="宋体" w:cs="宋体"/>
          <w:b/>
          <w:color w:val="auto"/>
          <w:sz w:val="24"/>
          <w:szCs w:val="24"/>
          <w:highlight w:val="none"/>
        </w:rPr>
      </w:pPr>
    </w:p>
    <w:p>
      <w:pPr>
        <w:pStyle w:val="8"/>
        <w:rPr>
          <w:rFonts w:hint="eastAsia" w:ascii="宋体" w:hAnsi="宋体" w:eastAsia="宋体" w:cs="宋体"/>
          <w:b/>
          <w:color w:val="auto"/>
          <w:sz w:val="24"/>
          <w:szCs w:val="24"/>
          <w:highlight w:val="none"/>
        </w:rPr>
      </w:pPr>
    </w:p>
    <w:p>
      <w:pPr>
        <w:rPr>
          <w:rFonts w:hint="eastAsia"/>
          <w:color w:val="auto"/>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7" w:name="_Toc20319_WPSOffice_Level2"/>
      <w:bookmarkStart w:id="838" w:name="_Toc4932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837"/>
      <w:bookmarkEnd w:id="838"/>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839" w:name="_Toc32056_WPSOffice_Level2"/>
      <w:bookmarkStart w:id="840" w:name="_Toc9622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839"/>
    <w:bookmarkEnd w:id="840"/>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41" w:name="_Toc26465_WPSOffice_Level2"/>
      <w:bookmarkStart w:id="842"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841"/>
      <w:bookmarkEnd w:id="842"/>
    </w:p>
    <w:p>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7.供应商2022年度以来任意一个年度内的财务状况报告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pPr>
        <w:spacing w:line="440" w:lineRule="atLeast"/>
        <w:rPr>
          <w:rFonts w:hint="eastAsia" w:ascii="宋体" w:hAnsi="宋体" w:eastAsia="宋体" w:cs="宋体"/>
          <w:b/>
          <w:bCs w:val="0"/>
          <w:color w:val="auto"/>
          <w:sz w:val="24"/>
          <w:szCs w:val="24"/>
          <w:highlight w:val="none"/>
          <w:lang w:val="en-US" w:eastAsia="zh-CN"/>
        </w:rPr>
      </w:pPr>
    </w:p>
    <w:p>
      <w:pPr>
        <w:spacing w:line="440" w:lineRule="atLeast"/>
        <w:rPr>
          <w:rFonts w:hint="eastAsia" w:ascii="宋体" w:hAnsi="宋体" w:eastAsia="宋体" w:cs="宋体"/>
          <w:b/>
          <w:bCs w:val="0"/>
          <w:color w:val="auto"/>
          <w:sz w:val="24"/>
          <w:szCs w:val="24"/>
          <w:highlight w:val="none"/>
          <w:lang w:val="en-US" w:eastAsia="zh-CN"/>
        </w:rPr>
      </w:pP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pPr>
        <w:spacing w:line="440" w:lineRule="atLeast"/>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rPr>
          <w:rFonts w:hint="eastAsia" w:ascii="宋体" w:hAnsi="宋体" w:eastAsia="宋体" w:cs="宋体"/>
          <w:b/>
          <w:color w:val="auto"/>
          <w:sz w:val="21"/>
          <w:szCs w:val="21"/>
          <w:highlight w:val="none"/>
        </w:rPr>
      </w:pPr>
    </w:p>
    <w:p>
      <w:pPr>
        <w:pStyle w:val="3"/>
        <w:tabs>
          <w:tab w:val="left" w:pos="567"/>
        </w:tabs>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pPr>
        <w:pStyle w:val="11"/>
        <w:ind w:firstLine="472" w:firstLineChars="196"/>
        <w:jc w:val="center"/>
        <w:rPr>
          <w:rFonts w:hint="eastAsia" w:ascii="宋体" w:hAnsi="宋体" w:eastAsia="宋体" w:cs="宋体"/>
          <w:b/>
          <w:color w:val="auto"/>
          <w:sz w:val="24"/>
          <w:szCs w:val="24"/>
          <w:highlight w:val="none"/>
        </w:rPr>
      </w:pPr>
      <w:bookmarkStart w:id="843" w:name="_Toc5420_WPSOffice_Level1"/>
      <w:bookmarkStart w:id="844" w:name="_Toc964_WPSOffice_Level1"/>
      <w:r>
        <w:rPr>
          <w:rFonts w:hint="eastAsia" w:ascii="宋体" w:hAnsi="宋体" w:eastAsia="宋体" w:cs="宋体"/>
          <w:b/>
          <w:color w:val="auto"/>
          <w:sz w:val="24"/>
          <w:szCs w:val="24"/>
          <w:highlight w:val="none"/>
        </w:rPr>
        <w:t>授权委托书（格式一）</w:t>
      </w:r>
      <w:bookmarkEnd w:id="843"/>
      <w:bookmarkEnd w:id="844"/>
    </w:p>
    <w:p>
      <w:pPr>
        <w:spacing w:line="400" w:lineRule="exact"/>
        <w:rPr>
          <w:rFonts w:hint="eastAsia" w:ascii="宋体" w:hAnsi="宋体" w:eastAsia="宋体" w:cs="宋体"/>
          <w:color w:val="auto"/>
          <w:sz w:val="21"/>
          <w:szCs w:val="21"/>
          <w:highlight w:val="none"/>
        </w:rPr>
      </w:pPr>
    </w:p>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pPr>
        <w:spacing w:line="400" w:lineRule="exact"/>
        <w:rPr>
          <w:rFonts w:hint="eastAsia" w:ascii="宋体" w:hAnsi="宋体" w:eastAsia="宋体" w:cs="宋体"/>
          <w:color w:val="auto"/>
          <w:sz w:val="21"/>
          <w:szCs w:val="21"/>
          <w:highlight w:val="none"/>
        </w:rPr>
      </w:pP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pPr>
        <w:spacing w:line="400" w:lineRule="exact"/>
        <w:ind w:firstLine="420" w:firstLineChars="200"/>
        <w:rPr>
          <w:rFonts w:hint="eastAsia" w:ascii="宋体" w:hAnsi="宋体" w:eastAsia="宋体" w:cs="宋体"/>
          <w:color w:val="auto"/>
          <w:kern w:val="0"/>
          <w:sz w:val="21"/>
          <w:szCs w:val="21"/>
          <w:highlight w:val="none"/>
        </w:rPr>
      </w:pPr>
    </w:p>
    <w:p>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pPr>
        <w:spacing w:line="400" w:lineRule="exact"/>
        <w:ind w:firstLine="420" w:firstLineChars="200"/>
        <w:rPr>
          <w:rFonts w:hint="eastAsia" w:ascii="宋体" w:hAnsi="宋体" w:eastAsia="宋体" w:cs="宋体"/>
          <w:color w:val="auto"/>
          <w:sz w:val="21"/>
          <w:szCs w:val="21"/>
          <w:highlight w:val="none"/>
        </w:rPr>
      </w:pPr>
    </w:p>
    <w:p>
      <w:pPr>
        <w:spacing w:line="400" w:lineRule="exact"/>
        <w:ind w:firstLine="420" w:firstLineChars="200"/>
        <w:rPr>
          <w:rFonts w:hint="eastAsia" w:ascii="宋体" w:hAnsi="宋体" w:eastAsia="宋体" w:cs="宋体"/>
          <w:color w:val="auto"/>
          <w:sz w:val="21"/>
          <w:szCs w:val="21"/>
          <w:highlight w:val="none"/>
        </w:rPr>
      </w:pPr>
    </w:p>
    <w:p>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napToGrid w:val="0"/>
        <w:spacing w:line="400" w:lineRule="exact"/>
        <w:ind w:firstLine="420"/>
        <w:rPr>
          <w:rFonts w:hint="eastAsia" w:ascii="宋体" w:hAnsi="宋体" w:eastAsia="宋体" w:cs="宋体"/>
          <w:color w:val="auto"/>
          <w:sz w:val="21"/>
          <w:szCs w:val="21"/>
          <w:highlight w:val="none"/>
        </w:rPr>
      </w:pPr>
    </w:p>
    <w:p>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8"/>
        <w:rPr>
          <w:rFonts w:hint="eastAsia"/>
          <w:color w:val="auto"/>
          <w:highlight w:val="none"/>
        </w:rPr>
      </w:pPr>
    </w:p>
    <w:p>
      <w:pPr>
        <w:snapToGrid w:val="0"/>
        <w:spacing w:line="400" w:lineRule="exact"/>
        <w:ind w:firstLine="420"/>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6"/>
        <w:rPr>
          <w:rFonts w:hint="eastAsia" w:ascii="宋体" w:hAnsi="宋体" w:eastAsia="宋体" w:cs="宋体"/>
          <w:color w:val="auto"/>
          <w:sz w:val="21"/>
          <w:szCs w:val="21"/>
          <w:highlight w:val="none"/>
        </w:rPr>
      </w:pPr>
    </w:p>
    <w:p>
      <w:pPr>
        <w:pStyle w:val="11"/>
        <w:jc w:val="center"/>
        <w:rPr>
          <w:rFonts w:hint="eastAsia" w:ascii="宋体" w:hAnsi="宋体" w:eastAsia="宋体" w:cs="宋体"/>
          <w:b/>
          <w:color w:val="auto"/>
          <w:sz w:val="21"/>
          <w:szCs w:val="21"/>
          <w:highlight w:val="none"/>
        </w:rPr>
      </w:pPr>
      <w:bookmarkStart w:id="845" w:name="_Toc6975_WPSOffice_Level1"/>
      <w:bookmarkStart w:id="846" w:name="_Toc21370_WPSOffice_Level1"/>
    </w:p>
    <w:p>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845"/>
      <w:bookmarkEnd w:id="846"/>
    </w:p>
    <w:p>
      <w:pPr>
        <w:pStyle w:val="11"/>
        <w:jc w:val="both"/>
        <w:rPr>
          <w:rFonts w:hint="eastAsia" w:ascii="宋体" w:hAnsi="宋体" w:eastAsia="宋体" w:cs="宋体"/>
          <w:b/>
          <w:color w:val="auto"/>
          <w:sz w:val="21"/>
          <w:szCs w:val="21"/>
          <w:highlight w:val="none"/>
        </w:rPr>
      </w:pPr>
    </w:p>
    <w:p>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pPr>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pPr>
        <w:spacing w:line="340" w:lineRule="exact"/>
        <w:ind w:firstLine="420" w:firstLineChars="200"/>
        <w:rPr>
          <w:rFonts w:hint="eastAsia" w:ascii="宋体" w:hAnsi="宋体" w:eastAsia="宋体" w:cs="宋体"/>
          <w:color w:val="auto"/>
          <w:kern w:val="0"/>
          <w:sz w:val="21"/>
          <w:szCs w:val="21"/>
          <w:highlight w:val="none"/>
        </w:rPr>
      </w:pPr>
    </w:p>
    <w:p>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pPr>
        <w:spacing w:line="340" w:lineRule="exact"/>
        <w:ind w:firstLine="420" w:firstLineChars="200"/>
        <w:rPr>
          <w:rFonts w:hint="eastAsia" w:ascii="宋体" w:hAnsi="宋体" w:eastAsia="宋体" w:cs="宋体"/>
          <w:color w:val="auto"/>
          <w:sz w:val="21"/>
          <w:szCs w:val="21"/>
          <w:highlight w:val="none"/>
        </w:rPr>
      </w:pPr>
    </w:p>
    <w:p>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8"/>
        <w:rPr>
          <w:rFonts w:hint="eastAsia"/>
          <w:color w:val="auto"/>
          <w:highlight w:val="none"/>
        </w:rPr>
      </w:pPr>
    </w:p>
    <w:p>
      <w:pPr>
        <w:pStyle w:val="11"/>
        <w:spacing w:line="400" w:lineRule="exact"/>
        <w:ind w:left="420" w:leftChars="200"/>
        <w:rPr>
          <w:rFonts w:hint="eastAsia" w:ascii="宋体" w:hAnsi="宋体" w:eastAsia="宋体" w:cs="宋体"/>
          <w:color w:val="auto"/>
          <w:sz w:val="21"/>
          <w:szCs w:val="21"/>
          <w:highlight w:val="none"/>
        </w:rPr>
      </w:pPr>
    </w:p>
    <w:p>
      <w:pPr>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Style w:val="11"/>
        <w:spacing w:line="400" w:lineRule="exact"/>
        <w:jc w:val="center"/>
        <w:rPr>
          <w:rFonts w:hint="eastAsia" w:ascii="宋体" w:hAnsi="宋体" w:eastAsia="宋体" w:cs="宋体"/>
          <w:b/>
          <w:color w:val="auto"/>
          <w:sz w:val="21"/>
          <w:szCs w:val="21"/>
          <w:highlight w:val="none"/>
        </w:rPr>
      </w:pPr>
      <w:bookmarkStart w:id="847" w:name="_Toc30304_WPSOffice_Level1"/>
      <w:bookmarkStart w:id="848" w:name="_Toc30890_WPSOffice_Level1"/>
      <w:r>
        <w:rPr>
          <w:rFonts w:hint="eastAsia" w:ascii="宋体" w:hAnsi="宋体" w:eastAsia="宋体" w:cs="宋体"/>
          <w:b/>
          <w:color w:val="auto"/>
          <w:sz w:val="21"/>
          <w:szCs w:val="21"/>
          <w:highlight w:val="none"/>
        </w:rPr>
        <w:t>声   明</w:t>
      </w:r>
      <w:bookmarkEnd w:id="847"/>
      <w:bookmarkEnd w:id="848"/>
    </w:p>
    <w:p>
      <w:pPr>
        <w:pStyle w:val="11"/>
        <w:spacing w:line="400" w:lineRule="exact"/>
        <w:jc w:val="both"/>
        <w:rPr>
          <w:rFonts w:hint="eastAsia" w:ascii="宋体" w:hAnsi="宋体" w:eastAsia="宋体" w:cs="宋体"/>
          <w:b/>
          <w:color w:val="auto"/>
          <w:sz w:val="21"/>
          <w:szCs w:val="21"/>
          <w:highlight w:val="none"/>
        </w:rPr>
      </w:pPr>
    </w:p>
    <w:p>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pPr>
        <w:rPr>
          <w:rFonts w:hint="eastAsia" w:ascii="宋体" w:hAnsi="宋体" w:eastAsia="宋体" w:cs="宋体"/>
          <w:color w:val="auto"/>
          <w:sz w:val="21"/>
          <w:szCs w:val="21"/>
          <w:highlight w:val="none"/>
          <w:u w:val="single"/>
        </w:rPr>
      </w:pPr>
    </w:p>
    <w:p>
      <w:pPr>
        <w:pStyle w:val="8"/>
        <w:rPr>
          <w:rFonts w:hint="eastAsia" w:ascii="宋体" w:hAnsi="宋体" w:eastAsia="宋体" w:cs="宋体"/>
          <w:color w:val="auto"/>
          <w:sz w:val="21"/>
          <w:szCs w:val="21"/>
          <w:highlight w:val="none"/>
        </w:rPr>
      </w:pP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rPr>
          <w:rFonts w:hint="eastAsia" w:ascii="宋体" w:hAnsi="宋体" w:eastAsia="宋体" w:cs="宋体"/>
          <w:color w:val="auto"/>
          <w:sz w:val="21"/>
          <w:szCs w:val="21"/>
          <w:highlight w:val="none"/>
        </w:rPr>
      </w:pPr>
    </w:p>
    <w:p>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11"/>
        <w:ind w:firstLine="3990" w:firstLineChars="1900"/>
        <w:rPr>
          <w:rFonts w:hint="eastAsia" w:ascii="宋体" w:hAnsi="宋体" w:eastAsia="宋体" w:cs="宋体"/>
          <w:color w:val="auto"/>
          <w:sz w:val="21"/>
          <w:szCs w:val="21"/>
          <w:highlight w:val="none"/>
        </w:rPr>
      </w:pPr>
    </w:p>
    <w:p>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pStyle w:val="11"/>
        <w:spacing w:line="340" w:lineRule="exact"/>
        <w:rPr>
          <w:rFonts w:hint="eastAsia" w:ascii="宋体" w:hAnsi="宋体" w:eastAsia="宋体" w:cs="宋体"/>
          <w:b/>
          <w:color w:val="auto"/>
          <w:sz w:val="21"/>
          <w:szCs w:val="21"/>
          <w:highlight w:val="none"/>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p>
    <w:p>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pPr>
        <w:tabs>
          <w:tab w:val="left" w:pos="1305"/>
        </w:tabs>
        <w:spacing w:line="340" w:lineRule="exact"/>
        <w:rPr>
          <w:rFonts w:hint="eastAsia" w:ascii="宋体" w:hAnsi="宋体" w:eastAsia="宋体" w:cs="宋体"/>
          <w:b/>
          <w:color w:val="auto"/>
          <w:sz w:val="21"/>
          <w:szCs w:val="21"/>
          <w:highlight w:val="none"/>
        </w:rPr>
      </w:pPr>
    </w:p>
    <w:p>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pPr>
        <w:rPr>
          <w:rFonts w:hint="eastAsia" w:ascii="宋体" w:hAnsi="宋体" w:eastAsia="宋体" w:cs="宋体"/>
          <w:b/>
          <w:bCs/>
          <w:color w:val="auto"/>
          <w:sz w:val="21"/>
          <w:szCs w:val="21"/>
          <w:highlight w:val="none"/>
        </w:rPr>
      </w:pPr>
    </w:p>
    <w:p>
      <w:pPr>
        <w:pStyle w:val="8"/>
        <w:rPr>
          <w:rFonts w:hint="eastAsia" w:ascii="宋体" w:hAnsi="宋体" w:eastAsia="宋体" w:cs="宋体"/>
          <w:b/>
          <w:bCs/>
          <w:color w:val="auto"/>
          <w:sz w:val="21"/>
          <w:szCs w:val="21"/>
          <w:highlight w:val="none"/>
        </w:rPr>
      </w:pPr>
    </w:p>
    <w:p>
      <w:pPr>
        <w:rPr>
          <w:rFonts w:hint="eastAsia"/>
          <w:color w:val="auto"/>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3"/>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pPr>
        <w:pStyle w:val="6"/>
        <w:numPr>
          <w:ilvl w:val="0"/>
          <w:numId w:val="0"/>
        </w:numPr>
        <w:ind w:leftChars="200"/>
        <w:rPr>
          <w:rFonts w:hint="eastAsia" w:ascii="宋体" w:hAnsi="宋体" w:eastAsia="宋体" w:cs="宋体"/>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5"/>
        <w:rPr>
          <w:rFonts w:hint="eastAsia"/>
          <w:color w:val="auto"/>
          <w:highlight w:val="none"/>
          <w:lang w:val="en-US" w:eastAsia="zh-CN"/>
        </w:rPr>
      </w:pPr>
    </w:p>
    <w:p>
      <w:pPr>
        <w:pStyle w:val="5"/>
        <w:rPr>
          <w:rFonts w:hint="eastAsia"/>
          <w:color w:val="auto"/>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pPr>
        <w:pStyle w:val="11"/>
        <w:spacing w:line="340" w:lineRule="exact"/>
        <w:rPr>
          <w:rFonts w:hint="eastAsia" w:ascii="宋体" w:hAnsi="宋体" w:eastAsia="宋体" w:cs="宋体"/>
          <w:b/>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sz w:val="24"/>
          <w:szCs w:val="24"/>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.供应商2022年度以来任意一个年度内的财务状况报告（必须提供，可以是供应商自行编制也可以是通过第三方审计公司编制，如为自行编制至少须提供现金流量表、负债表及利润表）；</w:t>
      </w:r>
    </w:p>
    <w:p>
      <w:pPr>
        <w:pStyle w:val="6"/>
        <w:numPr>
          <w:ilvl w:val="0"/>
          <w:numId w:val="0"/>
        </w:numPr>
        <w:rPr>
          <w:rFonts w:hint="eastAsia" w:ascii="宋体" w:hAnsi="宋体" w:eastAsia="宋体" w:cs="宋体"/>
          <w:b/>
          <w:color w:val="auto"/>
          <w:sz w:val="24"/>
          <w:szCs w:val="24"/>
          <w:highlight w:val="none"/>
          <w:lang w:val="en-US" w:eastAsia="zh-CN"/>
        </w:rPr>
      </w:pPr>
    </w:p>
    <w:p>
      <w:pPr>
        <w:pStyle w:val="8"/>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3"/>
        <w:rPr>
          <w:rFonts w:hint="eastAsia"/>
          <w:color w:val="auto"/>
          <w:highlight w:val="none"/>
          <w:lang w:val="en-US" w:eastAsia="zh-CN"/>
        </w:rPr>
      </w:pPr>
    </w:p>
    <w:p>
      <w:pPr>
        <w:rPr>
          <w:rFonts w:hint="eastAsia"/>
          <w:color w:val="auto"/>
          <w:highlight w:val="none"/>
          <w:lang w:val="en-US" w:eastAsia="zh-CN"/>
        </w:rPr>
      </w:pPr>
    </w:p>
    <w:p>
      <w:pPr>
        <w:rPr>
          <w:rFonts w:hint="eastAsia"/>
          <w:color w:val="auto"/>
          <w:sz w:val="24"/>
          <w:szCs w:val="24"/>
          <w:highlight w:val="none"/>
          <w:lang w:val="en-US" w:eastAsia="zh-CN"/>
        </w:rPr>
      </w:pPr>
    </w:p>
    <w:p>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pPr>
        <w:numPr>
          <w:ilvl w:val="0"/>
          <w:numId w:val="0"/>
        </w:numPr>
        <w:ind w:left="420" w:leftChars="0"/>
        <w:jc w:val="center"/>
        <w:rPr>
          <w:rFonts w:hint="eastAsia" w:ascii="宋体" w:hAnsi="宋体" w:eastAsia="宋体" w:cs="宋体"/>
          <w:b/>
          <w:bCs/>
          <w:color w:val="auto"/>
          <w:sz w:val="21"/>
          <w:szCs w:val="21"/>
          <w:highlight w:val="none"/>
          <w:lang w:eastAsia="zh-CN"/>
        </w:rPr>
      </w:pPr>
    </w:p>
    <w:p>
      <w:pPr>
        <w:numPr>
          <w:ilvl w:val="0"/>
          <w:numId w:val="0"/>
        </w:numPr>
        <w:ind w:left="420" w:leftChars="0"/>
        <w:jc w:val="center"/>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pPr>
        <w:jc w:val="center"/>
        <w:outlineLvl w:val="9"/>
        <w:rPr>
          <w:rStyle w:val="40"/>
          <w:rFonts w:hint="eastAsia" w:ascii="宋体" w:hAnsi="宋体" w:eastAsia="宋体" w:cs="宋体"/>
          <w:b/>
          <w:bCs/>
          <w:color w:val="auto"/>
          <w:kern w:val="0"/>
          <w:sz w:val="21"/>
          <w:szCs w:val="21"/>
          <w:highlight w:val="none"/>
        </w:rPr>
      </w:pPr>
    </w:p>
    <w:p>
      <w:pPr>
        <w:jc w:val="center"/>
        <w:outlineLvl w:val="9"/>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lang w:val="en-US" w:eastAsia="zh-CN"/>
        </w:rPr>
        <w:t>1</w:t>
      </w: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rPr>
        <w:t>中小企业声明函（工程）</w:t>
      </w:r>
    </w:p>
    <w:p>
      <w:pPr>
        <w:pStyle w:val="41"/>
        <w:ind w:left="63" w:right="63"/>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0"/>
          <w:rFonts w:hint="eastAsia" w:ascii="宋体" w:hAnsi="宋体" w:eastAsia="宋体" w:cs="宋体"/>
          <w:color w:val="auto"/>
          <w:kern w:val="0"/>
          <w:sz w:val="21"/>
          <w:szCs w:val="21"/>
          <w:highlight w:val="none"/>
          <w:u w:val="single" w:color="000000"/>
        </w:rPr>
        <w:t>（单位名称）</w:t>
      </w:r>
      <w:r>
        <w:rPr>
          <w:rStyle w:val="40"/>
          <w:rFonts w:hint="eastAsia" w:ascii="宋体" w:hAnsi="宋体" w:eastAsia="宋体" w:cs="宋体"/>
          <w:color w:val="auto"/>
          <w:kern w:val="0"/>
          <w:sz w:val="21"/>
          <w:szCs w:val="21"/>
          <w:highlight w:val="none"/>
        </w:rPr>
        <w:t>的</w:t>
      </w:r>
      <w:r>
        <w:rPr>
          <w:rStyle w:val="40"/>
          <w:rFonts w:hint="eastAsia" w:ascii="宋体" w:hAnsi="宋体" w:eastAsia="宋体" w:cs="宋体"/>
          <w:color w:val="auto"/>
          <w:kern w:val="0"/>
          <w:sz w:val="21"/>
          <w:szCs w:val="21"/>
          <w:highlight w:val="none"/>
          <w:u w:val="single" w:color="000000"/>
        </w:rPr>
        <w:t>（项目名称）</w:t>
      </w:r>
      <w:r>
        <w:rPr>
          <w:rStyle w:val="40"/>
          <w:rFonts w:hint="eastAsia" w:ascii="宋体" w:hAnsi="宋体" w:eastAsia="宋体" w:cs="宋体"/>
          <w:color w:val="auto"/>
          <w:kern w:val="0"/>
          <w:sz w:val="21"/>
          <w:szCs w:val="21"/>
          <w:highlight w:val="none"/>
        </w:rPr>
        <w:t>采购活动，</w:t>
      </w:r>
      <w:r>
        <w:rPr>
          <w:rStyle w:val="40"/>
          <w:rFonts w:hint="eastAsia" w:ascii="宋体" w:hAnsi="宋体" w:eastAsia="宋体" w:cs="宋体"/>
          <w:color w:val="auto"/>
          <w:kern w:val="0"/>
          <w:sz w:val="21"/>
          <w:szCs w:val="21"/>
          <w:highlight w:val="none"/>
          <w:lang w:val="en-US" w:eastAsia="zh-CN"/>
        </w:rPr>
        <w:t>工程的施工单位</w:t>
      </w:r>
      <w:r>
        <w:rPr>
          <w:rStyle w:val="40"/>
          <w:rFonts w:hint="eastAsia" w:ascii="宋体" w:hAnsi="宋体" w:eastAsia="宋体" w:cs="宋体"/>
          <w:color w:val="auto"/>
          <w:kern w:val="0"/>
          <w:sz w:val="21"/>
          <w:szCs w:val="21"/>
          <w:highlight w:val="none"/>
        </w:rPr>
        <w:t>全部</w:t>
      </w:r>
      <w:r>
        <w:rPr>
          <w:rStyle w:val="40"/>
          <w:rFonts w:hint="eastAsia" w:ascii="宋体" w:hAnsi="宋体" w:eastAsia="宋体" w:cs="宋体"/>
          <w:color w:val="auto"/>
          <w:kern w:val="0"/>
          <w:sz w:val="21"/>
          <w:szCs w:val="21"/>
          <w:highlight w:val="none"/>
          <w:lang w:val="en-US" w:eastAsia="zh-CN"/>
        </w:rPr>
        <w:t>为</w:t>
      </w:r>
      <w:r>
        <w:rPr>
          <w:rStyle w:val="40"/>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 </w:t>
      </w:r>
      <w:r>
        <w:rPr>
          <w:rStyle w:val="40"/>
          <w:rFonts w:hint="eastAsia" w:ascii="宋体" w:hAnsi="宋体" w:eastAsia="宋体" w:cs="宋体"/>
          <w:color w:val="auto"/>
          <w:kern w:val="0"/>
          <w:sz w:val="21"/>
          <w:szCs w:val="21"/>
          <w:highlight w:val="none"/>
          <w:u w:val="single" w:color="000000"/>
        </w:rPr>
        <w:t xml:space="preserve">（标的名称） </w:t>
      </w:r>
      <w:r>
        <w:rPr>
          <w:rStyle w:val="40"/>
          <w:rFonts w:hint="eastAsia" w:ascii="宋体" w:hAnsi="宋体" w:eastAsia="宋体" w:cs="宋体"/>
          <w:color w:val="auto"/>
          <w:kern w:val="0"/>
          <w:sz w:val="21"/>
          <w:szCs w:val="21"/>
          <w:highlight w:val="none"/>
        </w:rPr>
        <w:t xml:space="preserve">，属于 </w:t>
      </w:r>
      <w:r>
        <w:rPr>
          <w:rStyle w:val="40"/>
          <w:rFonts w:hint="eastAsia" w:ascii="宋体" w:hAnsi="宋体" w:eastAsia="宋体" w:cs="宋体"/>
          <w:color w:val="auto"/>
          <w:kern w:val="0"/>
          <w:sz w:val="21"/>
          <w:szCs w:val="21"/>
          <w:highlight w:val="none"/>
          <w:u w:val="single" w:color="000000"/>
        </w:rPr>
        <w:t xml:space="preserve">（招标文件中明确的所属行业） </w:t>
      </w:r>
      <w:r>
        <w:rPr>
          <w:rStyle w:val="40"/>
          <w:rFonts w:hint="eastAsia" w:ascii="宋体" w:hAnsi="宋体" w:eastAsia="宋体" w:cs="宋体"/>
          <w:color w:val="auto"/>
          <w:kern w:val="0"/>
          <w:sz w:val="21"/>
          <w:szCs w:val="21"/>
          <w:highlight w:val="none"/>
        </w:rPr>
        <w:t>； 承接企业为</w:t>
      </w:r>
      <w:r>
        <w:rPr>
          <w:rStyle w:val="40"/>
          <w:rFonts w:hint="eastAsia" w:ascii="宋体" w:hAnsi="宋体" w:eastAsia="宋体" w:cs="宋体"/>
          <w:color w:val="auto"/>
          <w:kern w:val="0"/>
          <w:sz w:val="21"/>
          <w:szCs w:val="21"/>
          <w:highlight w:val="none"/>
          <w:u w:val="single" w:color="000000"/>
        </w:rPr>
        <w:t>（企业名称）</w:t>
      </w:r>
      <w:r>
        <w:rPr>
          <w:rStyle w:val="40"/>
          <w:rFonts w:hint="eastAsia" w:ascii="宋体" w:hAnsi="宋体" w:eastAsia="宋体" w:cs="宋体"/>
          <w:color w:val="auto"/>
          <w:kern w:val="0"/>
          <w:sz w:val="21"/>
          <w:szCs w:val="21"/>
          <w:highlight w:val="none"/>
        </w:rPr>
        <w:t>，从业人员</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人，营业收入为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万元，资产总额为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万元，属于</w:t>
      </w:r>
      <w:r>
        <w:rPr>
          <w:rStyle w:val="40"/>
          <w:rFonts w:hint="eastAsia" w:ascii="宋体" w:hAnsi="宋体" w:eastAsia="宋体" w:cs="宋体"/>
          <w:color w:val="auto"/>
          <w:kern w:val="0"/>
          <w:sz w:val="21"/>
          <w:szCs w:val="21"/>
          <w:highlight w:val="none"/>
          <w:u w:val="single" w:color="000000"/>
        </w:rPr>
        <w:t>（中型企业、 小型企业、微型企业）</w:t>
      </w:r>
      <w:r>
        <w:rPr>
          <w:rStyle w:val="40"/>
          <w:rFonts w:hint="eastAsia" w:ascii="宋体" w:hAnsi="宋体" w:eastAsia="宋体" w:cs="宋体"/>
          <w:color w:val="auto"/>
          <w:kern w:val="0"/>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本企业对上述声明内容的真实性负责。如有虚假，将依法承担相应责任。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11"/>
        <w:spacing w:line="300" w:lineRule="exact"/>
        <w:ind w:left="2940" w:leftChars="1400" w:firstLine="630" w:firstLineChars="300"/>
        <w:rPr>
          <w:rFonts w:hint="eastAsia" w:ascii="宋体" w:hAnsi="宋体" w:eastAsia="宋体" w:cs="宋体"/>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pPr>
        <w:rPr>
          <w:rStyle w:val="40"/>
          <w:rFonts w:hint="eastAsia" w:ascii="宋体" w:hAnsi="宋体" w:eastAsia="宋体" w:cs="宋体"/>
          <w:b/>
          <w:bCs/>
          <w:color w:val="auto"/>
          <w:sz w:val="21"/>
          <w:szCs w:val="21"/>
          <w:highlight w:val="none"/>
        </w:rPr>
      </w:pPr>
      <w:r>
        <w:rPr>
          <w:rStyle w:val="40"/>
          <w:rFonts w:hint="eastAsia" w:ascii="宋体" w:hAnsi="宋体" w:eastAsia="宋体" w:cs="宋体"/>
          <w:b/>
          <w:bCs/>
          <w:color w:val="auto"/>
          <w:sz w:val="21"/>
          <w:szCs w:val="21"/>
          <w:highlight w:val="none"/>
        </w:rPr>
        <w:t>附表</w:t>
      </w:r>
    </w:p>
    <w:p>
      <w:pPr>
        <w:spacing w:before="120" w:after="120" w:line="40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pPr>
              <w:spacing w:line="24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lang w:eastAsia="zh-CN"/>
              </w:rPr>
            </w:pPr>
            <w:r>
              <w:rPr>
                <w:rStyle w:val="40"/>
                <w:rFonts w:hint="eastAsia" w:ascii="宋体" w:hAnsi="宋体" w:eastAsia="宋体" w:cs="宋体"/>
                <w:b/>
                <w:bCs/>
                <w:color w:val="auto"/>
                <w:kern w:val="0"/>
                <w:sz w:val="21"/>
                <w:szCs w:val="21"/>
                <w:highlight w:val="none"/>
              </w:rPr>
              <w:t>计量</w:t>
            </w:r>
          </w:p>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spacing w:val="-12"/>
                <w:kern w:val="0"/>
                <w:sz w:val="21"/>
                <w:szCs w:val="21"/>
                <w:highlight w:val="none"/>
              </w:rPr>
            </w:pPr>
            <w:r>
              <w:rPr>
                <w:rStyle w:val="40"/>
                <w:rFonts w:hint="eastAsia" w:ascii="宋体" w:hAnsi="宋体" w:eastAsia="宋体" w:cs="宋体"/>
                <w:color w:val="auto"/>
                <w:spacing w:val="-12"/>
                <w:kern w:val="0"/>
                <w:sz w:val="21"/>
                <w:szCs w:val="21"/>
                <w:highlight w:val="none"/>
              </w:rPr>
              <w:t>软件和信息技术服</w:t>
            </w:r>
            <w:r>
              <w:rPr>
                <w:rStyle w:val="40"/>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bl>
    <w:p>
      <w:pPr>
        <w:spacing w:line="540" w:lineRule="exact"/>
        <w:rPr>
          <w:rStyle w:val="40"/>
          <w:rFonts w:hint="eastAsia" w:ascii="宋体" w:hAnsi="宋体" w:eastAsia="宋体" w:cs="宋体"/>
          <w:color w:val="auto"/>
          <w:spacing w:val="8"/>
          <w:kern w:val="0"/>
          <w:sz w:val="21"/>
          <w:szCs w:val="21"/>
          <w:highlight w:val="none"/>
        </w:rPr>
      </w:pPr>
    </w:p>
    <w:p>
      <w:pPr>
        <w:spacing w:line="540" w:lineRule="exact"/>
        <w:rPr>
          <w:rStyle w:val="40"/>
          <w:rFonts w:hint="eastAsia" w:ascii="宋体" w:hAnsi="宋体" w:eastAsia="宋体" w:cs="宋体"/>
          <w:color w:val="auto"/>
          <w:spacing w:val="8"/>
          <w:kern w:val="0"/>
          <w:sz w:val="21"/>
          <w:szCs w:val="21"/>
          <w:highlight w:val="none"/>
        </w:rPr>
      </w:pPr>
      <w:r>
        <w:rPr>
          <w:rStyle w:val="40"/>
          <w:rFonts w:hint="eastAsia" w:ascii="宋体" w:hAnsi="宋体" w:eastAsia="宋体" w:cs="宋体"/>
          <w:color w:val="auto"/>
          <w:spacing w:val="8"/>
          <w:kern w:val="0"/>
          <w:sz w:val="21"/>
          <w:szCs w:val="21"/>
          <w:highlight w:val="none"/>
        </w:rPr>
        <w:t>说明：</w:t>
      </w:r>
    </w:p>
    <w:p>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1"/>
        <w:spacing w:line="340" w:lineRule="exact"/>
        <w:rPr>
          <w:rFonts w:hint="eastAsia" w:ascii="宋体" w:hAnsi="宋体" w:eastAsia="宋体" w:cs="宋体"/>
          <w:b/>
          <w:color w:val="auto"/>
          <w:sz w:val="21"/>
          <w:szCs w:val="21"/>
          <w:highlight w:val="none"/>
          <w:lang w:val="en-US" w:eastAsia="zh-CN"/>
        </w:rPr>
      </w:pPr>
      <w:r>
        <w:rPr>
          <w:rStyle w:val="40"/>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1"/>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8"/>
        <w:rPr>
          <w:rFonts w:hint="eastAsia"/>
          <w:color w:val="auto"/>
          <w:highlight w:val="none"/>
          <w:lang w:val="en-US" w:eastAsia="zh-CN"/>
        </w:rPr>
      </w:pPr>
    </w:p>
    <w:p>
      <w:pPr>
        <w:tabs>
          <w:tab w:val="left" w:pos="1305"/>
        </w:tabs>
        <w:spacing w:line="380" w:lineRule="exact"/>
        <w:rPr>
          <w:rFonts w:hint="eastAsia" w:ascii="宋体" w:hAnsi="宋体" w:eastAsia="宋体" w:cs="宋体"/>
          <w:b/>
          <w:bCs/>
          <w:color w:val="auto"/>
          <w:kern w:val="0"/>
          <w:sz w:val="21"/>
          <w:szCs w:val="21"/>
          <w:highlight w:val="none"/>
        </w:rPr>
      </w:pPr>
    </w:p>
    <w:p>
      <w:pPr>
        <w:spacing w:line="588" w:lineRule="exact"/>
        <w:jc w:val="center"/>
        <w:rPr>
          <w:rFonts w:hint="eastAsia" w:ascii="宋体" w:hAnsi="宋体" w:eastAsia="宋体" w:cs="宋体"/>
          <w:b/>
          <w:color w:val="auto"/>
          <w:kern w:val="0"/>
          <w:sz w:val="21"/>
          <w:szCs w:val="21"/>
          <w:highlight w:val="none"/>
          <w:lang w:eastAsia="zh-CN"/>
        </w:rPr>
      </w:pPr>
      <w:bookmarkStart w:id="849" w:name="OLE_LINK13"/>
      <w:bookmarkStart w:id="850" w:name="OLE_LINK14"/>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849"/>
    <w:bookmarkEnd w:id="850"/>
    <w:p>
      <w:pPr>
        <w:spacing w:line="588" w:lineRule="exact"/>
        <w:rPr>
          <w:rFonts w:hint="eastAsia" w:ascii="宋体" w:hAnsi="宋体" w:eastAsia="宋体" w:cs="宋体"/>
          <w:b/>
          <w:color w:val="auto"/>
          <w:kern w:val="0"/>
          <w:sz w:val="21"/>
          <w:szCs w:val="21"/>
          <w:highlight w:val="none"/>
        </w:rPr>
      </w:pPr>
    </w:p>
    <w:p>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pPr>
        <w:spacing w:line="588" w:lineRule="exact"/>
        <w:ind w:firstLine="420" w:firstLineChars="200"/>
        <w:rPr>
          <w:rFonts w:hint="eastAsia" w:ascii="宋体" w:hAnsi="宋体" w:eastAsia="宋体" w:cs="宋体"/>
          <w:color w:val="auto"/>
          <w:kern w:val="0"/>
          <w:sz w:val="21"/>
          <w:szCs w:val="21"/>
          <w:highlight w:val="none"/>
        </w:rPr>
      </w:pPr>
    </w:p>
    <w:p>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pStyle w:val="11"/>
        <w:spacing w:line="300" w:lineRule="exact"/>
        <w:ind w:left="2940" w:leftChars="1400" w:firstLine="630" w:firstLineChars="300"/>
        <w:rPr>
          <w:rFonts w:hint="eastAsia" w:ascii="宋体" w:hAnsi="宋体" w:eastAsia="宋体" w:cs="宋体"/>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3"/>
        <w:rPr>
          <w:rFonts w:hint="eastAsia" w:ascii="宋体" w:hAnsi="宋体" w:eastAsia="宋体" w:cs="宋体"/>
          <w:b/>
          <w:bCs/>
          <w:iCs/>
          <w:color w:val="auto"/>
          <w:kern w:val="2"/>
          <w:sz w:val="21"/>
          <w:szCs w:val="21"/>
          <w:highlight w:val="none"/>
          <w:lang w:val="en-US" w:eastAsia="zh-CN" w:bidi="ar-SA"/>
        </w:rPr>
      </w:pPr>
    </w:p>
    <w:p>
      <w:pPr>
        <w:rPr>
          <w:rFonts w:hint="eastAsia"/>
          <w:color w:val="auto"/>
          <w:highlight w:val="none"/>
          <w:lang w:val="en-US" w:eastAsia="zh-CN"/>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numPr>
          <w:ilvl w:val="0"/>
          <w:numId w:val="0"/>
        </w:numPr>
        <w:jc w:val="center"/>
        <w:rPr>
          <w:rFonts w:hint="eastAsia" w:ascii="宋体" w:hAnsi="宋体" w:eastAsia="宋体" w:cs="宋体"/>
          <w:b/>
          <w:bCs/>
          <w:color w:val="auto"/>
          <w:sz w:val="21"/>
          <w:szCs w:val="21"/>
          <w:highlight w:val="none"/>
          <w:lang w:eastAsia="zh-CN"/>
        </w:rPr>
      </w:pPr>
    </w:p>
    <w:p>
      <w:pPr>
        <w:rPr>
          <w:rFonts w:hint="eastAsia"/>
          <w:b/>
          <w:bCs/>
          <w:color w:val="auto"/>
          <w:sz w:val="24"/>
          <w:szCs w:val="24"/>
          <w:highlight w:val="none"/>
        </w:rPr>
      </w:pPr>
      <w:r>
        <w:rPr>
          <w:rFonts w:hint="eastAsia"/>
          <w:b/>
          <w:bCs/>
          <w:color w:val="auto"/>
          <w:sz w:val="24"/>
          <w:szCs w:val="24"/>
          <w:highlight w:val="none"/>
        </w:rPr>
        <w:t>二、符合性响应证明材料</w:t>
      </w:r>
    </w:p>
    <w:p>
      <w:pPr>
        <w:spacing w:line="400" w:lineRule="exact"/>
        <w:rPr>
          <w:rFonts w:hint="eastAsia" w:ascii="宋体" w:hAnsi="宋体" w:eastAsia="宋体" w:cs="宋体"/>
          <w:b/>
          <w:bCs/>
          <w:color w:val="auto"/>
          <w:sz w:val="24"/>
          <w:szCs w:val="24"/>
          <w:highlight w:val="none"/>
          <w:lang w:eastAsia="zh-CN"/>
        </w:rPr>
      </w:pPr>
      <w:bookmarkStart w:id="851" w:name="_Toc12920"/>
      <w:bookmarkStart w:id="852" w:name="_Toc17617"/>
      <w:bookmarkStart w:id="853" w:name="_Toc497927072"/>
      <w:r>
        <w:rPr>
          <w:rFonts w:hint="eastAsia" w:ascii="宋体" w:hAnsi="宋体" w:eastAsia="宋体" w:cs="宋体"/>
          <w:b/>
          <w:bCs/>
          <w:color w:val="auto"/>
          <w:sz w:val="24"/>
          <w:szCs w:val="24"/>
          <w:highlight w:val="none"/>
        </w:rPr>
        <w:t>1.响应函及响应函附录（格式见附件）（必须提供）</w:t>
      </w:r>
      <w:bookmarkEnd w:id="851"/>
      <w:bookmarkEnd w:id="852"/>
      <w:bookmarkEnd w:id="853"/>
      <w:r>
        <w:rPr>
          <w:rFonts w:hint="eastAsia" w:ascii="宋体" w:hAnsi="宋体" w:cs="宋体"/>
          <w:b/>
          <w:bCs/>
          <w:color w:val="auto"/>
          <w:sz w:val="24"/>
          <w:szCs w:val="24"/>
          <w:highlight w:val="none"/>
          <w:lang w:eastAsia="zh-CN"/>
        </w:rPr>
        <w:t>；</w:t>
      </w:r>
    </w:p>
    <w:p>
      <w:pPr>
        <w:pStyle w:val="23"/>
        <w:rPr>
          <w:rFonts w:hint="eastAsia" w:ascii="宋体" w:hAnsi="宋体" w:eastAsia="宋体" w:cs="宋体"/>
          <w:color w:val="auto"/>
          <w:sz w:val="21"/>
          <w:szCs w:val="21"/>
          <w:highlight w:val="none"/>
        </w:rPr>
      </w:pPr>
    </w:p>
    <w:p>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Style w:val="11"/>
        <w:ind w:firstLine="527" w:firstLineChars="250"/>
        <w:jc w:val="center"/>
        <w:rPr>
          <w:rFonts w:hint="eastAsia" w:ascii="宋体" w:hAnsi="宋体" w:eastAsia="宋体" w:cs="宋体"/>
          <w:b/>
          <w:color w:val="auto"/>
          <w:sz w:val="21"/>
          <w:szCs w:val="21"/>
          <w:highlight w:val="none"/>
        </w:rPr>
      </w:pPr>
      <w:bookmarkStart w:id="854" w:name="_Toc7273_WPSOffice_Level1"/>
      <w:bookmarkStart w:id="855"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854"/>
      <w:bookmarkEnd w:id="855"/>
    </w:p>
    <w:p>
      <w:pPr>
        <w:pStyle w:val="8"/>
        <w:spacing w:before="71" w:line="257" w:lineRule="auto"/>
        <w:ind w:left="12" w:firstLine="468"/>
        <w:rPr>
          <w:rFonts w:hint="eastAsia" w:ascii="宋体" w:hAnsi="宋体" w:eastAsia="宋体" w:cs="宋体"/>
          <w:color w:val="auto"/>
          <w:spacing w:val="-2"/>
          <w:sz w:val="21"/>
          <w:szCs w:val="21"/>
          <w:highlight w:val="none"/>
        </w:rPr>
      </w:pP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5"/>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项目经理</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2</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工期</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合同</w:t>
            </w:r>
            <w:r>
              <w:rPr>
                <w:rFonts w:ascii="宋体" w:hAnsi="宋体"/>
                <w:color w:val="auto"/>
                <w:szCs w:val="21"/>
                <w:highlight w:val="none"/>
              </w:rPr>
              <w:t>协议书</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日历天</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3</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缺陷责任期</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4</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发包人支付担保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5</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承包人履约担保金额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6</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分包</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见分包项目情况表</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7</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逾期竣工违约金</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8</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逾期竣工违约金最高限额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u w:val="single"/>
              </w:rPr>
              <w:t xml:space="preserve">             </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9</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质量标准</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10</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预付款额度</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11</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预付款保函金额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12</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质量保证金额度</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pPr>
              <w:widowControl/>
              <w:textAlignment w:val="baseline"/>
              <w:rPr>
                <w:rFonts w:ascii="宋体" w:hAnsi="宋体"/>
                <w:color w:val="auto"/>
                <w:szCs w:val="21"/>
                <w:highlight w:val="none"/>
              </w:rPr>
            </w:pP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pPr>
        <w:widowControl/>
        <w:snapToGrid w:val="0"/>
        <w:spacing w:line="400" w:lineRule="atLeast"/>
        <w:ind w:firstLine="2520" w:firstLineChars="1200"/>
        <w:textAlignment w:val="baseline"/>
        <w:outlineLvl w:val="4"/>
        <w:rPr>
          <w:rFonts w:ascii="宋体" w:hAnsi="宋体"/>
          <w:color w:val="auto"/>
          <w:szCs w:val="21"/>
          <w:highlight w:val="none"/>
        </w:rPr>
      </w:pPr>
    </w:p>
    <w:p>
      <w:pPr>
        <w:spacing w:line="340" w:lineRule="exact"/>
        <w:ind w:firstLine="420" w:firstLineChars="200"/>
        <w:rPr>
          <w:rFonts w:hint="eastAsia" w:ascii="宋体" w:hAnsi="宋体"/>
          <w:bCs/>
          <w:color w:val="auto"/>
          <w:sz w:val="21"/>
          <w:szCs w:val="21"/>
          <w:highlight w:val="none"/>
        </w:rPr>
      </w:pPr>
    </w:p>
    <w:p>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pPr>
        <w:pStyle w:val="11"/>
        <w:spacing w:line="320" w:lineRule="exact"/>
        <w:jc w:val="left"/>
        <w:rPr>
          <w:rFonts w:hint="eastAsia" w:ascii="宋体" w:hAnsi="宋体" w:eastAsia="宋体" w:cs="宋体"/>
          <w:b/>
          <w:color w:val="auto"/>
          <w:sz w:val="21"/>
          <w:szCs w:val="21"/>
          <w:highlight w:val="none"/>
        </w:rPr>
      </w:pP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pPr>
        <w:tabs>
          <w:tab w:val="left" w:pos="1305"/>
        </w:tabs>
        <w:spacing w:line="340" w:lineRule="exact"/>
        <w:rPr>
          <w:rFonts w:hint="eastAsia" w:ascii="宋体" w:hAnsi="宋体" w:eastAsia="宋体" w:cs="宋体"/>
          <w:bCs/>
          <w:color w:val="auto"/>
          <w:sz w:val="21"/>
          <w:szCs w:val="21"/>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pPr>
        <w:spacing w:line="500" w:lineRule="exact"/>
        <w:jc w:val="center"/>
        <w:rPr>
          <w:rFonts w:hint="eastAsia" w:ascii="宋体" w:hAnsi="宋体" w:eastAsia="宋体" w:cs="宋体"/>
          <w:b/>
          <w:color w:val="auto"/>
          <w:sz w:val="21"/>
          <w:szCs w:val="21"/>
          <w:highlight w:val="none"/>
          <w:lang w:val="en-US" w:eastAsia="zh-CN"/>
        </w:rPr>
      </w:pPr>
    </w:p>
    <w:p>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pPr>
        <w:pStyle w:val="11"/>
        <w:spacing w:line="340" w:lineRule="exact"/>
        <w:jc w:val="center"/>
        <w:rPr>
          <w:rFonts w:hint="eastAsia" w:ascii="宋体" w:hAnsi="宋体" w:eastAsia="宋体" w:cs="宋体"/>
          <w:b/>
          <w:color w:val="auto"/>
          <w:sz w:val="21"/>
          <w:szCs w:val="21"/>
          <w:highlight w:val="none"/>
        </w:rPr>
      </w:pPr>
    </w:p>
    <w:p>
      <w:pPr>
        <w:pStyle w:val="6"/>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pPr>
        <w:pStyle w:val="8"/>
        <w:rPr>
          <w:rFonts w:hint="eastAsia" w:ascii="宋体" w:hAnsi="宋体" w:eastAsia="宋体" w:cs="宋体"/>
          <w:color w:val="auto"/>
          <w:sz w:val="21"/>
          <w:szCs w:val="21"/>
          <w:highlight w:val="none"/>
          <w:u w:val="single"/>
        </w:rPr>
      </w:pPr>
    </w:p>
    <w:p>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pPr>
        <w:snapToGrid w:val="0"/>
        <w:spacing w:line="400" w:lineRule="exact"/>
        <w:jc w:val="center"/>
        <w:outlineLvl w:val="4"/>
        <w:rPr>
          <w:rFonts w:hint="eastAsia" w:ascii="宋体" w:hAnsi="宋体" w:eastAsia="宋体" w:cs="宋体"/>
          <w:b/>
          <w:color w:val="auto"/>
          <w:sz w:val="21"/>
          <w:szCs w:val="21"/>
          <w:highlight w:val="none"/>
          <w:lang w:val="en-US" w:eastAsia="zh-CN"/>
        </w:rPr>
      </w:pPr>
    </w:p>
    <w:p>
      <w:pPr>
        <w:snapToGrid w:val="0"/>
        <w:spacing w:line="400" w:lineRule="exact"/>
        <w:jc w:val="center"/>
        <w:outlineLvl w:val="4"/>
        <w:rPr>
          <w:rFonts w:hint="eastAsia" w:ascii="宋体" w:hAnsi="宋体" w:eastAsia="宋体" w:cs="宋体"/>
          <w:b/>
          <w:color w:val="auto"/>
          <w:sz w:val="21"/>
          <w:szCs w:val="21"/>
          <w:highlight w:val="none"/>
        </w:rPr>
      </w:pPr>
    </w:p>
    <w:p>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pPr>
        <w:pStyle w:val="26"/>
        <w:rPr>
          <w:rFonts w:hint="eastAsia" w:ascii="宋体" w:hAnsi="宋体" w:eastAsia="宋体" w:cs="宋体"/>
          <w:color w:val="auto"/>
          <w:sz w:val="21"/>
          <w:szCs w:val="21"/>
          <w:highlight w:val="none"/>
        </w:rPr>
      </w:pPr>
    </w:p>
    <w:p>
      <w:pPr>
        <w:pStyle w:val="26"/>
        <w:rPr>
          <w:rFonts w:hint="eastAsia" w:ascii="宋体" w:hAnsi="宋体" w:eastAsia="宋体" w:cs="宋体"/>
          <w:color w:val="auto"/>
          <w:sz w:val="21"/>
          <w:szCs w:val="21"/>
          <w:highlight w:val="none"/>
        </w:rPr>
      </w:pPr>
    </w:p>
    <w:p>
      <w:pPr>
        <w:pStyle w:val="26"/>
        <w:rPr>
          <w:rFonts w:hint="eastAsia" w:ascii="宋体" w:hAnsi="宋体" w:eastAsia="宋体" w:cs="宋体"/>
          <w:color w:val="auto"/>
          <w:sz w:val="21"/>
          <w:szCs w:val="21"/>
          <w:highlight w:val="none"/>
        </w:rPr>
      </w:pPr>
    </w:p>
    <w:p>
      <w:pPr>
        <w:pStyle w:val="6"/>
        <w:widowControl w:val="0"/>
        <w:numPr>
          <w:ilvl w:val="0"/>
          <w:numId w:val="0"/>
        </w:numPr>
        <w:jc w:val="both"/>
        <w:rPr>
          <w:rFonts w:hint="eastAsia" w:ascii="宋体" w:hAnsi="宋体" w:eastAsia="宋体" w:cs="宋体"/>
          <w:color w:val="auto"/>
          <w:sz w:val="21"/>
          <w:szCs w:val="21"/>
          <w:highlight w:val="none"/>
        </w:rPr>
      </w:pPr>
    </w:p>
    <w:p>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pStyle w:val="3"/>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8"/>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3"/>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color w:val="auto"/>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pPr>
        <w:spacing w:line="360" w:lineRule="auto"/>
        <w:jc w:val="center"/>
        <w:rPr>
          <w:rFonts w:hint="eastAsia" w:ascii="宋体" w:hAnsi="宋体" w:eastAsia="宋体" w:cs="宋体"/>
          <w:b/>
          <w:color w:val="auto"/>
          <w:sz w:val="21"/>
          <w:szCs w:val="21"/>
          <w:highlight w:val="none"/>
        </w:rPr>
      </w:pPr>
    </w:p>
    <w:p>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spacing w:line="400" w:lineRule="exact"/>
        <w:ind w:firstLine="551" w:firstLineChars="196"/>
        <w:rPr>
          <w:rFonts w:hint="eastAsia" w:ascii="宋体" w:cs="宋体"/>
          <w:b/>
          <w:color w:val="auto"/>
          <w:kern w:val="0"/>
          <w:sz w:val="28"/>
          <w:szCs w:val="28"/>
          <w:highlight w:val="none"/>
          <w:lang w:bidi="ar-SA"/>
        </w:rPr>
      </w:pPr>
    </w:p>
    <w:p>
      <w:pPr>
        <w:spacing w:line="400" w:lineRule="exact"/>
        <w:ind w:firstLine="551" w:firstLineChars="196"/>
        <w:rPr>
          <w:rFonts w:hint="eastAsia" w:ascii="宋体" w:cs="宋体"/>
          <w:b/>
          <w:color w:val="auto"/>
          <w:kern w:val="0"/>
          <w:sz w:val="28"/>
          <w:szCs w:val="28"/>
          <w:highlight w:val="none"/>
          <w:lang w:bidi="ar-SA"/>
        </w:rPr>
      </w:pPr>
    </w:p>
    <w:p>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pStyle w:val="49"/>
        <w:spacing w:line="360" w:lineRule="auto"/>
        <w:jc w:val="center"/>
        <w:rPr>
          <w:rFonts w:hint="eastAsia" w:cs="宋体"/>
          <w:b/>
          <w:bCs/>
          <w:color w:val="auto"/>
          <w:sz w:val="28"/>
          <w:szCs w:val="28"/>
          <w:highlight w:val="none"/>
          <w:lang w:bidi="ar-SA"/>
        </w:rPr>
      </w:pPr>
    </w:p>
    <w:p>
      <w:pPr>
        <w:pStyle w:val="49"/>
        <w:spacing w:line="360" w:lineRule="auto"/>
        <w:jc w:val="center"/>
        <w:rPr>
          <w:rFonts w:hint="eastAsia" w:cs="宋体"/>
          <w:b/>
          <w:bCs/>
          <w:color w:val="auto"/>
          <w:sz w:val="28"/>
          <w:szCs w:val="28"/>
          <w:highlight w:val="none"/>
          <w:lang w:bidi="ar-SA"/>
        </w:rPr>
      </w:pPr>
    </w:p>
    <w:p>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pPr>
        <w:pStyle w:val="49"/>
        <w:spacing w:line="240" w:lineRule="atLeast"/>
        <w:ind w:firstLine="546"/>
        <w:jc w:val="center"/>
        <w:rPr>
          <w:rFonts w:hint="eastAsia" w:ascii="宋体" w:hAnsi="宋体" w:eastAsia="宋体" w:cs="宋体"/>
          <w:b/>
          <w:bCs/>
          <w:color w:val="auto"/>
          <w:w w:val="90"/>
          <w:sz w:val="24"/>
          <w:szCs w:val="24"/>
          <w:highlight w:val="none"/>
        </w:rPr>
      </w:pPr>
    </w:p>
    <w:p>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pPr>
        <w:pStyle w:val="3"/>
        <w:numPr>
          <w:ilvl w:val="0"/>
          <w:numId w:val="0"/>
        </w:numPr>
        <w:rPr>
          <w:rFonts w:hint="eastAsia" w:ascii="宋体" w:hAnsi="宋体" w:cs="宋体"/>
          <w:b/>
          <w:color w:val="auto"/>
          <w:sz w:val="21"/>
          <w:szCs w:val="21"/>
          <w:highlight w:val="none"/>
          <w:lang w:val="en-US" w:eastAsia="zh-CN"/>
        </w:rPr>
      </w:pPr>
      <w:bookmarkStart w:id="856" w:name="_Toc26788"/>
      <w:bookmarkStart w:id="857" w:name="_Toc10529"/>
      <w:bookmarkStart w:id="858" w:name="_Toc21352"/>
      <w:bookmarkStart w:id="859" w:name="_Toc497927084"/>
      <w:bookmarkStart w:id="860" w:name="_Toc28672"/>
      <w:bookmarkStart w:id="861" w:name="_Toc9339"/>
    </w:p>
    <w:p>
      <w:pPr>
        <w:rPr>
          <w:rFonts w:hint="eastAsia" w:ascii="宋体" w:hAnsi="宋体" w:cs="宋体"/>
          <w:b/>
          <w:color w:val="auto"/>
          <w:sz w:val="21"/>
          <w:szCs w:val="21"/>
          <w:highlight w:val="none"/>
          <w:lang w:val="en-US" w:eastAsia="zh-CN"/>
        </w:rPr>
      </w:pPr>
    </w:p>
    <w:p>
      <w:pPr>
        <w:rPr>
          <w:rFonts w:hint="eastAsia" w:ascii="宋体" w:hAnsi="宋体" w:cs="宋体"/>
          <w:b/>
          <w:color w:val="auto"/>
          <w:sz w:val="21"/>
          <w:szCs w:val="21"/>
          <w:highlight w:val="none"/>
          <w:lang w:val="en-US" w:eastAsia="zh-CN"/>
        </w:rPr>
      </w:pPr>
    </w:p>
    <w:bookmarkEnd w:id="856"/>
    <w:bookmarkEnd w:id="857"/>
    <w:bookmarkEnd w:id="858"/>
    <w:p>
      <w:pPr>
        <w:widowControl w:val="0"/>
        <w:numPr>
          <w:ilvl w:val="0"/>
          <w:numId w:val="0"/>
        </w:numPr>
        <w:jc w:val="both"/>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bookmarkEnd w:id="859"/>
    <w:bookmarkEnd w:id="860"/>
    <w:bookmarkEnd w:id="861"/>
    <w:p>
      <w:pPr>
        <w:spacing w:line="360" w:lineRule="auto"/>
        <w:ind w:firstLine="420" w:firstLineChars="200"/>
        <w:rPr>
          <w:rFonts w:hint="eastAsia" w:ascii="宋体" w:hAnsi="宋体" w:eastAsia="宋体" w:cs="宋体"/>
          <w:color w:val="auto"/>
          <w:sz w:val="21"/>
          <w:szCs w:val="21"/>
          <w:highlight w:val="none"/>
        </w:rPr>
      </w:pPr>
    </w:p>
    <w:p>
      <w:pPr>
        <w:pStyle w:val="23"/>
        <w:rPr>
          <w:rFonts w:hint="eastAsia" w:ascii="宋体" w:hAnsi="宋体" w:eastAsia="宋体" w:cs="宋体"/>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1.供应商2021年1月1日以来具有同类项目业绩的相关证明材料（无不良记录，以中标、成交通知书或签订的合同复印件为准，并能清晰反映项目的名称、采购内容、采购金额、采购时间）（如有，请提供）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8"/>
        <w:rPr>
          <w:rFonts w:hint="eastAsia"/>
          <w:color w:val="auto"/>
          <w:highlight w:val="none"/>
          <w:lang w:val="en-US" w:eastAsia="zh-CN"/>
        </w:rPr>
      </w:pPr>
    </w:p>
    <w:p>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pPr>
        <w:bidi w:val="0"/>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2"/>
        <w:spacing w:line="240" w:lineRule="auto"/>
        <w:jc w:val="center"/>
        <w:rPr>
          <w:rFonts w:hint="eastAsia" w:ascii="宋体" w:hAnsi="宋体" w:eastAsia="宋体" w:cs="宋体"/>
          <w:color w:val="auto"/>
          <w:sz w:val="21"/>
          <w:szCs w:val="21"/>
          <w:highlight w:val="none"/>
        </w:rPr>
      </w:pPr>
      <w:bookmarkStart w:id="862" w:name="_Toc2237"/>
      <w:bookmarkStart w:id="863" w:name="_Toc12385"/>
      <w:bookmarkStart w:id="864" w:name="_Toc16390"/>
      <w:bookmarkStart w:id="865" w:name="_Toc6973"/>
      <w:bookmarkStart w:id="866" w:name="_Toc18780"/>
      <w:bookmarkStart w:id="867" w:name="_Toc22545"/>
      <w:bookmarkStart w:id="868" w:name="_Toc1637952"/>
    </w:p>
    <w:p>
      <w:pPr>
        <w:pStyle w:val="2"/>
        <w:spacing w:line="240" w:lineRule="auto"/>
        <w:jc w:val="cente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color w:val="auto"/>
          <w:highlight w:val="none"/>
        </w:rPr>
      </w:pPr>
    </w:p>
    <w:p>
      <w:pPr>
        <w:pStyle w:val="2"/>
        <w:spacing w:line="240" w:lineRule="auto"/>
        <w:jc w:val="center"/>
        <w:rPr>
          <w:rFonts w:hint="eastAsia" w:ascii="宋体" w:hAnsi="宋体" w:eastAsia="宋体" w:cs="宋体"/>
          <w:color w:val="auto"/>
          <w:sz w:val="24"/>
          <w:szCs w:val="24"/>
          <w:highlight w:val="none"/>
        </w:rPr>
      </w:pPr>
      <w:bookmarkStart w:id="869" w:name="_Toc15967"/>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bookmarkEnd w:id="862"/>
      <w:bookmarkEnd w:id="863"/>
      <w:bookmarkEnd w:id="864"/>
      <w:bookmarkEnd w:id="865"/>
      <w:bookmarkEnd w:id="866"/>
      <w:bookmarkEnd w:id="867"/>
      <w:bookmarkEnd w:id="869"/>
    </w:p>
    <w:bookmarkEnd w:id="868"/>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1" w:type="default"/>
      <w:footerReference r:id="rId12"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space"/>
      <w:lvlText w:val="第%1部分"/>
      <w:lvlJc w:val="left"/>
      <w:rPr>
        <w:rFonts w:hint="eastAsia"/>
      </w:rPr>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4B3E47"/>
    <w:rsid w:val="035B21B3"/>
    <w:rsid w:val="038E67AE"/>
    <w:rsid w:val="03A04F32"/>
    <w:rsid w:val="03C22016"/>
    <w:rsid w:val="03EB630D"/>
    <w:rsid w:val="040A684F"/>
    <w:rsid w:val="04DE21B6"/>
    <w:rsid w:val="04E723E0"/>
    <w:rsid w:val="05221155"/>
    <w:rsid w:val="0525608B"/>
    <w:rsid w:val="05A36F5B"/>
    <w:rsid w:val="05D26895"/>
    <w:rsid w:val="069F4D6B"/>
    <w:rsid w:val="06BD404D"/>
    <w:rsid w:val="06ED3844"/>
    <w:rsid w:val="07153E89"/>
    <w:rsid w:val="076B7C79"/>
    <w:rsid w:val="0772074A"/>
    <w:rsid w:val="087D1F83"/>
    <w:rsid w:val="08985E97"/>
    <w:rsid w:val="08B51B6E"/>
    <w:rsid w:val="08BE3EF5"/>
    <w:rsid w:val="08F31FA8"/>
    <w:rsid w:val="090C523D"/>
    <w:rsid w:val="092E1232"/>
    <w:rsid w:val="09997BB9"/>
    <w:rsid w:val="09B5725D"/>
    <w:rsid w:val="0A6A44EC"/>
    <w:rsid w:val="0A74381B"/>
    <w:rsid w:val="0B3222C4"/>
    <w:rsid w:val="0B770C6E"/>
    <w:rsid w:val="0B770D91"/>
    <w:rsid w:val="0BCF7E8A"/>
    <w:rsid w:val="0BD067C3"/>
    <w:rsid w:val="0BD40DA4"/>
    <w:rsid w:val="0C1B382B"/>
    <w:rsid w:val="0C630709"/>
    <w:rsid w:val="0D0F042B"/>
    <w:rsid w:val="0D584ACF"/>
    <w:rsid w:val="0D944306"/>
    <w:rsid w:val="0D996408"/>
    <w:rsid w:val="0DCB34F3"/>
    <w:rsid w:val="0E2805A4"/>
    <w:rsid w:val="0EAF2A15"/>
    <w:rsid w:val="0EBA46A3"/>
    <w:rsid w:val="0F2904D1"/>
    <w:rsid w:val="0F36499C"/>
    <w:rsid w:val="0F5C492A"/>
    <w:rsid w:val="0FC95811"/>
    <w:rsid w:val="0FD42EAB"/>
    <w:rsid w:val="10843F90"/>
    <w:rsid w:val="109776BD"/>
    <w:rsid w:val="10D74D03"/>
    <w:rsid w:val="11847C41"/>
    <w:rsid w:val="11F272A1"/>
    <w:rsid w:val="11F62D5C"/>
    <w:rsid w:val="11FA7260"/>
    <w:rsid w:val="122B4561"/>
    <w:rsid w:val="1238629D"/>
    <w:rsid w:val="12552003"/>
    <w:rsid w:val="126B3346"/>
    <w:rsid w:val="129F7A10"/>
    <w:rsid w:val="12AC01B1"/>
    <w:rsid w:val="12D76117"/>
    <w:rsid w:val="133336D3"/>
    <w:rsid w:val="13960100"/>
    <w:rsid w:val="13A22600"/>
    <w:rsid w:val="142B4CEC"/>
    <w:rsid w:val="149E2DF8"/>
    <w:rsid w:val="14FF3F1F"/>
    <w:rsid w:val="1504385E"/>
    <w:rsid w:val="154F67B8"/>
    <w:rsid w:val="1565422D"/>
    <w:rsid w:val="158C5316"/>
    <w:rsid w:val="15935560"/>
    <w:rsid w:val="15BA6327"/>
    <w:rsid w:val="15FD7FC2"/>
    <w:rsid w:val="15FE3C55"/>
    <w:rsid w:val="165D7FC8"/>
    <w:rsid w:val="169150FA"/>
    <w:rsid w:val="16A6065A"/>
    <w:rsid w:val="16B71B8A"/>
    <w:rsid w:val="16FE2244"/>
    <w:rsid w:val="171C00F0"/>
    <w:rsid w:val="17992095"/>
    <w:rsid w:val="179A6980"/>
    <w:rsid w:val="17C00BA4"/>
    <w:rsid w:val="18447625"/>
    <w:rsid w:val="184A4D60"/>
    <w:rsid w:val="187355C6"/>
    <w:rsid w:val="18736C61"/>
    <w:rsid w:val="18AC0FBE"/>
    <w:rsid w:val="19257911"/>
    <w:rsid w:val="19524AC9"/>
    <w:rsid w:val="19546C0C"/>
    <w:rsid w:val="1A2521DD"/>
    <w:rsid w:val="1A98475D"/>
    <w:rsid w:val="1A9A2DBB"/>
    <w:rsid w:val="1C464130"/>
    <w:rsid w:val="1C8F3D4C"/>
    <w:rsid w:val="1D686669"/>
    <w:rsid w:val="1DC51272"/>
    <w:rsid w:val="1ED52081"/>
    <w:rsid w:val="1FF754EA"/>
    <w:rsid w:val="20450269"/>
    <w:rsid w:val="20607ACB"/>
    <w:rsid w:val="217A0AD8"/>
    <w:rsid w:val="21A63C04"/>
    <w:rsid w:val="22484CBB"/>
    <w:rsid w:val="22921153"/>
    <w:rsid w:val="23503E27"/>
    <w:rsid w:val="23627FFE"/>
    <w:rsid w:val="239D2EE6"/>
    <w:rsid w:val="241E3F25"/>
    <w:rsid w:val="246A0F18"/>
    <w:rsid w:val="24ED38F7"/>
    <w:rsid w:val="259A050D"/>
    <w:rsid w:val="25A2609B"/>
    <w:rsid w:val="25C70429"/>
    <w:rsid w:val="264F6618"/>
    <w:rsid w:val="26753B8F"/>
    <w:rsid w:val="26D4495E"/>
    <w:rsid w:val="26EB3E67"/>
    <w:rsid w:val="26F23447"/>
    <w:rsid w:val="27106584"/>
    <w:rsid w:val="27155F70"/>
    <w:rsid w:val="271931E2"/>
    <w:rsid w:val="2775116C"/>
    <w:rsid w:val="27A91D58"/>
    <w:rsid w:val="27B07790"/>
    <w:rsid w:val="27C2106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B06359"/>
    <w:rsid w:val="2DF778AD"/>
    <w:rsid w:val="2E0A46C0"/>
    <w:rsid w:val="2E162111"/>
    <w:rsid w:val="2E562A17"/>
    <w:rsid w:val="2E9A4AF0"/>
    <w:rsid w:val="2F307202"/>
    <w:rsid w:val="2F32242C"/>
    <w:rsid w:val="2F554149"/>
    <w:rsid w:val="2F570B40"/>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4520411"/>
    <w:rsid w:val="34532B23"/>
    <w:rsid w:val="349F0E6C"/>
    <w:rsid w:val="34B36291"/>
    <w:rsid w:val="34D04DC8"/>
    <w:rsid w:val="353510CF"/>
    <w:rsid w:val="35884DFE"/>
    <w:rsid w:val="35A45811"/>
    <w:rsid w:val="360630D9"/>
    <w:rsid w:val="36232DC2"/>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85AA2"/>
    <w:rsid w:val="3AB531AD"/>
    <w:rsid w:val="3AF573FA"/>
    <w:rsid w:val="3B293089"/>
    <w:rsid w:val="3B484019"/>
    <w:rsid w:val="3B796F44"/>
    <w:rsid w:val="3BF91C55"/>
    <w:rsid w:val="3C3A2D02"/>
    <w:rsid w:val="3C9568F7"/>
    <w:rsid w:val="3D2D2BA9"/>
    <w:rsid w:val="3E9820B8"/>
    <w:rsid w:val="3EB412B6"/>
    <w:rsid w:val="3EF3324B"/>
    <w:rsid w:val="3F1C1B1A"/>
    <w:rsid w:val="3FB12D7B"/>
    <w:rsid w:val="3FD33ACF"/>
    <w:rsid w:val="401E3791"/>
    <w:rsid w:val="40A02991"/>
    <w:rsid w:val="4148218A"/>
    <w:rsid w:val="41555735"/>
    <w:rsid w:val="417676E9"/>
    <w:rsid w:val="419F0A7B"/>
    <w:rsid w:val="41A32140"/>
    <w:rsid w:val="41EF14D0"/>
    <w:rsid w:val="4341737A"/>
    <w:rsid w:val="439A7D6E"/>
    <w:rsid w:val="43AA2C88"/>
    <w:rsid w:val="43F064F1"/>
    <w:rsid w:val="443E69A7"/>
    <w:rsid w:val="447B63D2"/>
    <w:rsid w:val="448B4FEE"/>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9144504"/>
    <w:rsid w:val="49272E20"/>
    <w:rsid w:val="4929310F"/>
    <w:rsid w:val="49C56A6D"/>
    <w:rsid w:val="49ED1B20"/>
    <w:rsid w:val="4A2A7770"/>
    <w:rsid w:val="4A2B43F6"/>
    <w:rsid w:val="4AAA655F"/>
    <w:rsid w:val="4AE7656F"/>
    <w:rsid w:val="4B1112E1"/>
    <w:rsid w:val="4BA27C60"/>
    <w:rsid w:val="4BFA0C73"/>
    <w:rsid w:val="4D5F2D35"/>
    <w:rsid w:val="4DB025AE"/>
    <w:rsid w:val="4EFB083B"/>
    <w:rsid w:val="4FB41ED2"/>
    <w:rsid w:val="4FBA3327"/>
    <w:rsid w:val="4FD824CD"/>
    <w:rsid w:val="5085479A"/>
    <w:rsid w:val="50E33C7D"/>
    <w:rsid w:val="510F39DF"/>
    <w:rsid w:val="51D07D5D"/>
    <w:rsid w:val="51DA0BDC"/>
    <w:rsid w:val="51EA121F"/>
    <w:rsid w:val="522919DD"/>
    <w:rsid w:val="52453A54"/>
    <w:rsid w:val="525B6CEF"/>
    <w:rsid w:val="52927709"/>
    <w:rsid w:val="534F3F30"/>
    <w:rsid w:val="539A6875"/>
    <w:rsid w:val="53D524B6"/>
    <w:rsid w:val="53E14A15"/>
    <w:rsid w:val="54B06E11"/>
    <w:rsid w:val="54E56216"/>
    <w:rsid w:val="54EC46B9"/>
    <w:rsid w:val="55215EFC"/>
    <w:rsid w:val="554A0159"/>
    <w:rsid w:val="55816FCE"/>
    <w:rsid w:val="55A75279"/>
    <w:rsid w:val="55C951EF"/>
    <w:rsid w:val="55D41E21"/>
    <w:rsid w:val="55E72D6A"/>
    <w:rsid w:val="562006F1"/>
    <w:rsid w:val="567C6706"/>
    <w:rsid w:val="568E01E7"/>
    <w:rsid w:val="56A456C1"/>
    <w:rsid w:val="56C241D6"/>
    <w:rsid w:val="585A0B36"/>
    <w:rsid w:val="58797859"/>
    <w:rsid w:val="588F30E3"/>
    <w:rsid w:val="58B043B9"/>
    <w:rsid w:val="58C5222B"/>
    <w:rsid w:val="58FA5D24"/>
    <w:rsid w:val="596820CB"/>
    <w:rsid w:val="597238D3"/>
    <w:rsid w:val="59A255B0"/>
    <w:rsid w:val="59A73A9A"/>
    <w:rsid w:val="59D35814"/>
    <w:rsid w:val="5A207A50"/>
    <w:rsid w:val="5A5F03A4"/>
    <w:rsid w:val="5A904005"/>
    <w:rsid w:val="5ADE798F"/>
    <w:rsid w:val="5AE44879"/>
    <w:rsid w:val="5B2E188E"/>
    <w:rsid w:val="5BC07095"/>
    <w:rsid w:val="5C215F1B"/>
    <w:rsid w:val="5C2528EA"/>
    <w:rsid w:val="5E06755A"/>
    <w:rsid w:val="5E0F0A83"/>
    <w:rsid w:val="5E354142"/>
    <w:rsid w:val="5E9D6065"/>
    <w:rsid w:val="5EF00040"/>
    <w:rsid w:val="5F4E0DEF"/>
    <w:rsid w:val="5F7C2472"/>
    <w:rsid w:val="5FA82319"/>
    <w:rsid w:val="602045A6"/>
    <w:rsid w:val="608A1210"/>
    <w:rsid w:val="608C7E04"/>
    <w:rsid w:val="60DA79A2"/>
    <w:rsid w:val="612358BE"/>
    <w:rsid w:val="61AD1E69"/>
    <w:rsid w:val="61B531E9"/>
    <w:rsid w:val="61E4459E"/>
    <w:rsid w:val="625E0F6C"/>
    <w:rsid w:val="62986BDB"/>
    <w:rsid w:val="62AB3E7A"/>
    <w:rsid w:val="62DE774A"/>
    <w:rsid w:val="632C589D"/>
    <w:rsid w:val="64CA0F84"/>
    <w:rsid w:val="667967BE"/>
    <w:rsid w:val="66C57C55"/>
    <w:rsid w:val="66D46709"/>
    <w:rsid w:val="67B3259E"/>
    <w:rsid w:val="691E175E"/>
    <w:rsid w:val="69203758"/>
    <w:rsid w:val="6A044018"/>
    <w:rsid w:val="6A835E5D"/>
    <w:rsid w:val="6A876ECF"/>
    <w:rsid w:val="6ACB25B2"/>
    <w:rsid w:val="6AFE7291"/>
    <w:rsid w:val="6B0F4348"/>
    <w:rsid w:val="6B1765A5"/>
    <w:rsid w:val="6B8D36C3"/>
    <w:rsid w:val="6BD66471"/>
    <w:rsid w:val="6BDB5825"/>
    <w:rsid w:val="6BFF7765"/>
    <w:rsid w:val="6C824A7F"/>
    <w:rsid w:val="6D667493"/>
    <w:rsid w:val="6DB63E53"/>
    <w:rsid w:val="6DD54C21"/>
    <w:rsid w:val="6E192634"/>
    <w:rsid w:val="6E1F649C"/>
    <w:rsid w:val="6E414C6E"/>
    <w:rsid w:val="6E751F61"/>
    <w:rsid w:val="6ED66437"/>
    <w:rsid w:val="6EDF244A"/>
    <w:rsid w:val="6EE756FF"/>
    <w:rsid w:val="6F822D6C"/>
    <w:rsid w:val="7021086D"/>
    <w:rsid w:val="706C1FAA"/>
    <w:rsid w:val="70C13FB6"/>
    <w:rsid w:val="70F27898"/>
    <w:rsid w:val="71BF3A88"/>
    <w:rsid w:val="71C805F9"/>
    <w:rsid w:val="72093FB8"/>
    <w:rsid w:val="724A54B2"/>
    <w:rsid w:val="72606E89"/>
    <w:rsid w:val="726725D2"/>
    <w:rsid w:val="72D01BF4"/>
    <w:rsid w:val="730D09BA"/>
    <w:rsid w:val="739B4217"/>
    <w:rsid w:val="73A43E98"/>
    <w:rsid w:val="73BC23E0"/>
    <w:rsid w:val="740833C5"/>
    <w:rsid w:val="740E3197"/>
    <w:rsid w:val="740F0761"/>
    <w:rsid w:val="751F6499"/>
    <w:rsid w:val="7533382A"/>
    <w:rsid w:val="75B55115"/>
    <w:rsid w:val="75C018B9"/>
    <w:rsid w:val="761D55D2"/>
    <w:rsid w:val="767C2D4B"/>
    <w:rsid w:val="76932CC2"/>
    <w:rsid w:val="76A21419"/>
    <w:rsid w:val="76DC7606"/>
    <w:rsid w:val="770976EA"/>
    <w:rsid w:val="770A3467"/>
    <w:rsid w:val="775C13BB"/>
    <w:rsid w:val="77752FD1"/>
    <w:rsid w:val="783E17CA"/>
    <w:rsid w:val="783E7867"/>
    <w:rsid w:val="784F0E9C"/>
    <w:rsid w:val="78B5342E"/>
    <w:rsid w:val="79010967"/>
    <w:rsid w:val="79A457A7"/>
    <w:rsid w:val="7A5A50FB"/>
    <w:rsid w:val="7A8C691C"/>
    <w:rsid w:val="7A98208E"/>
    <w:rsid w:val="7AE9365E"/>
    <w:rsid w:val="7AEE65ED"/>
    <w:rsid w:val="7BC2255D"/>
    <w:rsid w:val="7BCE0F02"/>
    <w:rsid w:val="7C503581"/>
    <w:rsid w:val="7C621BBC"/>
    <w:rsid w:val="7C9020F0"/>
    <w:rsid w:val="7CCD740C"/>
    <w:rsid w:val="7CCE084E"/>
    <w:rsid w:val="7E646FEA"/>
    <w:rsid w:val="7ED46A5A"/>
    <w:rsid w:val="7F156D37"/>
    <w:rsid w:val="7F8A7C40"/>
    <w:rsid w:val="7F911CBF"/>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5"/>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表格文字"/>
    <w:basedOn w:val="1"/>
    <w:autoRedefine/>
    <w:qFormat/>
    <w:uiPriority w:val="0"/>
    <w:pPr>
      <w:spacing w:before="25" w:after="25" w:line="240" w:lineRule="auto"/>
      <w:ind w:firstLine="0"/>
      <w:jc w:val="left"/>
    </w:pPr>
    <w:rPr>
      <w:bCs/>
      <w:spacing w:val="10"/>
      <w:kern w:val="0"/>
      <w:sz w:val="24"/>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4">
    <w:name w:val="List Paragraph"/>
    <w:basedOn w:val="1"/>
    <w:autoRedefine/>
    <w:qFormat/>
    <w:uiPriority w:val="0"/>
    <w:pPr>
      <w:ind w:firstLine="420" w:firstLineChars="200"/>
    </w:pPr>
  </w:style>
  <w:style w:type="character" w:customStyle="1" w:styleId="25">
    <w:name w:val="标题 3 字符"/>
    <w:link w:val="4"/>
    <w:autoRedefine/>
    <w:qFormat/>
    <w:uiPriority w:val="0"/>
    <w:rPr>
      <w:b/>
      <w:bCs/>
      <w:sz w:val="24"/>
      <w:szCs w:val="32"/>
    </w:rPr>
  </w:style>
  <w:style w:type="paragraph" w:customStyle="1" w:styleId="26">
    <w:name w:val="p0"/>
    <w:basedOn w:val="1"/>
    <w:autoRedefine/>
    <w:qFormat/>
    <w:uiPriority w:val="0"/>
    <w:pPr>
      <w:widowControl/>
    </w:pPr>
    <w:rPr>
      <w:rFonts w:ascii="Calibri" w:hAnsi="Calibri" w:cs="宋体"/>
      <w:kern w:val="0"/>
      <w:szCs w:val="21"/>
    </w:rPr>
  </w:style>
  <w:style w:type="paragraph" w:customStyle="1" w:styleId="27">
    <w:name w:val="首行缩进"/>
    <w:basedOn w:val="1"/>
    <w:autoRedefine/>
    <w:qFormat/>
    <w:uiPriority w:val="0"/>
    <w:pPr>
      <w:spacing w:line="360" w:lineRule="auto"/>
      <w:ind w:firstLine="480" w:firstLineChars="200"/>
    </w:pPr>
    <w:rPr>
      <w:rFonts w:ascii="宋体" w:hAnsi="宋体"/>
      <w:kern w:val="0"/>
      <w:sz w:val="24"/>
    </w:rPr>
  </w:style>
  <w:style w:type="paragraph" w:customStyle="1" w:styleId="28">
    <w:name w:val="正文小标题_0"/>
    <w:basedOn w:val="29"/>
    <w:autoRedefine/>
    <w:qFormat/>
    <w:uiPriority w:val="0"/>
    <w:pPr>
      <w:spacing w:line="420" w:lineRule="exact"/>
    </w:pPr>
    <w:rPr>
      <w:rFonts w:hAnsi="宋体" w:eastAsia="宋体"/>
      <w:sz w:val="21"/>
      <w:szCs w:val="21"/>
    </w:rPr>
  </w:style>
  <w:style w:type="paragraph" w:customStyle="1" w:styleId="29">
    <w:name w:val="标题 1_0"/>
    <w:basedOn w:val="30"/>
    <w:next w:val="30"/>
    <w:autoRedefine/>
    <w:qFormat/>
    <w:uiPriority w:val="99"/>
    <w:pPr>
      <w:keepNext/>
      <w:keepLines/>
      <w:spacing w:line="360" w:lineRule="auto"/>
      <w:outlineLvl w:val="0"/>
    </w:pPr>
    <w:rPr>
      <w:rFonts w:eastAsia="黑体"/>
      <w:b/>
      <w:bCs/>
      <w:kern w:val="44"/>
      <w:sz w:val="32"/>
      <w:szCs w:val="44"/>
    </w:rPr>
  </w:style>
  <w:style w:type="paragraph" w:customStyle="1" w:styleId="30">
    <w:name w:val="正文_0"/>
    <w:next w:val="3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_0"/>
    <w:basedOn w:val="30"/>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2">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3">
    <w:name w:val="正文呀2_0"/>
    <w:basedOn w:val="34"/>
    <w:autoRedefine/>
    <w:qFormat/>
    <w:uiPriority w:val="0"/>
    <w:rPr>
      <w:rFonts w:ascii="Times New Roman" w:hAnsi="Times New Roman"/>
    </w:rPr>
  </w:style>
  <w:style w:type="paragraph" w:customStyle="1" w:styleId="34">
    <w:name w:val="正文呀_0"/>
    <w:basedOn w:val="32"/>
    <w:autoRedefine/>
    <w:qFormat/>
    <w:uiPriority w:val="0"/>
    <w:pPr>
      <w:spacing w:line="420" w:lineRule="exact"/>
      <w:ind w:firstLine="420" w:firstLineChars="200"/>
    </w:pPr>
    <w:rPr>
      <w:rFonts w:ascii="宋体" w:hAnsi="宋体"/>
      <w:szCs w:val="21"/>
    </w:rPr>
  </w:style>
  <w:style w:type="paragraph" w:customStyle="1" w:styleId="35">
    <w:name w:val="正文呀2_1"/>
    <w:basedOn w:val="36"/>
    <w:autoRedefine/>
    <w:qFormat/>
    <w:uiPriority w:val="0"/>
    <w:rPr>
      <w:rFonts w:ascii="Times New Roman" w:hAnsi="Times New Roman" w:eastAsia="宋体" w:cs="Times New Roman"/>
      <w:kern w:val="2"/>
      <w:sz w:val="21"/>
      <w:lang w:val="en-US" w:eastAsia="zh-CN"/>
    </w:rPr>
  </w:style>
  <w:style w:type="paragraph" w:customStyle="1" w:styleId="36">
    <w:name w:val="正文呀_1"/>
    <w:basedOn w:val="30"/>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7">
    <w:name w:val="纯文本_0"/>
    <w:basedOn w:val="30"/>
    <w:autoRedefine/>
    <w:qFormat/>
    <w:uiPriority w:val="0"/>
    <w:rPr>
      <w:rFonts w:ascii="宋体" w:hAnsi="Courier New"/>
      <w:szCs w:val="24"/>
    </w:rPr>
  </w:style>
  <w:style w:type="paragraph" w:customStyle="1" w:styleId="38">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NormalCharacter"/>
    <w:autoRedefine/>
    <w:qFormat/>
    <w:uiPriority w:val="0"/>
  </w:style>
  <w:style w:type="paragraph" w:customStyle="1" w:styleId="41">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2">
    <w:name w:val="PlainText"/>
    <w:basedOn w:val="1"/>
    <w:next w:val="43"/>
    <w:autoRedefine/>
    <w:qFormat/>
    <w:uiPriority w:val="0"/>
    <w:rPr>
      <w:rFonts w:ascii="宋体" w:hAnsi="Courier New"/>
      <w:szCs w:val="20"/>
    </w:rPr>
  </w:style>
  <w:style w:type="paragraph" w:customStyle="1" w:styleId="43">
    <w:name w:val="Index8"/>
    <w:basedOn w:val="1"/>
    <w:next w:val="1"/>
    <w:autoRedefine/>
    <w:qFormat/>
    <w:uiPriority w:val="0"/>
    <w:pPr>
      <w:ind w:left="2940"/>
    </w:pPr>
  </w:style>
  <w:style w:type="paragraph" w:customStyle="1" w:styleId="44">
    <w:name w:val="style4"/>
    <w:basedOn w:val="1"/>
    <w:next w:val="45"/>
    <w:autoRedefine/>
    <w:qFormat/>
    <w:uiPriority w:val="0"/>
    <w:pPr>
      <w:widowControl/>
      <w:spacing w:before="280" w:after="280"/>
    </w:pPr>
    <w:rPr>
      <w:rFonts w:ascii="宋体"/>
      <w:sz w:val="18"/>
    </w:rPr>
  </w:style>
  <w:style w:type="paragraph" w:customStyle="1" w:styleId="45">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62863</Words>
  <Characters>67129</Characters>
  <Lines>0</Lines>
  <Paragraphs>0</Paragraphs>
  <TotalTime>30</TotalTime>
  <ScaleCrop>false</ScaleCrop>
  <LinksUpToDate>false</LinksUpToDate>
  <CharactersWithSpaces>72351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NTKO</cp:lastModifiedBy>
  <dcterms:modified xsi:type="dcterms:W3CDTF">2024-05-11T09:47:05Z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B560AA33C8EE467A8FCC399843BE1168_13</vt:lpwstr>
  </property>
</Properties>
</file>