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8443F4">
      <w:pPr>
        <w:snapToGrid w:val="0"/>
        <w:spacing w:before="156" w:beforeLines="50" w:line="360" w:lineRule="auto"/>
        <w:jc w:val="center"/>
        <w:rPr>
          <w:rFonts w:hint="eastAsia" w:ascii="仿宋" w:hAnsi="仿宋" w:eastAsia="仿宋" w:cs="仿宋"/>
          <w:b/>
          <w:bCs/>
          <w:color w:val="auto"/>
          <w:sz w:val="56"/>
          <w:szCs w:val="56"/>
          <w:highlight w:val="none"/>
        </w:rPr>
      </w:pPr>
      <w:r>
        <w:rPr>
          <w:rFonts w:hint="eastAsia" w:ascii="仿宋" w:hAnsi="仿宋" w:eastAsia="仿宋" w:cs="仿宋"/>
          <w:b/>
          <w:bCs/>
          <w:color w:val="auto"/>
          <w:sz w:val="60"/>
          <w:szCs w:val="60"/>
          <w:highlight w:val="none"/>
          <w:lang w:eastAsia="zh-CN"/>
          <w14:shadow w14:blurRad="50800" w14:dist="38100" w14:dir="2700000" w14:sx="100000" w14:sy="100000" w14:kx="0" w14:ky="0" w14:algn="tl">
            <w14:srgbClr w14:val="000000">
              <w14:alpha w14:val="60000"/>
            </w14:srgbClr>
          </w14:shadow>
        </w:rPr>
        <w:t>广西恒辉工程咨询有限公司</w:t>
      </w:r>
    </w:p>
    <w:p w14:paraId="0B6B35F2">
      <w:pPr>
        <w:snapToGrid w:val="0"/>
        <w:spacing w:before="156" w:beforeLines="50" w:line="360" w:lineRule="auto"/>
        <w:jc w:val="center"/>
        <w:rPr>
          <w:rFonts w:hint="eastAsia" w:ascii="仿宋" w:hAnsi="仿宋" w:eastAsia="仿宋" w:cs="仿宋"/>
          <w:color w:val="auto"/>
          <w:highlight w:val="none"/>
        </w:rPr>
      </w:pPr>
    </w:p>
    <w:p w14:paraId="6EB7C2AD">
      <w:pPr>
        <w:snapToGrid w:val="0"/>
        <w:spacing w:before="156" w:beforeLines="50" w:line="360" w:lineRule="auto"/>
        <w:jc w:val="center"/>
        <w:rPr>
          <w:rFonts w:hint="eastAsia" w:ascii="仿宋" w:hAnsi="仿宋" w:eastAsia="仿宋" w:cs="仿宋"/>
          <w:color w:val="auto"/>
          <w:highlight w:val="none"/>
        </w:rPr>
      </w:pPr>
    </w:p>
    <w:p w14:paraId="5373EE71">
      <w:pPr>
        <w:snapToGrid w:val="0"/>
        <w:spacing w:before="156" w:beforeLines="50" w:line="360" w:lineRule="auto"/>
        <w:jc w:val="center"/>
        <w:rPr>
          <w:rFonts w:hint="eastAsia" w:ascii="仿宋" w:hAnsi="仿宋" w:eastAsia="仿宋" w:cs="仿宋"/>
          <w:color w:val="auto"/>
          <w:sz w:val="44"/>
          <w:szCs w:val="44"/>
          <w:highlight w:val="none"/>
        </w:rPr>
      </w:pPr>
      <w:r>
        <w:rPr>
          <w:rFonts w:hint="eastAsia" w:ascii="仿宋" w:hAnsi="仿宋" w:eastAsia="仿宋" w:cs="仿宋"/>
          <w:b/>
          <w:bCs/>
          <w:color w:val="auto"/>
          <w:sz w:val="72"/>
          <w:szCs w:val="72"/>
          <w:highlight w:val="none"/>
          <w14:shadow w14:blurRad="50800" w14:dist="38100" w14:dir="2700000" w14:sx="100000" w14:sy="100000" w14:kx="0" w14:ky="0" w14:algn="tl">
            <w14:srgbClr w14:val="000000">
              <w14:alpha w14:val="60000"/>
            </w14:srgbClr>
          </w14:shadow>
        </w:rPr>
        <w:t>竞争性磋商文件</w:t>
      </w:r>
    </w:p>
    <w:p w14:paraId="2F9BBB94">
      <w:pPr>
        <w:spacing w:line="360" w:lineRule="auto"/>
        <w:jc w:val="center"/>
        <w:rPr>
          <w:rFonts w:hint="eastAsia" w:ascii="仿宋" w:hAnsi="仿宋" w:eastAsia="仿宋" w:cs="仿宋"/>
          <w:b/>
          <w:color w:val="auto"/>
          <w:sz w:val="32"/>
          <w:szCs w:val="32"/>
          <w:highlight w:val="none"/>
        </w:rPr>
      </w:pPr>
      <w:r>
        <w:rPr>
          <w:rFonts w:hint="eastAsia" w:ascii="宋体" w:hAnsi="宋体" w:cs="宋体"/>
          <w:color w:val="auto"/>
          <w:sz w:val="48"/>
          <w:szCs w:val="48"/>
          <w:highlight w:val="none"/>
        </w:rPr>
        <w:t>（全流程电子化评标）</w:t>
      </w:r>
    </w:p>
    <w:p w14:paraId="5A30B4CD">
      <w:pPr>
        <w:rPr>
          <w:rFonts w:ascii="宋体" w:hAnsi="宋体" w:cs="宋体"/>
          <w:b/>
          <w:color w:val="auto"/>
          <w:sz w:val="32"/>
          <w:szCs w:val="32"/>
          <w:highlight w:val="none"/>
        </w:rPr>
      </w:pPr>
    </w:p>
    <w:p w14:paraId="29380F7F">
      <w:pPr>
        <w:rPr>
          <w:rFonts w:ascii="宋体" w:hAnsi="宋体" w:cs="宋体"/>
          <w:b/>
          <w:color w:val="auto"/>
          <w:sz w:val="32"/>
          <w:szCs w:val="32"/>
          <w:highlight w:val="none"/>
        </w:rPr>
      </w:pPr>
    </w:p>
    <w:p w14:paraId="650951CF">
      <w:pPr>
        <w:jc w:val="both"/>
        <w:rPr>
          <w:rFonts w:ascii="宋体" w:hAnsi="宋体" w:cs="宋体"/>
          <w:b/>
          <w:bCs/>
          <w:color w:val="auto"/>
          <w:sz w:val="44"/>
          <w:szCs w:val="44"/>
          <w:highlight w:val="none"/>
        </w:rPr>
      </w:pPr>
    </w:p>
    <w:p w14:paraId="06A25BDC">
      <w:pPr>
        <w:rPr>
          <w:rFonts w:ascii="宋体" w:hAnsi="宋体" w:cs="宋体"/>
          <w:b/>
          <w:color w:val="auto"/>
          <w:sz w:val="32"/>
          <w:szCs w:val="32"/>
          <w:highlight w:val="none"/>
        </w:rPr>
      </w:pPr>
    </w:p>
    <w:p w14:paraId="3BD6D17C">
      <w:pPr>
        <w:pStyle w:val="16"/>
        <w:rPr>
          <w:rFonts w:ascii="宋体" w:hAnsi="宋体" w:cs="宋体"/>
          <w:b/>
          <w:color w:val="auto"/>
          <w:sz w:val="32"/>
          <w:szCs w:val="32"/>
          <w:highlight w:val="none"/>
        </w:rPr>
      </w:pPr>
    </w:p>
    <w:p w14:paraId="04AE286B">
      <w:pPr>
        <w:pStyle w:val="16"/>
        <w:ind w:left="0" w:leftChars="0" w:firstLine="0" w:firstLineChars="0"/>
        <w:rPr>
          <w:rFonts w:ascii="宋体" w:hAnsi="宋体" w:cs="宋体"/>
          <w:b/>
          <w:color w:val="auto"/>
          <w:sz w:val="32"/>
          <w:szCs w:val="32"/>
          <w:highlight w:val="none"/>
        </w:rPr>
      </w:pPr>
    </w:p>
    <w:p w14:paraId="7C4BFFE2">
      <w:pPr>
        <w:rPr>
          <w:rFonts w:ascii="宋体" w:hAnsi="宋体" w:cs="宋体"/>
          <w:b/>
          <w:color w:val="auto"/>
          <w:sz w:val="32"/>
          <w:szCs w:val="32"/>
          <w:highlight w:val="none"/>
        </w:rPr>
      </w:pPr>
    </w:p>
    <w:p w14:paraId="67988143">
      <w:pPr>
        <w:rPr>
          <w:rFonts w:ascii="宋体" w:hAnsi="宋体" w:cs="宋体"/>
          <w:b/>
          <w:color w:val="auto"/>
          <w:sz w:val="32"/>
          <w:szCs w:val="32"/>
          <w:highlight w:val="none"/>
        </w:rPr>
      </w:pPr>
    </w:p>
    <w:p w14:paraId="780B232C">
      <w:pPr>
        <w:rPr>
          <w:rFonts w:ascii="宋体" w:hAnsi="宋体" w:cs="宋体"/>
          <w:b/>
          <w:color w:val="auto"/>
          <w:sz w:val="32"/>
          <w:szCs w:val="32"/>
          <w:highlight w:val="none"/>
        </w:rPr>
      </w:pPr>
    </w:p>
    <w:p w14:paraId="7792C23D">
      <w:pPr>
        <w:spacing w:line="360" w:lineRule="auto"/>
        <w:ind w:left="769" w:leftChars="256" w:hanging="231" w:hangingChars="72"/>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项目名称：</w:t>
      </w:r>
      <w:r>
        <w:rPr>
          <w:rFonts w:hint="eastAsia" w:ascii="宋体" w:hAnsi="宋体" w:cs="宋体"/>
          <w:b/>
          <w:bCs/>
          <w:color w:val="auto"/>
          <w:sz w:val="32"/>
          <w:szCs w:val="32"/>
          <w:highlight w:val="none"/>
          <w:lang w:val="en-US" w:eastAsia="zh-CN"/>
        </w:rPr>
        <w:t>梧州市万秀区城东镇华堂村风貌提升工程</w:t>
      </w:r>
    </w:p>
    <w:p w14:paraId="0FBC8BC5">
      <w:pPr>
        <w:spacing w:line="360" w:lineRule="auto"/>
        <w:ind w:left="0" w:leftChars="0" w:firstLine="540" w:firstLineChars="168"/>
        <w:jc w:val="left"/>
        <w:rPr>
          <w:rFonts w:hint="eastAsia" w:ascii="宋体" w:hAnsi="宋体" w:eastAsia="宋体" w:cs="宋体"/>
          <w:b/>
          <w:color w:val="auto"/>
          <w:sz w:val="32"/>
          <w:szCs w:val="32"/>
          <w:highlight w:val="none"/>
          <w:lang w:val="en-US" w:eastAsia="zh-CN"/>
        </w:rPr>
      </w:pPr>
      <w:r>
        <w:rPr>
          <w:rFonts w:hint="eastAsia" w:ascii="宋体" w:hAnsi="宋体" w:cs="宋体"/>
          <w:b/>
          <w:bCs/>
          <w:color w:val="auto"/>
          <w:sz w:val="32"/>
          <w:szCs w:val="32"/>
          <w:highlight w:val="none"/>
        </w:rPr>
        <w:t>项目编号：</w:t>
      </w:r>
      <w:r>
        <w:rPr>
          <w:rFonts w:hint="eastAsia" w:ascii="宋体" w:hAnsi="宋体" w:cs="宋体"/>
          <w:b/>
          <w:bCs/>
          <w:color w:val="auto"/>
          <w:sz w:val="32"/>
          <w:szCs w:val="32"/>
          <w:highlight w:val="none"/>
          <w:lang w:eastAsia="zh-CN"/>
        </w:rPr>
        <w:t>WZZC2025-C2-030033-GXHH</w:t>
      </w:r>
    </w:p>
    <w:p w14:paraId="755AE0B2">
      <w:pPr>
        <w:spacing w:line="360" w:lineRule="auto"/>
        <w:ind w:left="0" w:leftChars="0" w:firstLine="540" w:firstLineChars="168"/>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采购人：</w:t>
      </w:r>
      <w:r>
        <w:rPr>
          <w:rFonts w:hint="eastAsia" w:ascii="宋体" w:hAnsi="宋体" w:cs="宋体"/>
          <w:b/>
          <w:bCs/>
          <w:color w:val="auto"/>
          <w:sz w:val="32"/>
          <w:szCs w:val="32"/>
          <w:highlight w:val="none"/>
          <w:lang w:eastAsia="zh-CN"/>
        </w:rPr>
        <w:t>梧州市万秀区城东镇人民政府</w:t>
      </w:r>
    </w:p>
    <w:p w14:paraId="6D854D7E">
      <w:pPr>
        <w:spacing w:line="360" w:lineRule="auto"/>
        <w:ind w:left="0" w:leftChars="0" w:firstLine="540" w:firstLineChars="168"/>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采购代理机构：</w:t>
      </w:r>
      <w:r>
        <w:rPr>
          <w:rFonts w:hint="eastAsia" w:ascii="宋体" w:hAnsi="宋体" w:cs="宋体"/>
          <w:b/>
          <w:bCs/>
          <w:color w:val="auto"/>
          <w:sz w:val="32"/>
          <w:szCs w:val="32"/>
          <w:highlight w:val="none"/>
          <w:lang w:val="en-US" w:eastAsia="zh-CN"/>
        </w:rPr>
        <w:t>广西恒辉工程咨询有限公司</w:t>
      </w:r>
    </w:p>
    <w:p w14:paraId="446FF09D">
      <w:pPr>
        <w:rPr>
          <w:rFonts w:ascii="宋体" w:hAnsi="宋体" w:cs="宋体"/>
          <w:b/>
          <w:color w:val="auto"/>
          <w:sz w:val="32"/>
          <w:szCs w:val="32"/>
          <w:highlight w:val="none"/>
        </w:rPr>
      </w:pPr>
    </w:p>
    <w:p w14:paraId="7CB56826">
      <w:pPr>
        <w:rPr>
          <w:rFonts w:ascii="宋体" w:hAnsi="宋体" w:cs="宋体"/>
          <w:b/>
          <w:color w:val="auto"/>
          <w:sz w:val="32"/>
          <w:szCs w:val="32"/>
          <w:highlight w:val="none"/>
        </w:rPr>
      </w:pPr>
    </w:p>
    <w:p w14:paraId="40A3A19B">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lang w:eastAsia="zh-CN"/>
        </w:rPr>
        <w:t>2025年</w:t>
      </w:r>
      <w:r>
        <w:rPr>
          <w:rFonts w:hint="eastAsia" w:ascii="宋体" w:hAnsi="宋体" w:cs="宋体"/>
          <w:b/>
          <w:color w:val="auto"/>
          <w:sz w:val="32"/>
          <w:szCs w:val="32"/>
          <w:highlight w:val="none"/>
          <w:lang w:val="en-US" w:eastAsia="zh-CN"/>
        </w:rPr>
        <w:t>11月</w:t>
      </w:r>
    </w:p>
    <w:p w14:paraId="2C6B583D">
      <w:pPr>
        <w:pStyle w:val="13"/>
        <w:rPr>
          <w:rFonts w:ascii="宋体" w:hAnsi="宋体" w:cs="宋体"/>
          <w:color w:val="auto"/>
          <w:highlight w:val="none"/>
        </w:rPr>
      </w:pPr>
    </w:p>
    <w:p w14:paraId="183C84BC">
      <w:pPr>
        <w:spacing w:line="360" w:lineRule="auto"/>
        <w:jc w:val="center"/>
        <w:rPr>
          <w:rFonts w:ascii="宋体" w:hAnsi="宋体" w:cs="宋体"/>
          <w:b/>
          <w:color w:val="auto"/>
          <w:sz w:val="32"/>
          <w:szCs w:val="32"/>
          <w:highlight w:val="none"/>
        </w:rPr>
        <w:sectPr>
          <w:pgSz w:w="11911" w:h="16838"/>
          <w:pgMar w:top="1418" w:right="1418" w:bottom="1418" w:left="1418" w:header="851" w:footer="964" w:gutter="0"/>
          <w:cols w:space="720" w:num="1"/>
          <w:docGrid w:linePitch="312" w:charSpace="0"/>
        </w:sectPr>
      </w:pPr>
    </w:p>
    <w:p w14:paraId="120FC4C6">
      <w:pPr>
        <w:spacing w:line="360" w:lineRule="auto"/>
        <w:jc w:val="center"/>
        <w:rPr>
          <w:rFonts w:ascii="宋体" w:hAnsi="宋体" w:cs="宋体"/>
          <w:b/>
          <w:color w:val="auto"/>
          <w:sz w:val="44"/>
          <w:szCs w:val="44"/>
          <w:highlight w:val="none"/>
        </w:rPr>
      </w:pPr>
      <w:r>
        <w:rPr>
          <w:rFonts w:hint="eastAsia" w:ascii="宋体" w:hAnsi="宋体" w:cs="宋体"/>
          <w:b/>
          <w:color w:val="auto"/>
          <w:sz w:val="32"/>
          <w:szCs w:val="32"/>
          <w:highlight w:val="none"/>
        </w:rPr>
        <w:t>目 录</w:t>
      </w:r>
    </w:p>
    <w:p w14:paraId="042BAFE1">
      <w:pPr>
        <w:pStyle w:val="23"/>
        <w:tabs>
          <w:tab w:val="right" w:leader="dot" w:pos="9077"/>
        </w:tabs>
        <w:spacing w:line="360" w:lineRule="auto"/>
        <w:rPr>
          <w:rFonts w:ascii="宋体" w:hAnsi="宋体" w:cs="宋体"/>
          <w:color w:val="auto"/>
          <w:sz w:val="24"/>
          <w:highlight w:val="none"/>
        </w:rPr>
      </w:pPr>
      <w:r>
        <w:rPr>
          <w:rFonts w:hint="eastAsia" w:ascii="宋体" w:hAnsi="宋体" w:cs="宋体"/>
          <w:b/>
          <w:color w:val="auto"/>
          <w:sz w:val="24"/>
          <w:highlight w:val="none"/>
        </w:rPr>
        <w:fldChar w:fldCharType="begin"/>
      </w:r>
      <w:r>
        <w:rPr>
          <w:rFonts w:hint="eastAsia" w:ascii="宋体" w:hAnsi="宋体" w:cs="宋体"/>
          <w:b/>
          <w:color w:val="auto"/>
          <w:sz w:val="24"/>
          <w:highlight w:val="none"/>
        </w:rPr>
        <w:instrText xml:space="preserve"> TOC \o "1-3" \h \z \u </w:instrText>
      </w:r>
      <w:r>
        <w:rPr>
          <w:rFonts w:hint="eastAsia" w:ascii="宋体" w:hAnsi="宋体" w:cs="宋体"/>
          <w:b/>
          <w:color w:val="auto"/>
          <w:sz w:val="24"/>
          <w:highlight w:val="none"/>
        </w:rPr>
        <w:fldChar w:fldCharType="separate"/>
      </w:r>
      <w:r>
        <w:rPr>
          <w:color w:val="auto"/>
          <w:highlight w:val="none"/>
        </w:rPr>
        <w:fldChar w:fldCharType="begin"/>
      </w:r>
      <w:r>
        <w:rPr>
          <w:color w:val="auto"/>
          <w:highlight w:val="none"/>
        </w:rPr>
        <w:instrText xml:space="preserve"> HYPERLINK \l "_Toc26732" </w:instrText>
      </w:r>
      <w:r>
        <w:rPr>
          <w:color w:val="auto"/>
          <w:highlight w:val="none"/>
        </w:rPr>
        <w:fldChar w:fldCharType="separate"/>
      </w:r>
      <w:r>
        <w:rPr>
          <w:rFonts w:hint="eastAsia" w:ascii="宋体" w:hAnsi="宋体" w:cs="宋体"/>
          <w:color w:val="auto"/>
          <w:sz w:val="24"/>
          <w:highlight w:val="none"/>
        </w:rPr>
        <w:t>第一章 竞争性磋商公告</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_Toc26732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7564414E">
      <w:pPr>
        <w:pStyle w:val="23"/>
        <w:tabs>
          <w:tab w:val="right" w:leader="dot" w:pos="9077"/>
        </w:tabs>
        <w:spacing w:line="36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"_Toc15873" </w:instrText>
      </w:r>
      <w:r>
        <w:rPr>
          <w:color w:val="auto"/>
          <w:highlight w:val="none"/>
        </w:rPr>
        <w:fldChar w:fldCharType="separate"/>
      </w:r>
      <w:r>
        <w:rPr>
          <w:rFonts w:hint="eastAsia" w:ascii="宋体" w:hAnsi="宋体" w:cs="宋体"/>
          <w:color w:val="auto"/>
          <w:sz w:val="24"/>
          <w:highlight w:val="none"/>
        </w:rPr>
        <w:t>第二章 供应商须知</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_Toc15873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3267CBC5">
      <w:pPr>
        <w:pStyle w:val="25"/>
        <w:tabs>
          <w:tab w:val="right" w:leader="dot" w:pos="9077"/>
          <w:tab w:val="clear" w:pos="8296"/>
        </w:tabs>
        <w:spacing w:line="36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"_Toc31224" </w:instrText>
      </w:r>
      <w:r>
        <w:rPr>
          <w:color w:val="auto"/>
          <w:highlight w:val="none"/>
        </w:rPr>
        <w:fldChar w:fldCharType="separate"/>
      </w:r>
      <w:r>
        <w:rPr>
          <w:rFonts w:hint="eastAsia" w:ascii="宋体" w:hAnsi="宋体" w:cs="宋体"/>
          <w:color w:val="auto"/>
          <w:sz w:val="24"/>
          <w:highlight w:val="none"/>
        </w:rPr>
        <w:t>第一节 供应商须知前附表</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_Toc31224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57436047">
      <w:pPr>
        <w:pStyle w:val="25"/>
        <w:tabs>
          <w:tab w:val="right" w:leader="dot" w:pos="9077"/>
          <w:tab w:val="clear" w:pos="8296"/>
        </w:tabs>
        <w:spacing w:line="36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"_Toc3871" </w:instrText>
      </w:r>
      <w:r>
        <w:rPr>
          <w:color w:val="auto"/>
          <w:highlight w:val="none"/>
        </w:rPr>
        <w:fldChar w:fldCharType="separate"/>
      </w:r>
      <w:r>
        <w:rPr>
          <w:rFonts w:hint="eastAsia" w:ascii="宋体" w:hAnsi="宋体" w:cs="宋体"/>
          <w:color w:val="auto"/>
          <w:sz w:val="24"/>
          <w:highlight w:val="none"/>
        </w:rPr>
        <w:t>第二节 供应商须知正文</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_Toc3871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10</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57D6627B">
      <w:pPr>
        <w:pStyle w:val="17"/>
        <w:tabs>
          <w:tab w:val="right" w:leader="dot" w:pos="9077"/>
        </w:tabs>
        <w:spacing w:line="36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"_Toc14066" </w:instrText>
      </w:r>
      <w:r>
        <w:rPr>
          <w:color w:val="auto"/>
          <w:highlight w:val="none"/>
        </w:rPr>
        <w:fldChar w:fldCharType="separate"/>
      </w:r>
      <w:r>
        <w:rPr>
          <w:rFonts w:hint="eastAsia" w:ascii="宋体" w:hAnsi="宋体" w:cs="宋体"/>
          <w:bCs/>
          <w:color w:val="auto"/>
          <w:sz w:val="24"/>
          <w:highlight w:val="none"/>
        </w:rPr>
        <w:t>一、总则</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_Toc14066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10</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5A171B8C">
      <w:pPr>
        <w:pStyle w:val="17"/>
        <w:tabs>
          <w:tab w:val="right" w:leader="dot" w:pos="9077"/>
        </w:tabs>
        <w:spacing w:line="36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"_Toc597" </w:instrText>
      </w:r>
      <w:r>
        <w:rPr>
          <w:color w:val="auto"/>
          <w:highlight w:val="none"/>
        </w:rPr>
        <w:fldChar w:fldCharType="separate"/>
      </w:r>
      <w:r>
        <w:rPr>
          <w:rFonts w:hint="eastAsia" w:ascii="宋体" w:hAnsi="宋体" w:cs="宋体"/>
          <w:bCs/>
          <w:color w:val="auto"/>
          <w:sz w:val="24"/>
          <w:highlight w:val="none"/>
        </w:rPr>
        <w:t>二、磋商文件</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_Toc597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12</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6AC8A25E">
      <w:pPr>
        <w:pStyle w:val="17"/>
        <w:tabs>
          <w:tab w:val="right" w:leader="dot" w:pos="9077"/>
        </w:tabs>
        <w:spacing w:line="36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"_Toc11654" </w:instrText>
      </w:r>
      <w:r>
        <w:rPr>
          <w:color w:val="auto"/>
          <w:highlight w:val="none"/>
        </w:rPr>
        <w:fldChar w:fldCharType="separate"/>
      </w:r>
      <w:r>
        <w:rPr>
          <w:rFonts w:hint="eastAsia" w:ascii="宋体" w:hAnsi="宋体" w:cs="宋体"/>
          <w:bCs/>
          <w:color w:val="auto"/>
          <w:sz w:val="24"/>
          <w:highlight w:val="none"/>
        </w:rPr>
        <w:t>三、响应文件的编制</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_Toc11654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13</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6D680342">
      <w:pPr>
        <w:pStyle w:val="17"/>
        <w:tabs>
          <w:tab w:val="right" w:leader="dot" w:pos="9077"/>
        </w:tabs>
        <w:spacing w:line="36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"_Toc16919" </w:instrText>
      </w:r>
      <w:r>
        <w:rPr>
          <w:color w:val="auto"/>
          <w:highlight w:val="none"/>
        </w:rPr>
        <w:fldChar w:fldCharType="separate"/>
      </w:r>
      <w:r>
        <w:rPr>
          <w:rFonts w:hint="eastAsia" w:ascii="宋体" w:hAnsi="宋体" w:cs="宋体"/>
          <w:bCs/>
          <w:color w:val="auto"/>
          <w:sz w:val="24"/>
          <w:highlight w:val="none"/>
        </w:rPr>
        <w:t>四、评审及磋商</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_Toc16919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15</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675067B5">
      <w:pPr>
        <w:pStyle w:val="17"/>
        <w:tabs>
          <w:tab w:val="right" w:leader="dot" w:pos="9077"/>
        </w:tabs>
        <w:spacing w:line="36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"_Toc18284" </w:instrText>
      </w:r>
      <w:r>
        <w:rPr>
          <w:color w:val="auto"/>
          <w:highlight w:val="none"/>
        </w:rPr>
        <w:fldChar w:fldCharType="separate"/>
      </w:r>
      <w:r>
        <w:rPr>
          <w:rFonts w:hint="eastAsia" w:ascii="宋体" w:hAnsi="宋体" w:cs="宋体"/>
          <w:bCs/>
          <w:color w:val="auto"/>
          <w:sz w:val="24"/>
          <w:highlight w:val="none"/>
        </w:rPr>
        <w:t>五、成交及合同</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_Toc18284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16</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204AFCFC">
      <w:pPr>
        <w:pStyle w:val="17"/>
        <w:tabs>
          <w:tab w:val="right" w:leader="dot" w:pos="9077"/>
        </w:tabs>
        <w:spacing w:line="36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"_Toc7683" </w:instrText>
      </w:r>
      <w:r>
        <w:rPr>
          <w:color w:val="auto"/>
          <w:highlight w:val="none"/>
        </w:rPr>
        <w:fldChar w:fldCharType="separate"/>
      </w:r>
      <w:r>
        <w:rPr>
          <w:rFonts w:hint="eastAsia" w:ascii="宋体" w:hAnsi="宋体" w:cs="宋体"/>
          <w:bCs/>
          <w:color w:val="auto"/>
          <w:sz w:val="24"/>
          <w:highlight w:val="none"/>
        </w:rPr>
        <w:t>六、验收</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_Toc7683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19</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1E488526">
      <w:pPr>
        <w:pStyle w:val="17"/>
        <w:tabs>
          <w:tab w:val="right" w:leader="dot" w:pos="9077"/>
        </w:tabs>
        <w:spacing w:line="36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"_Toc5991" </w:instrText>
      </w:r>
      <w:r>
        <w:rPr>
          <w:color w:val="auto"/>
          <w:highlight w:val="none"/>
        </w:rPr>
        <w:fldChar w:fldCharType="separate"/>
      </w:r>
      <w:r>
        <w:rPr>
          <w:rFonts w:hint="eastAsia" w:ascii="宋体" w:hAnsi="宋体" w:cs="宋体"/>
          <w:bCs/>
          <w:color w:val="auto"/>
          <w:sz w:val="24"/>
          <w:highlight w:val="none"/>
        </w:rPr>
        <w:t>七、其他事项</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_Toc5991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19</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0E820B65">
      <w:pPr>
        <w:pStyle w:val="23"/>
        <w:tabs>
          <w:tab w:val="right" w:leader="dot" w:pos="9077"/>
        </w:tabs>
        <w:spacing w:line="36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"_Toc24815" </w:instrText>
      </w:r>
      <w:r>
        <w:rPr>
          <w:color w:val="auto"/>
          <w:highlight w:val="none"/>
        </w:rPr>
        <w:fldChar w:fldCharType="separate"/>
      </w:r>
      <w:r>
        <w:rPr>
          <w:rFonts w:hint="eastAsia" w:ascii="宋体" w:hAnsi="宋体" w:cs="宋体"/>
          <w:color w:val="auto"/>
          <w:sz w:val="24"/>
          <w:highlight w:val="none"/>
        </w:rPr>
        <w:t>第三章 采购需求</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_Toc24815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51DA76D6">
      <w:pPr>
        <w:pStyle w:val="23"/>
        <w:tabs>
          <w:tab w:val="right" w:leader="dot" w:pos="9077"/>
        </w:tabs>
        <w:spacing w:line="36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"_Toc7085" </w:instrText>
      </w:r>
      <w:r>
        <w:rPr>
          <w:color w:val="auto"/>
          <w:highlight w:val="none"/>
        </w:rPr>
        <w:fldChar w:fldCharType="separate"/>
      </w:r>
      <w:r>
        <w:rPr>
          <w:rFonts w:hint="eastAsia" w:ascii="宋体" w:hAnsi="宋体" w:cs="宋体"/>
          <w:bCs/>
          <w:color w:val="auto"/>
          <w:sz w:val="24"/>
          <w:highlight w:val="none"/>
        </w:rPr>
        <w:t>第四章 评审程序、评审方法和评审标准</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_Toc7085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23</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66993847">
      <w:pPr>
        <w:pStyle w:val="25"/>
        <w:tabs>
          <w:tab w:val="right" w:leader="dot" w:pos="9077"/>
          <w:tab w:val="clear" w:pos="8296"/>
        </w:tabs>
        <w:spacing w:line="36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"_Toc15394" </w:instrText>
      </w:r>
      <w:r>
        <w:rPr>
          <w:color w:val="auto"/>
          <w:highlight w:val="none"/>
        </w:rPr>
        <w:fldChar w:fldCharType="separate"/>
      </w:r>
      <w:r>
        <w:rPr>
          <w:rFonts w:hint="eastAsia" w:ascii="宋体" w:hAnsi="宋体" w:cs="宋体"/>
          <w:color w:val="auto"/>
          <w:sz w:val="24"/>
          <w:highlight w:val="none"/>
        </w:rPr>
        <w:t>第一节 评审程序和评审方法</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_Toc15394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23</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5CE926AB">
      <w:pPr>
        <w:pStyle w:val="25"/>
        <w:tabs>
          <w:tab w:val="right" w:leader="dot" w:pos="9077"/>
          <w:tab w:val="clear" w:pos="8296"/>
        </w:tabs>
        <w:spacing w:line="36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"_Toc25766" </w:instrText>
      </w:r>
      <w:r>
        <w:rPr>
          <w:color w:val="auto"/>
          <w:highlight w:val="none"/>
        </w:rPr>
        <w:fldChar w:fldCharType="separate"/>
      </w:r>
      <w:r>
        <w:rPr>
          <w:rFonts w:hint="eastAsia" w:ascii="宋体" w:hAnsi="宋体" w:cs="宋体"/>
          <w:color w:val="auto"/>
          <w:sz w:val="24"/>
          <w:highlight w:val="none"/>
        </w:rPr>
        <w:t>第二节 评标报告</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_Toc25766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34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529D94F5">
      <w:pPr>
        <w:pStyle w:val="25"/>
        <w:tabs>
          <w:tab w:val="right" w:leader="dot" w:pos="9077"/>
          <w:tab w:val="clear" w:pos="8296"/>
        </w:tabs>
        <w:spacing w:line="36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"_Toc6554" </w:instrText>
      </w:r>
      <w:r>
        <w:rPr>
          <w:color w:val="auto"/>
          <w:highlight w:val="none"/>
        </w:rPr>
        <w:fldChar w:fldCharType="separate"/>
      </w:r>
      <w:r>
        <w:rPr>
          <w:rFonts w:hint="eastAsia" w:ascii="宋体" w:hAnsi="宋体" w:cs="宋体"/>
          <w:color w:val="auto"/>
          <w:sz w:val="24"/>
          <w:highlight w:val="none"/>
        </w:rPr>
        <w:t>第三节 评审过程的保密与录像</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_Toc6554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34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3AEE78F7">
      <w:pPr>
        <w:pStyle w:val="23"/>
        <w:tabs>
          <w:tab w:val="right" w:leader="dot" w:pos="9077"/>
        </w:tabs>
        <w:spacing w:line="36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"_Toc19118" </w:instrText>
      </w:r>
      <w:r>
        <w:rPr>
          <w:color w:val="auto"/>
          <w:highlight w:val="none"/>
        </w:rPr>
        <w:fldChar w:fldCharType="separate"/>
      </w:r>
      <w:r>
        <w:rPr>
          <w:rFonts w:hint="eastAsia" w:ascii="宋体" w:hAnsi="宋体" w:cs="宋体"/>
          <w:color w:val="auto"/>
          <w:sz w:val="24"/>
          <w:highlight w:val="none"/>
        </w:rPr>
        <w:t>第五章 工程量清单</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_Toc19118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35</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4C227C7A">
      <w:pPr>
        <w:pStyle w:val="23"/>
        <w:tabs>
          <w:tab w:val="right" w:leader="dot" w:pos="9077"/>
        </w:tabs>
        <w:spacing w:line="36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"_Toc30036" </w:instrText>
      </w:r>
      <w:r>
        <w:rPr>
          <w:color w:val="auto"/>
          <w:highlight w:val="none"/>
        </w:rPr>
        <w:fldChar w:fldCharType="separate"/>
      </w:r>
      <w:r>
        <w:rPr>
          <w:rFonts w:hint="eastAsia" w:ascii="宋体" w:hAnsi="宋体" w:cs="宋体"/>
          <w:color w:val="auto"/>
          <w:sz w:val="24"/>
          <w:highlight w:val="none"/>
        </w:rPr>
        <w:t>第六章 图纸（另册）</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_Toc30036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36</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2D1DCA85">
      <w:pPr>
        <w:pStyle w:val="23"/>
        <w:tabs>
          <w:tab w:val="right" w:leader="dot" w:pos="9077"/>
        </w:tabs>
        <w:spacing w:line="36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"_Toc29359" </w:instrText>
      </w:r>
      <w:r>
        <w:rPr>
          <w:color w:val="auto"/>
          <w:highlight w:val="none"/>
        </w:rPr>
        <w:fldChar w:fldCharType="separate"/>
      </w:r>
      <w:r>
        <w:rPr>
          <w:rFonts w:hint="eastAsia" w:ascii="宋体" w:hAnsi="宋体" w:cs="宋体"/>
          <w:bCs/>
          <w:color w:val="auto"/>
          <w:sz w:val="24"/>
          <w:highlight w:val="none"/>
        </w:rPr>
        <w:t>第七章 响应文件格式</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_Toc29359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39</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10E12EDD">
      <w:pPr>
        <w:pStyle w:val="25"/>
        <w:tabs>
          <w:tab w:val="right" w:leader="dot" w:pos="9077"/>
          <w:tab w:val="clear" w:pos="8296"/>
        </w:tabs>
        <w:spacing w:line="36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"_Toc7655" </w:instrText>
      </w:r>
      <w:r>
        <w:rPr>
          <w:color w:val="auto"/>
          <w:highlight w:val="none"/>
        </w:rPr>
        <w:fldChar w:fldCharType="separate"/>
      </w:r>
      <w:r>
        <w:rPr>
          <w:rFonts w:hint="eastAsia" w:ascii="宋体" w:hAnsi="宋体" w:cs="宋体"/>
          <w:color w:val="auto"/>
          <w:sz w:val="24"/>
          <w:highlight w:val="none"/>
        </w:rPr>
        <w:t>第一节 封面格式</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_Toc7655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39</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160B6877">
      <w:pPr>
        <w:pStyle w:val="25"/>
        <w:tabs>
          <w:tab w:val="right" w:leader="dot" w:pos="9077"/>
          <w:tab w:val="clear" w:pos="8296"/>
        </w:tabs>
        <w:spacing w:line="36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"_Toc8406" </w:instrText>
      </w:r>
      <w:r>
        <w:rPr>
          <w:color w:val="auto"/>
          <w:highlight w:val="none"/>
        </w:rPr>
        <w:fldChar w:fldCharType="separate"/>
      </w:r>
      <w:r>
        <w:rPr>
          <w:rFonts w:hint="eastAsia" w:ascii="宋体" w:hAnsi="宋体" w:cs="宋体"/>
          <w:color w:val="auto"/>
          <w:sz w:val="24"/>
          <w:highlight w:val="none"/>
        </w:rPr>
        <w:t>第二节 资格证明文件格式</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_Toc8406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40</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4E07118A">
      <w:pPr>
        <w:pStyle w:val="25"/>
        <w:tabs>
          <w:tab w:val="right" w:leader="dot" w:pos="9077"/>
          <w:tab w:val="clear" w:pos="8296"/>
        </w:tabs>
        <w:spacing w:line="36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"_Toc32504" </w:instrText>
      </w:r>
      <w:r>
        <w:rPr>
          <w:color w:val="auto"/>
          <w:highlight w:val="none"/>
        </w:rPr>
        <w:fldChar w:fldCharType="separate"/>
      </w:r>
      <w:r>
        <w:rPr>
          <w:rFonts w:hint="eastAsia" w:ascii="宋体" w:hAnsi="宋体" w:cs="宋体"/>
          <w:bCs/>
          <w:color w:val="auto"/>
          <w:sz w:val="24"/>
          <w:highlight w:val="none"/>
        </w:rPr>
        <w:t>第三节 商务技术文件格式</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_Toc32504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53</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4F1FA03E">
      <w:pPr>
        <w:pStyle w:val="25"/>
        <w:tabs>
          <w:tab w:val="right" w:leader="dot" w:pos="9077"/>
          <w:tab w:val="clear" w:pos="8296"/>
        </w:tabs>
        <w:spacing w:line="36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"_Toc4530" </w:instrText>
      </w:r>
      <w:r>
        <w:rPr>
          <w:color w:val="auto"/>
          <w:highlight w:val="none"/>
        </w:rPr>
        <w:fldChar w:fldCharType="separate"/>
      </w:r>
      <w:r>
        <w:rPr>
          <w:rFonts w:hint="eastAsia" w:ascii="宋体" w:hAnsi="宋体" w:cs="宋体"/>
          <w:color w:val="auto"/>
          <w:sz w:val="24"/>
          <w:highlight w:val="none"/>
        </w:rPr>
        <w:t>第四节 报价文件格式</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_Toc4530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66</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6D320EE3">
      <w:pPr>
        <w:pStyle w:val="23"/>
        <w:tabs>
          <w:tab w:val="right" w:leader="dot" w:pos="9077"/>
        </w:tabs>
        <w:spacing w:line="36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"_Toc27730" </w:instrText>
      </w:r>
      <w:r>
        <w:rPr>
          <w:color w:val="auto"/>
          <w:highlight w:val="none"/>
        </w:rPr>
        <w:fldChar w:fldCharType="separate"/>
      </w:r>
      <w:r>
        <w:rPr>
          <w:rFonts w:hint="eastAsia" w:ascii="宋体" w:hAnsi="宋体" w:cs="宋体"/>
          <w:color w:val="auto"/>
          <w:sz w:val="24"/>
          <w:highlight w:val="none"/>
        </w:rPr>
        <w:t>第八章 合同文本</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_Toc27730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71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1C744084">
      <w:pPr>
        <w:pStyle w:val="23"/>
        <w:tabs>
          <w:tab w:val="right" w:leader="dot" w:pos="9077"/>
        </w:tabs>
        <w:spacing w:line="36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"_Toc5496" </w:instrText>
      </w:r>
      <w:r>
        <w:rPr>
          <w:color w:val="auto"/>
          <w:highlight w:val="none"/>
        </w:rPr>
        <w:fldChar w:fldCharType="separate"/>
      </w:r>
      <w:r>
        <w:rPr>
          <w:rFonts w:hint="eastAsia" w:ascii="宋体" w:hAnsi="宋体" w:cs="宋体"/>
          <w:color w:val="auto"/>
          <w:sz w:val="24"/>
          <w:highlight w:val="none"/>
        </w:rPr>
        <w:t>第九章 质疑、投诉材料格式</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_Toc5496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95</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02F78878">
      <w:pPr>
        <w:pStyle w:val="25"/>
        <w:spacing w:line="360" w:lineRule="auto"/>
        <w:rPr>
          <w:rFonts w:ascii="宋体" w:hAnsi="宋体" w:cs="宋体"/>
          <w:b/>
          <w:color w:val="auto"/>
          <w:sz w:val="32"/>
          <w:szCs w:val="32"/>
          <w:highlight w:val="none"/>
        </w:rPr>
      </w:pPr>
      <w:r>
        <w:rPr>
          <w:rFonts w:hint="eastAsia" w:ascii="宋体" w:hAnsi="宋体" w:cs="宋体"/>
          <w:color w:val="auto"/>
          <w:sz w:val="24"/>
          <w:highlight w:val="none"/>
        </w:rPr>
        <w:fldChar w:fldCharType="end"/>
      </w:r>
    </w:p>
    <w:p w14:paraId="12CE4E53">
      <w:pPr>
        <w:pStyle w:val="2"/>
        <w:spacing w:before="0" w:after="0" w:line="360" w:lineRule="auto"/>
        <w:jc w:val="center"/>
        <w:rPr>
          <w:rFonts w:ascii="宋体" w:hAnsi="宋体" w:cs="宋体"/>
          <w:bCs w:val="0"/>
          <w:color w:val="auto"/>
          <w:kern w:val="2"/>
          <w:sz w:val="32"/>
          <w:szCs w:val="32"/>
          <w:highlight w:val="none"/>
        </w:rPr>
        <w:sectPr>
          <w:footerReference r:id="rId3" w:type="default"/>
          <w:pgSz w:w="11911" w:h="16838"/>
          <w:pgMar w:top="1418" w:right="1418" w:bottom="1418" w:left="1418" w:header="851" w:footer="964" w:gutter="0"/>
          <w:pgNumType w:start="1"/>
          <w:cols w:space="720" w:num="1"/>
          <w:docGrid w:linePitch="312" w:charSpace="0"/>
        </w:sectPr>
      </w:pPr>
    </w:p>
    <w:p w14:paraId="4768873E">
      <w:pPr>
        <w:pStyle w:val="2"/>
        <w:spacing w:before="0" w:after="0" w:line="360" w:lineRule="auto"/>
        <w:jc w:val="center"/>
        <w:rPr>
          <w:rFonts w:ascii="宋体" w:hAnsi="宋体" w:cs="宋体"/>
          <w:bCs w:val="0"/>
          <w:color w:val="auto"/>
          <w:kern w:val="2"/>
          <w:sz w:val="32"/>
          <w:szCs w:val="32"/>
          <w:highlight w:val="none"/>
        </w:rPr>
      </w:pPr>
      <w:bookmarkStart w:id="0" w:name="_Toc26732"/>
      <w:r>
        <w:rPr>
          <w:rFonts w:hint="eastAsia" w:ascii="宋体" w:hAnsi="宋体" w:cs="宋体"/>
          <w:bCs w:val="0"/>
          <w:color w:val="auto"/>
          <w:kern w:val="2"/>
          <w:sz w:val="32"/>
          <w:szCs w:val="32"/>
          <w:highlight w:val="none"/>
        </w:rPr>
        <w:t>第一章 竞争性磋商公告</w:t>
      </w:r>
      <w:bookmarkEnd w:id="0"/>
      <w:bookmarkStart w:id="1" w:name="_Toc28359089"/>
      <w:bookmarkStart w:id="2" w:name="_Toc35393798"/>
      <w:bookmarkStart w:id="3" w:name="_Toc35393629"/>
      <w:bookmarkStart w:id="4" w:name="_Toc28359012"/>
      <w:bookmarkStart w:id="5" w:name="_Toc44229878"/>
      <w:bookmarkStart w:id="6" w:name="_Toc35393792"/>
      <w:bookmarkStart w:id="7" w:name="_Toc28359004"/>
      <w:bookmarkStart w:id="8" w:name="_Toc35393623"/>
      <w:bookmarkStart w:id="9" w:name="_Toc28359081"/>
    </w:p>
    <w:tbl>
      <w:tblPr>
        <w:tblStyle w:val="30"/>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9"/>
      </w:tblGrid>
      <w:tr w14:paraId="0B345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9079" w:type="dxa"/>
            <w:vAlign w:val="center"/>
          </w:tcPr>
          <w:p w14:paraId="692FA80E">
            <w:pPr>
              <w:ind w:firstLine="420" w:firstLineChars="200"/>
              <w:rPr>
                <w:rFonts w:ascii="宋体" w:hAnsi="宋体" w:cs="宋体"/>
                <w:color w:val="auto"/>
                <w:szCs w:val="21"/>
                <w:highlight w:val="none"/>
              </w:rPr>
            </w:pPr>
            <w:r>
              <w:rPr>
                <w:rFonts w:hint="eastAsia" w:ascii="宋体" w:hAnsi="宋体" w:cs="宋体"/>
                <w:color w:val="auto"/>
                <w:szCs w:val="21"/>
                <w:highlight w:val="none"/>
              </w:rPr>
              <w:t>项目概况</w:t>
            </w:r>
          </w:p>
          <w:p w14:paraId="270E9008">
            <w:pPr>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u w:val="single"/>
                <w:lang w:eastAsia="zh-CN"/>
              </w:rPr>
              <w:t>梧州市万秀区城东镇华堂村风貌提升工程</w:t>
            </w:r>
            <w:r>
              <w:rPr>
                <w:rFonts w:hint="eastAsia" w:ascii="宋体" w:hAnsi="宋体" w:cs="宋体"/>
                <w:color w:val="auto"/>
                <w:szCs w:val="21"/>
                <w:highlight w:val="none"/>
              </w:rPr>
              <w:t>的潜在供应商应在</w:t>
            </w:r>
            <w:r>
              <w:rPr>
                <w:rFonts w:hint="eastAsia" w:ascii="宋体" w:hAnsi="宋体" w:cs="宋体"/>
                <w:color w:val="auto"/>
                <w:szCs w:val="21"/>
                <w:highlight w:val="none"/>
                <w:u w:val="single"/>
              </w:rPr>
              <w:t>广西政府采购云平台（https://www.gcy.zfcg.gxzf.gov.cn/）</w:t>
            </w:r>
            <w:r>
              <w:rPr>
                <w:rFonts w:hint="eastAsia" w:ascii="宋体" w:hAnsi="宋体" w:cs="宋体"/>
                <w:color w:val="auto"/>
                <w:szCs w:val="21"/>
                <w:highlight w:val="none"/>
              </w:rPr>
              <w:t>获取采购文件，并于</w:t>
            </w:r>
            <w:r>
              <w:rPr>
                <w:rFonts w:hint="eastAsia" w:ascii="宋体" w:hAnsi="宋体" w:cs="宋体"/>
                <w:color w:val="auto"/>
                <w:szCs w:val="21"/>
                <w:highlight w:val="none"/>
                <w:u w:val="single"/>
                <w:lang w:eastAsia="zh-CN"/>
              </w:rPr>
              <w:t>2025年</w:t>
            </w:r>
            <w:r>
              <w:rPr>
                <w:rFonts w:hint="eastAsia" w:ascii="宋体" w:hAnsi="宋体" w:cs="宋体"/>
                <w:color w:val="auto"/>
                <w:szCs w:val="21"/>
                <w:highlight w:val="none"/>
                <w:u w:val="single"/>
                <w:lang w:val="en-US" w:eastAsia="zh-CN"/>
              </w:rPr>
              <w:t>12月08日</w:t>
            </w:r>
            <w:r>
              <w:rPr>
                <w:rFonts w:hint="eastAsia" w:ascii="宋体" w:hAnsi="宋体" w:cs="宋体"/>
                <w:color w:val="auto"/>
                <w:szCs w:val="21"/>
                <w:highlight w:val="none"/>
                <w:u w:val="single"/>
              </w:rPr>
              <w:t>9:30</w:t>
            </w:r>
            <w:r>
              <w:rPr>
                <w:rFonts w:hint="eastAsia" w:ascii="宋体" w:hAnsi="宋体" w:cs="宋体"/>
                <w:color w:val="auto"/>
                <w:szCs w:val="21"/>
                <w:highlight w:val="none"/>
              </w:rPr>
              <w:t>（北京时间）前提交响应文件。</w:t>
            </w:r>
          </w:p>
        </w:tc>
      </w:tr>
    </w:tbl>
    <w:p w14:paraId="5FE673EF">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一、项目基本情况</w:t>
      </w:r>
      <w:bookmarkEnd w:id="1"/>
      <w:bookmarkEnd w:id="2"/>
      <w:bookmarkEnd w:id="3"/>
      <w:bookmarkEnd w:id="4"/>
      <w:bookmarkEnd w:id="5"/>
    </w:p>
    <w:p w14:paraId="6F3F2061">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WZZC2025-C2-030033-GXHH</w:t>
      </w:r>
    </w:p>
    <w:p w14:paraId="50A01F80">
      <w:pPr>
        <w:spacing w:line="360" w:lineRule="auto"/>
        <w:ind w:firstLine="420" w:firstLineChars="200"/>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val="en-US" w:eastAsia="zh-CN"/>
        </w:rPr>
        <w:t>梧州市万秀区城东镇华堂村风貌提升工程</w:t>
      </w:r>
    </w:p>
    <w:p w14:paraId="1350EC8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采购方式：竞争性磋商</w:t>
      </w:r>
    </w:p>
    <w:p w14:paraId="0EB31B4F">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预算金额（元）：</w:t>
      </w:r>
      <w:r>
        <w:rPr>
          <w:rFonts w:hint="eastAsia" w:ascii="宋体" w:hAnsi="宋体" w:cs="宋体"/>
          <w:color w:val="auto"/>
          <w:szCs w:val="21"/>
          <w:highlight w:val="none"/>
          <w:lang w:val="en-US" w:eastAsia="zh-CN"/>
        </w:rPr>
        <w:t>2423888.52</w:t>
      </w:r>
    </w:p>
    <w:p w14:paraId="2F174DF6">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采购需求：</w:t>
      </w:r>
      <w:r>
        <w:rPr>
          <w:rFonts w:hint="eastAsia" w:ascii="宋体" w:hAnsi="宋体" w:cs="宋体"/>
          <w:color w:val="auto"/>
          <w:szCs w:val="21"/>
          <w:highlight w:val="none"/>
          <w:lang w:eastAsia="zh-CN"/>
        </w:rPr>
        <w:t>梧州市万秀区城东镇华堂村风貌提升工程</w:t>
      </w:r>
      <w:r>
        <w:rPr>
          <w:rFonts w:hint="eastAsia" w:ascii="宋体" w:hAnsi="宋体" w:cs="宋体"/>
          <w:color w:val="auto"/>
          <w:szCs w:val="21"/>
          <w:highlight w:val="none"/>
          <w:lang w:val="en-US" w:eastAsia="zh-CN"/>
        </w:rPr>
        <w:t>。</w:t>
      </w:r>
    </w:p>
    <w:p w14:paraId="6BA5D393">
      <w:pPr>
        <w:spacing w:line="360" w:lineRule="auto"/>
        <w:ind w:left="850" w:leftChars="405"/>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标项名称：</w:t>
      </w:r>
      <w:r>
        <w:rPr>
          <w:rFonts w:hint="eastAsia" w:ascii="宋体" w:hAnsi="宋体" w:cs="宋体"/>
          <w:color w:val="auto"/>
          <w:szCs w:val="21"/>
          <w:highlight w:val="none"/>
          <w:lang w:eastAsia="zh-CN"/>
        </w:rPr>
        <w:t>梧州市万秀区城东镇华堂村风貌提升工程</w:t>
      </w:r>
    </w:p>
    <w:p w14:paraId="17C2A4EF">
      <w:pPr>
        <w:spacing w:line="360" w:lineRule="auto"/>
        <w:ind w:left="850" w:leftChars="405"/>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数量：</w:t>
      </w:r>
      <w:r>
        <w:rPr>
          <w:rFonts w:hint="eastAsia" w:ascii="宋体" w:hAnsi="宋体" w:cs="宋体"/>
          <w:color w:val="auto"/>
          <w:szCs w:val="21"/>
          <w:highlight w:val="none"/>
          <w:lang w:val="en-US" w:eastAsia="zh-CN"/>
        </w:rPr>
        <w:t>1</w:t>
      </w:r>
    </w:p>
    <w:p w14:paraId="5077CB49">
      <w:pPr>
        <w:spacing w:line="360" w:lineRule="auto"/>
        <w:ind w:left="850" w:leftChars="405"/>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预算金额（元）：</w:t>
      </w:r>
      <w:r>
        <w:rPr>
          <w:rFonts w:hint="eastAsia" w:ascii="宋体" w:hAnsi="宋体" w:cs="宋体"/>
          <w:color w:val="auto"/>
          <w:szCs w:val="21"/>
          <w:highlight w:val="none"/>
          <w:lang w:eastAsia="zh-CN"/>
        </w:rPr>
        <w:t>2423888.52</w:t>
      </w:r>
    </w:p>
    <w:p w14:paraId="2C4682FA">
      <w:pPr>
        <w:widowControl/>
        <w:adjustRightInd w:val="0"/>
        <w:spacing w:line="360" w:lineRule="auto"/>
        <w:ind w:left="850" w:leftChars="405"/>
        <w:jc w:val="left"/>
        <w:textAlignment w:val="baseline"/>
        <w:rPr>
          <w:rStyle w:val="98"/>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简要规格描述或项目基本概况介绍、用途：</w:t>
      </w:r>
      <w:bookmarkStart w:id="10" w:name="PO_3000001868_PM004"/>
      <w:r>
        <w:rPr>
          <w:rFonts w:hint="eastAsia" w:ascii="宋体" w:hAnsi="宋体" w:cs="宋体"/>
          <w:color w:val="auto"/>
          <w:szCs w:val="21"/>
          <w:highlight w:val="none"/>
        </w:rPr>
        <w:t>主要建设村委周边的老旧道路修复、沿江人行道及周边排水渠等基础设施的修缮、人居环境的提升。拟新建小道、修复老旧道路约300米、沿河栈道约300米，居民公共休憩广场400㎡，以及周边的河道清淤、道路修复、观景小品、村委周边房前屋后改造、标示牌等建设内容。具体按施工图纸、工程量清单、竞争性磋商文件及相关补充通知的全部内容。</w:t>
      </w:r>
    </w:p>
    <w:bookmarkEnd w:id="10"/>
    <w:p w14:paraId="152EF6AC">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最高限价</w:t>
      </w:r>
      <w:bookmarkStart w:id="11" w:name="_Hlk66782034"/>
      <w:r>
        <w:rPr>
          <w:rFonts w:hint="eastAsia" w:ascii="宋体" w:hAnsi="宋体" w:cs="宋体"/>
          <w:color w:val="auto"/>
          <w:szCs w:val="21"/>
          <w:highlight w:val="none"/>
        </w:rPr>
        <w:t>（如有）</w:t>
      </w:r>
      <w:bookmarkEnd w:id="11"/>
      <w:r>
        <w:rPr>
          <w:rFonts w:hint="eastAsia" w:ascii="宋体" w:hAnsi="宋体" w:cs="宋体"/>
          <w:color w:val="auto"/>
          <w:szCs w:val="21"/>
          <w:highlight w:val="none"/>
        </w:rPr>
        <w:t>：</w:t>
      </w:r>
      <w:r>
        <w:rPr>
          <w:rFonts w:hint="eastAsia" w:ascii="宋体" w:hAnsi="宋体" w:cs="宋体"/>
          <w:color w:val="auto"/>
          <w:szCs w:val="21"/>
          <w:highlight w:val="none"/>
          <w:lang w:eastAsia="zh-CN"/>
        </w:rPr>
        <w:t>2423888.52</w:t>
      </w:r>
      <w:r>
        <w:rPr>
          <w:rFonts w:hint="eastAsia" w:ascii="宋体" w:hAnsi="宋体" w:cs="宋体"/>
          <w:color w:val="auto"/>
          <w:szCs w:val="21"/>
          <w:highlight w:val="none"/>
          <w:lang w:val="en-US" w:eastAsia="zh-CN"/>
        </w:rPr>
        <w:t>元</w:t>
      </w:r>
    </w:p>
    <w:p w14:paraId="0335B661">
      <w:pPr>
        <w:spacing w:line="360" w:lineRule="auto"/>
        <w:ind w:firstLine="420" w:firstLineChars="20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合同履行期限：</w:t>
      </w:r>
      <w:r>
        <w:rPr>
          <w:rFonts w:hint="eastAsia" w:ascii="宋体" w:hAnsi="宋体" w:cs="宋体"/>
          <w:color w:val="auto"/>
          <w:szCs w:val="21"/>
          <w:highlight w:val="none"/>
          <w:lang w:bidi="zh-CN"/>
        </w:rPr>
        <w:t>工期</w:t>
      </w:r>
      <w:r>
        <w:rPr>
          <w:rFonts w:hint="eastAsia" w:ascii="宋体" w:hAnsi="宋体" w:cs="宋体"/>
          <w:color w:val="auto"/>
          <w:szCs w:val="21"/>
          <w:highlight w:val="none"/>
          <w:u w:val="single"/>
          <w:lang w:val="en-US" w:bidi="zh-CN"/>
        </w:rPr>
        <w:t>180</w:t>
      </w:r>
      <w:r>
        <w:rPr>
          <w:rFonts w:hint="eastAsia" w:ascii="宋体" w:hAnsi="宋体" w:cs="宋体"/>
          <w:color w:val="auto"/>
          <w:szCs w:val="21"/>
          <w:highlight w:val="none"/>
          <w:lang w:bidi="zh-CN"/>
        </w:rPr>
        <w:t>日历天</w:t>
      </w:r>
      <w:r>
        <w:rPr>
          <w:rFonts w:hint="eastAsia" w:ascii="宋体" w:hAnsi="宋体" w:cs="宋体"/>
          <w:color w:val="auto"/>
          <w:szCs w:val="21"/>
          <w:highlight w:val="none"/>
        </w:rPr>
        <w:t>。</w:t>
      </w:r>
    </w:p>
    <w:p w14:paraId="021E6CA9">
      <w:pPr>
        <w:spacing w:line="360" w:lineRule="auto"/>
        <w:ind w:firstLine="420" w:firstLineChars="200"/>
        <w:rPr>
          <w:rFonts w:ascii="宋体" w:hAnsi="宋体" w:cs="宋体"/>
          <w:color w:val="auto"/>
          <w:szCs w:val="21"/>
          <w:highlight w:val="none"/>
        </w:rPr>
      </w:pPr>
      <w:bookmarkStart w:id="12" w:name="_Toc35393799"/>
      <w:bookmarkStart w:id="13" w:name="_Toc28359090"/>
      <w:bookmarkStart w:id="14" w:name="_Toc28359013"/>
      <w:bookmarkStart w:id="15" w:name="_Toc44229879"/>
      <w:bookmarkStart w:id="16" w:name="_Toc35393630"/>
      <w:r>
        <w:rPr>
          <w:rFonts w:hint="eastAsia" w:ascii="宋体" w:hAnsi="宋体" w:cs="宋体"/>
          <w:color w:val="auto"/>
          <w:szCs w:val="21"/>
          <w:highlight w:val="none"/>
        </w:rPr>
        <w:t>本项目（否）接受联合体</w:t>
      </w:r>
    </w:p>
    <w:p w14:paraId="44A14F77">
      <w:pPr>
        <w:spacing w:line="360" w:lineRule="auto"/>
        <w:ind w:firstLine="422" w:firstLineChars="200"/>
        <w:rPr>
          <w:rFonts w:hint="eastAsia" w:ascii="宋体" w:hAnsi="宋体" w:eastAsia="宋体" w:cs="宋体"/>
          <w:bCs/>
          <w:color w:val="auto"/>
          <w:szCs w:val="21"/>
          <w:highlight w:val="none"/>
          <w:lang w:eastAsia="zh-CN"/>
        </w:rPr>
      </w:pPr>
      <w:r>
        <w:rPr>
          <w:rFonts w:hint="eastAsia" w:ascii="宋体" w:hAnsi="宋体" w:cs="宋体"/>
          <w:b/>
          <w:color w:val="auto"/>
          <w:szCs w:val="21"/>
          <w:highlight w:val="none"/>
        </w:rPr>
        <w:t>二、申请人的资格要求：</w:t>
      </w:r>
      <w:bookmarkEnd w:id="12"/>
      <w:bookmarkEnd w:id="13"/>
      <w:bookmarkEnd w:id="14"/>
      <w:bookmarkEnd w:id="15"/>
      <w:bookmarkEnd w:id="16"/>
    </w:p>
    <w:p w14:paraId="7281037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14:paraId="5B50B4F7">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rPr>
        <w:t>2.落实政府采购政策需满足的资格要求：本项目为专门面向中小企业项目，供应商应为中型企业或小型企业或微型企业或监狱企业或残疾人福利性单位；</w:t>
      </w:r>
    </w:p>
    <w:p w14:paraId="2BF485F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3.本项目的特定资格要求：</w:t>
      </w:r>
    </w:p>
    <w:p w14:paraId="0587647C">
      <w:pPr>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具备建筑工程总承包</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lang w:eastAsia="zh-CN"/>
        </w:rPr>
        <w:t>级（含）以上资质，并在人员、设备、资金等方面具备相应的施工能力。其中，投标人拟派项目经理须具备建筑工程专业二级以上（含本级）注册建造师执业资格。具备有效的安全生产考核合格证书（B类）</w:t>
      </w:r>
    </w:p>
    <w:p w14:paraId="2C38BC15">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三、获取采购文件</w:t>
      </w:r>
      <w:bookmarkEnd w:id="6"/>
      <w:bookmarkEnd w:id="7"/>
      <w:bookmarkEnd w:id="8"/>
      <w:bookmarkEnd w:id="9"/>
    </w:p>
    <w:p w14:paraId="58346003">
      <w:pPr>
        <w:spacing w:line="360" w:lineRule="auto"/>
        <w:ind w:firstLine="420" w:firstLineChars="200"/>
        <w:rPr>
          <w:rFonts w:ascii="宋体" w:hAnsi="宋体" w:cs="宋体"/>
          <w:color w:val="auto"/>
          <w:szCs w:val="21"/>
          <w:highlight w:val="none"/>
        </w:rPr>
      </w:pPr>
      <w:bookmarkStart w:id="17" w:name="_Toc35393624"/>
      <w:bookmarkStart w:id="18" w:name="_Toc28359005"/>
      <w:bookmarkStart w:id="19" w:name="_Toc35393793"/>
      <w:bookmarkStart w:id="20" w:name="_Toc28359082"/>
      <w:r>
        <w:rPr>
          <w:rFonts w:hint="eastAsia" w:ascii="宋体" w:hAnsi="宋体" w:cs="宋体"/>
          <w:color w:val="auto"/>
          <w:szCs w:val="21"/>
          <w:highlight w:val="none"/>
        </w:rPr>
        <w:t>时间：</w:t>
      </w:r>
      <w:r>
        <w:rPr>
          <w:rFonts w:hint="eastAsia" w:ascii="宋体" w:hAnsi="宋体" w:cs="宋体"/>
          <w:color w:val="auto"/>
          <w:szCs w:val="21"/>
          <w:highlight w:val="none"/>
          <w:lang w:eastAsia="zh-CN"/>
        </w:rPr>
        <w:t>2025年</w:t>
      </w:r>
      <w:r>
        <w:rPr>
          <w:rFonts w:hint="eastAsia" w:ascii="宋体" w:hAnsi="宋体" w:cs="宋体"/>
          <w:color w:val="auto"/>
          <w:szCs w:val="21"/>
          <w:highlight w:val="none"/>
          <w:lang w:val="en-US" w:eastAsia="zh-CN"/>
        </w:rPr>
        <w:t>11月27</w:t>
      </w:r>
      <w:r>
        <w:rPr>
          <w:rFonts w:hint="eastAsia" w:ascii="宋体" w:hAnsi="宋体" w:cs="宋体"/>
          <w:color w:val="auto"/>
          <w:szCs w:val="21"/>
          <w:highlight w:val="none"/>
        </w:rPr>
        <w:t>日至</w:t>
      </w:r>
      <w:r>
        <w:rPr>
          <w:rFonts w:hint="eastAsia" w:ascii="宋体" w:hAnsi="宋体" w:cs="宋体"/>
          <w:color w:val="auto"/>
          <w:szCs w:val="21"/>
          <w:highlight w:val="none"/>
          <w:lang w:eastAsia="zh-CN"/>
        </w:rPr>
        <w:t>2025年</w:t>
      </w:r>
      <w:r>
        <w:rPr>
          <w:rFonts w:hint="eastAsia" w:ascii="宋体" w:hAnsi="宋体" w:cs="宋体"/>
          <w:color w:val="auto"/>
          <w:szCs w:val="21"/>
          <w:highlight w:val="none"/>
          <w:lang w:val="en-US" w:eastAsia="zh-CN"/>
        </w:rPr>
        <w:t>12月04</w:t>
      </w:r>
      <w:r>
        <w:rPr>
          <w:rFonts w:hint="eastAsia" w:ascii="宋体" w:hAnsi="宋体" w:cs="宋体"/>
          <w:color w:val="auto"/>
          <w:szCs w:val="21"/>
          <w:highlight w:val="none"/>
        </w:rPr>
        <w:t>日，每天上午00:00至12:00，下午12:00至23:59（北京时间，法定节假日除外）</w:t>
      </w:r>
    </w:p>
    <w:p w14:paraId="5236EAF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地点（网址）：广西政府采购云平台（https://www.gcy.zfcg.gxzf.gov.cn/）</w:t>
      </w:r>
    </w:p>
    <w:p w14:paraId="03731C30">
      <w:pPr>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方式：</w:t>
      </w:r>
      <w:r>
        <w:rPr>
          <w:rFonts w:ascii="宋体" w:hAnsi="宋体" w:cs="宋体"/>
          <w:color w:val="auto"/>
          <w:szCs w:val="21"/>
          <w:highlight w:val="none"/>
        </w:rPr>
        <w:t>供应商登录广西政府采购云平台https://www.gcy.zfcg.gxzf.gov.cn/在线申请获取采购文件（进入“项目采购”应用，在获取采购文件菜单中选择项目，申请获取采购文件）</w:t>
      </w:r>
    </w:p>
    <w:p w14:paraId="5B30120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售价（元）：0</w:t>
      </w:r>
    </w:p>
    <w:p w14:paraId="70E3AE93">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四、</w:t>
      </w:r>
      <w:bookmarkEnd w:id="17"/>
      <w:bookmarkEnd w:id="18"/>
      <w:bookmarkEnd w:id="19"/>
      <w:bookmarkEnd w:id="20"/>
      <w:r>
        <w:rPr>
          <w:rFonts w:hint="eastAsia" w:ascii="宋体" w:hAnsi="宋体" w:cs="宋体"/>
          <w:b/>
          <w:bCs/>
          <w:color w:val="auto"/>
          <w:szCs w:val="21"/>
          <w:highlight w:val="none"/>
        </w:rPr>
        <w:t>响应文件提交</w:t>
      </w:r>
    </w:p>
    <w:p w14:paraId="6181963D">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截止时间：</w:t>
      </w:r>
      <w:r>
        <w:rPr>
          <w:rFonts w:hint="eastAsia" w:ascii="宋体" w:hAnsi="宋体" w:cs="宋体"/>
          <w:color w:val="auto"/>
          <w:szCs w:val="21"/>
          <w:highlight w:val="none"/>
          <w:lang w:eastAsia="zh-CN"/>
        </w:rPr>
        <w:t>2025年</w:t>
      </w:r>
      <w:r>
        <w:rPr>
          <w:rFonts w:hint="eastAsia" w:ascii="宋体" w:hAnsi="宋体" w:cs="宋体"/>
          <w:color w:val="auto"/>
          <w:szCs w:val="21"/>
          <w:highlight w:val="none"/>
          <w:lang w:val="en-US" w:eastAsia="zh-CN"/>
        </w:rPr>
        <w:t>12月08日</w:t>
      </w:r>
      <w:r>
        <w:rPr>
          <w:rFonts w:hint="eastAsia" w:ascii="宋体" w:hAnsi="宋体" w:cs="宋体"/>
          <w:color w:val="auto"/>
          <w:szCs w:val="21"/>
          <w:highlight w:val="none"/>
        </w:rPr>
        <w:t>9:30（北京时间）</w:t>
      </w:r>
    </w:p>
    <w:p w14:paraId="632C1B44">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地点（网址）：</w:t>
      </w:r>
      <w:r>
        <w:rPr>
          <w:rFonts w:ascii="宋体" w:hAnsi="宋体" w:cs="宋体"/>
          <w:bCs/>
          <w:color w:val="auto"/>
          <w:szCs w:val="21"/>
          <w:highlight w:val="none"/>
        </w:rPr>
        <w:t>请登录广西政府采购云平台投标客户端投标</w:t>
      </w:r>
    </w:p>
    <w:p w14:paraId="461DFAF3">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五、响应文件开启</w:t>
      </w:r>
    </w:p>
    <w:p w14:paraId="13B97A7F">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开启时间：</w:t>
      </w:r>
      <w:r>
        <w:rPr>
          <w:rFonts w:hint="eastAsia" w:ascii="宋体" w:hAnsi="宋体" w:cs="宋体"/>
          <w:color w:val="auto"/>
          <w:szCs w:val="21"/>
          <w:highlight w:val="none"/>
          <w:lang w:eastAsia="zh-CN"/>
        </w:rPr>
        <w:t>2025年</w:t>
      </w:r>
      <w:r>
        <w:rPr>
          <w:rFonts w:hint="eastAsia" w:ascii="宋体" w:hAnsi="宋体" w:cs="宋体"/>
          <w:color w:val="auto"/>
          <w:szCs w:val="21"/>
          <w:highlight w:val="none"/>
          <w:lang w:val="en-US" w:eastAsia="zh-CN"/>
        </w:rPr>
        <w:t>12月08日</w:t>
      </w:r>
      <w:r>
        <w:rPr>
          <w:rFonts w:hint="eastAsia" w:ascii="宋体" w:hAnsi="宋体" w:cs="宋体"/>
          <w:color w:val="auto"/>
          <w:szCs w:val="21"/>
          <w:highlight w:val="none"/>
        </w:rPr>
        <w:t>9:30（北京时间）</w:t>
      </w:r>
    </w:p>
    <w:p w14:paraId="314C5AE4">
      <w:pPr>
        <w:spacing w:line="360" w:lineRule="auto"/>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rPr>
        <w:t>地点：通过广西政府采购云平台（https://www.gcy.zfcg.gxzf.gov.cn/）实行在线解密开启</w:t>
      </w:r>
    </w:p>
    <w:p w14:paraId="32126AC0">
      <w:pPr>
        <w:spacing w:line="360" w:lineRule="auto"/>
        <w:ind w:firstLine="422" w:firstLineChars="200"/>
        <w:rPr>
          <w:rFonts w:ascii="宋体" w:hAnsi="宋体" w:cs="宋体"/>
          <w:b/>
          <w:bCs/>
          <w:color w:val="auto"/>
          <w:szCs w:val="21"/>
          <w:highlight w:val="none"/>
        </w:rPr>
      </w:pPr>
      <w:bookmarkStart w:id="21" w:name="_Toc35393794"/>
      <w:bookmarkStart w:id="22" w:name="_Toc28359084"/>
      <w:bookmarkStart w:id="23" w:name="_Toc28359007"/>
      <w:bookmarkStart w:id="24" w:name="_Toc35393625"/>
      <w:r>
        <w:rPr>
          <w:rFonts w:hint="eastAsia" w:ascii="宋体" w:hAnsi="宋体" w:cs="宋体"/>
          <w:b/>
          <w:bCs/>
          <w:color w:val="auto"/>
          <w:szCs w:val="21"/>
          <w:highlight w:val="none"/>
        </w:rPr>
        <w:t>六、公告期限</w:t>
      </w:r>
      <w:bookmarkEnd w:id="21"/>
      <w:bookmarkEnd w:id="22"/>
      <w:bookmarkEnd w:id="23"/>
      <w:bookmarkEnd w:id="24"/>
    </w:p>
    <w:p w14:paraId="255491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自本公告发布之日起5个工作日。</w:t>
      </w:r>
    </w:p>
    <w:p w14:paraId="4B2AC220">
      <w:pPr>
        <w:spacing w:line="360" w:lineRule="auto"/>
        <w:ind w:firstLine="422" w:firstLineChars="200"/>
        <w:rPr>
          <w:rFonts w:ascii="宋体" w:hAnsi="宋体" w:cs="宋体"/>
          <w:b/>
          <w:bCs/>
          <w:color w:val="auto"/>
          <w:szCs w:val="21"/>
          <w:highlight w:val="none"/>
        </w:rPr>
      </w:pPr>
      <w:bookmarkStart w:id="25" w:name="_Toc35393795"/>
      <w:bookmarkStart w:id="26" w:name="_Toc35393626"/>
      <w:r>
        <w:rPr>
          <w:rFonts w:hint="eastAsia" w:ascii="宋体" w:hAnsi="宋体" w:cs="宋体"/>
          <w:b/>
          <w:bCs/>
          <w:color w:val="auto"/>
          <w:szCs w:val="21"/>
          <w:highlight w:val="none"/>
        </w:rPr>
        <w:t>七、其他补充事宜</w:t>
      </w:r>
      <w:bookmarkEnd w:id="25"/>
      <w:bookmarkEnd w:id="26"/>
    </w:p>
    <w:p w14:paraId="43E93035">
      <w:pPr>
        <w:spacing w:line="360" w:lineRule="auto"/>
        <w:ind w:firstLine="420" w:firstLineChars="200"/>
        <w:rPr>
          <w:rFonts w:ascii="宋体" w:hAnsi="宋体" w:cs="宋体"/>
          <w:color w:val="auto"/>
          <w:szCs w:val="21"/>
          <w:highlight w:val="none"/>
        </w:rPr>
      </w:pPr>
      <w:bookmarkStart w:id="27" w:name="_Hlk37429585"/>
      <w:bookmarkStart w:id="28" w:name="_Hlk37429595"/>
      <w:r>
        <w:rPr>
          <w:rFonts w:hint="eastAsia" w:ascii="宋体" w:hAnsi="宋体" w:cs="宋体"/>
          <w:color w:val="auto"/>
          <w:szCs w:val="21"/>
          <w:highlight w:val="none"/>
        </w:rPr>
        <w:t>1.网上查询地址</w:t>
      </w:r>
      <w:bookmarkEnd w:id="27"/>
      <w:bookmarkEnd w:id="28"/>
      <w:bookmarkStart w:id="29" w:name="_Hlk37429674"/>
      <w:r>
        <w:rPr>
          <w:rFonts w:hint="eastAsia" w:ascii="宋体" w:hAnsi="宋体" w:cs="宋体"/>
          <w:color w:val="auto"/>
          <w:szCs w:val="21"/>
          <w:highlight w:val="none"/>
        </w:rPr>
        <w:t>：</w:t>
      </w:r>
      <w:r>
        <w:rPr>
          <w:rFonts w:hint="eastAsia" w:ascii="宋体" w:hAnsi="宋体" w:cs="宋体"/>
          <w:bCs/>
          <w:color w:val="auto"/>
          <w:szCs w:val="21"/>
          <w:highlight w:val="none"/>
        </w:rPr>
        <w:t>中国政府采购网、广西壮族自治区政府采购网。</w:t>
      </w:r>
    </w:p>
    <w:bookmarkEnd w:id="29"/>
    <w:p w14:paraId="03C4FD4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2.在线投标响应（电子投标）说明</w:t>
      </w:r>
    </w:p>
    <w:p w14:paraId="5158068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本项目为全流程电子化采购项目，通过广西政府采购云平台（https://www.gcy.zfcg.gxzf.gov.cn/）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14:paraId="18FD4E0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广西政府采购云平台客服热线：95763）。</w:t>
      </w:r>
    </w:p>
    <w:p w14:paraId="25D277A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本项目需要落实的政府采购政策：关于印发《政府采购促进中小企业发展管理办法》的通知（财库〔2020〕46号）、《关于政府采购支持监狱企业发展有关问题的通知》（财库﹝2014﹞68号）、《关于促进残疾人就业政府采购政策的通知》（财库〔2017〕141号）、《广西壮族自治区财政厅关于持续优化政府采购营商环境推动高质量发展的通知》（桂财采〔2024〕55号）、《广西壮族自治区财政厅关于贯彻落实政府采购支持中小企业发展政策的通知》（桂财采〔2022〕31号），在工程采购项目中，对于经主管预算单位统筹后未预留份额专门面向中小企业采购的采购项目，评审时对符合规定的残疾人福利性单位、小型和微型企业承建的工程报价给予5%的扣除。监狱企业视同小型和微型企业，工程由其承建的，在评审时给予相同的价格扣除。残疾人福利性单位属于小型、微型企业的，不重复享受政策</w:t>
      </w:r>
    </w:p>
    <w:p w14:paraId="02B965B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）CA证书在线解密：首次响应文件开启时，需携带制作响应文件时用来加密的有效数字证书（CA认证）登录广西政府采购云平台电子开标大厅现场按规定时间对加密的响应文件进行解密，否则后果自负。</w:t>
      </w:r>
    </w:p>
    <w:p w14:paraId="6400D41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657F6DD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）供应商需要在具备有摄像头及语音功能且互联网网络状况良好的电脑登录广西政府采购云平台远程开标大厅参与本次磋商，否则后果自负。</w:t>
      </w:r>
    </w:p>
    <w:p w14:paraId="401FFBB5">
      <w:pPr>
        <w:spacing w:line="360" w:lineRule="auto"/>
        <w:ind w:firstLine="422" w:firstLineChars="200"/>
        <w:rPr>
          <w:rFonts w:ascii="宋体" w:hAnsi="宋体" w:cs="宋体"/>
          <w:bCs/>
          <w:color w:val="auto"/>
          <w:szCs w:val="21"/>
          <w:highlight w:val="none"/>
        </w:rPr>
      </w:pPr>
      <w:r>
        <w:rPr>
          <w:rFonts w:hint="eastAsia" w:ascii="宋体" w:hAnsi="宋体" w:cs="宋体"/>
          <w:b/>
          <w:color w:val="auto"/>
          <w:szCs w:val="21"/>
          <w:highlight w:val="none"/>
        </w:rPr>
        <w:t>八、凡对本次采购提出询问，请按以下方式联系</w:t>
      </w:r>
    </w:p>
    <w:p w14:paraId="20DF2B79">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1.采购人信息</w:t>
      </w:r>
    </w:p>
    <w:p w14:paraId="00E405C7">
      <w:pPr>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lang w:eastAsia="zh-CN"/>
        </w:rPr>
        <w:t>梧州市万秀区城东镇人民政府</w:t>
      </w:r>
    </w:p>
    <w:p w14:paraId="4E24CCA4">
      <w:pPr>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地址：梧州市万秀区城东镇扶典村冲口组43号</w:t>
      </w:r>
    </w:p>
    <w:p w14:paraId="7932B168">
      <w:pPr>
        <w:pStyle w:val="18"/>
        <w:spacing w:line="360" w:lineRule="auto"/>
        <w:ind w:firstLine="420" w:firstLineChars="200"/>
        <w:rPr>
          <w:rFonts w:hint="eastAsia" w:hAnsi="宋体" w:eastAsia="宋体" w:cs="宋体"/>
          <w:color w:val="auto"/>
          <w:kern w:val="2"/>
          <w:sz w:val="21"/>
          <w:highlight w:val="none"/>
          <w:lang w:val="en-US" w:eastAsia="zh-CN"/>
        </w:rPr>
      </w:pPr>
      <w:r>
        <w:rPr>
          <w:rFonts w:hint="eastAsia" w:hAnsi="宋体" w:cs="宋体"/>
          <w:color w:val="auto"/>
          <w:kern w:val="2"/>
          <w:sz w:val="21"/>
          <w:highlight w:val="none"/>
        </w:rPr>
        <w:t>项目联系人：何清华</w:t>
      </w:r>
    </w:p>
    <w:p w14:paraId="67E21EDF">
      <w:pPr>
        <w:spacing w:line="36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项目联系方式：</w:t>
      </w:r>
      <w:r>
        <w:rPr>
          <w:rFonts w:hint="eastAsia" w:ascii="宋体" w:hAnsi="宋体" w:cs="宋体"/>
          <w:color w:val="auto"/>
          <w:szCs w:val="21"/>
          <w:highlight w:val="none"/>
          <w:lang w:val="en-US" w:eastAsia="zh-CN"/>
        </w:rPr>
        <w:t>0774-2022036</w:t>
      </w:r>
    </w:p>
    <w:p w14:paraId="672114E2">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2.采购代理机构信息</w:t>
      </w:r>
    </w:p>
    <w:p w14:paraId="74169F12">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lang w:eastAsia="zh-CN"/>
        </w:rPr>
        <w:t xml:space="preserve"> 广西恒辉工程咨询有限公司</w:t>
      </w:r>
    </w:p>
    <w:p w14:paraId="7C17B054">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地址：</w:t>
      </w:r>
      <w:r>
        <w:rPr>
          <w:rFonts w:hint="eastAsia" w:ascii="宋体" w:hAnsi="宋体" w:cs="宋体"/>
          <w:color w:val="auto"/>
          <w:szCs w:val="21"/>
          <w:highlight w:val="none"/>
          <w:lang w:eastAsia="zh-CN"/>
        </w:rPr>
        <w:t>广西梧州市长洲区新兴三路30号神冠豪都B栋1单元34楼3402室</w:t>
      </w:r>
    </w:p>
    <w:p w14:paraId="3F5FF2B1">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val="en-US" w:eastAsia="zh-CN"/>
        </w:rPr>
        <w:t>徐工</w:t>
      </w:r>
    </w:p>
    <w:p w14:paraId="22C70CF7">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项目联系方式：</w:t>
      </w:r>
      <w:r>
        <w:rPr>
          <w:rFonts w:hint="eastAsia" w:ascii="宋体" w:hAnsi="宋体" w:cs="宋体"/>
          <w:color w:val="auto"/>
          <w:szCs w:val="21"/>
          <w:highlight w:val="none"/>
          <w:lang w:val="en-US" w:eastAsia="zh-CN"/>
        </w:rPr>
        <w:t>18577407356</w:t>
      </w:r>
    </w:p>
    <w:p w14:paraId="40C79EAA">
      <w:pPr>
        <w:spacing w:line="360" w:lineRule="auto"/>
        <w:ind w:firstLine="420" w:firstLineChars="200"/>
        <w:rPr>
          <w:rFonts w:ascii="宋体" w:hAnsi="宋体" w:cs="宋体"/>
          <w:color w:val="auto"/>
          <w:szCs w:val="21"/>
          <w:highlight w:val="none"/>
        </w:rPr>
      </w:pPr>
    </w:p>
    <w:p w14:paraId="6C49B636">
      <w:pPr>
        <w:pStyle w:val="11"/>
        <w:spacing w:line="360" w:lineRule="auto"/>
        <w:ind w:firstLine="420" w:firstLineChars="200"/>
        <w:jc w:val="right"/>
        <w:rPr>
          <w:rFonts w:hint="eastAsia" w:ascii="宋体" w:hAnsi="宋体" w:cs="宋体"/>
          <w:color w:val="auto"/>
          <w:szCs w:val="21"/>
          <w:highlight w:val="none"/>
          <w:lang w:eastAsia="zh-CN"/>
        </w:rPr>
      </w:pPr>
    </w:p>
    <w:p w14:paraId="7D4AD177">
      <w:pPr>
        <w:pStyle w:val="11"/>
        <w:spacing w:line="360" w:lineRule="auto"/>
        <w:ind w:firstLine="420" w:firstLineChars="200"/>
        <w:jc w:val="righ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 xml:space="preserve"> 广西恒辉工程咨询有限公司</w:t>
      </w:r>
    </w:p>
    <w:p w14:paraId="1C9E19E5">
      <w:pPr>
        <w:pStyle w:val="21"/>
        <w:snapToGrid/>
        <w:spacing w:line="360" w:lineRule="auto"/>
        <w:jc w:val="right"/>
        <w:rPr>
          <w:rFonts w:ascii="宋体" w:hAnsi="宋体" w:cs="宋体"/>
          <w:color w:val="auto"/>
          <w:kern w:val="2"/>
          <w:sz w:val="21"/>
          <w:szCs w:val="21"/>
          <w:highlight w:val="none"/>
        </w:rPr>
      </w:pPr>
      <w:r>
        <w:rPr>
          <w:rFonts w:hint="eastAsia" w:ascii="宋体" w:hAnsi="宋体" w:cs="宋体"/>
          <w:color w:val="auto"/>
          <w:kern w:val="2"/>
          <w:sz w:val="21"/>
          <w:szCs w:val="21"/>
          <w:highlight w:val="none"/>
          <w:lang w:eastAsia="zh-CN"/>
        </w:rPr>
        <w:t>2025年</w:t>
      </w:r>
      <w:r>
        <w:rPr>
          <w:rFonts w:hint="eastAsia" w:ascii="宋体" w:hAnsi="宋体" w:cs="宋体"/>
          <w:color w:val="auto"/>
          <w:kern w:val="2"/>
          <w:sz w:val="21"/>
          <w:szCs w:val="21"/>
          <w:highlight w:val="none"/>
          <w:lang w:val="en-US" w:eastAsia="zh-CN"/>
        </w:rPr>
        <w:t>11月27</w:t>
      </w:r>
      <w:r>
        <w:rPr>
          <w:rFonts w:hint="eastAsia" w:ascii="宋体" w:hAnsi="宋体" w:cs="宋体"/>
          <w:color w:val="auto"/>
          <w:kern w:val="2"/>
          <w:sz w:val="21"/>
          <w:szCs w:val="21"/>
          <w:highlight w:val="none"/>
        </w:rPr>
        <w:t>日</w:t>
      </w:r>
    </w:p>
    <w:p w14:paraId="1E4499CA">
      <w:pPr>
        <w:spacing w:line="360" w:lineRule="auto"/>
        <w:jc w:val="center"/>
        <w:outlineLvl w:val="0"/>
        <w:rPr>
          <w:rFonts w:ascii="宋体" w:hAnsi="宋体" w:cs="宋体"/>
          <w:b/>
          <w:color w:val="auto"/>
          <w:sz w:val="32"/>
          <w:szCs w:val="32"/>
          <w:highlight w:val="none"/>
        </w:rPr>
      </w:pPr>
      <w:bookmarkStart w:id="30" w:name="_Toc19892"/>
      <w:bookmarkStart w:id="31" w:name="_Toc5839"/>
      <w:r>
        <w:rPr>
          <w:rFonts w:hint="eastAsia" w:ascii="宋体" w:hAnsi="宋体" w:cs="宋体"/>
          <w:color w:val="auto"/>
          <w:szCs w:val="21"/>
          <w:highlight w:val="none"/>
        </w:rPr>
        <w:br w:type="page"/>
      </w:r>
      <w:bookmarkEnd w:id="30"/>
      <w:bookmarkEnd w:id="31"/>
      <w:bookmarkStart w:id="32" w:name="_Toc15873"/>
      <w:r>
        <w:rPr>
          <w:rFonts w:hint="eastAsia" w:ascii="宋体" w:hAnsi="宋体" w:cs="宋体"/>
          <w:b/>
          <w:color w:val="auto"/>
          <w:sz w:val="32"/>
          <w:szCs w:val="32"/>
          <w:highlight w:val="none"/>
        </w:rPr>
        <w:t>第二章 供应商须知</w:t>
      </w:r>
      <w:bookmarkEnd w:id="32"/>
    </w:p>
    <w:p w14:paraId="1D3CD94D">
      <w:pPr>
        <w:pStyle w:val="3"/>
        <w:spacing w:before="0" w:after="0" w:line="360" w:lineRule="auto"/>
        <w:jc w:val="center"/>
        <w:rPr>
          <w:rFonts w:ascii="宋体" w:hAnsi="宋体" w:cs="宋体"/>
          <w:bCs w:val="0"/>
          <w:color w:val="auto"/>
          <w:sz w:val="28"/>
          <w:szCs w:val="28"/>
          <w:highlight w:val="none"/>
        </w:rPr>
      </w:pPr>
      <w:bookmarkStart w:id="33" w:name="_Toc31224"/>
      <w:r>
        <w:rPr>
          <w:rFonts w:hint="eastAsia" w:ascii="宋体" w:hAnsi="宋体" w:cs="宋体"/>
          <w:bCs w:val="0"/>
          <w:color w:val="auto"/>
          <w:sz w:val="28"/>
          <w:szCs w:val="28"/>
          <w:highlight w:val="none"/>
        </w:rPr>
        <w:t>第一节 供应商须知前附表</w:t>
      </w:r>
      <w:bookmarkEnd w:id="33"/>
    </w:p>
    <w:tbl>
      <w:tblPr>
        <w:tblStyle w:val="30"/>
        <w:tblW w:w="94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4"/>
        <w:gridCol w:w="1613"/>
        <w:gridCol w:w="6882"/>
      </w:tblGrid>
      <w:tr w14:paraId="717FE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44" w:type="dxa"/>
            <w:vAlign w:val="center"/>
          </w:tcPr>
          <w:p w14:paraId="253E34FE">
            <w:pPr>
              <w:spacing w:line="300"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1613" w:type="dxa"/>
            <w:vAlign w:val="center"/>
          </w:tcPr>
          <w:p w14:paraId="00284339">
            <w:pPr>
              <w:spacing w:line="300" w:lineRule="auto"/>
              <w:jc w:val="center"/>
              <w:rPr>
                <w:rFonts w:ascii="宋体" w:hAnsi="宋体" w:cs="宋体"/>
                <w:b/>
                <w:color w:val="auto"/>
                <w:szCs w:val="21"/>
                <w:highlight w:val="none"/>
              </w:rPr>
            </w:pPr>
            <w:r>
              <w:rPr>
                <w:rFonts w:hint="eastAsia" w:ascii="宋体" w:hAnsi="宋体" w:cs="宋体"/>
                <w:b/>
                <w:color w:val="auto"/>
                <w:szCs w:val="21"/>
                <w:highlight w:val="none"/>
              </w:rPr>
              <w:t>条款内容</w:t>
            </w:r>
          </w:p>
        </w:tc>
        <w:tc>
          <w:tcPr>
            <w:tcW w:w="6882" w:type="dxa"/>
            <w:vAlign w:val="center"/>
          </w:tcPr>
          <w:p w14:paraId="6C2A7998">
            <w:pPr>
              <w:spacing w:line="300" w:lineRule="auto"/>
              <w:jc w:val="center"/>
              <w:rPr>
                <w:rFonts w:ascii="宋体" w:hAnsi="宋体" w:cs="宋体"/>
                <w:b/>
                <w:color w:val="auto"/>
                <w:szCs w:val="21"/>
                <w:highlight w:val="none"/>
              </w:rPr>
            </w:pPr>
            <w:r>
              <w:rPr>
                <w:rFonts w:hint="eastAsia" w:ascii="宋体" w:hAnsi="宋体" w:cs="宋体"/>
                <w:b/>
                <w:color w:val="auto"/>
                <w:szCs w:val="21"/>
                <w:highlight w:val="none"/>
              </w:rPr>
              <w:t>具体要求</w:t>
            </w:r>
          </w:p>
        </w:tc>
      </w:tr>
      <w:tr w14:paraId="19433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4" w:type="dxa"/>
            <w:vAlign w:val="center"/>
          </w:tcPr>
          <w:p w14:paraId="159FC9CB">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3.1</w:t>
            </w:r>
          </w:p>
        </w:tc>
        <w:tc>
          <w:tcPr>
            <w:tcW w:w="1613" w:type="dxa"/>
            <w:vAlign w:val="center"/>
          </w:tcPr>
          <w:p w14:paraId="7796104C">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供应商资格条件</w:t>
            </w:r>
          </w:p>
        </w:tc>
        <w:tc>
          <w:tcPr>
            <w:tcW w:w="6882" w:type="dxa"/>
            <w:vAlign w:val="center"/>
          </w:tcPr>
          <w:p w14:paraId="552CA95C">
            <w:pPr>
              <w:spacing w:line="300" w:lineRule="auto"/>
              <w:rPr>
                <w:rFonts w:ascii="宋体" w:hAnsi="宋体" w:cs="宋体"/>
                <w:color w:val="auto"/>
                <w:szCs w:val="21"/>
                <w:highlight w:val="none"/>
              </w:rPr>
            </w:pPr>
            <w:r>
              <w:rPr>
                <w:rFonts w:hint="eastAsia" w:ascii="宋体" w:hAnsi="宋体" w:cs="宋体"/>
                <w:color w:val="auto"/>
                <w:szCs w:val="21"/>
                <w:highlight w:val="none"/>
              </w:rPr>
              <w:t>供应商资格条件要求详见公告。</w:t>
            </w:r>
          </w:p>
        </w:tc>
      </w:tr>
      <w:tr w14:paraId="18BBC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4" w:type="dxa"/>
            <w:vAlign w:val="center"/>
          </w:tcPr>
          <w:p w14:paraId="00755221">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5.1</w:t>
            </w:r>
          </w:p>
        </w:tc>
        <w:tc>
          <w:tcPr>
            <w:tcW w:w="1613" w:type="dxa"/>
            <w:vAlign w:val="center"/>
          </w:tcPr>
          <w:p w14:paraId="1FFEA901">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是否接受联合体竞标</w:t>
            </w:r>
          </w:p>
        </w:tc>
        <w:tc>
          <w:tcPr>
            <w:tcW w:w="6882" w:type="dxa"/>
            <w:vAlign w:val="center"/>
          </w:tcPr>
          <w:p w14:paraId="03B4B492">
            <w:pPr>
              <w:spacing w:line="300" w:lineRule="auto"/>
              <w:rPr>
                <w:rFonts w:ascii="宋体" w:hAnsi="宋体" w:cs="宋体"/>
                <w:color w:val="auto"/>
                <w:szCs w:val="21"/>
                <w:highlight w:val="none"/>
              </w:rPr>
            </w:pPr>
            <w:r>
              <w:rPr>
                <w:rFonts w:hint="eastAsia" w:ascii="宋体" w:hAnsi="宋体" w:cs="宋体"/>
                <w:color w:val="auto"/>
                <w:szCs w:val="21"/>
                <w:highlight w:val="none"/>
              </w:rPr>
              <w:t>不允许联合体投标</w:t>
            </w:r>
          </w:p>
        </w:tc>
      </w:tr>
      <w:tr w14:paraId="3D140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4" w:type="dxa"/>
            <w:vAlign w:val="center"/>
          </w:tcPr>
          <w:p w14:paraId="10DB9EDA">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5.2</w:t>
            </w:r>
          </w:p>
        </w:tc>
        <w:tc>
          <w:tcPr>
            <w:tcW w:w="1613" w:type="dxa"/>
            <w:vAlign w:val="center"/>
          </w:tcPr>
          <w:p w14:paraId="19F4CCAD">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联合体竞标要求</w:t>
            </w:r>
          </w:p>
        </w:tc>
        <w:tc>
          <w:tcPr>
            <w:tcW w:w="6882" w:type="dxa"/>
            <w:vAlign w:val="center"/>
          </w:tcPr>
          <w:p w14:paraId="05613F11">
            <w:pPr>
              <w:spacing w:line="300" w:lineRule="auto"/>
              <w:rPr>
                <w:rFonts w:ascii="宋体" w:hAnsi="宋体" w:cs="宋体"/>
                <w:color w:val="auto"/>
                <w:szCs w:val="21"/>
                <w:highlight w:val="none"/>
              </w:rPr>
            </w:pPr>
            <w:r>
              <w:rPr>
                <w:rFonts w:hint="eastAsia" w:ascii="宋体" w:hAnsi="宋体" w:cs="宋体"/>
                <w:color w:val="auto"/>
                <w:szCs w:val="21"/>
                <w:highlight w:val="none"/>
              </w:rPr>
              <w:t>无</w:t>
            </w:r>
          </w:p>
        </w:tc>
      </w:tr>
      <w:tr w14:paraId="0214F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4" w:type="dxa"/>
            <w:vAlign w:val="center"/>
          </w:tcPr>
          <w:p w14:paraId="11E7B807">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6.1</w:t>
            </w:r>
          </w:p>
        </w:tc>
        <w:tc>
          <w:tcPr>
            <w:tcW w:w="1613" w:type="dxa"/>
            <w:vAlign w:val="center"/>
          </w:tcPr>
          <w:p w14:paraId="0CA4D157">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是否允许分包</w:t>
            </w:r>
          </w:p>
        </w:tc>
        <w:tc>
          <w:tcPr>
            <w:tcW w:w="6882" w:type="dxa"/>
            <w:vAlign w:val="center"/>
          </w:tcPr>
          <w:p w14:paraId="3748548B">
            <w:pPr>
              <w:spacing w:line="300" w:lineRule="auto"/>
              <w:rPr>
                <w:rFonts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不允许分包</w:t>
            </w:r>
          </w:p>
          <w:p w14:paraId="5BA9E765">
            <w:pPr>
              <w:spacing w:line="300" w:lineRule="auto"/>
              <w:rPr>
                <w:rFonts w:ascii="宋体" w:hAnsi="宋体" w:cs="宋体"/>
                <w:color w:val="auto"/>
                <w:szCs w:val="21"/>
                <w:highlight w:val="none"/>
              </w:rPr>
            </w:pPr>
            <w:r>
              <w:rPr>
                <w:rFonts w:hint="eastAsia" w:ascii="宋体" w:hAnsi="宋体" w:cs="宋体"/>
                <w:color w:val="auto"/>
                <w:szCs w:val="21"/>
                <w:highlight w:val="none"/>
              </w:rPr>
              <w:t>□允许分包</w:t>
            </w:r>
          </w:p>
          <w:p w14:paraId="6176AE70">
            <w:pPr>
              <w:spacing w:line="300" w:lineRule="auto"/>
              <w:rPr>
                <w:rFonts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0E89B0D">
            <w:pPr>
              <w:pStyle w:val="11"/>
              <w:spacing w:line="300" w:lineRule="auto"/>
              <w:jc w:val="both"/>
              <w:rPr>
                <w:rFonts w:ascii="宋体" w:hAnsi="宋体" w:cs="宋体"/>
                <w:color w:val="auto"/>
                <w:szCs w:val="21"/>
                <w:highlight w:val="non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tc>
      </w:tr>
      <w:tr w14:paraId="4D8D0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4" w:type="dxa"/>
            <w:vAlign w:val="center"/>
          </w:tcPr>
          <w:p w14:paraId="4060835F">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12.1.1</w:t>
            </w:r>
          </w:p>
        </w:tc>
        <w:tc>
          <w:tcPr>
            <w:tcW w:w="1613" w:type="dxa"/>
            <w:vAlign w:val="center"/>
          </w:tcPr>
          <w:p w14:paraId="0F602296">
            <w:pPr>
              <w:spacing w:line="300" w:lineRule="auto"/>
              <w:jc w:val="center"/>
              <w:rPr>
                <w:rFonts w:ascii="宋体" w:hAnsi="宋体" w:cs="宋体"/>
                <w:color w:val="auto"/>
                <w:szCs w:val="21"/>
                <w:highlight w:val="none"/>
              </w:rPr>
            </w:pPr>
            <w:r>
              <w:rPr>
                <w:rFonts w:hint="eastAsia" w:ascii="宋体" w:hAnsi="宋体" w:cs="宋体"/>
                <w:b/>
                <w:color w:val="auto"/>
                <w:szCs w:val="21"/>
                <w:highlight w:val="none"/>
              </w:rPr>
              <w:t>资格证明文件组成</w:t>
            </w:r>
          </w:p>
        </w:tc>
        <w:tc>
          <w:tcPr>
            <w:tcW w:w="6882" w:type="dxa"/>
            <w:vAlign w:val="center"/>
          </w:tcPr>
          <w:p w14:paraId="5957D9DE">
            <w:pPr>
              <w:spacing w:line="300" w:lineRule="auto"/>
              <w:rPr>
                <w:rFonts w:ascii="宋体" w:hAnsi="宋体" w:cs="宋体"/>
                <w:color w:val="auto"/>
                <w:szCs w:val="21"/>
                <w:highlight w:val="none"/>
              </w:rPr>
            </w:pPr>
            <w:r>
              <w:rPr>
                <w:rFonts w:hint="eastAsia" w:ascii="宋体" w:hAnsi="宋体" w:cs="宋体"/>
                <w:color w:val="auto"/>
                <w:szCs w:val="21"/>
                <w:highlight w:val="none"/>
              </w:rPr>
              <w:t>1.供应商有效的营业执照复印件；</w:t>
            </w:r>
            <w:r>
              <w:rPr>
                <w:rFonts w:hint="eastAsia" w:ascii="宋体" w:hAnsi="宋体" w:cs="宋体"/>
                <w:b/>
                <w:bCs/>
                <w:color w:val="auto"/>
                <w:szCs w:val="21"/>
                <w:highlight w:val="none"/>
              </w:rPr>
              <w:t>（必须提供，否则响应文件按无效响应处理）</w:t>
            </w:r>
          </w:p>
          <w:p w14:paraId="2BDF1648">
            <w:pPr>
              <w:spacing w:line="300" w:lineRule="auto"/>
              <w:rPr>
                <w:rFonts w:ascii="宋体" w:hAnsi="宋体" w:cs="宋体"/>
                <w:color w:val="auto"/>
                <w:szCs w:val="21"/>
                <w:highlight w:val="none"/>
              </w:rPr>
            </w:pPr>
            <w:r>
              <w:rPr>
                <w:rFonts w:hint="eastAsia" w:ascii="宋体" w:hAnsi="宋体" w:cs="宋体"/>
                <w:color w:val="auto"/>
                <w:szCs w:val="21"/>
                <w:highlight w:val="none"/>
              </w:rPr>
              <w:t>2.供应商依法缴纳税收的相关材料[响应文件递交截止时间前半年内</w:t>
            </w:r>
            <w:r>
              <w:rPr>
                <w:rFonts w:hint="eastAsia" w:ascii="宋体" w:hAnsi="宋体" w:cs="宋体"/>
                <w:color w:val="auto"/>
                <w:szCs w:val="21"/>
                <w:highlight w:val="none"/>
                <w:lang w:val="en-US" w:eastAsia="zh-CN"/>
              </w:rPr>
              <w:t>任意一个</w:t>
            </w:r>
            <w:r>
              <w:rPr>
                <w:rFonts w:hint="eastAsia" w:ascii="宋体" w:hAnsi="宋体" w:cs="宋体"/>
                <w:color w:val="auto"/>
                <w:szCs w:val="21"/>
                <w:highlight w:val="none"/>
              </w:rPr>
              <w:t>月的依法缴纳税收的凭据复印件；依法免税的供应商，必须提供相应文件证明其依法免税。从取得营业执照时间起到响应文件提交截止时间为止不足要求月数的，只需提供从取得营业执照起的依法缴纳税收相应证明文件]；</w:t>
            </w:r>
            <w:r>
              <w:rPr>
                <w:rFonts w:hint="eastAsia" w:ascii="宋体" w:hAnsi="宋体" w:cs="宋体"/>
                <w:b/>
                <w:bCs/>
                <w:color w:val="auto"/>
                <w:szCs w:val="21"/>
                <w:highlight w:val="none"/>
              </w:rPr>
              <w:t>（必须提供，否则响应文件按无效响应处理）</w:t>
            </w:r>
          </w:p>
          <w:p w14:paraId="3BB108EC">
            <w:pPr>
              <w:spacing w:line="300" w:lineRule="auto"/>
              <w:rPr>
                <w:rFonts w:ascii="宋体" w:hAnsi="宋体" w:cs="宋体"/>
                <w:b/>
                <w:bCs/>
                <w:color w:val="auto"/>
                <w:szCs w:val="21"/>
                <w:highlight w:val="none"/>
              </w:rPr>
            </w:pPr>
            <w:r>
              <w:rPr>
                <w:rFonts w:hint="eastAsia" w:ascii="宋体" w:hAnsi="宋体" w:cs="宋体"/>
                <w:color w:val="auto"/>
                <w:szCs w:val="21"/>
                <w:highlight w:val="none"/>
              </w:rPr>
              <w:t>3.供应商依法缴纳社会保障资金的相关材料[响应文件递交截止时间前半年内</w:t>
            </w:r>
            <w:r>
              <w:rPr>
                <w:rFonts w:hint="eastAsia" w:ascii="宋体" w:hAnsi="宋体" w:cs="宋体"/>
                <w:color w:val="auto"/>
                <w:szCs w:val="21"/>
                <w:highlight w:val="none"/>
                <w:lang w:val="en-US" w:eastAsia="zh-CN"/>
              </w:rPr>
              <w:t>任意一个月</w:t>
            </w:r>
            <w:r>
              <w:rPr>
                <w:rFonts w:hint="eastAsia" w:ascii="宋体" w:hAnsi="宋体" w:cs="宋体"/>
                <w:color w:val="auto"/>
                <w:szCs w:val="21"/>
                <w:highlight w:val="none"/>
              </w:rPr>
              <w:t>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cs="宋体"/>
                <w:b/>
                <w:bCs/>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b/>
                <w:bCs/>
                <w:color w:val="auto"/>
                <w:szCs w:val="21"/>
                <w:highlight w:val="none"/>
              </w:rPr>
              <w:t>）</w:t>
            </w:r>
          </w:p>
          <w:p w14:paraId="0B023D72">
            <w:pPr>
              <w:spacing w:line="300" w:lineRule="auto"/>
              <w:rPr>
                <w:rFonts w:ascii="宋体" w:hAnsi="宋体" w:cs="宋体"/>
                <w:b/>
                <w:color w:val="auto"/>
                <w:szCs w:val="21"/>
                <w:highlight w:val="none"/>
              </w:rPr>
            </w:pPr>
            <w:r>
              <w:rPr>
                <w:rFonts w:hint="eastAsia" w:ascii="宋体" w:hAnsi="宋体" w:cs="宋体"/>
                <w:color w:val="auto"/>
                <w:szCs w:val="21"/>
                <w:highlight w:val="none"/>
              </w:rPr>
              <w:t>4.供应商财务状况报告[202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年财务状况报告复印件，应提供经审计的财务报告（含第三方审计机构评估的财务报告），或是供应商本单位出具的财务报表（至少包含资产负债表、利润表、现金流量表）复印件（新成立的公司应提供公司成立日之后次月起到响应文件递交截止前一个月的财务报表复印件），或者其基本开户银行出具的资信证明]；</w:t>
            </w:r>
            <w:r>
              <w:rPr>
                <w:rFonts w:hint="eastAsia" w:ascii="宋体" w:hAnsi="宋体" w:cs="宋体"/>
                <w:b/>
                <w:bCs/>
                <w:color w:val="auto"/>
                <w:szCs w:val="21"/>
                <w:highlight w:val="none"/>
              </w:rPr>
              <w:t>（必须提供，否则响应文件按无效响应处理）</w:t>
            </w:r>
          </w:p>
          <w:p w14:paraId="2CB7AA93">
            <w:pPr>
              <w:spacing w:line="300" w:lineRule="auto"/>
              <w:rPr>
                <w:rFonts w:ascii="宋体" w:hAnsi="宋体" w:cs="宋体"/>
                <w:color w:val="auto"/>
                <w:szCs w:val="21"/>
                <w:highlight w:val="none"/>
              </w:rPr>
            </w:pPr>
            <w:r>
              <w:rPr>
                <w:rFonts w:hint="eastAsia" w:ascii="宋体" w:hAnsi="宋体" w:cs="宋体"/>
                <w:color w:val="auto"/>
                <w:szCs w:val="21"/>
                <w:highlight w:val="none"/>
              </w:rPr>
              <w:t>5.供应商直接控股、管理关系信息表；</w:t>
            </w:r>
            <w:r>
              <w:rPr>
                <w:rFonts w:hint="eastAsia" w:ascii="宋体" w:hAnsi="宋体" w:cs="宋体"/>
                <w:b/>
                <w:bCs/>
                <w:color w:val="auto"/>
                <w:szCs w:val="21"/>
                <w:highlight w:val="none"/>
              </w:rPr>
              <w:t>（必须提供，否则响应文件按无效响应处理）</w:t>
            </w:r>
          </w:p>
          <w:p w14:paraId="31838DEF">
            <w:pPr>
              <w:spacing w:line="300" w:lineRule="auto"/>
              <w:rPr>
                <w:rFonts w:ascii="宋体" w:hAnsi="宋体" w:cs="宋体"/>
                <w:color w:val="auto"/>
                <w:szCs w:val="21"/>
                <w:highlight w:val="none"/>
              </w:rPr>
            </w:pPr>
            <w:r>
              <w:rPr>
                <w:rFonts w:hint="eastAsia" w:ascii="宋体" w:hAnsi="宋体" w:cs="宋体"/>
                <w:color w:val="auto"/>
                <w:szCs w:val="21"/>
                <w:highlight w:val="none"/>
              </w:rPr>
              <w:t>6.资格声明函；</w:t>
            </w:r>
            <w:r>
              <w:rPr>
                <w:rFonts w:hint="eastAsia" w:ascii="宋体" w:hAnsi="宋体" w:cs="宋体"/>
                <w:b/>
                <w:bCs/>
                <w:color w:val="auto"/>
                <w:szCs w:val="21"/>
                <w:highlight w:val="none"/>
              </w:rPr>
              <w:t>（必须提供，否则响应文件按无效响应处理）</w:t>
            </w:r>
          </w:p>
          <w:p w14:paraId="296341D5">
            <w:pPr>
              <w:spacing w:line="300" w:lineRule="auto"/>
              <w:rPr>
                <w:rFonts w:hint="eastAsia" w:ascii="宋体" w:hAnsi="宋体" w:cs="宋体"/>
                <w:b/>
                <w:bCs/>
                <w:color w:val="auto"/>
                <w:szCs w:val="21"/>
                <w:highlight w:val="none"/>
              </w:rPr>
            </w:pPr>
            <w:r>
              <w:rPr>
                <w:rFonts w:hint="eastAsia" w:ascii="宋体" w:hAnsi="宋体" w:cs="宋体"/>
                <w:color w:val="auto"/>
                <w:szCs w:val="21"/>
                <w:highlight w:val="none"/>
              </w:rPr>
              <w:t>7.建设工程项目管理承诺书；</w:t>
            </w:r>
            <w:r>
              <w:rPr>
                <w:rFonts w:hint="eastAsia" w:ascii="宋体" w:hAnsi="宋体" w:cs="宋体"/>
                <w:b/>
                <w:bCs/>
                <w:color w:val="auto"/>
                <w:szCs w:val="21"/>
                <w:highlight w:val="none"/>
              </w:rPr>
              <w:t>（必须提供，否则响应文件按无效响应处理）</w:t>
            </w:r>
          </w:p>
          <w:p w14:paraId="57959019">
            <w:pPr>
              <w:spacing w:line="30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8.本项目为专门面向中小企业项目，供应商应为中型企业或小型企业或微型企业或监狱企业或残疾人福利性单位；</w:t>
            </w:r>
            <w:r>
              <w:rPr>
                <w:rFonts w:hint="eastAsia" w:ascii="宋体" w:hAnsi="宋体" w:eastAsia="宋体" w:cs="宋体"/>
                <w:b/>
                <w:color w:val="auto"/>
                <w:szCs w:val="21"/>
                <w:highlight w:val="none"/>
                <w:lang w:val="en-US" w:eastAsia="zh-CN"/>
              </w:rPr>
              <w:t>（必须提供《中小企业声明函》或《残疾人福利性单位声明函》或《监狱企业证明》，否则响应文件作无效处理）</w:t>
            </w:r>
          </w:p>
          <w:p w14:paraId="2A43BC34">
            <w:pPr>
              <w:spacing w:line="300" w:lineRule="auto"/>
              <w:rPr>
                <w:rFonts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w:t>
            </w:r>
            <w:r>
              <w:rPr>
                <w:rFonts w:hint="eastAsia" w:ascii="宋体" w:hAnsi="宋体" w:cs="宋体"/>
                <w:color w:val="auto"/>
                <w:szCs w:val="21"/>
                <w:highlight w:val="none"/>
                <w:lang w:eastAsia="zh-CN"/>
              </w:rPr>
              <w:t>具备建筑工程总承包</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lang w:eastAsia="zh-CN"/>
              </w:rPr>
              <w:t>级（含）以上资质，并在人员、设备、资金等方面具备相应的施工能力</w:t>
            </w:r>
            <w:r>
              <w:rPr>
                <w:rFonts w:hint="eastAsia" w:ascii="宋体" w:hAnsi="宋体" w:cs="宋体"/>
                <w:color w:val="auto"/>
                <w:szCs w:val="21"/>
                <w:highlight w:val="none"/>
              </w:rPr>
              <w:t>；</w:t>
            </w:r>
            <w:r>
              <w:rPr>
                <w:rFonts w:hint="eastAsia" w:ascii="宋体" w:hAnsi="宋体" w:cs="宋体"/>
                <w:b/>
                <w:bCs/>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b/>
                <w:bCs/>
                <w:color w:val="auto"/>
                <w:szCs w:val="21"/>
                <w:highlight w:val="none"/>
              </w:rPr>
              <w:t>）</w:t>
            </w:r>
          </w:p>
          <w:p w14:paraId="669F4132">
            <w:pPr>
              <w:spacing w:line="300" w:lineRule="auto"/>
              <w:rPr>
                <w:rFonts w:hint="eastAsia" w:ascii="宋体" w:hAnsi="宋体" w:cs="宋体"/>
                <w:b/>
                <w:bCs/>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.拟投入本</w:t>
            </w:r>
            <w:r>
              <w:rPr>
                <w:rFonts w:hint="eastAsia" w:ascii="宋体" w:hAnsi="宋体" w:cs="宋体"/>
                <w:color w:val="000000" w:themeColor="text1"/>
                <w:szCs w:val="21"/>
                <w:highlight w:val="none"/>
                <w14:textFill>
                  <w14:solidFill>
                    <w14:schemeClr w14:val="tx1"/>
                  </w14:solidFill>
                </w14:textFill>
              </w:rPr>
              <w:t>项目项目经理</w:t>
            </w:r>
            <w:r>
              <w:rPr>
                <w:rFonts w:hint="eastAsia" w:ascii="宋体" w:hAnsi="宋体" w:cs="宋体"/>
                <w:color w:val="000000" w:themeColor="text1"/>
                <w:szCs w:val="21"/>
                <w:highlight w:val="none"/>
                <w:lang w:eastAsia="zh-CN"/>
                <w14:textFill>
                  <w14:solidFill>
                    <w14:schemeClr w14:val="tx1"/>
                  </w14:solidFill>
                </w14:textFill>
              </w:rPr>
              <w:t>具备建筑工程专业二级以上（含本级）注册建造师执业资格，并具备有效的安全生产考核合格证书（B类）</w:t>
            </w:r>
            <w:r>
              <w:rPr>
                <w:rFonts w:hint="eastAsia" w:ascii="宋体" w:hAnsi="宋体" w:cs="宋体"/>
                <w:color w:val="000000" w:themeColor="text1"/>
                <w:szCs w:val="21"/>
                <w:highlight w:val="none"/>
                <w14:textFill>
                  <w14:solidFill>
                    <w14:schemeClr w14:val="tx1"/>
                  </w14:solidFill>
                </w14:textFill>
              </w:rPr>
              <w:t>复印件以及供应</w:t>
            </w:r>
            <w:r>
              <w:rPr>
                <w:rFonts w:hint="eastAsia" w:ascii="宋体" w:hAnsi="宋体" w:cs="宋体"/>
                <w:color w:val="auto"/>
                <w:szCs w:val="21"/>
                <w:highlight w:val="none"/>
              </w:rPr>
              <w:t>商单位为该项目经理于响应文件递交截止时间前半年内</w:t>
            </w:r>
            <w:r>
              <w:rPr>
                <w:rFonts w:hint="eastAsia" w:ascii="宋体" w:hAnsi="宋体" w:cs="宋体"/>
                <w:color w:val="auto"/>
                <w:szCs w:val="21"/>
                <w:highlight w:val="none"/>
                <w:lang w:val="en-US" w:eastAsia="zh-CN"/>
              </w:rPr>
              <w:t>任意一</w:t>
            </w:r>
            <w:r>
              <w:rPr>
                <w:rFonts w:hint="eastAsia" w:ascii="宋体" w:hAnsi="宋体" w:cs="宋体"/>
                <w:color w:val="auto"/>
                <w:szCs w:val="21"/>
                <w:highlight w:val="none"/>
              </w:rPr>
              <w:t>个月</w:t>
            </w:r>
            <w:r>
              <w:rPr>
                <w:rFonts w:hint="eastAsia" w:ascii="宋体" w:hAnsi="宋体" w:cs="宋体"/>
                <w:color w:val="auto"/>
                <w:szCs w:val="21"/>
                <w:highlight w:val="none"/>
                <w:lang w:eastAsia="zh-CN"/>
              </w:rPr>
              <w:t>的</w:t>
            </w:r>
            <w:r>
              <w:rPr>
                <w:rFonts w:hint="eastAsia" w:ascii="宋体" w:hAnsi="宋体" w:cs="宋体"/>
                <w:color w:val="auto"/>
                <w:szCs w:val="21"/>
                <w:highlight w:val="none"/>
              </w:rPr>
              <w:t>依法缴纳社会保险的证明材料（接受电子社保缴费凭证、电子完税证明等新型证明材料）及相关材料的复印件；</w:t>
            </w:r>
            <w:r>
              <w:rPr>
                <w:rFonts w:hint="eastAsia" w:ascii="宋体" w:hAnsi="宋体" w:cs="宋体"/>
                <w:b/>
                <w:bCs/>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b/>
                <w:bCs/>
                <w:color w:val="auto"/>
                <w:szCs w:val="21"/>
                <w:highlight w:val="none"/>
              </w:rPr>
              <w:t>）</w:t>
            </w:r>
          </w:p>
          <w:p w14:paraId="522D85AA">
            <w:pPr>
              <w:spacing w:line="30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11.拟投入本项目的</w:t>
            </w:r>
            <w:r>
              <w:rPr>
                <w:rFonts w:hint="eastAsia" w:ascii="宋体" w:hAnsi="宋体" w:cs="宋体"/>
                <w:color w:val="auto"/>
                <w:szCs w:val="21"/>
                <w:highlight w:val="none"/>
                <w:lang w:eastAsia="zh-CN"/>
              </w:rPr>
              <w:t>技术负责人具备建筑工程相关专业中级（含）以上技术职称</w:t>
            </w:r>
            <w:r>
              <w:rPr>
                <w:rFonts w:hint="eastAsia" w:ascii="宋体" w:hAnsi="宋体" w:eastAsia="宋体" w:cs="宋体"/>
                <w:color w:val="auto"/>
                <w:szCs w:val="21"/>
                <w:highlight w:val="none"/>
              </w:rPr>
              <w:t>复印件及供应商单位为该</w:t>
            </w:r>
            <w:r>
              <w:rPr>
                <w:rFonts w:hint="eastAsia" w:ascii="宋体" w:hAnsi="宋体" w:cs="宋体"/>
                <w:color w:val="auto"/>
                <w:szCs w:val="21"/>
                <w:highlight w:val="none"/>
                <w:lang w:eastAsia="zh-CN"/>
              </w:rPr>
              <w:t>技术负责人</w:t>
            </w:r>
            <w:r>
              <w:rPr>
                <w:rFonts w:hint="eastAsia" w:ascii="宋体" w:hAnsi="宋体" w:eastAsia="宋体" w:cs="宋体"/>
                <w:color w:val="auto"/>
                <w:szCs w:val="21"/>
                <w:highlight w:val="none"/>
              </w:rPr>
              <w:t>于响应文件递交截止时间</w:t>
            </w:r>
            <w:r>
              <w:rPr>
                <w:rFonts w:hint="eastAsia" w:ascii="宋体" w:hAnsi="宋体" w:cs="宋体"/>
                <w:color w:val="auto"/>
                <w:szCs w:val="21"/>
                <w:highlight w:val="none"/>
              </w:rPr>
              <w:t>前半年内</w:t>
            </w:r>
            <w:r>
              <w:rPr>
                <w:rFonts w:hint="eastAsia" w:ascii="宋体" w:hAnsi="宋体" w:cs="宋体"/>
                <w:color w:val="auto"/>
                <w:szCs w:val="21"/>
                <w:highlight w:val="none"/>
                <w:lang w:val="en-US" w:eastAsia="zh-CN"/>
              </w:rPr>
              <w:t>任意一</w:t>
            </w:r>
            <w:r>
              <w:rPr>
                <w:rFonts w:hint="eastAsia" w:ascii="宋体" w:hAnsi="宋体" w:cs="宋体"/>
                <w:color w:val="auto"/>
                <w:szCs w:val="21"/>
                <w:highlight w:val="none"/>
              </w:rPr>
              <w:t>个月</w:t>
            </w:r>
            <w:r>
              <w:rPr>
                <w:rFonts w:hint="eastAsia" w:ascii="宋体" w:hAnsi="宋体" w:cs="宋体"/>
                <w:color w:val="auto"/>
                <w:szCs w:val="21"/>
                <w:highlight w:val="none"/>
                <w:lang w:eastAsia="zh-CN"/>
              </w:rPr>
              <w:t>的</w:t>
            </w:r>
            <w:r>
              <w:rPr>
                <w:rFonts w:hint="eastAsia" w:ascii="宋体" w:hAnsi="宋体" w:eastAsia="宋体" w:cs="宋体"/>
                <w:color w:val="auto"/>
                <w:szCs w:val="21"/>
                <w:highlight w:val="none"/>
              </w:rPr>
              <w:t>依法缴纳社会保险的证明材料（接受电子社保缴费凭证、电子完税证明等新型证明材料）及相关材料的复印件；（</w:t>
            </w:r>
            <w:r>
              <w:rPr>
                <w:rFonts w:hint="eastAsia" w:ascii="宋体" w:hAnsi="宋体" w:cs="宋体"/>
                <w:b/>
                <w:bCs/>
                <w:color w:val="auto"/>
                <w:szCs w:val="21"/>
                <w:highlight w:val="none"/>
              </w:rPr>
              <w:t>必须提供，否则响应文件按无效响应处理）</w:t>
            </w:r>
          </w:p>
          <w:p w14:paraId="7F8C7536">
            <w:pPr>
              <w:spacing w:line="300" w:lineRule="auto"/>
              <w:rPr>
                <w:rFonts w:hint="eastAsia" w:ascii="宋体" w:hAnsi="宋体" w:cs="宋体"/>
                <w:b/>
                <w:bCs/>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.拟投入本项目的专职安全生产管理人员的安全生产考核合格证书（C类）复印件及供应商单位为该专职安全生产管理人员于响应文件递交截止时间</w:t>
            </w:r>
            <w:r>
              <w:rPr>
                <w:rFonts w:hint="eastAsia" w:ascii="宋体" w:hAnsi="宋体" w:cs="宋体"/>
                <w:color w:val="auto"/>
                <w:szCs w:val="21"/>
                <w:highlight w:val="none"/>
              </w:rPr>
              <w:t>前半年内</w:t>
            </w:r>
            <w:r>
              <w:rPr>
                <w:rFonts w:hint="eastAsia" w:ascii="宋体" w:hAnsi="宋体" w:cs="宋体"/>
                <w:color w:val="auto"/>
                <w:szCs w:val="21"/>
                <w:highlight w:val="none"/>
                <w:lang w:val="en-US" w:eastAsia="zh-CN"/>
              </w:rPr>
              <w:t>任意一</w:t>
            </w:r>
            <w:r>
              <w:rPr>
                <w:rFonts w:hint="eastAsia" w:ascii="宋体" w:hAnsi="宋体" w:cs="宋体"/>
                <w:color w:val="auto"/>
                <w:szCs w:val="21"/>
                <w:highlight w:val="none"/>
              </w:rPr>
              <w:t>个月</w:t>
            </w:r>
            <w:r>
              <w:rPr>
                <w:rFonts w:hint="eastAsia" w:ascii="宋体" w:hAnsi="宋体" w:cs="宋体"/>
                <w:color w:val="auto"/>
                <w:szCs w:val="21"/>
                <w:highlight w:val="none"/>
                <w:lang w:eastAsia="zh-CN"/>
              </w:rPr>
              <w:t>的</w:t>
            </w:r>
            <w:r>
              <w:rPr>
                <w:rFonts w:hint="eastAsia" w:ascii="宋体" w:hAnsi="宋体" w:eastAsia="宋体" w:cs="宋体"/>
                <w:color w:val="auto"/>
                <w:szCs w:val="21"/>
                <w:highlight w:val="none"/>
              </w:rPr>
              <w:t>依法缴纳社会保险的证明材料（接受电子社保缴费凭证、电子完税证明等新型证明材料）及相关材料的复印件；（</w:t>
            </w:r>
            <w:r>
              <w:rPr>
                <w:rFonts w:hint="eastAsia" w:ascii="宋体" w:hAnsi="宋体" w:cs="宋体"/>
                <w:b/>
                <w:bCs/>
                <w:color w:val="auto"/>
                <w:szCs w:val="21"/>
                <w:highlight w:val="none"/>
              </w:rPr>
              <w:t>必须提供，否则响应文件按无效响应处理）</w:t>
            </w:r>
          </w:p>
          <w:p w14:paraId="17A233A3">
            <w:pPr>
              <w:spacing w:line="300" w:lineRule="auto"/>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.除磋商文件规定必须提供以外，供应商认为需要提供的其他证明材料；</w:t>
            </w:r>
          </w:p>
          <w:p w14:paraId="10B5DB44">
            <w:pPr>
              <w:spacing w:line="300" w:lineRule="auto"/>
              <w:rPr>
                <w:rFonts w:ascii="宋体" w:hAnsi="宋体" w:cs="宋体"/>
                <w:b/>
                <w:color w:val="auto"/>
                <w:szCs w:val="21"/>
                <w:highlight w:val="none"/>
              </w:rPr>
            </w:pPr>
            <w:r>
              <w:rPr>
                <w:rFonts w:hint="eastAsia" w:ascii="宋体" w:hAnsi="宋体" w:cs="宋体"/>
                <w:b/>
                <w:color w:val="auto"/>
                <w:szCs w:val="21"/>
                <w:highlight w:val="none"/>
              </w:rPr>
              <w:t>注：以上标明“必须提供”的材料属于复印件的扫描件的，必须加盖供应商电子公章，否则响应文件按无效响应处理。</w:t>
            </w:r>
          </w:p>
        </w:tc>
      </w:tr>
      <w:tr w14:paraId="198AD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4" w:type="dxa"/>
            <w:vAlign w:val="center"/>
          </w:tcPr>
          <w:p w14:paraId="27E4D27F">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1613" w:type="dxa"/>
            <w:vAlign w:val="center"/>
          </w:tcPr>
          <w:p w14:paraId="69E6724E">
            <w:pPr>
              <w:spacing w:line="300" w:lineRule="auto"/>
              <w:jc w:val="center"/>
              <w:rPr>
                <w:rFonts w:ascii="宋体" w:hAnsi="宋体" w:cs="宋体"/>
                <w:b/>
                <w:bCs/>
                <w:color w:val="auto"/>
                <w:szCs w:val="21"/>
                <w:highlight w:val="none"/>
              </w:rPr>
            </w:pPr>
            <w:r>
              <w:rPr>
                <w:rFonts w:hint="eastAsia" w:ascii="宋体" w:hAnsi="宋体" w:cs="宋体"/>
                <w:b/>
                <w:bCs/>
                <w:color w:val="auto"/>
                <w:szCs w:val="21"/>
                <w:highlight w:val="none"/>
              </w:rPr>
              <w:t>商务技术文件组成</w:t>
            </w:r>
          </w:p>
        </w:tc>
        <w:tc>
          <w:tcPr>
            <w:tcW w:w="6882" w:type="dxa"/>
            <w:vAlign w:val="center"/>
          </w:tcPr>
          <w:p w14:paraId="02432126">
            <w:pPr>
              <w:spacing w:line="300" w:lineRule="auto"/>
              <w:rPr>
                <w:rFonts w:ascii="宋体" w:hAnsi="宋体" w:cs="宋体"/>
                <w:color w:val="auto"/>
                <w:szCs w:val="21"/>
                <w:highlight w:val="none"/>
              </w:rPr>
            </w:pPr>
            <w:r>
              <w:rPr>
                <w:rFonts w:hint="eastAsia" w:ascii="宋体" w:hAnsi="宋体" w:cs="宋体"/>
                <w:color w:val="auto"/>
                <w:szCs w:val="21"/>
                <w:highlight w:val="none"/>
              </w:rPr>
              <w:t>1.无串通竞标行为的承诺函；</w:t>
            </w:r>
            <w:r>
              <w:rPr>
                <w:rFonts w:hint="eastAsia" w:ascii="宋体" w:hAnsi="宋体" w:cs="宋体"/>
                <w:b/>
                <w:bCs/>
                <w:color w:val="auto"/>
                <w:szCs w:val="21"/>
                <w:highlight w:val="none"/>
              </w:rPr>
              <w:t>（必须提供，否则响应文件按无效响应处理）</w:t>
            </w:r>
          </w:p>
          <w:p w14:paraId="54DB47EC">
            <w:pPr>
              <w:spacing w:line="300" w:lineRule="auto"/>
              <w:rPr>
                <w:rFonts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w:t>
            </w:r>
            <w:r>
              <w:rPr>
                <w:rFonts w:hint="eastAsia" w:ascii="宋体" w:hAnsi="宋体" w:cs="宋体"/>
                <w:b/>
                <w:bCs/>
                <w:color w:val="auto"/>
                <w:szCs w:val="21"/>
                <w:highlight w:val="none"/>
              </w:rPr>
              <w:t>（除自然人竞标外必须提供，否则响应文件按无效响应处理）</w:t>
            </w:r>
          </w:p>
          <w:p w14:paraId="2018D36E">
            <w:pPr>
              <w:spacing w:line="300" w:lineRule="auto"/>
              <w:rPr>
                <w:rFonts w:ascii="宋体" w:hAnsi="宋体" w:cs="宋体"/>
                <w:b/>
                <w:bCs/>
                <w:color w:val="auto"/>
                <w:szCs w:val="21"/>
                <w:highlight w:val="none"/>
              </w:rPr>
            </w:pPr>
            <w:r>
              <w:rPr>
                <w:rFonts w:hint="eastAsia" w:ascii="宋体" w:hAnsi="宋体" w:cs="宋体"/>
                <w:color w:val="auto"/>
                <w:szCs w:val="21"/>
                <w:highlight w:val="none"/>
              </w:rPr>
              <w:t>3.法定代表人授权委托书及委托代理人有效身份证正反面复印件；</w:t>
            </w:r>
            <w:r>
              <w:rPr>
                <w:rFonts w:hint="eastAsia" w:ascii="宋体" w:hAnsi="宋体" w:cs="宋体"/>
                <w:b/>
                <w:bCs/>
                <w:color w:val="auto"/>
                <w:szCs w:val="21"/>
                <w:highlight w:val="none"/>
              </w:rPr>
              <w:t>（委托时必须提供，否则响应文件按无效响应处理）</w:t>
            </w:r>
          </w:p>
          <w:p w14:paraId="1A09CE4C">
            <w:pPr>
              <w:spacing w:line="300" w:lineRule="auto"/>
              <w:rPr>
                <w:rFonts w:ascii="宋体" w:hAnsi="宋体" w:cs="宋体"/>
                <w:b/>
                <w:bCs/>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.供应商基本情况表；</w:t>
            </w:r>
            <w:r>
              <w:rPr>
                <w:rFonts w:hint="eastAsia" w:ascii="宋体" w:hAnsi="宋体" w:cs="宋体"/>
                <w:b/>
                <w:bCs/>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b/>
                <w:bCs/>
                <w:color w:val="auto"/>
                <w:szCs w:val="21"/>
                <w:highlight w:val="none"/>
              </w:rPr>
              <w:t>）</w:t>
            </w:r>
          </w:p>
          <w:p w14:paraId="779B2EA9">
            <w:pPr>
              <w:spacing w:line="300" w:lineRule="auto"/>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.施工组织设计；</w:t>
            </w:r>
            <w:r>
              <w:rPr>
                <w:rFonts w:hint="eastAsia" w:ascii="宋体" w:hAnsi="宋体" w:cs="宋体"/>
                <w:b/>
                <w:bCs/>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b/>
                <w:bCs/>
                <w:color w:val="auto"/>
                <w:szCs w:val="21"/>
                <w:highlight w:val="none"/>
              </w:rPr>
              <w:t>）</w:t>
            </w:r>
          </w:p>
          <w:p w14:paraId="093D8146">
            <w:pPr>
              <w:spacing w:line="300" w:lineRule="auto"/>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.项目管理机构；</w:t>
            </w:r>
            <w:r>
              <w:rPr>
                <w:rFonts w:hint="eastAsia" w:ascii="宋体" w:hAnsi="宋体" w:cs="宋体"/>
                <w:b/>
                <w:bCs/>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b/>
                <w:bCs/>
                <w:color w:val="auto"/>
                <w:szCs w:val="21"/>
                <w:highlight w:val="none"/>
              </w:rPr>
              <w:t>）</w:t>
            </w:r>
          </w:p>
          <w:p w14:paraId="5120F0AF">
            <w:pPr>
              <w:spacing w:line="300" w:lineRule="auto"/>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.业绩材料；（如有，请提供）</w:t>
            </w:r>
          </w:p>
          <w:p w14:paraId="4E211EC5">
            <w:pPr>
              <w:spacing w:line="300" w:lineRule="auto"/>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.供应商认为需要提供的其他有关资料。</w:t>
            </w:r>
          </w:p>
          <w:p w14:paraId="4E011A61">
            <w:pPr>
              <w:spacing w:line="300" w:lineRule="auto"/>
              <w:rPr>
                <w:rFonts w:ascii="宋体" w:hAnsi="宋体" w:cs="宋体"/>
                <w:b/>
                <w:color w:val="auto"/>
                <w:szCs w:val="21"/>
                <w:highlight w:val="none"/>
              </w:rPr>
            </w:pPr>
            <w:r>
              <w:rPr>
                <w:rFonts w:hint="eastAsia" w:ascii="宋体" w:hAnsi="宋体" w:cs="宋体"/>
                <w:b/>
                <w:color w:val="auto"/>
                <w:szCs w:val="21"/>
                <w:highlight w:val="none"/>
              </w:rPr>
              <w:t>注：</w:t>
            </w:r>
          </w:p>
          <w:p w14:paraId="6A98CAF4">
            <w:pPr>
              <w:spacing w:line="300" w:lineRule="auto"/>
              <w:rPr>
                <w:rFonts w:ascii="宋体" w:hAnsi="宋体" w:cs="宋体"/>
                <w:b/>
                <w:color w:val="auto"/>
                <w:szCs w:val="21"/>
                <w:highlight w:val="none"/>
              </w:rPr>
            </w:pPr>
            <w:r>
              <w:rPr>
                <w:rFonts w:hint="eastAsia" w:ascii="宋体" w:hAnsi="宋体" w:cs="宋体"/>
                <w:b/>
                <w:color w:val="auto"/>
                <w:szCs w:val="21"/>
                <w:highlight w:val="none"/>
              </w:rPr>
              <w:t>1.法定代表人授权委托书必须由法定代表人及委托代理人签字，并加盖供应商电子公章，否则响应文件按无效响应处理。</w:t>
            </w:r>
          </w:p>
          <w:p w14:paraId="5D5E794E">
            <w:pPr>
              <w:spacing w:line="300" w:lineRule="auto"/>
              <w:rPr>
                <w:rFonts w:ascii="宋体" w:hAnsi="宋体" w:cs="宋体"/>
                <w:b/>
                <w:color w:val="auto"/>
                <w:szCs w:val="21"/>
                <w:highlight w:val="none"/>
              </w:rPr>
            </w:pPr>
            <w:r>
              <w:rPr>
                <w:rFonts w:hint="eastAsia" w:ascii="宋体" w:hAnsi="宋体" w:cs="宋体"/>
                <w:b/>
                <w:color w:val="auto"/>
                <w:szCs w:val="21"/>
                <w:highlight w:val="none"/>
              </w:rPr>
              <w:t>2.以上标明“必须提供”的材料属于复印件的扫描件的，必须加盖供应商电子公章，否则响应文件按无效响应处理。</w:t>
            </w:r>
          </w:p>
        </w:tc>
      </w:tr>
      <w:tr w14:paraId="517D3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4" w:type="dxa"/>
            <w:vAlign w:val="center"/>
          </w:tcPr>
          <w:p w14:paraId="2C2900FC">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12.1.3</w:t>
            </w:r>
          </w:p>
        </w:tc>
        <w:tc>
          <w:tcPr>
            <w:tcW w:w="1613" w:type="dxa"/>
            <w:vAlign w:val="center"/>
          </w:tcPr>
          <w:p w14:paraId="01FD141E">
            <w:pPr>
              <w:spacing w:line="300" w:lineRule="auto"/>
              <w:jc w:val="center"/>
              <w:rPr>
                <w:rFonts w:ascii="宋体" w:hAnsi="宋体" w:cs="宋体"/>
                <w:color w:val="auto"/>
                <w:szCs w:val="21"/>
                <w:highlight w:val="none"/>
              </w:rPr>
            </w:pPr>
            <w:r>
              <w:rPr>
                <w:rFonts w:hint="eastAsia" w:ascii="宋体" w:hAnsi="宋体" w:cs="宋体"/>
                <w:b/>
                <w:bCs/>
                <w:color w:val="auto"/>
                <w:szCs w:val="21"/>
                <w:highlight w:val="none"/>
              </w:rPr>
              <w:t>报价文件组成</w:t>
            </w:r>
          </w:p>
        </w:tc>
        <w:tc>
          <w:tcPr>
            <w:tcW w:w="6882" w:type="dxa"/>
            <w:vAlign w:val="center"/>
          </w:tcPr>
          <w:p w14:paraId="12F7D69D">
            <w:pPr>
              <w:spacing w:line="300" w:lineRule="auto"/>
              <w:rPr>
                <w:rFonts w:ascii="宋体" w:hAnsi="宋体" w:cs="宋体"/>
                <w:color w:val="auto"/>
                <w:szCs w:val="21"/>
                <w:highlight w:val="none"/>
              </w:rPr>
            </w:pPr>
            <w:r>
              <w:rPr>
                <w:rFonts w:hint="eastAsia" w:ascii="宋体" w:hAnsi="宋体" w:cs="宋体"/>
                <w:color w:val="auto"/>
                <w:szCs w:val="21"/>
                <w:highlight w:val="none"/>
              </w:rPr>
              <w:t>1.报价函</w:t>
            </w:r>
            <w:r>
              <w:rPr>
                <w:rFonts w:hint="eastAsia" w:ascii="宋体" w:hAnsi="宋体" w:cs="宋体"/>
                <w:b/>
                <w:color w:val="auto"/>
                <w:szCs w:val="21"/>
                <w:highlight w:val="none"/>
              </w:rPr>
              <w:t>（必须提供，否则响应文件按无效响应处理）</w:t>
            </w:r>
          </w:p>
          <w:p w14:paraId="598B0DAA">
            <w:pPr>
              <w:spacing w:line="300" w:lineRule="auto"/>
              <w:rPr>
                <w:rFonts w:ascii="宋体" w:hAnsi="宋体" w:cs="宋体"/>
                <w:color w:val="auto"/>
                <w:szCs w:val="21"/>
                <w:highlight w:val="none"/>
              </w:rPr>
            </w:pPr>
            <w:r>
              <w:rPr>
                <w:rFonts w:hint="eastAsia" w:ascii="宋体" w:hAnsi="宋体" w:cs="宋体"/>
                <w:color w:val="auto"/>
                <w:szCs w:val="21"/>
                <w:highlight w:val="none"/>
              </w:rPr>
              <w:t>2.报价函附录</w:t>
            </w:r>
            <w:r>
              <w:rPr>
                <w:rFonts w:hint="eastAsia" w:ascii="宋体" w:hAnsi="宋体" w:cs="宋体"/>
                <w:b/>
                <w:color w:val="auto"/>
                <w:szCs w:val="21"/>
                <w:highlight w:val="none"/>
              </w:rPr>
              <w:t>（必须提供，否则响应文件按无效响应处理）</w:t>
            </w:r>
          </w:p>
          <w:p w14:paraId="2499B809">
            <w:pPr>
              <w:spacing w:line="300" w:lineRule="auto"/>
              <w:rPr>
                <w:rFonts w:ascii="宋体" w:hAnsi="宋体" w:cs="宋体"/>
                <w:color w:val="auto"/>
                <w:szCs w:val="21"/>
                <w:highlight w:val="none"/>
              </w:rPr>
            </w:pPr>
            <w:r>
              <w:rPr>
                <w:rFonts w:hint="eastAsia" w:ascii="宋体" w:hAnsi="宋体" w:cs="宋体"/>
                <w:color w:val="auto"/>
                <w:szCs w:val="21"/>
                <w:highlight w:val="none"/>
              </w:rPr>
              <w:t>3.已标价的工程量清单</w:t>
            </w:r>
            <w:r>
              <w:rPr>
                <w:rFonts w:hint="eastAsia" w:ascii="宋体" w:hAnsi="宋体" w:cs="宋体"/>
                <w:b/>
                <w:bCs/>
                <w:color w:val="auto"/>
                <w:szCs w:val="21"/>
                <w:highlight w:val="none"/>
              </w:rPr>
              <w:t>（必须提供，否则响应文件按无效响应处理）</w:t>
            </w:r>
          </w:p>
          <w:p w14:paraId="7DD7F95A">
            <w:pPr>
              <w:spacing w:line="300" w:lineRule="auto"/>
              <w:rPr>
                <w:rFonts w:ascii="宋体" w:hAnsi="宋体" w:cs="宋体"/>
                <w:color w:val="auto"/>
                <w:szCs w:val="21"/>
                <w:highlight w:val="none"/>
              </w:rPr>
            </w:pPr>
            <w:r>
              <w:rPr>
                <w:rFonts w:hint="eastAsia" w:ascii="宋体" w:hAnsi="宋体" w:cs="宋体"/>
                <w:b/>
                <w:color w:val="auto"/>
                <w:szCs w:val="21"/>
                <w:highlight w:val="none"/>
              </w:rPr>
              <w:t>注：以上标明“必须提供”的材料属于复印件的扫描件的，必须加盖供应商电子公章，否则响应文件按无效响应处理。</w:t>
            </w:r>
          </w:p>
        </w:tc>
      </w:tr>
      <w:tr w14:paraId="50F1B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4" w:type="dxa"/>
            <w:vAlign w:val="center"/>
          </w:tcPr>
          <w:p w14:paraId="01870F89">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12.2</w:t>
            </w:r>
          </w:p>
        </w:tc>
        <w:tc>
          <w:tcPr>
            <w:tcW w:w="1613" w:type="dxa"/>
            <w:vAlign w:val="center"/>
          </w:tcPr>
          <w:p w14:paraId="2F7696DD">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响应文件电子版要求</w:t>
            </w:r>
          </w:p>
        </w:tc>
        <w:tc>
          <w:tcPr>
            <w:tcW w:w="6882" w:type="dxa"/>
            <w:vAlign w:val="center"/>
          </w:tcPr>
          <w:p w14:paraId="23B576F0">
            <w:pPr>
              <w:spacing w:line="300" w:lineRule="auto"/>
              <w:rPr>
                <w:rFonts w:ascii="宋体" w:hAnsi="宋体" w:cs="宋体"/>
                <w:color w:val="auto"/>
                <w:szCs w:val="21"/>
                <w:highlight w:val="none"/>
              </w:rPr>
            </w:pPr>
            <w:r>
              <w:rPr>
                <w:rFonts w:hint="eastAsia" w:ascii="宋体" w:hAnsi="宋体" w:cs="宋体"/>
                <w:color w:val="auto"/>
                <w:szCs w:val="21"/>
                <w:highlight w:val="none"/>
              </w:rPr>
              <w:t>1.响应文件电子版要求：按照本采购文件“第七章 响应文件格式”编写（第七章未附格式的，由供应商自行拟定），不可涂改并在规定加盖公章处加盖电子公章，</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1CADE9BD">
            <w:pPr>
              <w:spacing w:line="300" w:lineRule="auto"/>
              <w:rPr>
                <w:rFonts w:ascii="宋体" w:hAnsi="宋体" w:cs="宋体"/>
                <w:color w:val="auto"/>
                <w:szCs w:val="21"/>
                <w:highlight w:val="none"/>
              </w:rPr>
            </w:pPr>
            <w:r>
              <w:rPr>
                <w:rFonts w:hint="eastAsia" w:ascii="宋体" w:hAnsi="宋体" w:cs="宋体"/>
                <w:color w:val="auto"/>
                <w:szCs w:val="21"/>
                <w:highlight w:val="none"/>
              </w:rPr>
              <w:t>2.响应文件电子版密封方式：电子响应文件通过平台有效CA加密后在广西政府采购云平台投送。（操作方式见公告附件“电子响应文件制作与投送教程”）</w:t>
            </w:r>
          </w:p>
        </w:tc>
      </w:tr>
      <w:tr w14:paraId="4D267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4" w:type="dxa"/>
            <w:vAlign w:val="center"/>
          </w:tcPr>
          <w:p w14:paraId="6BE5A612">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15.2</w:t>
            </w:r>
          </w:p>
        </w:tc>
        <w:tc>
          <w:tcPr>
            <w:tcW w:w="1613" w:type="dxa"/>
            <w:vAlign w:val="center"/>
          </w:tcPr>
          <w:p w14:paraId="6EC459D1">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响应报价要求</w:t>
            </w:r>
          </w:p>
        </w:tc>
        <w:tc>
          <w:tcPr>
            <w:tcW w:w="6882" w:type="dxa"/>
            <w:vAlign w:val="center"/>
          </w:tcPr>
          <w:p w14:paraId="282AA66E">
            <w:pPr>
              <w:spacing w:line="300" w:lineRule="auto"/>
              <w:rPr>
                <w:rFonts w:ascii="宋体" w:hAnsi="宋体" w:cs="宋体"/>
                <w:color w:val="auto"/>
                <w:szCs w:val="21"/>
                <w:highlight w:val="none"/>
              </w:rPr>
            </w:pPr>
            <w:r>
              <w:rPr>
                <w:rFonts w:hint="eastAsia" w:ascii="宋体" w:hAnsi="宋体" w:cs="宋体"/>
                <w:color w:val="auto"/>
                <w:szCs w:val="21"/>
                <w:highlight w:val="none"/>
              </w:rPr>
              <w:t>供应商必须就所竞标分标的全部“工程量清单”内容作完整唯一报价，漏项报价的或对发包清单内容做更改、选择填报的或有条件的报价，其竞标将视为无效。</w:t>
            </w:r>
            <w:r>
              <w:rPr>
                <w:rFonts w:hint="eastAsia" w:ascii="宋体" w:hAnsi="宋体" w:cs="宋体"/>
                <w:b/>
                <w:bCs/>
                <w:color w:val="auto"/>
                <w:szCs w:val="21"/>
                <w:highlight w:val="none"/>
              </w:rPr>
              <w:t>磋商过程中，供应商的最后报价如有变动，则必须以工程量清单报价表的格式编制提交，供应商须提前做好相关准备并按时递交最后报价文件，否则磋商无效</w:t>
            </w:r>
            <w:r>
              <w:rPr>
                <w:rFonts w:hint="eastAsia" w:ascii="宋体" w:hAnsi="宋体" w:cs="宋体"/>
                <w:color w:val="auto"/>
                <w:szCs w:val="21"/>
                <w:highlight w:val="none"/>
              </w:rPr>
              <w:t>。</w:t>
            </w:r>
          </w:p>
        </w:tc>
      </w:tr>
      <w:tr w14:paraId="796AD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4" w:type="dxa"/>
            <w:vAlign w:val="center"/>
          </w:tcPr>
          <w:p w14:paraId="6391B369">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16.2</w:t>
            </w:r>
          </w:p>
        </w:tc>
        <w:tc>
          <w:tcPr>
            <w:tcW w:w="1613" w:type="dxa"/>
            <w:vAlign w:val="center"/>
          </w:tcPr>
          <w:p w14:paraId="2DA6AECA">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磋商有效期</w:t>
            </w:r>
          </w:p>
        </w:tc>
        <w:tc>
          <w:tcPr>
            <w:tcW w:w="6882" w:type="dxa"/>
            <w:vAlign w:val="center"/>
          </w:tcPr>
          <w:p w14:paraId="423399B6">
            <w:pPr>
              <w:pStyle w:val="10"/>
              <w:widowControl w:val="0"/>
              <w:tabs>
                <w:tab w:val="clear" w:pos="454"/>
              </w:tabs>
              <w:spacing w:afterLines="0" w:line="300" w:lineRule="auto"/>
              <w:ind w:left="0" w:firstLine="0"/>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自首次响应文件提交截止之日起</w:t>
            </w:r>
            <w:bookmarkStart w:id="34" w:name="PO_3000001868_PM046"/>
            <w:r>
              <w:rPr>
                <w:rFonts w:hint="eastAsia" w:ascii="宋体" w:hAnsi="宋体" w:cs="宋体"/>
                <w:color w:val="auto"/>
                <w:kern w:val="2"/>
                <w:sz w:val="21"/>
                <w:szCs w:val="21"/>
                <w:highlight w:val="none"/>
                <w:u w:val="single"/>
              </w:rPr>
              <w:t>60</w:t>
            </w:r>
            <w:bookmarkEnd w:id="34"/>
            <w:r>
              <w:rPr>
                <w:rFonts w:hint="eastAsia" w:ascii="宋体" w:hAnsi="宋体" w:cs="宋体"/>
                <w:color w:val="auto"/>
                <w:kern w:val="2"/>
                <w:sz w:val="21"/>
                <w:szCs w:val="21"/>
                <w:highlight w:val="none"/>
              </w:rPr>
              <w:t>日。</w:t>
            </w:r>
          </w:p>
        </w:tc>
      </w:tr>
      <w:tr w14:paraId="7A609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4" w:type="dxa"/>
            <w:vAlign w:val="center"/>
          </w:tcPr>
          <w:p w14:paraId="0D5850FF">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17.1</w:t>
            </w:r>
          </w:p>
        </w:tc>
        <w:tc>
          <w:tcPr>
            <w:tcW w:w="1613" w:type="dxa"/>
            <w:vAlign w:val="center"/>
          </w:tcPr>
          <w:p w14:paraId="0301F1A2">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磋商保证金</w:t>
            </w:r>
          </w:p>
        </w:tc>
        <w:tc>
          <w:tcPr>
            <w:tcW w:w="6882" w:type="dxa"/>
            <w:vAlign w:val="center"/>
          </w:tcPr>
          <w:p w14:paraId="0E5691EB">
            <w:pPr>
              <w:spacing w:line="300" w:lineRule="auto"/>
              <w:rPr>
                <w:rFonts w:hint="eastAsia" w:ascii="宋体" w:hAnsi="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本项目</w:t>
            </w:r>
            <w:r>
              <w:rPr>
                <w:rFonts w:hint="eastAsia" w:ascii="宋体" w:hAnsi="宋体" w:cs="宋体"/>
                <w:b/>
                <w:bCs/>
                <w:color w:val="auto"/>
                <w:szCs w:val="21"/>
                <w:highlight w:val="none"/>
                <w:lang w:eastAsia="zh-CN"/>
              </w:rPr>
              <w:t>不收取</w:t>
            </w:r>
            <w:r>
              <w:rPr>
                <w:rFonts w:hint="eastAsia" w:ascii="宋体" w:hAnsi="宋体" w:cs="宋体"/>
                <w:b/>
                <w:bCs/>
                <w:color w:val="auto"/>
                <w:szCs w:val="21"/>
                <w:highlight w:val="none"/>
              </w:rPr>
              <w:t>磋商保证金。</w:t>
            </w:r>
          </w:p>
          <w:p w14:paraId="14EF3813">
            <w:pPr>
              <w:spacing w:line="300" w:lineRule="auto"/>
              <w:rPr>
                <w:rFonts w:hint="eastAsia" w:ascii="宋体" w:hAnsi="宋体" w:eastAsia="宋体" w:cs="宋体"/>
                <w:color w:val="auto"/>
                <w:szCs w:val="21"/>
                <w:highlight w:val="none"/>
                <w:lang w:eastAsia="zh-CN"/>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本项目收取磋商保证金，具体规定如下</w:t>
            </w:r>
            <w:r>
              <w:rPr>
                <w:rFonts w:hint="eastAsia" w:ascii="宋体" w:hAnsi="宋体" w:cs="宋体"/>
                <w:b/>
                <w:bCs/>
                <w:color w:val="auto"/>
                <w:szCs w:val="21"/>
                <w:highlight w:val="none"/>
                <w:lang w:eastAsia="zh-CN"/>
              </w:rPr>
              <w:t>：</w:t>
            </w:r>
          </w:p>
          <w:p w14:paraId="2CF4E8FB">
            <w:pPr>
              <w:spacing w:line="30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磋商</w:t>
            </w:r>
            <w:r>
              <w:rPr>
                <w:rFonts w:hint="eastAsia" w:ascii="宋体" w:hAnsi="宋体" w:cs="宋体"/>
                <w:color w:val="auto"/>
                <w:szCs w:val="21"/>
                <w:highlight w:val="none"/>
              </w:rPr>
              <w:t>保证金金额：</w:t>
            </w:r>
            <w:r>
              <w:rPr>
                <w:rFonts w:hint="eastAsia" w:ascii="宋体" w:hAnsi="宋体" w:cs="宋体"/>
                <w:color w:val="auto"/>
                <w:szCs w:val="21"/>
                <w:highlight w:val="none"/>
                <w:u w:val="single"/>
                <w:lang w:val="en-US" w:eastAsia="zh-CN"/>
              </w:rPr>
              <w:t xml:space="preserve"> /</w:t>
            </w:r>
          </w:p>
          <w:p w14:paraId="316FBFEB">
            <w:pPr>
              <w:spacing w:line="300" w:lineRule="auto"/>
              <w:rPr>
                <w:rFonts w:ascii="宋体" w:hAnsi="宋体" w:cs="宋体"/>
                <w:color w:val="auto"/>
                <w:szCs w:val="21"/>
                <w:highlight w:val="none"/>
              </w:rPr>
            </w:pPr>
            <w:r>
              <w:rPr>
                <w:rFonts w:hint="eastAsia" w:ascii="宋体" w:hAnsi="宋体" w:cs="宋体"/>
                <w:color w:val="auto"/>
                <w:szCs w:val="21"/>
                <w:highlight w:val="none"/>
              </w:rPr>
              <w:t>磋商保证金的交纳方式：银行转账、支票、汇票、本票、银行出具的保函或保险机构出具的保函（包含电子保函）、保险单，禁止采用现钞方式。</w:t>
            </w:r>
          </w:p>
          <w:p w14:paraId="753D518F">
            <w:pPr>
              <w:spacing w:line="300" w:lineRule="auto"/>
              <w:rPr>
                <w:rFonts w:ascii="宋体" w:hAnsi="宋体" w:cs="宋体"/>
                <w:color w:val="auto"/>
                <w:szCs w:val="21"/>
                <w:highlight w:val="none"/>
              </w:rPr>
            </w:pPr>
            <w:r>
              <w:rPr>
                <w:rFonts w:hint="eastAsia" w:ascii="宋体" w:hAnsi="宋体" w:cs="宋体"/>
                <w:color w:val="auto"/>
                <w:szCs w:val="21"/>
                <w:highlight w:val="none"/>
              </w:rPr>
              <w:t>相关要求：</w:t>
            </w:r>
          </w:p>
          <w:p w14:paraId="56A50FA6">
            <w:pPr>
              <w:spacing w:line="300" w:lineRule="auto"/>
              <w:rPr>
                <w:rFonts w:ascii="宋体" w:hAnsi="宋体" w:cs="宋体"/>
                <w:color w:val="auto"/>
                <w:szCs w:val="21"/>
                <w:highlight w:val="none"/>
              </w:rPr>
            </w:pPr>
            <w:r>
              <w:rPr>
                <w:rFonts w:hint="eastAsia" w:ascii="宋体" w:hAnsi="宋体" w:cs="宋体"/>
                <w:color w:val="auto"/>
                <w:szCs w:val="21"/>
                <w:highlight w:val="none"/>
              </w:rPr>
              <w:t>1.磋商保证金采用银行转账交纳方式的，在首次响应文件提交截止时间前交至采购代理机构指定账户并且到账，供应商应将银行转账底单的复印件作为磋商保证金提交凭证，放置于商务技术文件中，</w:t>
            </w:r>
            <w:r>
              <w:rPr>
                <w:rFonts w:hint="eastAsia" w:ascii="宋体" w:hAnsi="宋体" w:cs="宋体"/>
                <w:b/>
                <w:color w:val="auto"/>
                <w:szCs w:val="21"/>
                <w:highlight w:val="none"/>
              </w:rPr>
              <w:t>否则响应文件作无效处理</w:t>
            </w:r>
            <w:r>
              <w:rPr>
                <w:rFonts w:hint="eastAsia" w:ascii="宋体" w:hAnsi="宋体" w:cs="宋体"/>
                <w:color w:val="auto"/>
                <w:szCs w:val="21"/>
                <w:highlight w:val="none"/>
              </w:rPr>
              <w:t>。</w:t>
            </w:r>
          </w:p>
          <w:p w14:paraId="4D5AE1B7">
            <w:pPr>
              <w:spacing w:line="300" w:lineRule="auto"/>
              <w:rPr>
                <w:rFonts w:ascii="宋体" w:hAnsi="宋体" w:cs="宋体"/>
                <w:color w:val="auto"/>
                <w:szCs w:val="21"/>
                <w:highlight w:val="none"/>
              </w:rPr>
            </w:pPr>
            <w:r>
              <w:rPr>
                <w:rFonts w:hint="eastAsia" w:ascii="宋体" w:hAnsi="宋体" w:cs="宋体"/>
                <w:color w:val="auto"/>
                <w:szCs w:val="21"/>
                <w:highlight w:val="none"/>
              </w:rPr>
              <w:t>2.磋商保证金采用支票、汇票或本票交纳方式的，供应商应将支票、汇票或本票的复印件作为磋商保证金提交凭证，放置于商务技术文件中，</w:t>
            </w:r>
            <w:r>
              <w:rPr>
                <w:rFonts w:hint="eastAsia" w:ascii="宋体" w:hAnsi="宋体" w:cs="宋体"/>
                <w:b/>
                <w:color w:val="auto"/>
                <w:szCs w:val="21"/>
                <w:highlight w:val="none"/>
              </w:rPr>
              <w:t>否则响应文件作无效处理</w:t>
            </w:r>
            <w:r>
              <w:rPr>
                <w:rFonts w:hint="eastAsia" w:ascii="宋体" w:hAnsi="宋体" w:cs="宋体"/>
                <w:color w:val="auto"/>
                <w:szCs w:val="21"/>
                <w:highlight w:val="none"/>
              </w:rPr>
              <w:t>。</w:t>
            </w:r>
          </w:p>
          <w:p w14:paraId="07936D9B">
            <w:pPr>
              <w:spacing w:line="300" w:lineRule="auto"/>
              <w:rPr>
                <w:rFonts w:ascii="宋体" w:hAnsi="宋体" w:cs="宋体"/>
                <w:color w:val="auto"/>
                <w:szCs w:val="21"/>
                <w:highlight w:val="none"/>
              </w:rPr>
            </w:pPr>
            <w:r>
              <w:rPr>
                <w:rFonts w:hint="eastAsia" w:ascii="宋体" w:hAnsi="宋体" w:cs="宋体"/>
                <w:color w:val="auto"/>
                <w:szCs w:val="21"/>
                <w:highlight w:val="none"/>
              </w:rPr>
              <w:t>3.磋商保证金采用银行、保险机构出具的保函交纳方式的，供应商应将保函的复印件作为磋商保证金提交凭证，放置于商务技术文件中，</w:t>
            </w:r>
            <w:r>
              <w:rPr>
                <w:rFonts w:hint="eastAsia" w:ascii="宋体" w:hAnsi="宋体" w:cs="宋体"/>
                <w:b/>
                <w:color w:val="auto"/>
                <w:szCs w:val="21"/>
                <w:highlight w:val="none"/>
              </w:rPr>
              <w:t>否则响应文件作无效处理</w:t>
            </w:r>
            <w:r>
              <w:rPr>
                <w:rFonts w:hint="eastAsia" w:ascii="宋体" w:hAnsi="宋体" w:cs="宋体"/>
                <w:color w:val="auto"/>
                <w:szCs w:val="21"/>
                <w:highlight w:val="none"/>
              </w:rPr>
              <w:t>。并在首次响应文件提交截止时间前，递交单独密封的保函原件（原件单独放入一个密封袋中，并在封口处加盖供应商公章或委托代理人签字，以示密封，在封套上标记“项目名称（项目编号）磋商保证金”字样），</w:t>
            </w:r>
            <w:r>
              <w:rPr>
                <w:rFonts w:hint="eastAsia" w:ascii="宋体" w:hAnsi="宋体" w:cs="宋体"/>
                <w:b/>
                <w:color w:val="auto"/>
                <w:szCs w:val="21"/>
                <w:highlight w:val="none"/>
              </w:rPr>
              <w:t>否则响应文件作无效处理</w:t>
            </w:r>
            <w:r>
              <w:rPr>
                <w:rFonts w:hint="eastAsia" w:ascii="宋体" w:hAnsi="宋体" w:cs="宋体"/>
                <w:color w:val="auto"/>
                <w:szCs w:val="21"/>
                <w:highlight w:val="none"/>
              </w:rPr>
              <w:t>。</w:t>
            </w:r>
          </w:p>
          <w:p w14:paraId="1E36BAF4">
            <w:pPr>
              <w:spacing w:line="300" w:lineRule="auto"/>
              <w:rPr>
                <w:rFonts w:ascii="宋体" w:hAnsi="宋体" w:cs="宋体"/>
                <w:color w:val="auto"/>
                <w:szCs w:val="21"/>
                <w:highlight w:val="none"/>
              </w:rPr>
            </w:pPr>
            <w:r>
              <w:rPr>
                <w:rFonts w:hint="eastAsia" w:ascii="宋体" w:hAnsi="宋体" w:cs="宋体"/>
                <w:color w:val="auto"/>
                <w:szCs w:val="21"/>
                <w:highlight w:val="none"/>
              </w:rPr>
              <w:t>4.磋商保证金指定帐户：</w:t>
            </w:r>
          </w:p>
          <w:p w14:paraId="0B34B8E6">
            <w:pPr>
              <w:spacing w:line="300" w:lineRule="auto"/>
              <w:rPr>
                <w:rFonts w:hint="eastAsia" w:ascii="宋体" w:hAnsi="宋体" w:cs="宋体"/>
                <w:b/>
                <w:bCs/>
                <w:color w:val="auto"/>
                <w:szCs w:val="21"/>
                <w:highlight w:val="none"/>
              </w:rPr>
            </w:pPr>
            <w:r>
              <w:rPr>
                <w:rFonts w:hint="eastAsia" w:ascii="宋体" w:hAnsi="宋体" w:cs="宋体"/>
                <w:b/>
                <w:bCs/>
                <w:color w:val="auto"/>
                <w:szCs w:val="21"/>
                <w:highlight w:val="none"/>
              </w:rPr>
              <w:t>开户名称：</w:t>
            </w:r>
            <w:r>
              <w:rPr>
                <w:rFonts w:hint="eastAsia" w:ascii="宋体" w:hAnsi="宋体" w:cs="宋体"/>
                <w:b/>
                <w:bCs/>
                <w:color w:val="auto"/>
                <w:szCs w:val="21"/>
                <w:highlight w:val="none"/>
                <w:lang w:eastAsia="zh-CN"/>
              </w:rPr>
              <w:t xml:space="preserve">广西恒辉工程咨询有限公司 </w:t>
            </w:r>
          </w:p>
          <w:p w14:paraId="093D1722">
            <w:pPr>
              <w:spacing w:line="300" w:lineRule="auto"/>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rPr>
              <w:t>开户银行：</w:t>
            </w:r>
            <w:r>
              <w:rPr>
                <w:rFonts w:hint="eastAsia" w:ascii="宋体" w:hAnsi="宋体" w:cs="宋体"/>
                <w:b/>
                <w:bCs/>
                <w:color w:val="auto"/>
                <w:szCs w:val="21"/>
                <w:highlight w:val="none"/>
                <w:lang w:eastAsia="zh-CN"/>
              </w:rPr>
              <w:t>中国农业银行梧州灏景支行</w:t>
            </w:r>
          </w:p>
          <w:p w14:paraId="20B5BE26">
            <w:pPr>
              <w:spacing w:line="300" w:lineRule="auto"/>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rPr>
              <w:t>银行账号：</w:t>
            </w:r>
            <w:r>
              <w:rPr>
                <w:rFonts w:hint="eastAsia" w:ascii="宋体" w:hAnsi="宋体" w:cs="宋体"/>
                <w:b/>
                <w:bCs/>
                <w:color w:val="auto"/>
                <w:szCs w:val="21"/>
                <w:highlight w:val="none"/>
                <w:lang w:eastAsia="zh-CN"/>
              </w:rPr>
              <w:t>20312801040011706</w:t>
            </w:r>
          </w:p>
          <w:p w14:paraId="7CBB4DA5">
            <w:pPr>
              <w:spacing w:line="300" w:lineRule="auto"/>
              <w:rPr>
                <w:rFonts w:ascii="宋体" w:hAnsi="宋体" w:cs="宋体"/>
                <w:b/>
                <w:color w:val="auto"/>
                <w:szCs w:val="21"/>
                <w:highlight w:val="none"/>
              </w:rPr>
            </w:pPr>
            <w:r>
              <w:rPr>
                <w:rFonts w:hint="eastAsia" w:ascii="宋体" w:hAnsi="宋体" w:cs="宋体"/>
                <w:b/>
                <w:color w:val="auto"/>
                <w:szCs w:val="21"/>
                <w:highlight w:val="none"/>
              </w:rPr>
              <w:t xml:space="preserve">备注： </w:t>
            </w:r>
          </w:p>
          <w:p w14:paraId="48DB3522">
            <w:pPr>
              <w:spacing w:line="300" w:lineRule="auto"/>
              <w:rPr>
                <w:rFonts w:ascii="宋体" w:hAnsi="宋体" w:cs="宋体"/>
                <w:b/>
                <w:color w:val="auto"/>
                <w:szCs w:val="21"/>
                <w:highlight w:val="none"/>
              </w:rPr>
            </w:pPr>
            <w:r>
              <w:rPr>
                <w:rFonts w:hint="eastAsia" w:ascii="宋体" w:hAnsi="宋体" w:cs="宋体"/>
                <w:b/>
                <w:color w:val="auto"/>
                <w:szCs w:val="21"/>
                <w:highlight w:val="none"/>
              </w:rPr>
              <w:t>1.磋商保证金在首次响应文件提交截止时间后提交的，或不按规定交纳方式交纳的，或未足额交纳的（包含保函额度不足的），视为无效磋商保证金。</w:t>
            </w:r>
          </w:p>
          <w:p w14:paraId="7A0B2250">
            <w:pPr>
              <w:spacing w:line="300" w:lineRule="auto"/>
              <w:rPr>
                <w:rFonts w:ascii="宋体" w:hAnsi="宋体" w:cs="宋体"/>
                <w:b/>
                <w:color w:val="auto"/>
                <w:szCs w:val="21"/>
                <w:highlight w:val="none"/>
              </w:rPr>
            </w:pPr>
            <w:r>
              <w:rPr>
                <w:rFonts w:hint="eastAsia" w:ascii="宋体" w:hAnsi="宋体" w:cs="宋体"/>
                <w:b/>
                <w:color w:val="auto"/>
                <w:szCs w:val="21"/>
                <w:highlight w:val="none"/>
              </w:rPr>
              <w:t>2.供应商采用现钞方式或从个人账户（自然人竞标除外）转出的磋商保证金，视为无效磋商保证金。</w:t>
            </w:r>
          </w:p>
          <w:p w14:paraId="6727AEB0">
            <w:pPr>
              <w:spacing w:line="300" w:lineRule="auto"/>
              <w:rPr>
                <w:rFonts w:ascii="宋体" w:hAnsi="宋体" w:cs="宋体"/>
                <w:b/>
                <w:color w:val="auto"/>
                <w:szCs w:val="21"/>
                <w:highlight w:val="none"/>
              </w:rPr>
            </w:pPr>
            <w:r>
              <w:rPr>
                <w:rFonts w:hint="eastAsia" w:ascii="宋体" w:hAnsi="宋体" w:cs="宋体"/>
                <w:b/>
                <w:color w:val="auto"/>
                <w:szCs w:val="21"/>
                <w:highlight w:val="none"/>
              </w:rPr>
              <w:t>3.支票、汇票或本票出现无效或者背书情形的，视为无效磋商保证金。</w:t>
            </w:r>
          </w:p>
          <w:p w14:paraId="7F5CF5E8">
            <w:pPr>
              <w:spacing w:line="300" w:lineRule="auto"/>
              <w:rPr>
                <w:rFonts w:ascii="宋体" w:hAnsi="宋体" w:cs="宋体"/>
                <w:b/>
                <w:color w:val="auto"/>
                <w:szCs w:val="21"/>
                <w:highlight w:val="none"/>
              </w:rPr>
            </w:pPr>
            <w:r>
              <w:rPr>
                <w:rFonts w:hint="eastAsia" w:ascii="宋体" w:hAnsi="宋体" w:cs="宋体"/>
                <w:b/>
                <w:color w:val="auto"/>
                <w:szCs w:val="21"/>
                <w:highlight w:val="none"/>
              </w:rPr>
              <w:t>4.保函有效期低于磋商有效期的，视为无效磋商保证金。</w:t>
            </w:r>
          </w:p>
          <w:p w14:paraId="3E767A00">
            <w:pPr>
              <w:autoSpaceDE w:val="0"/>
              <w:autoSpaceDN w:val="0"/>
              <w:spacing w:line="300" w:lineRule="auto"/>
              <w:textAlignment w:val="bottom"/>
              <w:rPr>
                <w:rFonts w:ascii="宋体" w:hAnsi="宋体" w:cs="宋体"/>
                <w:color w:val="auto"/>
                <w:szCs w:val="21"/>
                <w:highlight w:val="none"/>
              </w:rPr>
            </w:pPr>
            <w:r>
              <w:rPr>
                <w:rFonts w:hint="eastAsia" w:ascii="宋体" w:hAnsi="宋体" w:cs="宋体"/>
                <w:b/>
                <w:color w:val="auto"/>
                <w:szCs w:val="21"/>
                <w:highlight w:val="none"/>
              </w:rPr>
              <w:t>5.采用银行、保险机构出具保函的，必须为无条件保函，否则视为无效磋商保证金。</w:t>
            </w:r>
          </w:p>
        </w:tc>
      </w:tr>
      <w:tr w14:paraId="4578B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44" w:type="dxa"/>
            <w:vMerge w:val="restart"/>
            <w:vAlign w:val="center"/>
          </w:tcPr>
          <w:p w14:paraId="4912290C">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20.1</w:t>
            </w:r>
          </w:p>
        </w:tc>
        <w:tc>
          <w:tcPr>
            <w:tcW w:w="1613" w:type="dxa"/>
            <w:vAlign w:val="center"/>
          </w:tcPr>
          <w:p w14:paraId="2635900C">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首次响应文件提交起止时间</w:t>
            </w:r>
          </w:p>
        </w:tc>
        <w:tc>
          <w:tcPr>
            <w:tcW w:w="6882" w:type="dxa"/>
            <w:vAlign w:val="center"/>
          </w:tcPr>
          <w:p w14:paraId="63CA60EA">
            <w:pPr>
              <w:spacing w:line="300" w:lineRule="auto"/>
              <w:rPr>
                <w:rFonts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5CC39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44" w:type="dxa"/>
            <w:vMerge w:val="continue"/>
            <w:vAlign w:val="center"/>
          </w:tcPr>
          <w:p w14:paraId="6FBC7D74">
            <w:pPr>
              <w:spacing w:line="300" w:lineRule="auto"/>
              <w:jc w:val="center"/>
              <w:rPr>
                <w:rFonts w:ascii="宋体" w:hAnsi="宋体" w:cs="宋体"/>
                <w:color w:val="auto"/>
                <w:szCs w:val="21"/>
                <w:highlight w:val="none"/>
              </w:rPr>
            </w:pPr>
          </w:p>
        </w:tc>
        <w:tc>
          <w:tcPr>
            <w:tcW w:w="1613" w:type="dxa"/>
            <w:vAlign w:val="center"/>
          </w:tcPr>
          <w:p w14:paraId="480986F6">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首次响应文件提交地点</w:t>
            </w:r>
          </w:p>
        </w:tc>
        <w:tc>
          <w:tcPr>
            <w:tcW w:w="6882" w:type="dxa"/>
            <w:vAlign w:val="center"/>
          </w:tcPr>
          <w:p w14:paraId="23AD84ED">
            <w:pPr>
              <w:spacing w:line="300" w:lineRule="auto"/>
              <w:rPr>
                <w:rFonts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1078E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44" w:type="dxa"/>
            <w:vAlign w:val="center"/>
          </w:tcPr>
          <w:p w14:paraId="0468DB5E">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20.6</w:t>
            </w:r>
          </w:p>
        </w:tc>
        <w:tc>
          <w:tcPr>
            <w:tcW w:w="1613" w:type="dxa"/>
            <w:vAlign w:val="center"/>
          </w:tcPr>
          <w:p w14:paraId="775BAF13">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备份响应文件</w:t>
            </w:r>
          </w:p>
        </w:tc>
        <w:tc>
          <w:tcPr>
            <w:tcW w:w="6882" w:type="dxa"/>
            <w:vAlign w:val="center"/>
          </w:tcPr>
          <w:p w14:paraId="0B538B3A">
            <w:pPr>
              <w:spacing w:line="300" w:lineRule="auto"/>
              <w:rPr>
                <w:rFonts w:ascii="宋体" w:hAnsi="宋体" w:cs="宋体"/>
                <w:color w:val="auto"/>
                <w:szCs w:val="21"/>
                <w:highlight w:val="none"/>
              </w:rPr>
            </w:pPr>
            <w:r>
              <w:rPr>
                <w:rFonts w:hint="eastAsia" w:ascii="宋体" w:hAnsi="宋体" w:cs="宋体"/>
                <w:color w:val="auto"/>
                <w:szCs w:val="21"/>
                <w:highlight w:val="none"/>
              </w:rPr>
              <w:t>本项目不接受备份响应文件。</w:t>
            </w:r>
          </w:p>
        </w:tc>
      </w:tr>
      <w:tr w14:paraId="609C5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44" w:type="dxa"/>
            <w:vAlign w:val="center"/>
          </w:tcPr>
          <w:p w14:paraId="2628DCC5">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21</w:t>
            </w:r>
          </w:p>
        </w:tc>
        <w:tc>
          <w:tcPr>
            <w:tcW w:w="1613" w:type="dxa"/>
            <w:vAlign w:val="center"/>
          </w:tcPr>
          <w:p w14:paraId="3EE096F8">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首次响应文件的退回</w:t>
            </w:r>
          </w:p>
        </w:tc>
        <w:tc>
          <w:tcPr>
            <w:tcW w:w="6882" w:type="dxa"/>
            <w:vAlign w:val="center"/>
          </w:tcPr>
          <w:p w14:paraId="7994BAAC">
            <w:pPr>
              <w:spacing w:line="300" w:lineRule="auto"/>
              <w:rPr>
                <w:rFonts w:ascii="宋体" w:hAnsi="宋体" w:cs="宋体"/>
                <w:color w:val="auto"/>
                <w:szCs w:val="21"/>
                <w:highlight w:val="none"/>
              </w:rPr>
            </w:pPr>
            <w:r>
              <w:rPr>
                <w:rFonts w:hint="eastAsia" w:ascii="宋体" w:hAnsi="宋体" w:cs="宋体"/>
                <w:color w:val="auto"/>
                <w:szCs w:val="21"/>
                <w:highlight w:val="none"/>
              </w:rPr>
              <w:t>不退回</w:t>
            </w:r>
          </w:p>
        </w:tc>
      </w:tr>
      <w:tr w14:paraId="4465F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44" w:type="dxa"/>
            <w:vMerge w:val="restart"/>
            <w:vAlign w:val="center"/>
          </w:tcPr>
          <w:p w14:paraId="1DADB4FC">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26.2</w:t>
            </w:r>
          </w:p>
        </w:tc>
        <w:tc>
          <w:tcPr>
            <w:tcW w:w="1613" w:type="dxa"/>
            <w:vAlign w:val="center"/>
          </w:tcPr>
          <w:p w14:paraId="66821E63">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负偏离要求</w:t>
            </w:r>
          </w:p>
        </w:tc>
        <w:tc>
          <w:tcPr>
            <w:tcW w:w="6882" w:type="dxa"/>
            <w:vAlign w:val="center"/>
          </w:tcPr>
          <w:p w14:paraId="36923CAF">
            <w:pPr>
              <w:spacing w:line="300" w:lineRule="auto"/>
              <w:rPr>
                <w:rFonts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14:paraId="3A51F129">
            <w:pPr>
              <w:spacing w:line="300" w:lineRule="auto"/>
              <w:rPr>
                <w:rFonts w:ascii="宋体" w:hAnsi="宋体" w:cs="宋体"/>
                <w:color w:val="auto"/>
                <w:szCs w:val="21"/>
                <w:highlight w:val="none"/>
              </w:rPr>
            </w:pPr>
            <w:r>
              <w:rPr>
                <w:rFonts w:hint="eastAsia" w:ascii="宋体" w:hAnsi="宋体" w:cs="宋体"/>
                <w:color w:val="auto"/>
                <w:szCs w:val="21"/>
                <w:highlight w:val="none"/>
              </w:rPr>
              <w:t>服务需求评审中允许负偏离的条款数为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tc>
      </w:tr>
      <w:tr w14:paraId="5D4A1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4" w:type="dxa"/>
            <w:vMerge w:val="continue"/>
            <w:vAlign w:val="center"/>
          </w:tcPr>
          <w:p w14:paraId="56E92AF4">
            <w:pPr>
              <w:spacing w:line="300" w:lineRule="auto"/>
              <w:jc w:val="center"/>
              <w:rPr>
                <w:rFonts w:ascii="宋体" w:hAnsi="宋体" w:cs="宋体"/>
                <w:color w:val="auto"/>
                <w:szCs w:val="21"/>
                <w:highlight w:val="none"/>
              </w:rPr>
            </w:pPr>
          </w:p>
        </w:tc>
        <w:tc>
          <w:tcPr>
            <w:tcW w:w="1613" w:type="dxa"/>
            <w:vAlign w:val="center"/>
          </w:tcPr>
          <w:p w14:paraId="79476352">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磋商的顺序</w:t>
            </w:r>
          </w:p>
        </w:tc>
        <w:tc>
          <w:tcPr>
            <w:tcW w:w="6882" w:type="dxa"/>
            <w:vAlign w:val="center"/>
          </w:tcPr>
          <w:p w14:paraId="0E5179CF">
            <w:pPr>
              <w:pStyle w:val="11"/>
              <w:spacing w:line="300" w:lineRule="auto"/>
              <w:jc w:val="both"/>
              <w:rPr>
                <w:rFonts w:ascii="宋体" w:hAnsi="宋体" w:cs="宋体"/>
                <w:color w:val="auto"/>
                <w:szCs w:val="21"/>
                <w:highlight w:val="none"/>
              </w:rPr>
            </w:pPr>
            <w:r>
              <w:rPr>
                <w:rFonts w:hint="eastAsia" w:ascii="宋体" w:hAnsi="宋体" w:cs="宋体"/>
                <w:color w:val="auto"/>
                <w:szCs w:val="21"/>
                <w:highlight w:val="none"/>
              </w:rPr>
              <w:t>□按照提交首次响应文件的顺序，通知磋商时，若某供应商不在通知现场时，该供应商排序到最后磋商，按照签到的顺序由其下一位供应商先参与磋商。</w:t>
            </w:r>
          </w:p>
          <w:p w14:paraId="67DD9225">
            <w:pPr>
              <w:spacing w:line="300" w:lineRule="auto"/>
              <w:rPr>
                <w:rFonts w:ascii="宋体" w:hAnsi="宋体" w:cs="宋体"/>
                <w:color w:val="auto"/>
                <w:szCs w:val="21"/>
                <w:highlight w:val="none"/>
              </w:rPr>
            </w:pPr>
            <w:r>
              <w:rPr>
                <w:rFonts w:hint="eastAsia" w:ascii="宋体" w:hAnsi="宋体" w:cs="宋体"/>
                <w:b/>
                <w:color w:val="auto"/>
                <w:szCs w:val="21"/>
                <w:highlight w:val="none"/>
              </w:rPr>
              <w:sym w:font="Wingdings 2" w:char="0052"/>
            </w:r>
            <w:r>
              <w:rPr>
                <w:rFonts w:hint="eastAsia" w:ascii="宋体" w:hAnsi="宋体" w:cs="宋体"/>
                <w:color w:val="auto"/>
                <w:szCs w:val="21"/>
                <w:highlight w:val="none"/>
              </w:rPr>
              <w:t>随机排序。</w:t>
            </w:r>
          </w:p>
          <w:p w14:paraId="0B1E5FED">
            <w:pPr>
              <w:spacing w:line="300" w:lineRule="auto"/>
              <w:rPr>
                <w:rFonts w:ascii="宋体" w:hAnsi="宋体" w:cs="宋体"/>
                <w:color w:val="auto"/>
                <w:szCs w:val="21"/>
                <w:highlight w:val="none"/>
              </w:rPr>
            </w:pPr>
            <w:r>
              <w:rPr>
                <w:rFonts w:hint="eastAsia" w:ascii="宋体" w:hAnsi="宋体" w:cs="宋体"/>
                <w:bCs/>
                <w:color w:val="auto"/>
                <w:szCs w:val="21"/>
                <w:highlight w:val="none"/>
              </w:rPr>
              <w:t>参与磋商前，</w:t>
            </w:r>
            <w:r>
              <w:rPr>
                <w:rFonts w:hint="eastAsia" w:ascii="宋体" w:hAnsi="宋体" w:cs="宋体"/>
                <w:color w:val="auto"/>
                <w:szCs w:val="21"/>
                <w:highlight w:val="none"/>
              </w:rPr>
              <w:t>供应商法定代表人、负责人、自然人或相应的委托代理人应在广西政府采购云平台携带CA数字证书在线参加磋商</w:t>
            </w:r>
            <w:r>
              <w:rPr>
                <w:rFonts w:hint="eastAsia" w:ascii="宋体" w:hAnsi="宋体" w:cs="宋体"/>
                <w:b/>
                <w:bCs/>
                <w:color w:val="auto"/>
                <w:szCs w:val="21"/>
                <w:highlight w:val="none"/>
              </w:rPr>
              <w:t>【开标当日磋商供应商法定代表人或授权委托人的通讯工具须保持畅通，在规定时间内在线等候磋商</w:t>
            </w:r>
            <w:r>
              <w:rPr>
                <w:rFonts w:hint="eastAsia" w:ascii="宋体" w:hAnsi="宋体" w:cs="宋体"/>
                <w:bCs/>
                <w:color w:val="auto"/>
                <w:szCs w:val="21"/>
                <w:highlight w:val="none"/>
              </w:rPr>
              <w:t>】</w:t>
            </w:r>
            <w:r>
              <w:rPr>
                <w:rFonts w:hint="eastAsia" w:ascii="宋体" w:hAnsi="宋体" w:cs="宋体"/>
                <w:color w:val="auto"/>
                <w:szCs w:val="21"/>
                <w:highlight w:val="none"/>
              </w:rPr>
              <w:t>，否则视同放弃参加磋商权利，其响应文件按无效响应处理。</w:t>
            </w:r>
          </w:p>
        </w:tc>
      </w:tr>
      <w:tr w14:paraId="46552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4" w:type="dxa"/>
            <w:vAlign w:val="center"/>
          </w:tcPr>
          <w:p w14:paraId="01564C10">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28</w:t>
            </w:r>
          </w:p>
        </w:tc>
        <w:tc>
          <w:tcPr>
            <w:tcW w:w="1613" w:type="dxa"/>
            <w:vAlign w:val="center"/>
          </w:tcPr>
          <w:p w14:paraId="1BA27633">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履约保证金</w:t>
            </w:r>
          </w:p>
        </w:tc>
        <w:tc>
          <w:tcPr>
            <w:tcW w:w="6882" w:type="dxa"/>
            <w:vAlign w:val="center"/>
          </w:tcPr>
          <w:p w14:paraId="07342C44">
            <w:pPr>
              <w:autoSpaceDE w:val="0"/>
              <w:autoSpaceDN w:val="0"/>
              <w:spacing w:line="300" w:lineRule="auto"/>
              <w:textAlignment w:val="bottom"/>
              <w:rPr>
                <w:rFonts w:ascii="宋体" w:hAnsi="宋体" w:cs="宋体"/>
                <w:color w:val="auto"/>
                <w:szCs w:val="21"/>
                <w:highlight w:val="none"/>
              </w:rPr>
            </w:pPr>
            <w:r>
              <w:rPr>
                <w:rFonts w:hint="eastAsia" w:ascii="宋体" w:hAnsi="MS Mincho" w:eastAsia="MS Mincho" w:cs="MS Mincho"/>
                <w:color w:val="auto"/>
                <w:szCs w:val="21"/>
                <w:highlight w:val="none"/>
              </w:rPr>
              <w:t>☑</w:t>
            </w:r>
            <w:r>
              <w:rPr>
                <w:rFonts w:hint="eastAsia" w:ascii="宋体" w:hAnsi="宋体" w:cs="宋体"/>
                <w:color w:val="auto"/>
                <w:szCs w:val="21"/>
                <w:highlight w:val="none"/>
              </w:rPr>
              <w:t>本项目不收取履约保证金。</w:t>
            </w:r>
          </w:p>
          <w:p w14:paraId="416FA58B">
            <w:pPr>
              <w:autoSpaceDE w:val="0"/>
              <w:autoSpaceDN w:val="0"/>
              <w:spacing w:line="300" w:lineRule="auto"/>
              <w:textAlignment w:val="bottom"/>
              <w:rPr>
                <w:rFonts w:ascii="宋体" w:hAnsi="宋体" w:cs="宋体"/>
                <w:color w:val="auto"/>
                <w:szCs w:val="21"/>
                <w:highlight w:val="none"/>
              </w:rPr>
            </w:pPr>
            <w:r>
              <w:rPr>
                <w:rFonts w:hint="eastAsia" w:ascii="宋体" w:hAnsi="宋体" w:cs="宋体"/>
                <w:color w:val="auto"/>
                <w:szCs w:val="21"/>
                <w:highlight w:val="none"/>
              </w:rPr>
              <w:t>□本项目收取履约保证金，具体规定如下：</w:t>
            </w:r>
          </w:p>
          <w:p w14:paraId="42CB0FE3">
            <w:pPr>
              <w:spacing w:line="300" w:lineRule="auto"/>
              <w:rPr>
                <w:rFonts w:ascii="宋体" w:hAnsi="宋体" w:cs="宋体"/>
                <w:color w:val="auto"/>
                <w:szCs w:val="21"/>
                <w:highlight w:val="none"/>
              </w:rPr>
            </w:pPr>
            <w:r>
              <w:rPr>
                <w:rFonts w:hint="eastAsia" w:ascii="宋体" w:hAnsi="宋体" w:cs="宋体"/>
                <w:color w:val="auto"/>
                <w:szCs w:val="21"/>
                <w:highlight w:val="none"/>
              </w:rPr>
              <w:t>履约保证金金额：</w:t>
            </w:r>
            <w:r>
              <w:rPr>
                <w:rFonts w:hint="eastAsia" w:ascii="宋体" w:hAnsi="宋体" w:cs="宋体"/>
                <w:color w:val="auto"/>
                <w:szCs w:val="21"/>
                <w:highlight w:val="none"/>
                <w:u w:val="single"/>
              </w:rPr>
              <w:t>合同价款的</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w:t>
            </w:r>
            <w:r>
              <w:rPr>
                <w:rFonts w:hint="eastAsia" w:ascii="宋体" w:hAnsi="宋体" w:cs="宋体"/>
                <w:color w:val="auto"/>
                <w:szCs w:val="21"/>
                <w:highlight w:val="none"/>
              </w:rPr>
              <w:t>。</w:t>
            </w:r>
            <w:r>
              <w:rPr>
                <w:rFonts w:hint="eastAsia" w:ascii="宋体" w:hAnsi="宋体" w:cs="宋体"/>
                <w:b/>
                <w:i/>
                <w:color w:val="auto"/>
                <w:szCs w:val="21"/>
                <w:highlight w:val="none"/>
              </w:rPr>
              <w:t>（注：履约保证金不超过政府采购合同金额的5%，对中小企业收取的履约保证金数额不得超过政府采购合同金额的2%。采购人可根据供应商的资信等情况减免履约保证金。）</w:t>
            </w:r>
          </w:p>
          <w:p w14:paraId="50F231BA">
            <w:pPr>
              <w:spacing w:line="300" w:lineRule="auto"/>
              <w:rPr>
                <w:rFonts w:ascii="宋体" w:hAnsi="宋体" w:cs="宋体"/>
                <w:color w:val="auto"/>
                <w:szCs w:val="21"/>
                <w:highlight w:val="none"/>
              </w:rPr>
            </w:pPr>
            <w:r>
              <w:rPr>
                <w:rFonts w:hint="eastAsia" w:ascii="宋体" w:hAnsi="宋体" w:cs="宋体"/>
                <w:color w:val="auto"/>
                <w:szCs w:val="21"/>
                <w:highlight w:val="none"/>
              </w:rPr>
              <w:t>履约保证金提交方式：银行转账、支票、汇票、本票或者银行、保险机构出具的保函等非现金方式。</w:t>
            </w:r>
          </w:p>
          <w:p w14:paraId="4B80F088">
            <w:pPr>
              <w:spacing w:line="300" w:lineRule="auto"/>
              <w:rPr>
                <w:rFonts w:ascii="宋体" w:hAnsi="宋体" w:cs="宋体"/>
                <w:color w:val="auto"/>
                <w:szCs w:val="21"/>
                <w:highlight w:val="none"/>
                <w:u w:val="single"/>
              </w:rPr>
            </w:pPr>
            <w:r>
              <w:rPr>
                <w:rFonts w:hint="eastAsia" w:ascii="宋体" w:hAnsi="宋体" w:cs="宋体"/>
                <w:color w:val="auto"/>
                <w:szCs w:val="21"/>
                <w:highlight w:val="none"/>
              </w:rPr>
              <w:t>履约保证金退付方式、时间及条件：采购人应在收到申请之日起28个日历天内扣减供应商赔偿金和其他应从供应商扣回的款项后，将履约金退给供应商（无息）。</w:t>
            </w:r>
          </w:p>
          <w:p w14:paraId="55523831">
            <w:pPr>
              <w:spacing w:line="300" w:lineRule="auto"/>
              <w:rPr>
                <w:rFonts w:ascii="宋体" w:hAnsi="宋体" w:cs="宋体"/>
                <w:color w:val="auto"/>
                <w:szCs w:val="21"/>
                <w:highlight w:val="none"/>
              </w:rPr>
            </w:pPr>
            <w:r>
              <w:rPr>
                <w:rFonts w:hint="eastAsia" w:ascii="宋体" w:hAnsi="宋体" w:cs="宋体"/>
                <w:color w:val="auto"/>
                <w:szCs w:val="21"/>
                <w:highlight w:val="none"/>
              </w:rPr>
              <w:t>履约保证金指定账户：（合同签订前提供）</w:t>
            </w:r>
          </w:p>
          <w:p w14:paraId="52B18110">
            <w:pPr>
              <w:spacing w:line="300" w:lineRule="auto"/>
              <w:rPr>
                <w:rFonts w:ascii="宋体" w:hAnsi="宋体" w:cs="宋体"/>
                <w:b/>
                <w:color w:val="auto"/>
                <w:szCs w:val="21"/>
                <w:highlight w:val="none"/>
              </w:rPr>
            </w:pPr>
            <w:r>
              <w:rPr>
                <w:rFonts w:hint="eastAsia" w:ascii="宋体" w:hAnsi="宋体" w:cs="宋体"/>
                <w:b/>
                <w:color w:val="auto"/>
                <w:szCs w:val="21"/>
                <w:highlight w:val="none"/>
              </w:rPr>
              <w:t>备注：</w:t>
            </w:r>
            <w:r>
              <w:rPr>
                <w:rFonts w:hint="eastAsia" w:ascii="宋体" w:hAnsi="宋体" w:cs="宋体"/>
                <w:color w:val="auto"/>
                <w:szCs w:val="21"/>
                <w:highlight w:val="none"/>
              </w:rPr>
              <w:br w:type="textWrapping"/>
            </w:r>
            <w:r>
              <w:rPr>
                <w:rFonts w:hint="eastAsia" w:ascii="宋体" w:hAnsi="宋体" w:cs="宋体"/>
                <w:b/>
                <w:color w:val="auto"/>
                <w:szCs w:val="21"/>
                <w:highlight w:val="none"/>
              </w:rPr>
              <w:t>1.</w:t>
            </w:r>
            <w:bookmarkStart w:id="35" w:name="_Hlk54170335"/>
            <w:r>
              <w:rPr>
                <w:rFonts w:hint="eastAsia" w:ascii="宋体" w:hAnsi="宋体" w:cs="宋体"/>
                <w:b/>
                <w:color w:val="auto"/>
                <w:szCs w:val="21"/>
                <w:highlight w:val="none"/>
              </w:rPr>
              <w:t>根据《广西壮族自治区财政厅关于进一步发挥政府采购政策功能促进企业发展的通知》（桂财采〔2023〕30号）规定，采购文件要求中标或者成交供应商提交履约保证金的，履约保证金数额不得超过政府采购合同金额的5%，对中小企业收取的履约保证金数额不得超过政府采购合同金额的2%。采购人可根据供应商的资信等情况减免履约保证金。</w:t>
            </w:r>
            <w:bookmarkEnd w:id="35"/>
          </w:p>
          <w:p w14:paraId="2122FD2E">
            <w:pPr>
              <w:spacing w:line="300" w:lineRule="auto"/>
              <w:rPr>
                <w:rFonts w:ascii="宋体" w:hAnsi="宋体" w:cs="宋体"/>
                <w:b/>
                <w:color w:val="auto"/>
                <w:szCs w:val="21"/>
                <w:highlight w:val="none"/>
              </w:rPr>
            </w:pPr>
            <w:r>
              <w:rPr>
                <w:rFonts w:hint="eastAsia" w:ascii="宋体" w:hAnsi="宋体" w:cs="宋体"/>
                <w:b/>
                <w:color w:val="auto"/>
                <w:szCs w:val="21"/>
                <w:highlight w:val="none"/>
              </w:rPr>
              <w:t>2.履约保证金不足额缴纳的，或者银行、保险机构出具的保函额度不足的或者保函有效期低于合同履行期限（即签订采购合同之日起至履行完合同约定的权利及义务之日止）的，不予签订合同。</w:t>
            </w:r>
            <w:r>
              <w:rPr>
                <w:rFonts w:hint="eastAsia" w:ascii="宋体" w:hAnsi="宋体" w:cs="宋体"/>
                <w:b/>
                <w:color w:val="auto"/>
                <w:szCs w:val="21"/>
                <w:highlight w:val="none"/>
              </w:rPr>
              <w:br w:type="textWrapping"/>
            </w:r>
            <w:r>
              <w:rPr>
                <w:rFonts w:hint="eastAsia" w:ascii="宋体" w:hAnsi="宋体" w:cs="宋体"/>
                <w:b/>
                <w:color w:val="auto"/>
                <w:szCs w:val="21"/>
                <w:highlight w:val="none"/>
              </w:rPr>
              <w:t>3.采用银行、保险机构出具的保函的，必须为无条件保函，否则不予签订合同。</w:t>
            </w:r>
          </w:p>
          <w:p w14:paraId="15A2C4F2">
            <w:pPr>
              <w:spacing w:line="300" w:lineRule="auto"/>
              <w:rPr>
                <w:rFonts w:ascii="宋体" w:hAnsi="宋体" w:cs="宋体"/>
                <w:color w:val="auto"/>
                <w:szCs w:val="21"/>
                <w:highlight w:val="none"/>
              </w:rPr>
            </w:pPr>
            <w:r>
              <w:rPr>
                <w:rFonts w:hint="eastAsia" w:ascii="宋体" w:hAnsi="宋体" w:cs="宋体"/>
                <w:b/>
                <w:color w:val="auto"/>
                <w:szCs w:val="21"/>
                <w:highlight w:val="none"/>
              </w:rPr>
              <w:t>4.供应商为联合体的，由联合体任意一方按规定提交的履约保证金，视为有效履约保证金。</w:t>
            </w:r>
          </w:p>
        </w:tc>
      </w:tr>
      <w:tr w14:paraId="68301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4" w:type="dxa"/>
            <w:vAlign w:val="center"/>
          </w:tcPr>
          <w:p w14:paraId="59F9B31B">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29.5</w:t>
            </w:r>
          </w:p>
        </w:tc>
        <w:tc>
          <w:tcPr>
            <w:tcW w:w="1613" w:type="dxa"/>
            <w:vAlign w:val="center"/>
          </w:tcPr>
          <w:p w14:paraId="57333C0C">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签订合同携带的材料</w:t>
            </w:r>
          </w:p>
        </w:tc>
        <w:tc>
          <w:tcPr>
            <w:tcW w:w="6882" w:type="dxa"/>
            <w:vAlign w:val="center"/>
          </w:tcPr>
          <w:p w14:paraId="7D365CE0">
            <w:pPr>
              <w:spacing w:line="300" w:lineRule="auto"/>
              <w:rPr>
                <w:rFonts w:ascii="宋体" w:hAnsi="宋体" w:cs="宋体"/>
                <w:color w:val="auto"/>
                <w:szCs w:val="21"/>
                <w:highlight w:val="none"/>
              </w:rPr>
            </w:pPr>
            <w:r>
              <w:rPr>
                <w:rFonts w:hint="eastAsia" w:ascii="宋体" w:hAnsi="宋体" w:cs="宋体"/>
                <w:color w:val="auto"/>
                <w:szCs w:val="21"/>
                <w:highlight w:val="none"/>
              </w:rPr>
              <w:t>营业执照副本复印件、单位授权委托书及被授权人身份证原件等其它证明材料。</w:t>
            </w:r>
          </w:p>
        </w:tc>
      </w:tr>
      <w:tr w14:paraId="0DFBC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4" w:type="dxa"/>
            <w:vMerge w:val="restart"/>
            <w:vAlign w:val="center"/>
          </w:tcPr>
          <w:p w14:paraId="52A3C9C4">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31.2</w:t>
            </w:r>
          </w:p>
        </w:tc>
        <w:tc>
          <w:tcPr>
            <w:tcW w:w="1613" w:type="dxa"/>
            <w:vAlign w:val="center"/>
          </w:tcPr>
          <w:p w14:paraId="16162AFD">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接收质疑函方式</w:t>
            </w:r>
          </w:p>
        </w:tc>
        <w:tc>
          <w:tcPr>
            <w:tcW w:w="6882" w:type="dxa"/>
            <w:vAlign w:val="center"/>
          </w:tcPr>
          <w:p w14:paraId="45973D42">
            <w:pPr>
              <w:spacing w:line="300" w:lineRule="auto"/>
              <w:rPr>
                <w:rFonts w:ascii="宋体" w:hAnsi="宋体" w:cs="宋体"/>
                <w:color w:val="auto"/>
                <w:szCs w:val="21"/>
                <w:highlight w:val="none"/>
              </w:rPr>
            </w:pPr>
            <w:r>
              <w:rPr>
                <w:rFonts w:hint="eastAsia" w:ascii="宋体" w:hAnsi="宋体" w:cs="宋体"/>
                <w:color w:val="auto"/>
                <w:szCs w:val="21"/>
                <w:highlight w:val="none"/>
              </w:rPr>
              <w:t>以书面形式</w:t>
            </w:r>
          </w:p>
        </w:tc>
      </w:tr>
      <w:tr w14:paraId="08F64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4" w:type="dxa"/>
            <w:vMerge w:val="continue"/>
            <w:vAlign w:val="center"/>
          </w:tcPr>
          <w:p w14:paraId="39D91DDB">
            <w:pPr>
              <w:spacing w:line="300" w:lineRule="auto"/>
              <w:jc w:val="center"/>
              <w:rPr>
                <w:rFonts w:ascii="宋体" w:hAnsi="宋体" w:cs="宋体"/>
                <w:color w:val="auto"/>
                <w:szCs w:val="21"/>
                <w:highlight w:val="none"/>
              </w:rPr>
            </w:pPr>
          </w:p>
        </w:tc>
        <w:tc>
          <w:tcPr>
            <w:tcW w:w="1613" w:type="dxa"/>
            <w:vAlign w:val="center"/>
          </w:tcPr>
          <w:p w14:paraId="68C58C1E">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质疑联系部门及联系方式</w:t>
            </w:r>
          </w:p>
        </w:tc>
        <w:tc>
          <w:tcPr>
            <w:tcW w:w="6882" w:type="dxa"/>
            <w:vAlign w:val="center"/>
          </w:tcPr>
          <w:p w14:paraId="456C8595">
            <w:pPr>
              <w:spacing w:line="300" w:lineRule="auto"/>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lang w:eastAsia="zh-CN"/>
              </w:rPr>
              <w:t xml:space="preserve"> 广西恒辉工程咨询有限公司</w:t>
            </w:r>
            <w:r>
              <w:rPr>
                <w:rFonts w:hint="eastAsia" w:ascii="宋体" w:hAnsi="宋体" w:cs="宋体"/>
                <w:color w:val="auto"/>
                <w:szCs w:val="21"/>
                <w:highlight w:val="none"/>
              </w:rPr>
              <w:t>；</w:t>
            </w:r>
          </w:p>
          <w:p w14:paraId="42619445">
            <w:pPr>
              <w:spacing w:line="300" w:lineRule="auto"/>
              <w:ind w:firstLine="525" w:firstLineChars="25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lang w:val="en-US" w:eastAsia="zh-CN"/>
              </w:rPr>
              <w:t xml:space="preserve"> 0774-7502322</w:t>
            </w:r>
          </w:p>
          <w:p w14:paraId="7AFDF089">
            <w:pPr>
              <w:spacing w:line="300" w:lineRule="auto"/>
              <w:ind w:left="1575" w:leftChars="250" w:hanging="1050" w:hangingChars="5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通讯地址：</w:t>
            </w:r>
            <w:r>
              <w:rPr>
                <w:rFonts w:hint="eastAsia" w:ascii="宋体" w:hAnsi="宋体" w:cs="宋体"/>
                <w:color w:val="auto"/>
                <w:szCs w:val="21"/>
                <w:highlight w:val="none"/>
                <w:u w:val="single"/>
                <w:lang w:eastAsia="zh-CN"/>
              </w:rPr>
              <w:t>广西梧州市长洲区新兴三路30号神冠豪都B栋1单元34楼3402室</w:t>
            </w:r>
          </w:p>
          <w:p w14:paraId="397F700E">
            <w:pPr>
              <w:spacing w:line="300" w:lineRule="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u w:val="single"/>
                <w:lang w:eastAsia="zh-CN"/>
              </w:rPr>
              <w:t>梧州市万秀区城东镇人民政府</w:t>
            </w:r>
            <w:r>
              <w:rPr>
                <w:rFonts w:hint="eastAsia" w:ascii="宋体" w:hAnsi="宋体" w:cs="宋体"/>
                <w:color w:val="auto"/>
                <w:szCs w:val="21"/>
                <w:highlight w:val="none"/>
              </w:rPr>
              <w:t>；</w:t>
            </w:r>
          </w:p>
          <w:p w14:paraId="5F3A0DAE">
            <w:pPr>
              <w:spacing w:line="30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联系电话：0774-2022036；</w:t>
            </w:r>
          </w:p>
          <w:p w14:paraId="43F2F7B7">
            <w:pPr>
              <w:spacing w:line="300" w:lineRule="auto"/>
              <w:ind w:firstLine="525" w:firstLineChars="25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通讯地址：梧州市万秀区城东镇扶典村冲口组43号</w:t>
            </w:r>
          </w:p>
        </w:tc>
      </w:tr>
      <w:tr w14:paraId="4BCFE2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4" w:type="dxa"/>
            <w:vMerge w:val="continue"/>
            <w:vAlign w:val="center"/>
          </w:tcPr>
          <w:p w14:paraId="35511E55">
            <w:pPr>
              <w:spacing w:line="300" w:lineRule="auto"/>
              <w:jc w:val="center"/>
              <w:rPr>
                <w:rFonts w:ascii="宋体" w:hAnsi="宋体" w:cs="宋体"/>
                <w:color w:val="auto"/>
                <w:szCs w:val="21"/>
                <w:highlight w:val="none"/>
              </w:rPr>
            </w:pPr>
          </w:p>
        </w:tc>
        <w:tc>
          <w:tcPr>
            <w:tcW w:w="1613" w:type="dxa"/>
            <w:vAlign w:val="center"/>
          </w:tcPr>
          <w:p w14:paraId="3DE2AED4">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现场提交质疑办理业务时间</w:t>
            </w:r>
          </w:p>
        </w:tc>
        <w:tc>
          <w:tcPr>
            <w:tcW w:w="6882" w:type="dxa"/>
            <w:vAlign w:val="center"/>
          </w:tcPr>
          <w:p w14:paraId="5DEB0D01">
            <w:pPr>
              <w:spacing w:line="300" w:lineRule="auto"/>
              <w:rPr>
                <w:rFonts w:ascii="宋体" w:hAnsi="宋体" w:cs="宋体"/>
                <w:color w:val="auto"/>
                <w:szCs w:val="21"/>
                <w:highlight w:val="none"/>
              </w:rPr>
            </w:pPr>
            <w:r>
              <w:rPr>
                <w:rFonts w:hint="eastAsia" w:ascii="宋体" w:hAnsi="宋体" w:cs="宋体"/>
                <w:color w:val="auto"/>
                <w:szCs w:val="21"/>
                <w:highlight w:val="none"/>
              </w:rPr>
              <w:t>质疑期内每个工作日</w:t>
            </w:r>
            <w:r>
              <w:rPr>
                <w:rFonts w:hint="eastAsia" w:ascii="宋体" w:hAnsi="宋体" w:cs="宋体"/>
                <w:color w:val="auto"/>
                <w:szCs w:val="21"/>
                <w:highlight w:val="none"/>
                <w:u w:val="single"/>
              </w:rPr>
              <w:t>8</w:t>
            </w:r>
            <w:r>
              <w:rPr>
                <w:rFonts w:hint="eastAsia" w:ascii="宋体" w:hAnsi="宋体" w:cs="宋体"/>
                <w:color w:val="auto"/>
                <w:szCs w:val="21"/>
                <w:highlight w:val="none"/>
              </w:rPr>
              <w:t>时</w:t>
            </w:r>
            <w:r>
              <w:rPr>
                <w:rFonts w:hint="eastAsia" w:ascii="宋体" w:hAnsi="宋体" w:cs="宋体"/>
                <w:color w:val="auto"/>
                <w:szCs w:val="21"/>
                <w:highlight w:val="none"/>
                <w:u w:val="single"/>
              </w:rPr>
              <w:t>30</w:t>
            </w:r>
            <w:r>
              <w:rPr>
                <w:rFonts w:hint="eastAsia" w:ascii="宋体" w:hAnsi="宋体" w:cs="宋体"/>
                <w:color w:val="auto"/>
                <w:szCs w:val="21"/>
                <w:highlight w:val="none"/>
              </w:rPr>
              <w:t>分到</w:t>
            </w:r>
            <w:r>
              <w:rPr>
                <w:rFonts w:hint="eastAsia" w:ascii="宋体" w:hAnsi="宋体" w:cs="宋体"/>
                <w:color w:val="auto"/>
                <w:szCs w:val="21"/>
                <w:highlight w:val="none"/>
                <w:u w:val="single"/>
              </w:rPr>
              <w:t>12</w:t>
            </w:r>
            <w:r>
              <w:rPr>
                <w:rFonts w:hint="eastAsia" w:ascii="宋体" w:hAnsi="宋体" w:cs="宋体"/>
                <w:color w:val="auto"/>
                <w:szCs w:val="21"/>
                <w:highlight w:val="none"/>
              </w:rPr>
              <w:t>时</w:t>
            </w:r>
            <w:r>
              <w:rPr>
                <w:rFonts w:hint="eastAsia" w:ascii="宋体" w:hAnsi="宋体" w:cs="宋体"/>
                <w:color w:val="auto"/>
                <w:szCs w:val="21"/>
                <w:highlight w:val="none"/>
                <w:u w:val="single"/>
              </w:rPr>
              <w:t>00</w:t>
            </w:r>
            <w:r>
              <w:rPr>
                <w:rFonts w:hint="eastAsia" w:ascii="宋体" w:hAnsi="宋体" w:cs="宋体"/>
                <w:color w:val="auto"/>
                <w:szCs w:val="21"/>
                <w:highlight w:val="none"/>
              </w:rPr>
              <w:t>分，</w:t>
            </w:r>
            <w:r>
              <w:rPr>
                <w:rFonts w:hint="eastAsia" w:ascii="宋体" w:hAnsi="宋体" w:cs="宋体"/>
                <w:color w:val="auto"/>
                <w:szCs w:val="21"/>
                <w:highlight w:val="none"/>
                <w:u w:val="single"/>
              </w:rPr>
              <w:t>15</w:t>
            </w:r>
            <w:r>
              <w:rPr>
                <w:rFonts w:hint="eastAsia" w:ascii="宋体" w:hAnsi="宋体" w:cs="宋体"/>
                <w:color w:val="auto"/>
                <w:szCs w:val="21"/>
                <w:highlight w:val="none"/>
              </w:rPr>
              <w:t>时</w:t>
            </w:r>
            <w:r>
              <w:rPr>
                <w:rFonts w:hint="eastAsia" w:ascii="宋体" w:hAnsi="宋体" w:cs="宋体"/>
                <w:color w:val="auto"/>
                <w:szCs w:val="21"/>
                <w:highlight w:val="none"/>
                <w:u w:val="single"/>
              </w:rPr>
              <w:t>00</w:t>
            </w:r>
            <w:r>
              <w:rPr>
                <w:rFonts w:hint="eastAsia" w:ascii="宋体" w:hAnsi="宋体" w:cs="宋体"/>
                <w:color w:val="auto"/>
                <w:szCs w:val="21"/>
                <w:highlight w:val="none"/>
              </w:rPr>
              <w:t>分到</w:t>
            </w:r>
            <w:r>
              <w:rPr>
                <w:rFonts w:hint="eastAsia" w:ascii="宋体" w:hAnsi="宋体" w:cs="宋体"/>
                <w:color w:val="auto"/>
                <w:szCs w:val="21"/>
                <w:highlight w:val="none"/>
                <w:u w:val="single"/>
              </w:rPr>
              <w:t>18</w:t>
            </w:r>
            <w:r>
              <w:rPr>
                <w:rFonts w:hint="eastAsia" w:ascii="宋体" w:hAnsi="宋体" w:cs="宋体"/>
                <w:color w:val="auto"/>
                <w:szCs w:val="21"/>
                <w:highlight w:val="none"/>
              </w:rPr>
              <w:t>时</w:t>
            </w:r>
            <w:r>
              <w:rPr>
                <w:rFonts w:hint="eastAsia" w:ascii="宋体" w:hAnsi="宋体" w:cs="宋体"/>
                <w:color w:val="auto"/>
                <w:szCs w:val="21"/>
                <w:highlight w:val="none"/>
                <w:u w:val="single"/>
              </w:rPr>
              <w:t>00</w:t>
            </w:r>
            <w:r>
              <w:rPr>
                <w:rFonts w:hint="eastAsia" w:ascii="宋体" w:hAnsi="宋体" w:cs="宋体"/>
                <w:color w:val="auto"/>
                <w:szCs w:val="21"/>
                <w:highlight w:val="none"/>
              </w:rPr>
              <w:t>分</w:t>
            </w:r>
          </w:p>
        </w:tc>
      </w:tr>
      <w:tr w14:paraId="0658C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4" w:type="dxa"/>
            <w:vAlign w:val="center"/>
          </w:tcPr>
          <w:p w14:paraId="35051991">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31.6</w:t>
            </w:r>
          </w:p>
        </w:tc>
        <w:tc>
          <w:tcPr>
            <w:tcW w:w="1613" w:type="dxa"/>
            <w:vAlign w:val="center"/>
          </w:tcPr>
          <w:p w14:paraId="6BE47DBC">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受理投诉方式</w:t>
            </w:r>
          </w:p>
        </w:tc>
        <w:tc>
          <w:tcPr>
            <w:tcW w:w="6882" w:type="dxa"/>
            <w:vAlign w:val="center"/>
          </w:tcPr>
          <w:p w14:paraId="16D32988">
            <w:pPr>
              <w:spacing w:line="300" w:lineRule="auto"/>
              <w:rPr>
                <w:rFonts w:ascii="宋体" w:hAnsi="宋体" w:cs="宋体"/>
                <w:color w:val="auto"/>
                <w:szCs w:val="21"/>
                <w:highlight w:val="none"/>
              </w:rPr>
            </w:pPr>
            <w:r>
              <w:rPr>
                <w:rFonts w:hint="eastAsia" w:ascii="宋体" w:hAnsi="宋体" w:cs="宋体"/>
                <w:color w:val="auto"/>
                <w:szCs w:val="21"/>
                <w:highlight w:val="none"/>
              </w:rPr>
              <w:t>1.受理方式：纸质方式受理，投诉书正、副本（经过质疑的事项才可投诉）。</w:t>
            </w:r>
          </w:p>
          <w:p w14:paraId="2F0E0A61">
            <w:pPr>
              <w:spacing w:line="300" w:lineRule="auto"/>
              <w:rPr>
                <w:rFonts w:ascii="宋体" w:hAnsi="宋体" w:cs="宋体"/>
                <w:color w:val="auto"/>
                <w:szCs w:val="21"/>
                <w:highlight w:val="none"/>
              </w:rPr>
            </w:pPr>
            <w:r>
              <w:rPr>
                <w:rFonts w:hint="eastAsia" w:ascii="宋体" w:hAnsi="宋体" w:cs="宋体"/>
                <w:color w:val="auto"/>
                <w:szCs w:val="21"/>
                <w:highlight w:val="none"/>
              </w:rPr>
              <w:t>2.邮寄地址：</w:t>
            </w:r>
          </w:p>
          <w:p w14:paraId="0AF673CE">
            <w:pPr>
              <w:spacing w:line="300" w:lineRule="auto"/>
              <w:ind w:firstLine="210" w:firstLineChars="1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名称：</w:t>
            </w:r>
            <w:bookmarkStart w:id="36" w:name="PO_3000001868_PM036"/>
            <w:bookmarkEnd w:id="36"/>
            <w:r>
              <w:rPr>
                <w:rFonts w:hint="eastAsia" w:ascii="宋体" w:hAnsi="宋体" w:cs="宋体"/>
                <w:color w:val="auto"/>
                <w:szCs w:val="21"/>
                <w:highlight w:val="none"/>
              </w:rPr>
              <w:t>梧州市</w:t>
            </w:r>
            <w:r>
              <w:rPr>
                <w:rFonts w:hint="eastAsia" w:ascii="宋体" w:hAnsi="宋体" w:cs="宋体"/>
                <w:color w:val="auto"/>
                <w:szCs w:val="21"/>
                <w:highlight w:val="none"/>
                <w:lang w:val="en-US" w:eastAsia="zh-CN"/>
              </w:rPr>
              <w:t>万秀区</w:t>
            </w:r>
            <w:r>
              <w:rPr>
                <w:rFonts w:hint="eastAsia" w:ascii="宋体" w:hAnsi="宋体" w:cs="宋体"/>
                <w:color w:val="auto"/>
                <w:szCs w:val="21"/>
                <w:highlight w:val="none"/>
              </w:rPr>
              <w:t>财政局</w:t>
            </w:r>
          </w:p>
          <w:p w14:paraId="1480FD51">
            <w:pPr>
              <w:spacing w:line="300" w:lineRule="auto"/>
              <w:ind w:firstLine="210" w:firstLineChars="1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地址：</w:t>
            </w:r>
            <w:bookmarkStart w:id="37" w:name="PO_3000001868_PM039"/>
            <w:bookmarkEnd w:id="37"/>
            <w:r>
              <w:rPr>
                <w:rFonts w:hint="eastAsia" w:ascii="宋体" w:hAnsi="宋体" w:cs="宋体"/>
                <w:color w:val="auto"/>
                <w:szCs w:val="21"/>
                <w:highlight w:val="none"/>
              </w:rPr>
              <w:t>梧州市万秀区西江一路11号</w:t>
            </w:r>
          </w:p>
          <w:p w14:paraId="218A6076">
            <w:pPr>
              <w:spacing w:line="300" w:lineRule="auto"/>
              <w:ind w:firstLine="210" w:firstLineChars="1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联系电话：0774-</w:t>
            </w:r>
            <w:r>
              <w:rPr>
                <w:rFonts w:hint="eastAsia" w:ascii="宋体" w:hAnsi="宋体" w:cs="宋体"/>
                <w:color w:val="auto"/>
                <w:szCs w:val="21"/>
                <w:highlight w:val="none"/>
                <w:lang w:val="en-US" w:eastAsia="zh-CN"/>
              </w:rPr>
              <w:t>2826908</w:t>
            </w:r>
          </w:p>
        </w:tc>
      </w:tr>
      <w:tr w14:paraId="6F8F1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4" w:type="dxa"/>
            <w:vAlign w:val="center"/>
          </w:tcPr>
          <w:p w14:paraId="2CFE2ACE">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33</w:t>
            </w:r>
          </w:p>
        </w:tc>
        <w:tc>
          <w:tcPr>
            <w:tcW w:w="1613" w:type="dxa"/>
            <w:vAlign w:val="center"/>
          </w:tcPr>
          <w:p w14:paraId="6B1210BE">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采购代理费</w:t>
            </w:r>
          </w:p>
        </w:tc>
        <w:tc>
          <w:tcPr>
            <w:tcW w:w="6882" w:type="dxa"/>
            <w:vAlign w:val="center"/>
          </w:tcPr>
          <w:p w14:paraId="6C7A7EE3">
            <w:pPr>
              <w:pStyle w:val="18"/>
              <w:spacing w:line="300" w:lineRule="auto"/>
              <w:rPr>
                <w:rFonts w:hAnsi="宋体" w:cs="宋体"/>
                <w:color w:val="auto"/>
                <w:kern w:val="2"/>
                <w:sz w:val="21"/>
                <w:highlight w:val="none"/>
              </w:rPr>
            </w:pPr>
            <w:r>
              <w:rPr>
                <w:rFonts w:hint="eastAsia" w:hAnsi="宋体" w:cs="宋体"/>
                <w:color w:val="auto"/>
                <w:kern w:val="2"/>
                <w:sz w:val="21"/>
                <w:highlight w:val="none"/>
              </w:rPr>
              <w:t>1.是否收取采购代理费：</w:t>
            </w:r>
          </w:p>
          <w:p w14:paraId="17FBCFF0">
            <w:pPr>
              <w:pStyle w:val="18"/>
              <w:spacing w:line="300" w:lineRule="auto"/>
              <w:ind w:firstLine="210" w:firstLineChars="100"/>
              <w:rPr>
                <w:rFonts w:hAnsi="宋体" w:cs="宋体"/>
                <w:color w:val="auto"/>
                <w:kern w:val="2"/>
                <w:sz w:val="21"/>
                <w:highlight w:val="none"/>
              </w:rPr>
            </w:pPr>
            <w:r>
              <w:rPr>
                <w:rFonts w:hint="eastAsia" w:hAnsi="宋体" w:cs="宋体"/>
                <w:color w:val="auto"/>
                <w:kern w:val="2"/>
                <w:sz w:val="21"/>
                <w:highlight w:val="none"/>
              </w:rPr>
              <w:sym w:font="Wingdings 2" w:char="0052"/>
            </w:r>
            <w:r>
              <w:rPr>
                <w:rFonts w:hint="eastAsia" w:hAnsi="宋体" w:cs="宋体"/>
                <w:color w:val="auto"/>
                <w:kern w:val="2"/>
                <w:sz w:val="21"/>
                <w:highlight w:val="none"/>
              </w:rPr>
              <w:t>是；□否</w:t>
            </w:r>
          </w:p>
          <w:p w14:paraId="24481F24">
            <w:pPr>
              <w:pStyle w:val="18"/>
              <w:spacing w:line="300" w:lineRule="auto"/>
              <w:rPr>
                <w:rFonts w:hAnsi="宋体" w:cs="宋体"/>
                <w:color w:val="auto"/>
                <w:kern w:val="2"/>
                <w:sz w:val="21"/>
                <w:highlight w:val="none"/>
              </w:rPr>
            </w:pPr>
            <w:r>
              <w:rPr>
                <w:rFonts w:hint="eastAsia" w:hAnsi="宋体" w:cs="宋体"/>
                <w:color w:val="auto"/>
                <w:kern w:val="2"/>
                <w:sz w:val="21"/>
                <w:highlight w:val="none"/>
              </w:rPr>
              <w:t>2.采购代理费支付方式：</w:t>
            </w:r>
          </w:p>
          <w:p w14:paraId="6F86C5E3">
            <w:pPr>
              <w:pStyle w:val="18"/>
              <w:spacing w:line="300" w:lineRule="auto"/>
              <w:ind w:left="525" w:leftChars="100" w:hanging="315" w:hangingChars="150"/>
              <w:rPr>
                <w:rFonts w:hAnsi="宋体" w:cs="宋体"/>
                <w:color w:val="auto"/>
                <w:kern w:val="2"/>
                <w:sz w:val="21"/>
                <w:highlight w:val="none"/>
              </w:rPr>
            </w:pPr>
            <w:r>
              <w:rPr>
                <w:rFonts w:hint="eastAsia" w:hAnsi="宋体" w:cs="宋体"/>
                <w:color w:val="auto"/>
                <w:kern w:val="2"/>
                <w:sz w:val="21"/>
                <w:highlight w:val="none"/>
              </w:rPr>
              <w:sym w:font="Wingdings 2" w:char="0052"/>
            </w:r>
            <w:r>
              <w:rPr>
                <w:rFonts w:hint="eastAsia" w:hAnsi="宋体" w:cs="宋体"/>
                <w:color w:val="auto"/>
                <w:kern w:val="2"/>
                <w:sz w:val="21"/>
                <w:highlight w:val="none"/>
              </w:rPr>
              <w:t>本项目代理服务费由</w:t>
            </w:r>
            <w:r>
              <w:rPr>
                <w:rFonts w:hint="eastAsia" w:hAnsi="宋体" w:cs="宋体"/>
                <w:color w:val="auto"/>
                <w:kern w:val="2"/>
                <w:sz w:val="21"/>
                <w:highlight w:val="none"/>
                <w:u w:val="single"/>
              </w:rPr>
              <w:t>成交供应商</w:t>
            </w:r>
            <w:r>
              <w:rPr>
                <w:rFonts w:hint="eastAsia" w:hAnsi="宋体" w:cs="宋体"/>
                <w:color w:val="auto"/>
                <w:kern w:val="2"/>
                <w:sz w:val="21"/>
                <w:highlight w:val="none"/>
              </w:rPr>
              <w:t>领取成交通知书前，一次性向采购代理机构支付。</w:t>
            </w:r>
          </w:p>
          <w:p w14:paraId="52FD1637">
            <w:pPr>
              <w:pStyle w:val="18"/>
              <w:spacing w:line="300" w:lineRule="auto"/>
              <w:ind w:firstLine="210" w:firstLineChars="100"/>
              <w:rPr>
                <w:rFonts w:hAnsi="宋体" w:cs="宋体"/>
                <w:color w:val="auto"/>
                <w:kern w:val="2"/>
                <w:sz w:val="21"/>
                <w:highlight w:val="none"/>
              </w:rPr>
            </w:pPr>
            <w:r>
              <w:rPr>
                <w:rFonts w:hint="eastAsia" w:hAnsi="宋体" w:cs="宋体"/>
                <w:color w:val="auto"/>
                <w:kern w:val="2"/>
                <w:sz w:val="21"/>
                <w:highlight w:val="none"/>
              </w:rPr>
              <w:t>□采购人支付。</w:t>
            </w:r>
          </w:p>
          <w:p w14:paraId="34EADD9C">
            <w:pPr>
              <w:pStyle w:val="18"/>
              <w:spacing w:line="300" w:lineRule="auto"/>
              <w:rPr>
                <w:rFonts w:hint="eastAsia" w:hAnsi="宋体" w:eastAsia="宋体" w:cs="宋体"/>
                <w:color w:val="auto"/>
                <w:kern w:val="2"/>
                <w:sz w:val="21"/>
                <w:highlight w:val="none"/>
                <w:lang w:eastAsia="zh-CN"/>
              </w:rPr>
            </w:pPr>
            <w:r>
              <w:rPr>
                <w:rFonts w:hint="eastAsia" w:hAnsi="宋体" w:cs="宋体"/>
                <w:color w:val="auto"/>
                <w:kern w:val="2"/>
                <w:sz w:val="21"/>
                <w:highlight w:val="none"/>
              </w:rPr>
              <w:t>3.采购代理费收取标准：按《广西壮族自治区物价局转发国家发展改革委关于降低部分建设项目收费标准规范收费行为等有关问题的通知》（桂价费〔2011〕55号文）的收费标准计算</w:t>
            </w:r>
            <w:r>
              <w:rPr>
                <w:rFonts w:hint="eastAsia" w:hAnsi="宋体" w:cs="宋体"/>
                <w:b/>
                <w:bCs/>
                <w:color w:val="000000" w:themeColor="text1"/>
                <w:kern w:val="2"/>
                <w:sz w:val="21"/>
                <w:highlight w:val="none"/>
                <w14:textFill>
                  <w14:solidFill>
                    <w14:schemeClr w14:val="tx1"/>
                  </w14:solidFill>
                </w14:textFill>
              </w:rPr>
              <w:t>。</w:t>
            </w:r>
          </w:p>
          <w:p w14:paraId="2B2BC54A">
            <w:pPr>
              <w:spacing w:line="300" w:lineRule="auto"/>
              <w:rPr>
                <w:rFonts w:ascii="宋体" w:hAnsi="宋体" w:cs="宋体"/>
                <w:color w:val="auto"/>
                <w:szCs w:val="21"/>
                <w:highlight w:val="none"/>
              </w:rPr>
            </w:pPr>
            <w:r>
              <w:rPr>
                <w:rFonts w:hint="eastAsia" w:ascii="宋体" w:hAnsi="宋体" w:cs="宋体"/>
                <w:color w:val="auto"/>
                <w:szCs w:val="21"/>
                <w:highlight w:val="none"/>
              </w:rPr>
              <w:t>4.采购代理费收取银行账户</w:t>
            </w:r>
          </w:p>
          <w:p w14:paraId="17C7548C">
            <w:pPr>
              <w:spacing w:line="300" w:lineRule="auto"/>
              <w:ind w:firstLine="207" w:firstLineChars="98"/>
              <w:rPr>
                <w:rFonts w:ascii="宋体" w:hAnsi="宋体" w:cs="宋体"/>
                <w:b/>
                <w:bCs/>
                <w:color w:val="auto"/>
                <w:szCs w:val="21"/>
                <w:highlight w:val="none"/>
              </w:rPr>
            </w:pPr>
            <w:r>
              <w:rPr>
                <w:rFonts w:hint="eastAsia" w:ascii="宋体" w:hAnsi="宋体" w:cs="宋体"/>
                <w:b/>
                <w:bCs/>
                <w:color w:val="auto"/>
                <w:szCs w:val="21"/>
                <w:highlight w:val="none"/>
              </w:rPr>
              <w:t>开户名称：</w:t>
            </w:r>
            <w:r>
              <w:rPr>
                <w:rFonts w:hint="eastAsia" w:ascii="宋体" w:hAnsi="宋体" w:cs="宋体"/>
                <w:b/>
                <w:bCs/>
                <w:color w:val="auto"/>
                <w:szCs w:val="21"/>
                <w:highlight w:val="none"/>
                <w:lang w:eastAsia="zh-CN"/>
              </w:rPr>
              <w:t>广西恒辉工程咨询有限公司</w:t>
            </w:r>
          </w:p>
          <w:p w14:paraId="060D0E4E">
            <w:pPr>
              <w:spacing w:line="300" w:lineRule="auto"/>
              <w:ind w:firstLine="207" w:firstLineChars="98"/>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rPr>
              <w:t>开户银行：</w:t>
            </w:r>
            <w:r>
              <w:rPr>
                <w:rFonts w:hint="eastAsia" w:ascii="宋体" w:hAnsi="宋体" w:cs="宋体"/>
                <w:b/>
                <w:bCs/>
                <w:color w:val="auto"/>
                <w:szCs w:val="21"/>
                <w:highlight w:val="none"/>
                <w:lang w:eastAsia="zh-CN"/>
              </w:rPr>
              <w:t>中国农业银行梧州灏景支行</w:t>
            </w:r>
          </w:p>
          <w:p w14:paraId="713D94C7">
            <w:pPr>
              <w:spacing w:line="300" w:lineRule="auto"/>
              <w:ind w:firstLine="207" w:firstLineChars="98"/>
              <w:rPr>
                <w:rFonts w:hint="eastAsia" w:ascii="宋体" w:hAnsi="宋体" w:eastAsia="宋体" w:cs="宋体"/>
                <w:color w:val="auto"/>
                <w:szCs w:val="21"/>
                <w:highlight w:val="none"/>
                <w:lang w:eastAsia="zh-CN"/>
              </w:rPr>
            </w:pPr>
            <w:r>
              <w:rPr>
                <w:rFonts w:hint="eastAsia" w:ascii="宋体" w:hAnsi="宋体" w:cs="宋体"/>
                <w:b/>
                <w:bCs/>
                <w:color w:val="auto"/>
                <w:szCs w:val="21"/>
                <w:highlight w:val="none"/>
              </w:rPr>
              <w:t>银行账号：</w:t>
            </w:r>
            <w:r>
              <w:rPr>
                <w:rFonts w:hint="eastAsia" w:ascii="宋体" w:hAnsi="宋体" w:cs="宋体"/>
                <w:b/>
                <w:bCs/>
                <w:color w:val="auto"/>
                <w:szCs w:val="21"/>
                <w:highlight w:val="none"/>
                <w:lang w:eastAsia="zh-CN"/>
              </w:rPr>
              <w:t>20312801040011706</w:t>
            </w:r>
          </w:p>
        </w:tc>
      </w:tr>
      <w:tr w14:paraId="3EB4B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4" w:type="dxa"/>
            <w:vAlign w:val="center"/>
          </w:tcPr>
          <w:p w14:paraId="5872A1B2">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34.1</w:t>
            </w:r>
          </w:p>
        </w:tc>
        <w:tc>
          <w:tcPr>
            <w:tcW w:w="1613" w:type="dxa"/>
            <w:vAlign w:val="center"/>
          </w:tcPr>
          <w:p w14:paraId="428B17A5">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解释</w:t>
            </w:r>
          </w:p>
        </w:tc>
        <w:tc>
          <w:tcPr>
            <w:tcW w:w="6882" w:type="dxa"/>
            <w:vAlign w:val="center"/>
          </w:tcPr>
          <w:p w14:paraId="58025BE6">
            <w:pPr>
              <w:spacing w:line="300" w:lineRule="auto"/>
              <w:rPr>
                <w:rFonts w:ascii="宋体" w:hAnsi="宋体" w:cs="宋体"/>
                <w:b/>
                <w:color w:val="auto"/>
                <w:szCs w:val="21"/>
                <w:highlight w:val="none"/>
              </w:rPr>
            </w:pPr>
            <w:r>
              <w:rPr>
                <w:rFonts w:hint="eastAsia" w:ascii="宋体" w:hAnsi="宋体" w:cs="宋体"/>
                <w:b/>
                <w:color w:val="auto"/>
                <w:szCs w:val="21"/>
                <w:highlight w:val="none"/>
              </w:rPr>
              <w:t>解释权：</w:t>
            </w:r>
            <w:r>
              <w:rPr>
                <w:rFonts w:hint="eastAsia" w:ascii="宋体" w:hAnsi="宋体" w:cs="宋体"/>
                <w:color w:val="auto"/>
                <w:szCs w:val="21"/>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cs="宋体"/>
                <w:b/>
                <w:color w:val="auto"/>
                <w:szCs w:val="21"/>
                <w:highlight w:val="none"/>
              </w:rPr>
              <w:t>由采购人或者采购代理机构负责解释。</w:t>
            </w:r>
          </w:p>
          <w:p w14:paraId="313ABABF">
            <w:pPr>
              <w:pStyle w:val="18"/>
              <w:spacing w:line="300" w:lineRule="auto"/>
              <w:rPr>
                <w:rFonts w:hAnsi="宋体" w:cs="宋体"/>
                <w:color w:val="auto"/>
                <w:kern w:val="2"/>
                <w:sz w:val="21"/>
                <w:highlight w:val="none"/>
              </w:rPr>
            </w:pPr>
            <w:r>
              <w:rPr>
                <w:rFonts w:hint="eastAsia" w:hAnsi="宋体" w:cs="宋体"/>
                <w:b/>
                <w:color w:val="auto"/>
                <w:kern w:val="2"/>
                <w:sz w:val="21"/>
                <w:highlight w:val="none"/>
              </w:rPr>
              <w:t>法律责任：</w:t>
            </w:r>
            <w:r>
              <w:rPr>
                <w:rFonts w:hint="eastAsia" w:hAnsi="宋体" w:cs="宋体"/>
                <w:color w:val="auto"/>
                <w:kern w:val="2"/>
                <w:sz w:val="21"/>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5D3A6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4" w:type="dxa"/>
            <w:vAlign w:val="center"/>
          </w:tcPr>
          <w:p w14:paraId="32A586F9">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34.2</w:t>
            </w:r>
          </w:p>
        </w:tc>
        <w:tc>
          <w:tcPr>
            <w:tcW w:w="1613" w:type="dxa"/>
            <w:vAlign w:val="center"/>
          </w:tcPr>
          <w:p w14:paraId="20874678">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其他</w:t>
            </w:r>
          </w:p>
        </w:tc>
        <w:tc>
          <w:tcPr>
            <w:tcW w:w="6882" w:type="dxa"/>
            <w:vAlign w:val="center"/>
          </w:tcPr>
          <w:p w14:paraId="0B5A11E2">
            <w:pPr>
              <w:pStyle w:val="18"/>
              <w:spacing w:line="300" w:lineRule="auto"/>
              <w:rPr>
                <w:rFonts w:hAnsi="宋体" w:cs="宋体"/>
                <w:color w:val="auto"/>
                <w:kern w:val="2"/>
                <w:sz w:val="21"/>
                <w:highlight w:val="none"/>
              </w:rPr>
            </w:pPr>
            <w:r>
              <w:rPr>
                <w:rFonts w:hint="eastAsia" w:hAnsi="宋体" w:cs="宋体"/>
                <w:color w:val="auto"/>
                <w:kern w:val="2"/>
                <w:sz w:val="21"/>
                <w:highlight w:val="none"/>
              </w:rPr>
              <w:t xml:space="preserve">1.电子响应文件中须加盖供应商公章部分均采用CA签章，并根据“政府采购项目电子交易管理操作指南-供应商”及本竞争性磋商文件规定的格式和顺序编制电子投标文件并进行关联定位，以便磋商小组在评审时，点击评分项可直接定位到该评分项内容。如对竞争性磋商文件的某项要求，供应商的电子响应文件未能关联定位提供相应的内容与其对应，则磋商小组在评审时如做出对供应商不利的评审由供应商自行承担。电子响应文件如内容不完整、编排混乱导致投标文件被误读、漏读，或者在按采购文件规定的部位查找不到相关内容的，由供应商自行承担。 </w:t>
            </w:r>
          </w:p>
          <w:p w14:paraId="03587537">
            <w:pPr>
              <w:pStyle w:val="18"/>
              <w:spacing w:line="300" w:lineRule="auto"/>
              <w:rPr>
                <w:rFonts w:hAnsi="宋体" w:cs="宋体"/>
                <w:color w:val="auto"/>
                <w:kern w:val="2"/>
                <w:sz w:val="21"/>
                <w:highlight w:val="none"/>
              </w:rPr>
            </w:pPr>
            <w:r>
              <w:rPr>
                <w:rFonts w:hint="eastAsia" w:hAnsi="宋体" w:cs="宋体"/>
                <w:color w:val="auto"/>
                <w:kern w:val="2"/>
                <w:sz w:val="21"/>
                <w:highlight w:val="none"/>
              </w:rPr>
              <w:t xml:space="preserve">2.供应商为其他组织或者自然人时，本磋商文件规定的法定代表人指负责人或者自然人。 本磋商文件所称负责人是指参加竞标的其他组织营业执照或者执业许可证等证照上的负责人，本磋商文件所称自然人指参与竞标的自然人本人，且应具备独立承担民事责任能力，自然人应当为年满 18 岁以上成年人（十六周岁以上的未成年人，以自己的劳动收入为主要生活来源的，视为完全民事行为能力人）。 </w:t>
            </w:r>
          </w:p>
          <w:p w14:paraId="3812327A">
            <w:pPr>
              <w:pStyle w:val="18"/>
              <w:spacing w:line="300" w:lineRule="auto"/>
              <w:rPr>
                <w:rFonts w:hAnsi="宋体" w:cs="宋体"/>
                <w:color w:val="auto"/>
                <w:kern w:val="2"/>
                <w:sz w:val="21"/>
                <w:highlight w:val="none"/>
              </w:rPr>
            </w:pPr>
            <w:r>
              <w:rPr>
                <w:rFonts w:hint="eastAsia" w:hAnsi="宋体" w:cs="宋体"/>
                <w:color w:val="auto"/>
                <w:kern w:val="2"/>
                <w:sz w:val="21"/>
                <w:highlight w:val="none"/>
              </w:rPr>
              <w:t xml:space="preserve">3.本磋商文件中描述供应商的“签字”是指供应商的法定代表人或者委托代理人亲自在文件规定签署处亲笔写上个人的名字的行为，私章、签字章、印鉴、影印等其他形式均不能代替亲笔签字。 </w:t>
            </w:r>
          </w:p>
          <w:p w14:paraId="55CDE8BF">
            <w:pPr>
              <w:pStyle w:val="18"/>
              <w:spacing w:line="300" w:lineRule="auto"/>
              <w:rPr>
                <w:rFonts w:hAnsi="宋体" w:cs="宋体"/>
                <w:color w:val="auto"/>
                <w:kern w:val="2"/>
                <w:sz w:val="21"/>
                <w:highlight w:val="none"/>
              </w:rPr>
            </w:pPr>
            <w:r>
              <w:rPr>
                <w:rFonts w:hint="eastAsia" w:hAnsi="宋体" w:cs="宋体"/>
                <w:color w:val="auto"/>
                <w:kern w:val="2"/>
                <w:sz w:val="21"/>
                <w:highlight w:val="none"/>
              </w:rPr>
              <w:t>4.自然人竞标的，磋商文件规定盖公章处由自然人摁手指指印。</w:t>
            </w:r>
          </w:p>
          <w:p w14:paraId="11613550">
            <w:pPr>
              <w:pStyle w:val="18"/>
              <w:spacing w:line="300" w:lineRule="auto"/>
              <w:rPr>
                <w:rFonts w:hAnsi="宋体" w:cs="宋体"/>
                <w:color w:val="auto"/>
                <w:kern w:val="2"/>
                <w:sz w:val="21"/>
                <w:highlight w:val="none"/>
              </w:rPr>
            </w:pPr>
            <w:r>
              <w:rPr>
                <w:rFonts w:hint="eastAsia" w:hAnsi="宋体" w:cs="宋体"/>
                <w:color w:val="auto"/>
                <w:kern w:val="2"/>
                <w:sz w:val="21"/>
                <w:highlight w:val="none"/>
              </w:rPr>
              <w:t xml:space="preserve">5.本磋商文件所称的“以上”“以下”“以内”“届满”，包括本数；所称的“不满”“超过”“以外”，不包括本数。 </w:t>
            </w:r>
          </w:p>
          <w:p w14:paraId="3DA55A50">
            <w:pPr>
              <w:pStyle w:val="18"/>
              <w:spacing w:line="300" w:lineRule="auto"/>
              <w:rPr>
                <w:rFonts w:hAnsi="宋体" w:cs="宋体"/>
                <w:color w:val="auto"/>
                <w:kern w:val="2"/>
                <w:sz w:val="21"/>
                <w:highlight w:val="none"/>
              </w:rPr>
            </w:pPr>
            <w:r>
              <w:rPr>
                <w:rFonts w:hint="eastAsia" w:hAnsi="宋体" w:cs="宋体"/>
                <w:color w:val="auto"/>
                <w:kern w:val="2"/>
                <w:sz w:val="21"/>
                <w:highlight w:val="none"/>
              </w:rPr>
              <w:t>6.CA 签章上目前没有法定代表人（负责人）或授权代表签字信息，供应商在响应文件中涉及到签字的位置线下签好字然后扫描或者拍照做成 PDF 的格式亦可。响应文件中涉及到签字的位置未按要求签字的，提供的材料视为无效。</w:t>
            </w:r>
          </w:p>
        </w:tc>
      </w:tr>
    </w:tbl>
    <w:p w14:paraId="4FEB04F8">
      <w:pPr>
        <w:spacing w:line="360" w:lineRule="auto"/>
        <w:ind w:firstLine="440" w:firstLineChars="200"/>
        <w:rPr>
          <w:rFonts w:ascii="宋体" w:hAnsi="宋体" w:cs="宋体"/>
          <w:color w:val="auto"/>
          <w:sz w:val="22"/>
          <w:szCs w:val="22"/>
          <w:highlight w:val="none"/>
        </w:rPr>
      </w:pPr>
      <w:bookmarkStart w:id="38" w:name="_Toc3871"/>
    </w:p>
    <w:p w14:paraId="49EC0853">
      <w:pPr>
        <w:widowControl/>
        <w:jc w:val="left"/>
        <w:rPr>
          <w:rFonts w:ascii="宋体" w:hAnsi="宋体" w:cs="宋体"/>
          <w:color w:val="auto"/>
          <w:sz w:val="22"/>
          <w:szCs w:val="22"/>
          <w:highlight w:val="none"/>
        </w:rPr>
      </w:pPr>
      <w:r>
        <w:rPr>
          <w:rFonts w:ascii="宋体" w:hAnsi="宋体" w:cs="宋体"/>
          <w:color w:val="auto"/>
          <w:sz w:val="22"/>
          <w:szCs w:val="22"/>
          <w:highlight w:val="none"/>
        </w:rPr>
        <w:br w:type="page"/>
      </w:r>
    </w:p>
    <w:p w14:paraId="51C35985">
      <w:pPr>
        <w:spacing w:line="360" w:lineRule="auto"/>
        <w:ind w:firstLine="440" w:firstLineChars="200"/>
        <w:rPr>
          <w:rFonts w:ascii="宋体" w:hAnsi="宋体" w:cs="宋体"/>
          <w:color w:val="auto"/>
          <w:sz w:val="22"/>
          <w:szCs w:val="22"/>
          <w:highlight w:val="none"/>
        </w:rPr>
      </w:pPr>
    </w:p>
    <w:p w14:paraId="20112588">
      <w:pPr>
        <w:pStyle w:val="3"/>
        <w:spacing w:before="0" w:after="0" w:line="360" w:lineRule="auto"/>
        <w:jc w:val="center"/>
        <w:rPr>
          <w:rFonts w:ascii="宋体" w:hAnsi="宋体" w:cs="宋体"/>
          <w:b w:val="0"/>
          <w:color w:val="auto"/>
          <w:highlight w:val="none"/>
        </w:rPr>
      </w:pPr>
      <w:r>
        <w:rPr>
          <w:rFonts w:hint="eastAsia" w:ascii="宋体" w:hAnsi="宋体" w:cs="宋体"/>
          <w:bCs w:val="0"/>
          <w:color w:val="auto"/>
          <w:sz w:val="28"/>
          <w:szCs w:val="28"/>
          <w:highlight w:val="none"/>
        </w:rPr>
        <w:t>第二节 供应商须知正文</w:t>
      </w:r>
      <w:bookmarkEnd w:id="38"/>
    </w:p>
    <w:p w14:paraId="2AF0DB70">
      <w:pPr>
        <w:spacing w:line="360" w:lineRule="auto"/>
        <w:ind w:firstLine="562" w:firstLineChars="200"/>
        <w:outlineLvl w:val="2"/>
        <w:rPr>
          <w:rFonts w:ascii="宋体" w:hAnsi="宋体" w:cs="宋体"/>
          <w:b/>
          <w:bCs/>
          <w:color w:val="auto"/>
          <w:sz w:val="28"/>
          <w:szCs w:val="28"/>
          <w:highlight w:val="none"/>
        </w:rPr>
      </w:pPr>
      <w:bookmarkStart w:id="39" w:name="_Toc14066"/>
      <w:r>
        <w:rPr>
          <w:rFonts w:hint="eastAsia" w:ascii="宋体" w:hAnsi="宋体" w:cs="宋体"/>
          <w:b/>
          <w:bCs/>
          <w:color w:val="auto"/>
          <w:sz w:val="28"/>
          <w:szCs w:val="28"/>
          <w:highlight w:val="none"/>
        </w:rPr>
        <w:t>一、总则</w:t>
      </w:r>
      <w:bookmarkEnd w:id="39"/>
    </w:p>
    <w:p w14:paraId="7021DCB1">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1.适用范围</w:t>
      </w:r>
    </w:p>
    <w:p w14:paraId="2D0D509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51FDA16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1.2本竞争性磋商文件（以下简称磋商文件）适用于本项目的所有采购程序和环节（法律、法规另有规定的，从其规定）。</w:t>
      </w:r>
    </w:p>
    <w:p w14:paraId="6943C823">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2.定义</w:t>
      </w:r>
    </w:p>
    <w:p w14:paraId="622A3AD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34FB1BCC">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7A8C34B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18ABC2F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2.4“服务”是指除货物和工程以外的其他政府采购对象。</w:t>
      </w:r>
    </w:p>
    <w:p w14:paraId="68BC2B5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2.5“竞标”是指供应商按照本项目竞争性磋商公告或者邀请函规定的方式获取磋商文件、提交响应文件并希望获得标的的行为。</w:t>
      </w:r>
    </w:p>
    <w:p w14:paraId="49367E6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2.6“响应文件”是指：供应商根据本磋商文件要求，编制包含资格证明、报价商务技术等所有内容的文件。</w:t>
      </w:r>
    </w:p>
    <w:p w14:paraId="21BDD7B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2.7“实质性要求”是指磋商文件中已经指明不满足则响应文件按无效响应处理的条款，或者不能负偏离的条款，或者采购需求中带“▲”的条款。</w:t>
      </w:r>
    </w:p>
    <w:p w14:paraId="5B08223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2.8“正偏离”，是指响应文件对磋商文件“采购需求”中有关条款作出的响应优于条款要求并有利于采购人的情形。</w:t>
      </w:r>
    </w:p>
    <w:p w14:paraId="1E8CD9D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2.9“负偏离”，是指响应文件对磋商文件“采购需求”中有关条款作出的响应不满足条款要求，导致采购人要求不能得到满足的情形。</w:t>
      </w:r>
    </w:p>
    <w:p w14:paraId="536978F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p>
    <w:p w14:paraId="2B3B7D6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2.11“书面形式”是指合同书、信件和数据电文（包括电报、电传、传真、电子数据交换和电子邮件）等可以有形地表现所载内容的形式。</w:t>
      </w:r>
    </w:p>
    <w:p w14:paraId="0A192FE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14:paraId="4219980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2.13“评审报价”是指供应商提交的最后报价并经修正（如有）和政策功能价格扣除（如有）后的价格。</w:t>
      </w:r>
    </w:p>
    <w:p w14:paraId="633B1B25">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3.供应商的资格条件</w:t>
      </w:r>
    </w:p>
    <w:p w14:paraId="75747B1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5A23BE8E">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4.磋商费用</w:t>
      </w:r>
    </w:p>
    <w:p w14:paraId="5035CDD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059A3A97">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5.联合体竞标</w:t>
      </w:r>
    </w:p>
    <w:p w14:paraId="69218A5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5BB5DD9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5.2如接受联合体竞标，联合体竞标要求详见“供应商须知前附表”。</w:t>
      </w:r>
    </w:p>
    <w:p w14:paraId="6E66493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根据《政府采购促进中小企业发展管理办法》（财库〔2020〕46号）第九条及《广西壮族自治区财政厅关于持续优化政府采购营商环境推动高质量发展的通知》（桂财采〔2024〕55号）第三条的规定，接受大中型企业与小微企业组成联合体的采购项目，对于联合协议约定小微企业的合同份额占到合同总金额30%以上的，采购人、采购代理机构应当对联合体的报价给予4%-6%（工程项目为1%-2%）的扣除，用扣除后的价格参加评审。组成联合体的小微企业与联合体内其他企业、分包企业之间存在直接控股、管理关系的，不享受价格扣除优惠政策。</w:t>
      </w:r>
    </w:p>
    <w:p w14:paraId="0DBF20BE">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6.转包与分包</w:t>
      </w:r>
    </w:p>
    <w:p w14:paraId="3789362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6.1本项目是否允许分包详见“供应商须知前附表”，本项目不允许违法分包。</w:t>
      </w:r>
    </w:p>
    <w:p w14:paraId="2DE2D8F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根据《政府采购促进中小企业发展管理办法》（财库〔2020〕46号）第九条及《广西壮族自治区财政厅关于持续优化政府采购营商环境推动高质量发展的通知》（桂财采〔2024〕55号）第三条的规定，允许大中型企业向一家或者多家小微企业分包的采购项目，对于分包意向协议约定小微企业的合同份额占到合同总金额30%以上的，采购人、采购代理机构应当对大中型企业的报价给予4%-6%（工程项目为1%-2%）的扣除，用扣除后的价格参加评审。接受分包的小微企业与分包企业之间存在直接控股、管理关系的，不享受价格扣除优惠政策。</w:t>
      </w:r>
    </w:p>
    <w:p w14:paraId="7E701CE4">
      <w:pPr>
        <w:spacing w:line="360" w:lineRule="auto"/>
        <w:ind w:firstLine="422" w:firstLineChars="200"/>
        <w:rPr>
          <w:rFonts w:ascii="宋体" w:hAnsi="宋体" w:cs="宋体"/>
          <w:b/>
          <w:bCs/>
          <w:color w:val="auto"/>
          <w:szCs w:val="21"/>
          <w:highlight w:val="none"/>
        </w:rPr>
      </w:pPr>
      <w:bookmarkStart w:id="40" w:name="_Toc254970673"/>
      <w:bookmarkStart w:id="41" w:name="_Toc254970532"/>
      <w:r>
        <w:rPr>
          <w:rFonts w:hint="eastAsia" w:ascii="宋体" w:hAnsi="宋体" w:cs="宋体"/>
          <w:b/>
          <w:bCs/>
          <w:color w:val="auto"/>
          <w:szCs w:val="21"/>
          <w:highlight w:val="none"/>
        </w:rPr>
        <w:t>7.特别说明</w:t>
      </w:r>
      <w:bookmarkEnd w:id="40"/>
      <w:bookmarkEnd w:id="41"/>
    </w:p>
    <w:p w14:paraId="03EBFC6A">
      <w:pPr>
        <w:spacing w:line="360" w:lineRule="auto"/>
        <w:ind w:firstLine="420" w:firstLineChars="200"/>
        <w:rPr>
          <w:rFonts w:ascii="宋体" w:hAnsi="宋体" w:cs="宋体"/>
          <w:color w:val="auto"/>
          <w:szCs w:val="21"/>
          <w:highlight w:val="none"/>
        </w:rPr>
      </w:pPr>
      <w:bookmarkStart w:id="42" w:name="_8.1提供相同品牌产品且通过资格审查、符合性审查的不同投标人参加同一合"/>
      <w:bookmarkEnd w:id="42"/>
      <w:r>
        <w:rPr>
          <w:rFonts w:hint="eastAsia" w:ascii="宋体" w:hAnsi="宋体" w:cs="宋体"/>
          <w:color w:val="auto"/>
          <w:szCs w:val="21"/>
          <w:highlight w:val="none"/>
        </w:rPr>
        <w:t>7.1</w:t>
      </w:r>
      <w:bookmarkStart w:id="43" w:name="_Hlk65832145"/>
      <w:r>
        <w:rPr>
          <w:rFonts w:hint="eastAsia" w:ascii="宋体" w:hAnsi="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w:t>
      </w:r>
    </w:p>
    <w:bookmarkEnd w:id="43"/>
    <w:p w14:paraId="714548F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7.2供应商应仔细阅读磋商文件的所有内容，按照磋商文件的要求提交响应文件，并对所提供的全部资料的真实性承担法律责任。</w:t>
      </w:r>
    </w:p>
    <w:p w14:paraId="66EADE9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09AFAE9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7.4在政府采购活动中，采购人员及相关人员与供应商有下列利害关系之一的，应当回避：</w:t>
      </w:r>
    </w:p>
    <w:p w14:paraId="2B757BC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79EEE83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62F97BF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18AAD42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1C16FAA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6DBB56C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1F0957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7.5有下列情形之一的视为供应商相互串通竞标，响应文件将被视为无效：</w:t>
      </w:r>
    </w:p>
    <w:p w14:paraId="74FD1D4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 </w:t>
      </w:r>
    </w:p>
    <w:p w14:paraId="7640924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6CAE242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1C5B0B2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76D3462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2B88DD19">
      <w:pPr>
        <w:tabs>
          <w:tab w:val="left" w:pos="6931"/>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hint="eastAsia" w:ascii="宋体" w:hAnsi="宋体" w:cs="宋体"/>
          <w:color w:val="auto"/>
          <w:szCs w:val="21"/>
          <w:highlight w:val="none"/>
        </w:rPr>
        <w:tab/>
      </w:r>
    </w:p>
    <w:p w14:paraId="7C4F635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7.6供应商有下列情形之一的，属于恶意串通行为，将报同级监督管理部门：</w:t>
      </w:r>
    </w:p>
    <w:p w14:paraId="6C3C4FF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58050C1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3E6B538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55DD836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57BBCDA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5122C3B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2C0D004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32F4B5C0">
      <w:pPr>
        <w:spacing w:line="360" w:lineRule="auto"/>
        <w:ind w:firstLine="562" w:firstLineChars="200"/>
        <w:outlineLvl w:val="2"/>
        <w:rPr>
          <w:rFonts w:ascii="宋体" w:hAnsi="宋体" w:cs="宋体"/>
          <w:b/>
          <w:bCs/>
          <w:color w:val="auto"/>
          <w:sz w:val="28"/>
          <w:szCs w:val="28"/>
          <w:highlight w:val="none"/>
        </w:rPr>
      </w:pPr>
      <w:bookmarkStart w:id="44" w:name="_Toc254970675"/>
      <w:bookmarkStart w:id="45" w:name="_Toc597"/>
      <w:bookmarkStart w:id="46" w:name="_Toc254970534"/>
      <w:r>
        <w:rPr>
          <w:rFonts w:hint="eastAsia" w:ascii="宋体" w:hAnsi="宋体" w:cs="宋体"/>
          <w:b/>
          <w:bCs/>
          <w:color w:val="auto"/>
          <w:sz w:val="28"/>
          <w:szCs w:val="28"/>
          <w:highlight w:val="none"/>
        </w:rPr>
        <w:t>二、磋商文件</w:t>
      </w:r>
      <w:bookmarkEnd w:id="44"/>
      <w:bookmarkEnd w:id="45"/>
      <w:bookmarkEnd w:id="46"/>
    </w:p>
    <w:p w14:paraId="0E83CD4E">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8.磋商文件的构成</w:t>
      </w:r>
    </w:p>
    <w:p w14:paraId="24806BB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第一章 竞争性磋商公告；</w:t>
      </w:r>
    </w:p>
    <w:p w14:paraId="23F8965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第二章 供应商须知；</w:t>
      </w:r>
    </w:p>
    <w:p w14:paraId="41B226B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第三章 采购需求；</w:t>
      </w:r>
    </w:p>
    <w:p w14:paraId="414D237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第四章  评审程序、评审方法和评审标准；</w:t>
      </w:r>
    </w:p>
    <w:p w14:paraId="32643D4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第五章 工程量清单； </w:t>
      </w:r>
    </w:p>
    <w:p w14:paraId="77D579A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第六章 图纸（另册）；</w:t>
      </w:r>
    </w:p>
    <w:p w14:paraId="7D40597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第七章 响应文件格式；</w:t>
      </w:r>
    </w:p>
    <w:p w14:paraId="7FADC4E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第八章 合同文本；</w:t>
      </w:r>
    </w:p>
    <w:p w14:paraId="5E7BC98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第九章 质疑、投诉材料格式。</w:t>
      </w:r>
    </w:p>
    <w:p w14:paraId="25F54566">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9.供应商的询问</w:t>
      </w:r>
    </w:p>
    <w:p w14:paraId="01C4931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供应商应认真阅读磋商文件，如供应商对磋商文件有疑问的，如要求采购人作出澄清或者修改的，供应商尽应在提交首次响应文件截止之日前，以书面形式向采购人、采购代理机构提出。</w:t>
      </w:r>
    </w:p>
    <w:p w14:paraId="6BA5E38A">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10.磋商文件的澄清和修改</w:t>
      </w:r>
    </w:p>
    <w:p w14:paraId="437EF74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652CE984">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7398BE7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1A0025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10.4</w:t>
      </w:r>
      <w:r>
        <w:rPr>
          <w:rFonts w:hint="eastAsia" w:ascii="宋体" w:hAnsi="宋体" w:cs="宋体"/>
          <w:color w:val="auto"/>
          <w:szCs w:val="21"/>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3FAF82C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10.5采购人和采购代理机构可以视采购具体情况，变更提交首次响应文件截止时间和磋商时间，将变更时间将在“采购文件公告”中“七、其他补充事宜1.网上查询地址”规定的政府采购信息发布媒体上发布更正公告。</w:t>
      </w:r>
    </w:p>
    <w:p w14:paraId="2AA9F92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
          <w:color w:val="auto"/>
          <w:szCs w:val="21"/>
          <w:highlight w:val="none"/>
        </w:rPr>
        <w:t>响应文件未按磋商文件的澄清、修改的内容编制，又不符合实质性要求的，其响应文件作无效处理。</w:t>
      </w:r>
    </w:p>
    <w:p w14:paraId="115C4418">
      <w:pPr>
        <w:spacing w:line="360" w:lineRule="auto"/>
        <w:ind w:firstLine="562" w:firstLineChars="200"/>
        <w:outlineLvl w:val="2"/>
        <w:rPr>
          <w:rFonts w:ascii="宋体" w:hAnsi="宋体" w:cs="宋体"/>
          <w:b/>
          <w:bCs/>
          <w:color w:val="auto"/>
          <w:sz w:val="28"/>
          <w:szCs w:val="28"/>
          <w:highlight w:val="none"/>
        </w:rPr>
      </w:pPr>
      <w:bookmarkStart w:id="47" w:name="_Toc11654"/>
      <w:r>
        <w:rPr>
          <w:rFonts w:hint="eastAsia" w:ascii="宋体" w:hAnsi="宋体" w:cs="宋体"/>
          <w:b/>
          <w:bCs/>
          <w:color w:val="auto"/>
          <w:sz w:val="28"/>
          <w:szCs w:val="28"/>
          <w:highlight w:val="none"/>
        </w:rPr>
        <w:t>三、响应文件的编制</w:t>
      </w:r>
      <w:bookmarkEnd w:id="47"/>
    </w:p>
    <w:p w14:paraId="5B1E0B11">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11.响应文件的编制原则</w:t>
      </w:r>
    </w:p>
    <w:p w14:paraId="23221C1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1CC340CB">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12.响应文件的组成</w:t>
      </w:r>
    </w:p>
    <w:p w14:paraId="1BD6A2A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12.1响应文件由资格证明文件、报价文件、商务和技术文件三部分组成。</w:t>
      </w:r>
    </w:p>
    <w:p w14:paraId="00D8BE8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12.1.1资格证明文件：详见须知前附表</w:t>
      </w:r>
    </w:p>
    <w:p w14:paraId="2DD7FCF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12.1.2商务技术文件：详见须知前附表</w:t>
      </w:r>
    </w:p>
    <w:p w14:paraId="7132F61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12.1.3报价文件：详见须知前附表</w:t>
      </w:r>
    </w:p>
    <w:p w14:paraId="05D3336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12.2响应文件电子版：详见须知前附表</w:t>
      </w:r>
    </w:p>
    <w:p w14:paraId="484224FC">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13.计量单位</w:t>
      </w:r>
    </w:p>
    <w:p w14:paraId="757A5E4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677D1486">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14.竞标的风险</w:t>
      </w:r>
    </w:p>
    <w:p w14:paraId="7C4EC8F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18DAEBB3">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15.响应报价要求和构成</w:t>
      </w:r>
    </w:p>
    <w:p w14:paraId="50BEF4F5">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15.1响应报价应按“第七章 响应文件格式”中“报价函及报价函附录”格式填写。</w:t>
      </w:r>
    </w:p>
    <w:p w14:paraId="2770883D">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15.2响应报价的价格构成见“供应商须知前附表”。</w:t>
      </w:r>
    </w:p>
    <w:p w14:paraId="2B3711A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15.3响应报价要求</w:t>
      </w:r>
    </w:p>
    <w:p w14:paraId="608CCB6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15.3.1供应商的响应报价应符合以下要求，否则响应文件按无效响应处理：</w:t>
      </w:r>
    </w:p>
    <w:p w14:paraId="48D3EE6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（1）供应商必须就“采购需求”中所竞标的每个分标的全部内容分别作完整唯一总价报价，不得存在漏项报价；</w:t>
      </w:r>
    </w:p>
    <w:p w14:paraId="1A0C599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（2）供应商必须就所竞标的分标的单项内容作唯一报价。</w:t>
      </w:r>
    </w:p>
    <w:p w14:paraId="797CA52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15.3.2响应报价（包含首次报价、最后报价）超过所竞标分标规定的采购预算金额或者最高限价的，其响应文件将作无效处理。</w:t>
      </w:r>
    </w:p>
    <w:p w14:paraId="595D477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15.3.3</w:t>
      </w:r>
      <w:bookmarkStart w:id="48" w:name="_Hlk42592874"/>
      <w:r>
        <w:rPr>
          <w:rFonts w:hint="eastAsia" w:ascii="宋体" w:hAnsi="宋体" w:cs="宋体"/>
          <w:color w:val="auto"/>
          <w:szCs w:val="21"/>
          <w:highlight w:val="none"/>
        </w:rPr>
        <w:t>响应报价（包含首次报价、最后报价）超过分项采购预算金额或者最高限价的，其响应文件将作无效处理。</w:t>
      </w:r>
    </w:p>
    <w:bookmarkEnd w:id="48"/>
    <w:p w14:paraId="0173E022">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16.磋商有效期</w:t>
      </w:r>
    </w:p>
    <w:p w14:paraId="497FA9F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16.1磋商有效期是指为保证采购人有足够的时间在提交响应文件后完成评审、确定成交供应商、合同签订等工作而要求供应商提交的响应文件在一定时间内保持有效的期限。</w:t>
      </w:r>
    </w:p>
    <w:p w14:paraId="2E93038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 磋商有效期应由供应商按“供应商须知前附表”规定的期限作出响应。</w:t>
      </w:r>
    </w:p>
    <w:p w14:paraId="7512A6F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16.3供应商的响应文件在磋商有效期内均保持有效。</w:t>
      </w:r>
    </w:p>
    <w:p w14:paraId="1AD68DEA">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17.磋商保证金</w:t>
      </w:r>
    </w:p>
    <w:p w14:paraId="57C2ADB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17.1供应商须按“供应商须知前附表”的规定提交磋商保证金。</w:t>
      </w:r>
    </w:p>
    <w:p w14:paraId="6E48072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17.2磋商保证金的退还</w:t>
      </w:r>
    </w:p>
    <w:p w14:paraId="686BE17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17.2.1未成交供应商的磋商保证金自成交通知书发出之日起5个工作日内退还，退还方式如下：</w:t>
      </w:r>
    </w:p>
    <w:p w14:paraId="17A7DA5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（1）采用银行转账方式的，以转账方式退回到供应商银行账户。</w:t>
      </w:r>
    </w:p>
    <w:p w14:paraId="5C9ED31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（2）采用支票、汇票或本票方式的，以转账方式退回到供应商银行账户或由供应商代表持相关授权证明材料至磋商保证金收取单位办理支票、汇票或本票原件退还手续。 </w:t>
      </w:r>
    </w:p>
    <w:p w14:paraId="151C43E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（3）采用银行、保险机构出具的保函方式的，由供应商代表持相关授权证明材料至磋商保证金收取单位办理保函原件退还手续。 </w:t>
      </w:r>
    </w:p>
    <w:p w14:paraId="1BF94E0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17.2.2成交供应商的磋商保证金自签订合同之日起5个工作日内退还，退还方式同未成交供应商的磋商保证金的退还方式。 </w:t>
      </w:r>
    </w:p>
    <w:p w14:paraId="0503E5A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17.3磋商保证金不计息。</w:t>
      </w:r>
    </w:p>
    <w:p w14:paraId="4E6AFC3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17.4供应商有下列情形之一的，磋商保证金将不予退还： </w:t>
      </w:r>
    </w:p>
    <w:p w14:paraId="11E1CDB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3B8C4E2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（2）供应商在响应文件中提供虚假材料的；</w:t>
      </w:r>
    </w:p>
    <w:p w14:paraId="1D059AD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（3）除因不可抗力或竞争性磋商文件认可的情形以外，成交供应商不与采购人签订合同的；</w:t>
      </w:r>
    </w:p>
    <w:p w14:paraId="72C0AE3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（4）供应商与采购人、其他供应商或者采购代理机构恶意串通的；</w:t>
      </w:r>
    </w:p>
    <w:p w14:paraId="4CADEC8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（5）竞争性磋商文件规定的其他情形。</w:t>
      </w:r>
    </w:p>
    <w:p w14:paraId="58589B19">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18.响应文件编制的要求</w:t>
      </w:r>
    </w:p>
    <w:p w14:paraId="072BB3F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18.1各供应商在编制响应文件时请按照磋商文件“第七章 响应文件格式”规定的格式进行，混乱的编排导致响应文件被误读或磋商小组查找不到有效文件是供应商的风险。不完整、编排混乱导致响应文件被误读、漏读或者查找不到相关内容的，由此引发的后果由供应商承担。</w:t>
      </w:r>
    </w:p>
    <w:p w14:paraId="29A9633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18.2响应文件应按资格证明、报价分别编制，商务技术文件合并编制，本磋商只接受电子版响应文件，要求见本章“12.2响应文件电子版要求”。</w:t>
      </w:r>
    </w:p>
    <w:p w14:paraId="07FEE89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w:t>
      </w:r>
      <w:bookmarkStart w:id="49" w:name="_Hlk65832699"/>
      <w:r>
        <w:rPr>
          <w:rFonts w:hint="eastAsia" w:ascii="宋体" w:hAnsi="宋体" w:cs="宋体"/>
          <w:color w:val="auto"/>
          <w:szCs w:val="21"/>
          <w:highlight w:val="none"/>
        </w:rPr>
        <w:t>3响应文件须由供应商在</w:t>
      </w:r>
      <w:r>
        <w:rPr>
          <w:rFonts w:hint="eastAsia" w:ascii="宋体" w:hAnsi="宋体" w:cs="宋体"/>
          <w:color w:val="auto"/>
          <w:szCs w:val="21"/>
          <w:highlight w:val="none"/>
          <w:lang w:val="zh-CN"/>
        </w:rPr>
        <w:t>“</w:t>
      </w:r>
      <w:r>
        <w:rPr>
          <w:rFonts w:hint="eastAsia" w:ascii="宋体" w:hAnsi="宋体" w:cs="宋体"/>
          <w:color w:val="auto"/>
          <w:szCs w:val="21"/>
          <w:highlight w:val="none"/>
        </w:rPr>
        <w:t>第七章 响应文件格式</w:t>
      </w:r>
      <w:r>
        <w:rPr>
          <w:rFonts w:hint="eastAsia" w:ascii="宋体" w:hAnsi="宋体" w:cs="宋体"/>
          <w:color w:val="auto"/>
          <w:szCs w:val="21"/>
          <w:highlight w:val="none"/>
          <w:lang w:val="zh-CN"/>
        </w:rPr>
        <w:t>”</w:t>
      </w:r>
      <w:r>
        <w:rPr>
          <w:rFonts w:hint="eastAsia" w:ascii="宋体" w:hAnsi="宋体" w:cs="宋体"/>
          <w:color w:val="auto"/>
          <w:szCs w:val="21"/>
          <w:highlight w:val="none"/>
        </w:rPr>
        <w:t>规定位置进行签署、盖章</w:t>
      </w:r>
      <w:bookmarkEnd w:id="49"/>
      <w:r>
        <w:rPr>
          <w:rFonts w:hint="eastAsia" w:ascii="宋体" w:hAnsi="宋体" w:cs="宋体"/>
          <w:color w:val="auto"/>
          <w:szCs w:val="21"/>
          <w:highlight w:val="none"/>
        </w:rPr>
        <w:t>，否则其响应文件按无效响应处理。骑缝盖公章不视为在规定位置盖章。</w:t>
      </w:r>
    </w:p>
    <w:p w14:paraId="13E7812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18.4响应文件中标注的供应商名称应与营业执照（事业单位法人证书、执业许可证、自然人身份证）及电子公章一致，否则其响应文件按无效响应处理。</w:t>
      </w:r>
    </w:p>
    <w:p w14:paraId="6845F9A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18.5响应文件应避免涂改、行间插字或者删除，否则其响应文件按无效响应处理。</w:t>
      </w:r>
    </w:p>
    <w:p w14:paraId="57EE1762">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19.响应文件的密封和标记</w:t>
      </w:r>
    </w:p>
    <w:p w14:paraId="45884D13">
      <w:pPr>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19.1供应商进行电子交易应安装客户端软件</w:t>
      </w:r>
      <w:r>
        <w:rPr>
          <w:rFonts w:hint="eastAsia" w:ascii="宋体" w:hAnsi="宋体" w:cs="宋体"/>
          <w:color w:val="auto"/>
          <w:szCs w:val="21"/>
          <w:highlight w:val="none"/>
        </w:rPr>
        <w:t>-</w:t>
      </w:r>
      <w:r>
        <w:rPr>
          <w:rFonts w:hint="eastAsia" w:ascii="宋体" w:hAnsi="宋体" w:cs="宋体"/>
          <w:color w:val="auto"/>
          <w:szCs w:val="21"/>
          <w:highlight w:val="none"/>
          <w:lang w:val="zh-CN"/>
        </w:rPr>
        <w:t>“政采云电子交易客户端”，并按照磋商文件和电子交易平台的要求编制并加密响应文件。供应商未按规定加密的响应文件，电子交易平台将拒收并提示。</w:t>
      </w:r>
    </w:p>
    <w:p w14:paraId="4D9BC713">
      <w:pPr>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19.2使用“政采云电子交易客户端”需要提前申领CA数字证书。</w:t>
      </w:r>
    </w:p>
    <w:p w14:paraId="4C632060">
      <w:pPr>
        <w:pStyle w:val="18"/>
        <w:spacing w:line="360" w:lineRule="auto"/>
        <w:ind w:firstLine="420" w:firstLineChars="200"/>
        <w:rPr>
          <w:rFonts w:hAnsi="宋体" w:cs="宋体"/>
          <w:color w:val="auto"/>
          <w:kern w:val="2"/>
          <w:sz w:val="21"/>
          <w:highlight w:val="none"/>
        </w:rPr>
      </w:pPr>
      <w:r>
        <w:rPr>
          <w:rFonts w:hint="eastAsia" w:hAnsi="宋体" w:cs="宋体"/>
          <w:color w:val="auto"/>
          <w:kern w:val="2"/>
          <w:sz w:val="21"/>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0FDCF311">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20.响应文件的提交</w:t>
      </w:r>
    </w:p>
    <w:p w14:paraId="63091CB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20.1供应商必须在“供应商须知前附表”规定的时间和地点提交响应文件。</w:t>
      </w:r>
    </w:p>
    <w:p w14:paraId="7EFAA67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20.2在响应文件提交截止时间以后，不能补充、修改响应文件。</w:t>
      </w:r>
    </w:p>
    <w:p w14:paraId="7533919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20.3在提交“最后报价”后，供应商不能退出磋商。</w:t>
      </w:r>
    </w:p>
    <w:p w14:paraId="33456DD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20.4电子交易平台收到响应文件，将妥善保存并即时向供应商发出确认回执通知。在响应文件提交截止时间前，除供应商补充、修改或者撤回响应文件外，任何单位和个人不得解密或提取响应文件。</w:t>
      </w:r>
    </w:p>
    <w:p w14:paraId="0DD6192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20.5采购机构不可视情况延长提交响应文件的截止时间。</w:t>
      </w:r>
    </w:p>
    <w:p w14:paraId="2E1B8F8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20.6备份响应文件。</w:t>
      </w:r>
      <w:r>
        <w:rPr>
          <w:rFonts w:hint="eastAsia" w:ascii="宋体" w:hAnsi="宋体" w:cs="宋体"/>
          <w:bCs/>
          <w:color w:val="auto"/>
          <w:szCs w:val="21"/>
          <w:highlight w:val="none"/>
        </w:rPr>
        <w:t>详见在“供应商须知前附表”。</w:t>
      </w:r>
    </w:p>
    <w:p w14:paraId="6837D043">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21.首次响应文件的补充、修改与撤回</w:t>
      </w:r>
    </w:p>
    <w:p w14:paraId="26E8B58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详见“供应商须知前附表”。</w:t>
      </w:r>
    </w:p>
    <w:p w14:paraId="681F9751">
      <w:pPr>
        <w:spacing w:line="360" w:lineRule="auto"/>
        <w:ind w:firstLine="422" w:firstLineChars="200"/>
        <w:rPr>
          <w:rFonts w:ascii="宋体" w:hAnsi="宋体" w:cs="宋体"/>
          <w:b/>
          <w:bCs/>
          <w:color w:val="auto"/>
          <w:szCs w:val="21"/>
          <w:highlight w:val="none"/>
        </w:rPr>
      </w:pPr>
      <w:bookmarkStart w:id="50" w:name="_Hlk45702405"/>
      <w:r>
        <w:rPr>
          <w:rFonts w:hint="eastAsia" w:ascii="宋体" w:hAnsi="宋体" w:cs="宋体"/>
          <w:b/>
          <w:bCs/>
          <w:color w:val="auto"/>
          <w:szCs w:val="21"/>
          <w:highlight w:val="none"/>
        </w:rPr>
        <w:t>22.首次响应文件的退回</w:t>
      </w:r>
    </w:p>
    <w:p w14:paraId="5BA359A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5B83F5D2">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23.截止时间后的撤回</w:t>
      </w:r>
    </w:p>
    <w:p w14:paraId="21D4188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供应商在首次响应文件提交截止时间后可向采购人、采购代理机构书面申请撤回电子响应文件。</w:t>
      </w:r>
      <w:bookmarkEnd w:id="50"/>
    </w:p>
    <w:p w14:paraId="39819955">
      <w:pPr>
        <w:spacing w:line="360" w:lineRule="auto"/>
        <w:ind w:firstLine="562" w:firstLineChars="200"/>
        <w:outlineLvl w:val="2"/>
        <w:rPr>
          <w:rFonts w:ascii="宋体" w:hAnsi="宋体" w:cs="宋体"/>
          <w:b/>
          <w:bCs/>
          <w:color w:val="auto"/>
          <w:sz w:val="28"/>
          <w:szCs w:val="28"/>
          <w:highlight w:val="none"/>
        </w:rPr>
      </w:pPr>
      <w:bookmarkStart w:id="51" w:name="_Toc16919"/>
      <w:r>
        <w:rPr>
          <w:rFonts w:hint="eastAsia" w:ascii="宋体" w:hAnsi="宋体" w:cs="宋体"/>
          <w:b/>
          <w:bCs/>
          <w:color w:val="auto"/>
          <w:sz w:val="28"/>
          <w:szCs w:val="28"/>
          <w:highlight w:val="none"/>
        </w:rPr>
        <w:t>四、评审及磋商</w:t>
      </w:r>
      <w:bookmarkEnd w:id="51"/>
    </w:p>
    <w:p w14:paraId="07B65071">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24.磋商小组成立</w:t>
      </w:r>
    </w:p>
    <w:p w14:paraId="2C3545E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150ADC2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5DB923B9">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25.首次响应文件的开启</w:t>
      </w:r>
    </w:p>
    <w:p w14:paraId="21879BD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25.1首次响应文件由磋商小组或者采购代理机构在“供应商须知前附表”规定的时间开启。</w:t>
      </w:r>
    </w:p>
    <w:p w14:paraId="6448820D">
      <w:pPr>
        <w:pStyle w:val="18"/>
        <w:spacing w:line="360" w:lineRule="auto"/>
        <w:ind w:firstLine="420" w:firstLineChars="200"/>
        <w:rPr>
          <w:rFonts w:hAnsi="宋体" w:cs="宋体"/>
          <w:bCs/>
          <w:color w:val="auto"/>
          <w:kern w:val="2"/>
          <w:sz w:val="21"/>
          <w:highlight w:val="none"/>
        </w:rPr>
      </w:pPr>
      <w:r>
        <w:rPr>
          <w:rFonts w:hint="eastAsia" w:hAnsi="宋体" w:cs="宋体"/>
          <w:color w:val="auto"/>
          <w:kern w:val="2"/>
          <w:sz w:val="21"/>
          <w:highlight w:val="none"/>
        </w:rPr>
        <w:t xml:space="preserve">25.2 </w:t>
      </w:r>
      <w:r>
        <w:rPr>
          <w:rFonts w:hint="eastAsia" w:hAnsi="宋体" w:cs="宋体"/>
          <w:bCs/>
          <w:color w:val="auto"/>
          <w:kern w:val="2"/>
          <w:sz w:val="21"/>
          <w:highlight w:val="none"/>
        </w:rPr>
        <w:t>响应文件解密</w:t>
      </w:r>
    </w:p>
    <w:p w14:paraId="7DCF2787">
      <w:pPr>
        <w:pStyle w:val="18"/>
        <w:spacing w:line="360" w:lineRule="auto"/>
        <w:ind w:firstLine="420" w:firstLineChars="200"/>
        <w:rPr>
          <w:rFonts w:hAnsi="宋体" w:cs="宋体"/>
          <w:color w:val="auto"/>
          <w:kern w:val="2"/>
          <w:sz w:val="21"/>
          <w:highlight w:val="none"/>
        </w:rPr>
      </w:pPr>
      <w:r>
        <w:rPr>
          <w:rFonts w:hint="eastAsia" w:hAnsi="宋体" w:cs="宋体"/>
          <w:bCs/>
          <w:color w:val="auto"/>
          <w:kern w:val="2"/>
          <w:sz w:val="21"/>
          <w:highlight w:val="none"/>
        </w:rPr>
        <w:t>采购代理机构将在“供应商须知前附表”规定的时</w:t>
      </w:r>
      <w:r>
        <w:rPr>
          <w:rFonts w:hint="eastAsia" w:hAnsi="宋体" w:cs="宋体"/>
          <w:color w:val="auto"/>
          <w:kern w:val="2"/>
          <w:sz w:val="21"/>
          <w:highlight w:val="none"/>
        </w:rPr>
        <w:t>间通过电子交易平台组织响应文件开启，采购机构依托电子交易平台发起开始解密指令，供应商的法定代表人或其委托代理人</w:t>
      </w:r>
      <w:r>
        <w:rPr>
          <w:rFonts w:hint="eastAsia" w:hAnsi="宋体" w:cs="宋体"/>
          <w:b/>
          <w:color w:val="auto"/>
          <w:kern w:val="2"/>
          <w:sz w:val="21"/>
          <w:highlight w:val="none"/>
        </w:rPr>
        <w:t>须携带加密时所用的CA锁按平台提示和采购文件的规定登录到广西政府采购云平台电子开标大厅签到并在发起解密指令之时起30分钟内完成对电子响应文件在线解密</w:t>
      </w:r>
      <w:r>
        <w:rPr>
          <w:rFonts w:hint="eastAsia" w:hAnsi="宋体" w:cs="宋体"/>
          <w:color w:val="auto"/>
          <w:kern w:val="2"/>
          <w:sz w:val="21"/>
          <w:highlight w:val="none"/>
        </w:rPr>
        <w:t>。发起解密指令之时起5分钟内供应商还未进行解密的，代理机构要通知供应商，供应商没预留联系方式或预留联系方式无效，导致代理机构无法联系到供应商进行解密的，</w:t>
      </w:r>
      <w:r>
        <w:rPr>
          <w:rFonts w:hint="eastAsia" w:hAnsi="宋体" w:cs="宋体"/>
          <w:b/>
          <w:color w:val="auto"/>
          <w:kern w:val="2"/>
          <w:sz w:val="21"/>
          <w:highlight w:val="none"/>
        </w:rPr>
        <w:t>视为响应文件无效。</w:t>
      </w:r>
      <w:r>
        <w:rPr>
          <w:rFonts w:hint="eastAsia" w:hAnsi="宋体" w:cs="宋体"/>
          <w:color w:val="auto"/>
          <w:kern w:val="2"/>
          <w:sz w:val="21"/>
          <w:highlight w:val="none"/>
        </w:rPr>
        <w:t>（解密</w:t>
      </w:r>
      <w:r>
        <w:rPr>
          <w:rFonts w:hint="eastAsia" w:hAnsi="宋体" w:cs="宋体"/>
          <w:bCs/>
          <w:color w:val="auto"/>
          <w:kern w:val="2"/>
          <w:sz w:val="21"/>
          <w:highlight w:val="none"/>
        </w:rPr>
        <w:t>异常情况处理：详见本章</w:t>
      </w:r>
      <w:r>
        <w:rPr>
          <w:rFonts w:hint="eastAsia" w:hAnsi="宋体" w:cs="宋体"/>
          <w:color w:val="auto"/>
          <w:kern w:val="2"/>
          <w:sz w:val="21"/>
          <w:highlight w:val="none"/>
        </w:rPr>
        <w:t>26.3电子交易活动的中止。）</w:t>
      </w:r>
    </w:p>
    <w:p w14:paraId="3201EAE6">
      <w:pPr>
        <w:pStyle w:val="18"/>
        <w:spacing w:line="360" w:lineRule="auto"/>
        <w:ind w:firstLine="420" w:firstLineChars="200"/>
        <w:rPr>
          <w:rFonts w:hAnsi="宋体" w:cs="宋体"/>
          <w:color w:val="auto"/>
          <w:kern w:val="2"/>
          <w:sz w:val="21"/>
          <w:highlight w:val="none"/>
        </w:rPr>
      </w:pPr>
      <w:r>
        <w:rPr>
          <w:rFonts w:hint="eastAsia" w:hAnsi="宋体" w:cs="宋体"/>
          <w:color w:val="auto"/>
          <w:kern w:val="2"/>
          <w:sz w:val="21"/>
          <w:highlight w:val="none"/>
        </w:rPr>
        <w:t>如</w:t>
      </w:r>
      <w:r>
        <w:rPr>
          <w:rFonts w:hint="eastAsia" w:hAnsi="宋体" w:cs="宋体"/>
          <w:bCs/>
          <w:color w:val="auto"/>
          <w:kern w:val="2"/>
          <w:sz w:val="21"/>
          <w:highlight w:val="none"/>
        </w:rPr>
        <w:t>供应商成功解密响应文件，但未在“政采云”电子开标大厅参加谈判的，视同认可磋商过程和结果，</w:t>
      </w:r>
      <w:r>
        <w:rPr>
          <w:rFonts w:hint="eastAsia" w:hAnsi="宋体" w:cs="宋体"/>
          <w:color w:val="auto"/>
          <w:kern w:val="2"/>
          <w:sz w:val="21"/>
          <w:highlight w:val="none"/>
        </w:rPr>
        <w:t>由此产生的后果由供应商自行负责。参与</w:t>
      </w:r>
      <w:r>
        <w:rPr>
          <w:rFonts w:hint="eastAsia" w:hAnsi="宋体" w:cs="宋体"/>
          <w:bCs/>
          <w:color w:val="auto"/>
          <w:kern w:val="2"/>
          <w:sz w:val="21"/>
          <w:highlight w:val="none"/>
        </w:rPr>
        <w:t>磋商</w:t>
      </w:r>
      <w:r>
        <w:rPr>
          <w:rFonts w:hint="eastAsia" w:hAnsi="宋体" w:cs="宋体"/>
          <w:color w:val="auto"/>
          <w:kern w:val="2"/>
          <w:sz w:val="21"/>
          <w:highlight w:val="none"/>
        </w:rPr>
        <w:t>的供应商不足3家的，不得</w:t>
      </w:r>
      <w:r>
        <w:rPr>
          <w:rFonts w:hint="eastAsia" w:hAnsi="宋体" w:cs="宋体"/>
          <w:bCs/>
          <w:color w:val="auto"/>
          <w:kern w:val="2"/>
          <w:sz w:val="21"/>
          <w:highlight w:val="none"/>
        </w:rPr>
        <w:t>磋商</w:t>
      </w:r>
      <w:r>
        <w:rPr>
          <w:rFonts w:hint="eastAsia" w:hAnsi="宋体" w:cs="宋体"/>
          <w:color w:val="auto"/>
          <w:kern w:val="2"/>
          <w:sz w:val="21"/>
          <w:highlight w:val="none"/>
        </w:rPr>
        <w:t>。</w:t>
      </w:r>
    </w:p>
    <w:p w14:paraId="1668AD89">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26.评审程序、评审方法和评审标准</w:t>
      </w:r>
    </w:p>
    <w:p w14:paraId="24BA8C9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26.1磋商小组按照“第六章 评审程序、评审方法和评审标准”规定的方法、评审因素、标准和程序对响应文件进行评审。</w:t>
      </w:r>
    </w:p>
    <w:p w14:paraId="18F1BC4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26.2负偏离要求及磋商顺序详见“供应商须知前附表”。</w:t>
      </w:r>
    </w:p>
    <w:p w14:paraId="4171C08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26.3电子交易活动的中止。采购过程中出现以下情形，导致电子交易平台无法正常运行，或者无法保证电子交易的公平、公正和安全时，采购机构可中止电子交易活动：</w:t>
      </w:r>
    </w:p>
    <w:p w14:paraId="289889B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（1）电子交易平台发生故障而无法登录访问的； </w:t>
      </w:r>
    </w:p>
    <w:p w14:paraId="39CD635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（2）电子交易平台应用或数据库出现错误，不能进行正常操作的；</w:t>
      </w:r>
    </w:p>
    <w:p w14:paraId="0E1ED9D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（3）电子交易平台发现严重安全漏洞，有潜在泄密危险的；</w:t>
      </w:r>
    </w:p>
    <w:p w14:paraId="566AA8C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（4）病毒发作导致不能进行正常操作的； </w:t>
      </w:r>
    </w:p>
    <w:p w14:paraId="21662A1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（5）其他无法保证电子交易的公平、公正和安全的情况。</w:t>
      </w:r>
    </w:p>
    <w:p w14:paraId="5DCB557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B3EAC22">
      <w:pPr>
        <w:spacing w:line="360" w:lineRule="auto"/>
        <w:ind w:firstLine="562" w:firstLineChars="200"/>
        <w:outlineLvl w:val="2"/>
        <w:rPr>
          <w:rFonts w:ascii="宋体" w:hAnsi="宋体" w:cs="宋体"/>
          <w:b/>
          <w:bCs/>
          <w:color w:val="auto"/>
          <w:sz w:val="28"/>
          <w:szCs w:val="28"/>
          <w:highlight w:val="none"/>
        </w:rPr>
      </w:pPr>
      <w:bookmarkStart w:id="52" w:name="_Toc18284"/>
      <w:r>
        <w:rPr>
          <w:rFonts w:hint="eastAsia" w:ascii="宋体" w:hAnsi="宋体" w:cs="宋体"/>
          <w:b/>
          <w:bCs/>
          <w:color w:val="auto"/>
          <w:sz w:val="28"/>
          <w:szCs w:val="28"/>
          <w:highlight w:val="none"/>
        </w:rPr>
        <w:t>五、成交及合同</w:t>
      </w:r>
      <w:bookmarkEnd w:id="52"/>
    </w:p>
    <w:p w14:paraId="680D696A">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27.确定成交供应商及结果公告</w:t>
      </w:r>
    </w:p>
    <w:p w14:paraId="720589FF">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27.1确定成交供应商。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F8629EB">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27.2成交通知及成交结果公告。成交供应商确定后2个工作日内，在省级以上财政部门指定的媒体上公告成交结果，同时向成交供应商发出成交通知书，</w:t>
      </w:r>
      <w:r>
        <w:rPr>
          <w:rFonts w:hint="eastAsia" w:ascii="宋体" w:hAnsi="宋体" w:cs="宋体"/>
          <w:b/>
          <w:bCs/>
          <w:color w:val="auto"/>
          <w:szCs w:val="21"/>
          <w:highlight w:val="none"/>
          <w:u w:val="single"/>
        </w:rPr>
        <w:t>成交通知书规定签订合同的时间不得超过15日</w:t>
      </w:r>
      <w:r>
        <w:rPr>
          <w:rFonts w:hint="eastAsia" w:ascii="宋体" w:hAnsi="宋体" w:cs="宋体"/>
          <w:color w:val="auto"/>
          <w:szCs w:val="21"/>
          <w:highlight w:val="none"/>
        </w:rPr>
        <w:t>。</w:t>
      </w:r>
    </w:p>
    <w:p w14:paraId="44600F7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27.3采购人或者采购代理机构发出成交通知书前，应当对成交供应商信用进行查询核实，对列入失信被执行人、重大税收违法失信主体名单、严重失信主体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4CA1C74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3CEB327C">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27.5</w:t>
      </w:r>
      <w:r>
        <w:rPr>
          <w:rFonts w:hint="eastAsia" w:ascii="宋体" w:hAnsi="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27E57D32">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28.履约保证金</w:t>
      </w:r>
    </w:p>
    <w:p w14:paraId="52D2A401">
      <w:pPr>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详见“供应商须知前附表”</w:t>
      </w:r>
    </w:p>
    <w:p w14:paraId="094A9800">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29.签订合同</w:t>
      </w:r>
    </w:p>
    <w:p w14:paraId="47917EA4">
      <w:pPr>
        <w:pStyle w:val="78"/>
        <w:spacing w:before="0"/>
        <w:ind w:firstLine="420"/>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cs="宋体"/>
          <w:color w:val="auto"/>
          <w:kern w:val="2"/>
          <w:sz w:val="21"/>
          <w:szCs w:val="21"/>
          <w:highlight w:val="none"/>
          <w:lang w:val="zh-CN"/>
        </w:rPr>
        <w:t>如成交供应商为联合体的，由联合体成员各方法定代表人或其授权代表与采购人代表签订合同。</w:t>
      </w:r>
    </w:p>
    <w:p w14:paraId="2EAE811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784123F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21E72C9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29.4如签订合同并生效后，供应商无故拒绝或延期，除按照合同条款处理外，列入不良行为记录，并给予通报。</w:t>
      </w:r>
    </w:p>
    <w:p w14:paraId="3A7D14EE">
      <w:pPr>
        <w:pStyle w:val="78"/>
        <w:spacing w:before="0"/>
        <w:ind w:firstLine="420"/>
        <w:rPr>
          <w:rFonts w:ascii="宋体" w:hAnsi="宋体" w:cs="宋体"/>
          <w:color w:val="auto"/>
          <w:kern w:val="2"/>
          <w:sz w:val="21"/>
          <w:szCs w:val="21"/>
          <w:highlight w:val="none"/>
        </w:rPr>
      </w:pPr>
      <w:r>
        <w:rPr>
          <w:rFonts w:hint="eastAsia" w:ascii="宋体" w:hAnsi="宋体" w:cs="宋体"/>
          <w:color w:val="auto"/>
          <w:kern w:val="2"/>
          <w:sz w:val="21"/>
          <w:szCs w:val="21"/>
          <w:highlight w:val="none"/>
        </w:rPr>
        <w:t>29.5采购合同由采购人与成交供应商根据磋商文件、响应文件等内容签订，签订须携带的材料见“ 供应商须知前附表”。</w:t>
      </w:r>
    </w:p>
    <w:p w14:paraId="564C3C7F">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30.政府采购合同公告</w:t>
      </w:r>
    </w:p>
    <w:p w14:paraId="08A504B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采购人或者受托采购代理机构应当自政府采购合同签订之日起2个工作日内，将政府采购合同</w:t>
      </w:r>
      <w:r>
        <w:rPr>
          <w:rFonts w:hint="eastAsia" w:ascii="宋体" w:hAnsi="宋体" w:cs="宋体"/>
          <w:bCs/>
          <w:color w:val="auto"/>
          <w:szCs w:val="21"/>
          <w:highlight w:val="none"/>
        </w:rPr>
        <w:t>在以下媒体上发布：</w:t>
      </w:r>
      <w:r>
        <w:rPr>
          <w:rFonts w:hint="eastAsia" w:ascii="宋体" w:hAnsi="宋体" w:cs="宋体"/>
          <w:color w:val="auto"/>
          <w:szCs w:val="21"/>
          <w:highlight w:val="none"/>
        </w:rPr>
        <w:t>广西壮族自治区政府采购网（zfcg.gxzf.gov.cn）、梧州市政府采购网（http：//117.141.250.58：10030/web/cgw/index.ptl）上公告，但政府采购合同中涉及国家秘密、商业秘密的内容除外。</w:t>
      </w:r>
    </w:p>
    <w:p w14:paraId="3349C1CA">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31.询问、质疑和投诉</w:t>
      </w:r>
    </w:p>
    <w:p w14:paraId="24E4EA7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31.1供应商对政府采购活动事项有疑问的，可以向采购人、采购代理机构提出询问，采购人或者采购代理机构应当在3个工作日内对供应商依法提出的询问作出答复。</w:t>
      </w:r>
    </w:p>
    <w:p w14:paraId="650EEAD2">
      <w:pPr>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szCs w:val="21"/>
          <w:highlight w:val="none"/>
          <w:shd w:val="clear" w:color="auto" w:fill="FFFFFF"/>
        </w:rPr>
        <w:t>接收质疑函的方式、联系部门、联系电话和通讯地址等信息详见</w:t>
      </w:r>
      <w:r>
        <w:rPr>
          <w:rFonts w:hint="eastAsia" w:ascii="宋体" w:hAnsi="宋体" w:cs="宋体"/>
          <w:color w:val="auto"/>
          <w:szCs w:val="21"/>
          <w:highlight w:val="none"/>
        </w:rPr>
        <w:t>“供应商须知前附表”。</w:t>
      </w:r>
      <w:r>
        <w:rPr>
          <w:rFonts w:hint="eastAsia" w:ascii="宋体" w:hAnsi="宋体" w:cs="宋体"/>
          <w:b/>
          <w:color w:val="auto"/>
          <w:szCs w:val="21"/>
          <w:highlight w:val="none"/>
        </w:rPr>
        <w:t xml:space="preserve">具体质疑起算时间及处理方式如下： </w:t>
      </w:r>
    </w:p>
    <w:p w14:paraId="5F58EA3A">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（1）潜在供应商依法获取采购文件后，认为采购文件使自己的权益受到损害的，应当在竞争性磋商采购文件公告期限届满之日起7个工作日内提出质疑。</w:t>
      </w:r>
      <w:r>
        <w:rPr>
          <w:rFonts w:hint="eastAsia" w:ascii="宋体" w:hAnsi="宋体" w:cs="宋体"/>
          <w:color w:val="auto"/>
          <w:szCs w:val="21"/>
          <w:highlight w:val="none"/>
        </w:rPr>
        <w:t>委托代理协议无特殊约定的，</w:t>
      </w:r>
      <w:r>
        <w:rPr>
          <w:rFonts w:hint="eastAsia" w:ascii="宋体" w:hAnsi="宋体" w:cs="宋体"/>
          <w:bCs/>
          <w:color w:val="auto"/>
          <w:szCs w:val="21"/>
          <w:highlight w:val="none"/>
        </w:rPr>
        <w:t>对竞争性磋商文件中</w:t>
      </w:r>
      <w:r>
        <w:rPr>
          <w:rFonts w:hint="eastAsia" w:ascii="宋体" w:hAnsi="宋体" w:cs="宋体"/>
          <w:color w:val="auto"/>
          <w:szCs w:val="21"/>
          <w:highlight w:val="none"/>
        </w:rPr>
        <w:t>采购需求</w:t>
      </w:r>
      <w:r>
        <w:rPr>
          <w:rFonts w:hint="eastAsia" w:ascii="宋体" w:hAnsi="宋体" w:cs="宋体"/>
          <w:bCs/>
          <w:color w:val="auto"/>
          <w:szCs w:val="21"/>
          <w:highlight w:val="none"/>
        </w:rPr>
        <w:t>（含资格要求、采购预算和评分办法）的质疑由采购人受理并负责答复；对竞争性磋商文件中的采购执行程序的质疑由采购代理机构受理并负责答复。</w:t>
      </w:r>
    </w:p>
    <w:p w14:paraId="2293C9EF">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5064A832">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（3）供应商认为成交结果使自己的权益受到损害的，应当在成交结果公告期限届满之日起7个工作日内提出质疑，由采购人受理并负责答复。</w:t>
      </w:r>
    </w:p>
    <w:p w14:paraId="0847FEC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048643D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auto"/>
          <w:szCs w:val="21"/>
          <w:highlight w:val="none"/>
        </w:rPr>
        <w:t>（质疑函格式后附）</w:t>
      </w:r>
      <w:r>
        <w:rPr>
          <w:rFonts w:hint="eastAsia" w:ascii="宋体" w:hAnsi="宋体" w:cs="宋体"/>
          <w:color w:val="auto"/>
          <w:szCs w:val="21"/>
          <w:highlight w:val="none"/>
        </w:rPr>
        <w:t>：</w:t>
      </w:r>
    </w:p>
    <w:p w14:paraId="2D187CC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（1）供应商的姓名或者名称、地址、邮编、联系人及联系电话；</w:t>
      </w:r>
    </w:p>
    <w:p w14:paraId="69F63EB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（2）质疑项目的名称、编号；</w:t>
      </w:r>
    </w:p>
    <w:p w14:paraId="7AF1269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（3）具体、明确的质疑事项和与质疑事项相关的请求；</w:t>
      </w:r>
    </w:p>
    <w:p w14:paraId="62E48CE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（4）事实依据；</w:t>
      </w:r>
    </w:p>
    <w:p w14:paraId="514E195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（5）必要的法律依据；</w:t>
      </w:r>
    </w:p>
    <w:p w14:paraId="2174D39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（6）提出质疑的日期。</w:t>
      </w:r>
    </w:p>
    <w:p w14:paraId="43B76D9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供应商为自然人的，应当由本人签字；供应商为法人或者其他组织的，应当由法定代表人、主要负责人，或者其委托代理人签字或者盖章，并加盖公章。</w:t>
      </w:r>
    </w:p>
    <w:p w14:paraId="621F8FF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31.5采购人、采购代理机构认为供应商质疑不成立，或者成立但未对成交结果构成影响的，继续开展采购活动；认为供应商质疑成立且影响或者可能影响成交结果的，按照下列情况处理：</w:t>
      </w:r>
    </w:p>
    <w:p w14:paraId="4F5751B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（一）对采购文件提出的质疑，依法通过澄清或者修改可以继续开展采购活动的，澄清或者修改采购文件后继续开展采购活动；否则应当修改采购文件后重新开展采购活动。</w:t>
      </w:r>
    </w:p>
    <w:p w14:paraId="3E1704A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（二）对采购过程或者成交结果提出的质疑，合格成交候选人符合法定数量时，可以从合格的成交候选人中另行确定成交供应商的，应当依法另行确定成交供应商；否则应当重新开展采购活动。</w:t>
      </w:r>
    </w:p>
    <w:p w14:paraId="4D463DB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质疑答复导致成交结果改变的，采购人或者采购代理机构应当将有关情况书面报告本级财政部门。</w:t>
      </w:r>
    </w:p>
    <w:p w14:paraId="5CBF88A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53" w:name="_Toc80205930"/>
    </w:p>
    <w:p w14:paraId="11F0E509">
      <w:pPr>
        <w:spacing w:line="360" w:lineRule="auto"/>
        <w:ind w:firstLine="562" w:firstLineChars="200"/>
        <w:outlineLvl w:val="2"/>
        <w:rPr>
          <w:rFonts w:ascii="宋体" w:hAnsi="宋体" w:cs="宋体"/>
          <w:b/>
          <w:bCs/>
          <w:color w:val="auto"/>
          <w:sz w:val="28"/>
          <w:szCs w:val="28"/>
          <w:highlight w:val="none"/>
        </w:rPr>
      </w:pPr>
      <w:bookmarkStart w:id="54" w:name="_Toc7683"/>
      <w:r>
        <w:rPr>
          <w:rFonts w:hint="eastAsia" w:ascii="宋体" w:hAnsi="宋体" w:cs="宋体"/>
          <w:b/>
          <w:bCs/>
          <w:color w:val="auto"/>
          <w:sz w:val="28"/>
          <w:szCs w:val="28"/>
          <w:highlight w:val="none"/>
        </w:rPr>
        <w:t>六、验收</w:t>
      </w:r>
      <w:bookmarkEnd w:id="53"/>
      <w:bookmarkEnd w:id="54"/>
    </w:p>
    <w:p w14:paraId="6B9C1DF0">
      <w:pPr>
        <w:tabs>
          <w:tab w:val="left" w:pos="0"/>
        </w:tabs>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32.验收</w:t>
      </w:r>
    </w:p>
    <w:p w14:paraId="25A2D1F5">
      <w:pPr>
        <w:tabs>
          <w:tab w:val="left" w:pos="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F4EE1D0">
      <w:pPr>
        <w:tabs>
          <w:tab w:val="left" w:pos="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32.2采购人可以邀请参加本项目的其他供应商或者第三方机构参与验收。参与验收的供应商或者第三方机构的意见作为验收书的参考资料一并存档。</w:t>
      </w:r>
    </w:p>
    <w:p w14:paraId="54F8E7FE">
      <w:pPr>
        <w:tabs>
          <w:tab w:val="left" w:pos="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05AA2EF">
      <w:pPr>
        <w:tabs>
          <w:tab w:val="left" w:pos="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6C3E3C3">
      <w:pPr>
        <w:spacing w:line="360" w:lineRule="auto"/>
        <w:ind w:firstLine="562" w:firstLineChars="200"/>
        <w:outlineLvl w:val="2"/>
        <w:rPr>
          <w:rFonts w:ascii="宋体" w:hAnsi="宋体" w:cs="宋体"/>
          <w:b/>
          <w:bCs/>
          <w:color w:val="auto"/>
          <w:sz w:val="28"/>
          <w:szCs w:val="28"/>
          <w:highlight w:val="none"/>
        </w:rPr>
      </w:pPr>
      <w:bookmarkStart w:id="55" w:name="_Toc5991"/>
      <w:r>
        <w:rPr>
          <w:rFonts w:hint="eastAsia" w:ascii="宋体" w:hAnsi="宋体" w:cs="宋体"/>
          <w:b/>
          <w:bCs/>
          <w:color w:val="auto"/>
          <w:sz w:val="28"/>
          <w:szCs w:val="28"/>
          <w:highlight w:val="none"/>
        </w:rPr>
        <w:t>七、其他事项</w:t>
      </w:r>
      <w:bookmarkEnd w:id="55"/>
    </w:p>
    <w:p w14:paraId="370D65B2">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33.代理服务费</w:t>
      </w:r>
    </w:p>
    <w:p w14:paraId="0F4F78E7">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代理服务收费标准及缴费账户详见“供应商须知前附表”，供应商为联合体的，可以由联合体中的一方或者多方共同交纳代理服务费。</w:t>
      </w:r>
    </w:p>
    <w:p w14:paraId="74FC2A6F">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34.需要补充的其他内容</w:t>
      </w:r>
    </w:p>
    <w:p w14:paraId="4E5D4ACA">
      <w:pPr>
        <w:pStyle w:val="18"/>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34.1本磋商文件解释规则详见“供应商须知前附表”。</w:t>
      </w:r>
    </w:p>
    <w:p w14:paraId="637C07B8">
      <w:pPr>
        <w:pStyle w:val="18"/>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34.2 其他事项详见“供应商须知前附表”。</w:t>
      </w:r>
    </w:p>
    <w:p w14:paraId="52B976A7">
      <w:pPr>
        <w:pStyle w:val="18"/>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由中小企业承接，即提供服务的人员为中小企业依照《中华人民共和国劳动合同法》订立劳动合同的从业人员，不对其中涉及的货物的制造商和工程承建商作出要求的，享受本文件规定的中小企业扶持政策。</w:t>
      </w:r>
    </w:p>
    <w:p w14:paraId="5BC63A79">
      <w:pPr>
        <w:pStyle w:val="18"/>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以联合体形式参加政府采购活动，联合体各方均为中小企业的，联合体视同中小企业。其中，联合体各方均为小微企业的，联合体视同小微企业。</w:t>
      </w:r>
    </w:p>
    <w:p w14:paraId="13AA3316">
      <w:pPr>
        <w:pStyle w:val="18"/>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依据本文件规定享受扶持政策获得政府采购合同的，小微企业不得将合同分包给大中型企业，中型企业不得将合同分包给大型企业。</w:t>
      </w:r>
    </w:p>
    <w:p w14:paraId="2477A2CA">
      <w:pPr>
        <w:widowControl/>
        <w:spacing w:line="360" w:lineRule="auto"/>
        <w:jc w:val="left"/>
        <w:rPr>
          <w:rFonts w:ascii="宋体" w:hAnsi="宋体"/>
          <w:color w:val="auto"/>
          <w:highlight w:val="none"/>
        </w:rPr>
      </w:pPr>
      <w:r>
        <w:rPr>
          <w:rFonts w:ascii="宋体" w:hAnsi="宋体"/>
          <w:color w:val="auto"/>
          <w:highlight w:val="none"/>
        </w:rPr>
        <w:br w:type="page"/>
      </w:r>
    </w:p>
    <w:p w14:paraId="5F8CE65F">
      <w:pPr>
        <w:pStyle w:val="13"/>
        <w:rPr>
          <w:rFonts w:ascii="宋体" w:hAnsi="宋体"/>
          <w:color w:val="auto"/>
          <w:highlight w:val="none"/>
        </w:rPr>
      </w:pPr>
    </w:p>
    <w:p w14:paraId="0955FC40">
      <w:pPr>
        <w:pStyle w:val="2"/>
        <w:spacing w:before="0" w:after="0" w:line="360" w:lineRule="auto"/>
        <w:jc w:val="center"/>
        <w:rPr>
          <w:rFonts w:ascii="宋体" w:hAnsi="宋体" w:cs="宋体"/>
          <w:bCs w:val="0"/>
          <w:color w:val="auto"/>
          <w:kern w:val="2"/>
          <w:sz w:val="32"/>
          <w:szCs w:val="32"/>
          <w:highlight w:val="none"/>
        </w:rPr>
      </w:pPr>
      <w:bookmarkStart w:id="56" w:name="_Toc24815"/>
      <w:r>
        <w:rPr>
          <w:rFonts w:hint="eastAsia" w:ascii="宋体" w:hAnsi="宋体" w:cs="宋体"/>
          <w:bCs w:val="0"/>
          <w:color w:val="auto"/>
          <w:kern w:val="2"/>
          <w:sz w:val="32"/>
          <w:szCs w:val="32"/>
          <w:highlight w:val="none"/>
        </w:rPr>
        <w:t>第三章 采购需求</w:t>
      </w:r>
      <w:bookmarkEnd w:id="56"/>
    </w:p>
    <w:p w14:paraId="21F748DA">
      <w:pPr>
        <w:spacing w:line="360" w:lineRule="auto"/>
        <w:ind w:firstLine="482" w:firstLineChars="200"/>
        <w:rPr>
          <w:rFonts w:ascii="宋体" w:hAnsi="宋体" w:cs="宋体"/>
          <w:b/>
          <w:bCs/>
          <w:color w:val="auto"/>
          <w:sz w:val="24"/>
          <w:highlight w:val="none"/>
        </w:rPr>
      </w:pPr>
      <w:bookmarkStart w:id="57" w:name="_Toc1789"/>
      <w:r>
        <w:rPr>
          <w:rFonts w:hint="eastAsia" w:ascii="宋体" w:hAnsi="宋体" w:cs="宋体"/>
          <w:b/>
          <w:bCs/>
          <w:color w:val="auto"/>
          <w:sz w:val="24"/>
          <w:highlight w:val="none"/>
          <w:lang w:eastAsia="zh-CN"/>
        </w:rPr>
        <w:t>一</w:t>
      </w:r>
      <w:r>
        <w:rPr>
          <w:rFonts w:hint="eastAsia" w:ascii="宋体" w:hAnsi="宋体" w:cs="宋体"/>
          <w:b/>
          <w:bCs/>
          <w:color w:val="auto"/>
          <w:sz w:val="24"/>
          <w:highlight w:val="none"/>
        </w:rPr>
        <w:t>、</w:t>
      </w:r>
      <w:bookmarkEnd w:id="57"/>
      <w:bookmarkStart w:id="58" w:name="_Toc24484"/>
      <w:r>
        <w:rPr>
          <w:rFonts w:hint="eastAsia" w:ascii="宋体" w:hAnsi="宋体" w:cs="宋体"/>
          <w:b/>
          <w:bCs/>
          <w:color w:val="auto"/>
          <w:sz w:val="24"/>
          <w:highlight w:val="none"/>
        </w:rPr>
        <w:t>建设内容及规模：</w:t>
      </w:r>
    </w:p>
    <w:p w14:paraId="3DA2B7E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（一）工程名称：</w:t>
      </w:r>
      <w:r>
        <w:rPr>
          <w:rFonts w:hint="eastAsia" w:ascii="宋体" w:hAnsi="宋体" w:cs="宋体"/>
          <w:color w:val="auto"/>
          <w:sz w:val="24"/>
          <w:highlight w:val="none"/>
          <w:lang w:val="en-US" w:eastAsia="zh-CN"/>
        </w:rPr>
        <w:t>梧州市万秀区城东镇华堂村风貌提升工程</w:t>
      </w:r>
      <w:r>
        <w:rPr>
          <w:rFonts w:hint="eastAsia" w:ascii="宋体" w:hAnsi="宋体" w:cs="宋体"/>
          <w:color w:val="auto"/>
          <w:sz w:val="24"/>
          <w:highlight w:val="none"/>
        </w:rPr>
        <w:t>。</w:t>
      </w:r>
    </w:p>
    <w:p w14:paraId="36B04AE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（二）建设单位：</w:t>
      </w:r>
      <w:r>
        <w:rPr>
          <w:rFonts w:hint="eastAsia" w:ascii="宋体" w:hAnsi="宋体" w:cs="宋体"/>
          <w:color w:val="auto"/>
          <w:sz w:val="24"/>
          <w:highlight w:val="none"/>
          <w:lang w:eastAsia="zh-CN"/>
        </w:rPr>
        <w:t>梧州市万秀区城东镇人民政府</w:t>
      </w:r>
      <w:r>
        <w:rPr>
          <w:rFonts w:hint="eastAsia" w:ascii="宋体" w:hAnsi="宋体" w:cs="宋体"/>
          <w:color w:val="auto"/>
          <w:sz w:val="24"/>
          <w:highlight w:val="none"/>
        </w:rPr>
        <w:t>。</w:t>
      </w:r>
    </w:p>
    <w:p w14:paraId="5526E9B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eastAsia="zh-CN"/>
        </w:rPr>
        <w:t>三</w:t>
      </w:r>
      <w:r>
        <w:rPr>
          <w:rFonts w:hint="eastAsia" w:ascii="宋体" w:hAnsi="宋体" w:cs="宋体"/>
          <w:color w:val="auto"/>
          <w:sz w:val="24"/>
          <w:highlight w:val="none"/>
        </w:rPr>
        <w:t>）建设地点：</w:t>
      </w:r>
      <w:r>
        <w:rPr>
          <w:rFonts w:hint="eastAsia" w:ascii="宋体" w:hAnsi="宋体" w:cs="宋体"/>
          <w:color w:val="auto"/>
          <w:sz w:val="24"/>
          <w:highlight w:val="none"/>
          <w:lang w:val="en-US" w:eastAsia="zh-CN"/>
        </w:rPr>
        <w:t>万秀区城东镇华堂村</w:t>
      </w:r>
      <w:r>
        <w:rPr>
          <w:rFonts w:hint="eastAsia" w:ascii="宋体" w:hAnsi="宋体" w:cs="宋体"/>
          <w:color w:val="auto"/>
          <w:sz w:val="24"/>
          <w:highlight w:val="none"/>
        </w:rPr>
        <w:t>。</w:t>
      </w:r>
    </w:p>
    <w:p w14:paraId="13E19AEA">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w:t>
      </w:r>
      <w:r>
        <w:rPr>
          <w:rFonts w:hint="eastAsia" w:ascii="宋体" w:hAnsi="宋体" w:cs="宋体"/>
          <w:color w:val="auto"/>
          <w:sz w:val="24"/>
          <w:highlight w:val="none"/>
          <w:lang w:eastAsia="zh-CN"/>
        </w:rPr>
        <w:t>四</w:t>
      </w:r>
      <w:r>
        <w:rPr>
          <w:rFonts w:hint="eastAsia" w:ascii="宋体" w:hAnsi="宋体" w:cs="宋体"/>
          <w:color w:val="auto"/>
          <w:sz w:val="24"/>
          <w:highlight w:val="none"/>
        </w:rPr>
        <w:t>）资金来源：财政资金。</w:t>
      </w:r>
    </w:p>
    <w:p w14:paraId="1BECD676">
      <w:pPr>
        <w:widowControl/>
        <w:adjustRightInd w:val="0"/>
        <w:spacing w:line="360" w:lineRule="auto"/>
        <w:ind w:firstLine="480" w:firstLineChars="200"/>
        <w:jc w:val="left"/>
        <w:textAlignment w:val="baseline"/>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eastAsia="zh-CN"/>
        </w:rPr>
        <w:t>五</w:t>
      </w:r>
      <w:r>
        <w:rPr>
          <w:rFonts w:hint="eastAsia" w:ascii="宋体" w:hAnsi="宋体" w:cs="宋体"/>
          <w:color w:val="auto"/>
          <w:sz w:val="24"/>
          <w:highlight w:val="none"/>
        </w:rPr>
        <w:t>）项目主要内容包括:建设村委周边的老旧道路修复、沿江人行道及周边排水渠等基础设施的修缮、人居环境的提升。拟新建小道、修复老旧道路约300米、沿河栈道约300米，居民公共休憩广场400㎡，以及周边的河道清淤、道路修复、观景小品、村委周边房前屋后改造、标示牌等建设内容。具体按施工图纸、工程量清单、竞争性磋商文件及相关补充通知的全部内容。</w:t>
      </w:r>
    </w:p>
    <w:p w14:paraId="7171A247">
      <w:pPr>
        <w:widowControl/>
        <w:adjustRightInd w:val="0"/>
        <w:spacing w:line="360" w:lineRule="auto"/>
        <w:ind w:firstLine="480" w:firstLineChars="200"/>
        <w:jc w:val="left"/>
        <w:textAlignment w:val="baseline"/>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w:t>
      </w:r>
      <w:r>
        <w:rPr>
          <w:rFonts w:hint="eastAsia" w:ascii="宋体" w:hAnsi="宋体" w:cs="宋体"/>
          <w:color w:val="auto"/>
          <w:sz w:val="24"/>
          <w:highlight w:val="none"/>
          <w:lang w:eastAsia="zh-CN"/>
        </w:rPr>
        <w:t>六</w:t>
      </w:r>
      <w:r>
        <w:rPr>
          <w:rFonts w:hint="eastAsia" w:ascii="宋体" w:hAnsi="宋体" w:cs="宋体"/>
          <w:color w:val="auto"/>
          <w:sz w:val="24"/>
          <w:highlight w:val="none"/>
        </w:rPr>
        <w:t>）招标控制价：</w:t>
      </w:r>
      <w:r>
        <w:rPr>
          <w:rFonts w:hint="eastAsia" w:ascii="宋体" w:hAnsi="宋体" w:cs="宋体"/>
          <w:color w:val="auto"/>
          <w:sz w:val="24"/>
          <w:highlight w:val="none"/>
          <w:lang w:val="en-US" w:eastAsia="zh-CN"/>
        </w:rPr>
        <w:t>2423888.52元</w:t>
      </w:r>
    </w:p>
    <w:p w14:paraId="20F2BCC5">
      <w:pPr>
        <w:spacing w:line="360" w:lineRule="auto"/>
        <w:ind w:firstLine="480" w:firstLineChars="20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w:t>
      </w:r>
      <w:r>
        <w:rPr>
          <w:rFonts w:hint="eastAsia" w:ascii="宋体" w:hAnsi="宋体" w:cs="宋体"/>
          <w:color w:val="auto"/>
          <w:sz w:val="24"/>
          <w:highlight w:val="none"/>
          <w:lang w:eastAsia="zh-CN"/>
        </w:rPr>
        <w:t>七</w:t>
      </w:r>
      <w:r>
        <w:rPr>
          <w:rFonts w:hint="eastAsia" w:ascii="宋体" w:hAnsi="宋体" w:cs="宋体"/>
          <w:color w:val="auto"/>
          <w:sz w:val="24"/>
          <w:highlight w:val="none"/>
        </w:rPr>
        <w:t>）合同履行期限：</w:t>
      </w:r>
      <w:r>
        <w:rPr>
          <w:rFonts w:hint="eastAsia" w:ascii="宋体" w:hAnsi="宋体" w:cs="宋体"/>
          <w:color w:val="auto"/>
          <w:sz w:val="24"/>
          <w:highlight w:val="none"/>
          <w:lang w:bidi="zh-CN"/>
        </w:rPr>
        <w:t>工期</w:t>
      </w:r>
      <w:r>
        <w:rPr>
          <w:rFonts w:hint="eastAsia" w:ascii="宋体" w:hAnsi="宋体" w:cs="宋体"/>
          <w:color w:val="auto"/>
          <w:sz w:val="24"/>
          <w:highlight w:val="none"/>
          <w:lang w:val="en-US" w:bidi="zh-CN"/>
        </w:rPr>
        <w:t>180</w:t>
      </w:r>
      <w:r>
        <w:rPr>
          <w:rFonts w:hint="eastAsia" w:ascii="宋体" w:hAnsi="宋体" w:cs="宋体"/>
          <w:color w:val="auto"/>
          <w:sz w:val="24"/>
          <w:highlight w:val="none"/>
          <w:lang w:bidi="zh-CN"/>
        </w:rPr>
        <w:t>日历天</w:t>
      </w:r>
      <w:r>
        <w:rPr>
          <w:rFonts w:hint="eastAsia" w:ascii="宋体" w:hAnsi="宋体" w:cs="宋体"/>
          <w:color w:val="auto"/>
          <w:sz w:val="24"/>
          <w:highlight w:val="none"/>
        </w:rPr>
        <w:t>。</w:t>
      </w:r>
    </w:p>
    <w:p w14:paraId="34D38BF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lang w:eastAsia="zh-CN"/>
        </w:rPr>
        <w:t>二</w:t>
      </w:r>
      <w:r>
        <w:rPr>
          <w:rFonts w:hint="eastAsia" w:ascii="宋体" w:hAnsi="宋体" w:cs="宋体"/>
          <w:b/>
          <w:bCs/>
          <w:color w:val="auto"/>
          <w:sz w:val="24"/>
          <w:highlight w:val="none"/>
        </w:rPr>
        <w:t>、项目质量等级</w:t>
      </w:r>
      <w:bookmarkEnd w:id="58"/>
    </w:p>
    <w:p w14:paraId="48681EC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满足国家现行与本项目相应的施工竣工验收规范之“合格”标准。</w:t>
      </w:r>
    </w:p>
    <w:p w14:paraId="7392982F">
      <w:pPr>
        <w:spacing w:line="360" w:lineRule="auto"/>
        <w:ind w:firstLine="482" w:firstLineChars="200"/>
        <w:rPr>
          <w:rFonts w:ascii="宋体" w:hAnsi="宋体" w:cs="宋体"/>
          <w:b/>
          <w:bCs/>
          <w:color w:val="auto"/>
          <w:sz w:val="24"/>
          <w:highlight w:val="none"/>
        </w:rPr>
      </w:pPr>
      <w:bookmarkStart w:id="59" w:name="_Toc32651"/>
      <w:r>
        <w:rPr>
          <w:rFonts w:hint="eastAsia" w:ascii="宋体" w:hAnsi="宋体" w:cs="宋体"/>
          <w:b/>
          <w:bCs/>
          <w:color w:val="auto"/>
          <w:sz w:val="24"/>
          <w:highlight w:val="none"/>
          <w:lang w:eastAsia="zh-CN"/>
        </w:rPr>
        <w:t>三</w:t>
      </w:r>
      <w:r>
        <w:rPr>
          <w:rFonts w:hint="eastAsia" w:ascii="宋体" w:hAnsi="宋体" w:cs="宋体"/>
          <w:b/>
          <w:bCs/>
          <w:color w:val="auto"/>
          <w:sz w:val="24"/>
          <w:highlight w:val="none"/>
        </w:rPr>
        <w:t>、合同履行期限</w:t>
      </w:r>
      <w:bookmarkEnd w:id="59"/>
    </w:p>
    <w:p w14:paraId="768E96E6">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总工期</w:t>
      </w:r>
      <w:r>
        <w:rPr>
          <w:rFonts w:hint="eastAsia" w:ascii="宋体" w:hAnsi="宋体" w:cs="宋体"/>
          <w:color w:val="auto"/>
          <w:sz w:val="24"/>
          <w:highlight w:val="none"/>
          <w:lang w:val="en-US" w:eastAsia="zh-CN"/>
        </w:rPr>
        <w:t>180</w:t>
      </w:r>
      <w:r>
        <w:rPr>
          <w:rFonts w:hint="eastAsia" w:ascii="宋体" w:hAnsi="宋体" w:cs="宋体"/>
          <w:color w:val="auto"/>
          <w:sz w:val="24"/>
          <w:highlight w:val="none"/>
        </w:rPr>
        <w:t>个日历天。</w:t>
      </w:r>
    </w:p>
    <w:p w14:paraId="7F5FE768">
      <w:pPr>
        <w:spacing w:line="360" w:lineRule="auto"/>
        <w:ind w:firstLine="482" w:firstLineChars="200"/>
        <w:rPr>
          <w:rFonts w:hint="eastAsia" w:ascii="宋体" w:hAnsi="宋体" w:cs="宋体"/>
          <w:b/>
          <w:bCs/>
          <w:color w:val="auto"/>
          <w:sz w:val="24"/>
          <w:highlight w:val="none"/>
          <w:lang w:eastAsia="zh-CN"/>
        </w:rPr>
      </w:pPr>
      <w:r>
        <w:rPr>
          <w:rFonts w:hint="eastAsia" w:ascii="宋体" w:hAnsi="宋体" w:cs="宋体"/>
          <w:b/>
          <w:bCs/>
          <w:color w:val="auto"/>
          <w:sz w:val="24"/>
          <w:highlight w:val="none"/>
          <w:lang w:eastAsia="zh-CN"/>
        </w:rPr>
        <w:t>四、承包方式</w:t>
      </w:r>
    </w:p>
    <w:p w14:paraId="40836207">
      <w:pPr>
        <w:spacing w:line="360" w:lineRule="auto"/>
        <w:ind w:firstLine="480" w:firstLineChars="200"/>
        <w:rPr>
          <w:rFonts w:hint="eastAsia" w:ascii="宋体" w:hAnsi="宋体" w:eastAsia="宋体" w:cs="宋体"/>
          <w:b/>
          <w:bCs/>
          <w:color w:val="auto"/>
          <w:sz w:val="24"/>
          <w:highlight w:val="none"/>
          <w:lang w:eastAsia="zh-CN"/>
        </w:rPr>
      </w:pPr>
      <w:r>
        <w:rPr>
          <w:rFonts w:hint="eastAsia" w:ascii="宋体" w:hAnsi="宋体" w:cs="宋体"/>
          <w:color w:val="auto"/>
          <w:sz w:val="24"/>
          <w:highlight w:val="none"/>
          <w:lang w:eastAsia="zh-CN"/>
        </w:rPr>
        <w:t>本工程施工合同价款采用综合单价固定，以工程量清单方式报价，按实际工程量结算</w:t>
      </w:r>
      <w:r>
        <w:rPr>
          <w:rFonts w:hint="eastAsia" w:ascii="宋体" w:hAnsi="宋体" w:cs="宋体"/>
          <w:b/>
          <w:bCs/>
          <w:color w:val="auto"/>
          <w:sz w:val="24"/>
          <w:highlight w:val="none"/>
          <w:lang w:eastAsia="zh-CN"/>
        </w:rPr>
        <w:t>。</w:t>
      </w:r>
    </w:p>
    <w:p w14:paraId="4B2A952B">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rPr>
        <w:t>五、付款方式</w:t>
      </w:r>
    </w:p>
    <w:p w14:paraId="0D47B38C">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预付款支付比例或金额:甲方向乙方支付合同总金额的 30%作为项目预付款【备注:政府投资项目应严格执行工程预付款制度，工程预付款应不低于合同总价(扣除暂列金额)的10%(最高不超过30%，并与工程进度款分期按约定比例抵扣)】</w:t>
      </w:r>
    </w:p>
    <w:p w14:paraId="4B777D4A">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进度款支付方式:合同内按工程计量周期内完成工程量的:90%；结算评审后支付97%，质保金3%一年后支付。</w:t>
      </w:r>
    </w:p>
    <w:p w14:paraId="54F3180D">
      <w:pPr>
        <w:spacing w:line="360" w:lineRule="auto"/>
        <w:ind w:firstLine="482" w:firstLineChars="200"/>
        <w:rPr>
          <w:rFonts w:hint="eastAsia" w:ascii="宋体" w:hAnsi="宋体" w:eastAsia="宋体" w:cs="宋体"/>
          <w:color w:val="auto"/>
          <w:sz w:val="24"/>
          <w:highlight w:val="none"/>
          <w:lang w:eastAsia="zh-CN"/>
        </w:rPr>
      </w:pPr>
      <w:r>
        <w:rPr>
          <w:rFonts w:hint="eastAsia" w:ascii="宋体" w:hAnsi="宋体" w:cs="宋体"/>
          <w:b/>
          <w:bCs/>
          <w:color w:val="auto"/>
          <w:sz w:val="24"/>
          <w:highlight w:val="none"/>
          <w:lang w:val="en-US" w:eastAsia="zh-CN"/>
        </w:rPr>
        <w:t>六</w:t>
      </w:r>
      <w:r>
        <w:rPr>
          <w:rFonts w:hint="eastAsia" w:ascii="宋体" w:hAnsi="宋体" w:eastAsia="宋体" w:cs="宋体"/>
          <w:b/>
          <w:bCs/>
          <w:color w:val="auto"/>
          <w:sz w:val="24"/>
          <w:highlight w:val="none"/>
          <w:lang w:eastAsia="zh-CN"/>
        </w:rPr>
        <w:t xml:space="preserve">、所属行业 </w:t>
      </w:r>
    </w:p>
    <w:p w14:paraId="37B2B24A">
      <w:pPr>
        <w:pStyle w:val="18"/>
        <w:spacing w:line="360" w:lineRule="auto"/>
        <w:ind w:firstLine="480" w:firstLineChars="200"/>
        <w:rPr>
          <w:rFonts w:hint="eastAsia" w:hAnsi="宋体" w:cs="宋体"/>
          <w:sz w:val="24"/>
          <w:szCs w:val="24"/>
          <w:highlight w:val="none"/>
        </w:rPr>
      </w:pPr>
      <w:r>
        <w:rPr>
          <w:rFonts w:hint="eastAsia" w:hAnsi="宋体" w:cs="宋体"/>
          <w:sz w:val="24"/>
          <w:szCs w:val="24"/>
          <w:highlight w:val="none"/>
        </w:rPr>
        <w:t>依照《中小企业划型标准规定》（工信部联企业〔2011〕300 号）及《国民经济行业分类》（GB/T 4754—2017）的有关规定执行，本项目所属行业为</w:t>
      </w:r>
      <w:r>
        <w:rPr>
          <w:rFonts w:hint="eastAsia" w:hAnsi="宋体" w:cs="宋体"/>
          <w:b/>
          <w:bCs/>
          <w:sz w:val="24"/>
          <w:szCs w:val="24"/>
          <w:highlight w:val="none"/>
        </w:rPr>
        <w:t>建筑业</w:t>
      </w:r>
      <w:r>
        <w:rPr>
          <w:rFonts w:hint="eastAsia" w:hAnsi="宋体" w:cs="宋体"/>
          <w:sz w:val="24"/>
          <w:szCs w:val="24"/>
          <w:highlight w:val="none"/>
        </w:rPr>
        <w:t>。</w:t>
      </w:r>
    </w:p>
    <w:p w14:paraId="7C15E865">
      <w:pPr>
        <w:pStyle w:val="18"/>
        <w:jc w:val="left"/>
        <w:rPr>
          <w:rFonts w:hint="eastAsia" w:ascii="仿宋" w:hAnsi="仿宋" w:eastAsia="仿宋" w:cs="仿宋"/>
          <w:b/>
          <w:bCs/>
          <w:sz w:val="28"/>
          <w:szCs w:val="28"/>
          <w:highlight w:val="none"/>
        </w:rPr>
      </w:pPr>
    </w:p>
    <w:p w14:paraId="520A2B57">
      <w:pPr>
        <w:pStyle w:val="18"/>
        <w:jc w:val="left"/>
        <w:rPr>
          <w:rFonts w:hint="eastAsia" w:ascii="宋体" w:hAnsi="宋体" w:eastAsia="宋体" w:cs="宋体"/>
          <w:b/>
          <w:bCs/>
          <w:color w:val="auto"/>
          <w:kern w:val="2"/>
          <w:sz w:val="24"/>
          <w:szCs w:val="24"/>
          <w:highlight w:val="none"/>
          <w:lang w:val="en-US" w:eastAsia="zh-CN" w:bidi="ar-SA"/>
        </w:rPr>
      </w:pPr>
    </w:p>
    <w:p w14:paraId="74F66F03">
      <w:pPr>
        <w:pStyle w:val="18"/>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附件1：</w:t>
      </w:r>
    </w:p>
    <w:p w14:paraId="097C6064">
      <w:pPr>
        <w:pStyle w:val="18"/>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中小微企业划型标准</w:t>
      </w:r>
    </w:p>
    <w:p w14:paraId="12B51A60">
      <w:pPr>
        <w:pStyle w:val="18"/>
        <w:jc w:val="center"/>
        <w:rPr>
          <w:rFonts w:hint="eastAsia" w:ascii="宋体" w:hAnsi="宋体" w:eastAsia="宋体" w:cs="宋体"/>
          <w:b/>
          <w:bCs/>
          <w:color w:val="auto"/>
          <w:kern w:val="2"/>
          <w:sz w:val="24"/>
          <w:szCs w:val="24"/>
          <w:highlight w:val="none"/>
          <w:lang w:val="en-US" w:eastAsia="zh-CN" w:bidi="ar-SA"/>
        </w:rPr>
      </w:pPr>
    </w:p>
    <w:tbl>
      <w:tblPr>
        <w:tblStyle w:val="30"/>
        <w:tblW w:w="9567" w:type="dxa"/>
        <w:tblInd w:w="-109" w:type="dxa"/>
        <w:tblLayout w:type="fixed"/>
        <w:tblCellMar>
          <w:top w:w="0" w:type="dxa"/>
          <w:left w:w="108" w:type="dxa"/>
          <w:bottom w:w="0" w:type="dxa"/>
          <w:right w:w="108" w:type="dxa"/>
        </w:tblCellMar>
      </w:tblPr>
      <w:tblGrid>
        <w:gridCol w:w="1835"/>
        <w:gridCol w:w="2042"/>
        <w:gridCol w:w="876"/>
        <w:gridCol w:w="1896"/>
        <w:gridCol w:w="1751"/>
        <w:gridCol w:w="1167"/>
      </w:tblGrid>
      <w:tr w14:paraId="203B542A">
        <w:tblPrEx>
          <w:tblCellMar>
            <w:top w:w="0" w:type="dxa"/>
            <w:left w:w="108" w:type="dxa"/>
            <w:bottom w:w="0" w:type="dxa"/>
            <w:right w:w="108" w:type="dxa"/>
          </w:tblCellMar>
        </w:tblPrEx>
        <w:trPr>
          <w:trHeight w:val="690" w:hRule="atLeast"/>
        </w:trPr>
        <w:tc>
          <w:tcPr>
            <w:tcW w:w="1835" w:type="dxa"/>
            <w:tcBorders>
              <w:top w:val="single" w:color="auto" w:sz="4" w:space="0"/>
              <w:left w:val="single" w:color="auto" w:sz="4" w:space="0"/>
              <w:bottom w:val="single" w:color="auto" w:sz="4" w:space="0"/>
              <w:right w:val="single" w:color="auto" w:sz="4" w:space="0"/>
            </w:tcBorders>
            <w:noWrap w:val="0"/>
            <w:vAlign w:val="center"/>
          </w:tcPr>
          <w:p w14:paraId="592FDFD0">
            <w:pPr>
              <w:widowControl/>
              <w:spacing w:line="340" w:lineRule="exact"/>
              <w:jc w:val="center"/>
              <w:rPr>
                <w:rFonts w:ascii="仿宋" w:hAnsi="仿宋" w:eastAsia="仿宋" w:cs="仿宋"/>
                <w:b/>
                <w:kern w:val="0"/>
                <w:sz w:val="24"/>
                <w:highlight w:val="none"/>
              </w:rPr>
            </w:pPr>
            <w:r>
              <w:rPr>
                <w:rFonts w:ascii="仿宋" w:hAnsi="仿宋" w:eastAsia="仿宋" w:cs="仿宋"/>
                <w:b/>
                <w:kern w:val="0"/>
                <w:sz w:val="24"/>
                <w:highlight w:val="none"/>
              </w:rPr>
              <w:t>行业名称</w:t>
            </w:r>
          </w:p>
        </w:tc>
        <w:tc>
          <w:tcPr>
            <w:tcW w:w="2042" w:type="dxa"/>
            <w:tcBorders>
              <w:top w:val="single" w:color="auto" w:sz="4" w:space="0"/>
              <w:left w:val="nil"/>
              <w:bottom w:val="single" w:color="auto" w:sz="4" w:space="0"/>
              <w:right w:val="single" w:color="auto" w:sz="4" w:space="0"/>
            </w:tcBorders>
            <w:noWrap w:val="0"/>
            <w:vAlign w:val="center"/>
          </w:tcPr>
          <w:p w14:paraId="4876C0D4">
            <w:pPr>
              <w:widowControl/>
              <w:spacing w:line="340" w:lineRule="exact"/>
              <w:jc w:val="center"/>
              <w:rPr>
                <w:rFonts w:ascii="仿宋" w:hAnsi="仿宋" w:eastAsia="仿宋" w:cs="仿宋"/>
                <w:b/>
                <w:kern w:val="0"/>
                <w:sz w:val="24"/>
                <w:highlight w:val="none"/>
              </w:rPr>
            </w:pPr>
            <w:r>
              <w:rPr>
                <w:rFonts w:ascii="仿宋" w:hAnsi="仿宋" w:eastAsia="仿宋" w:cs="仿宋"/>
                <w:b/>
                <w:kern w:val="0"/>
                <w:sz w:val="24"/>
                <w:highlight w:val="none"/>
              </w:rPr>
              <w:t>指标名称</w:t>
            </w:r>
          </w:p>
        </w:tc>
        <w:tc>
          <w:tcPr>
            <w:tcW w:w="876" w:type="dxa"/>
            <w:tcBorders>
              <w:top w:val="single" w:color="auto" w:sz="4" w:space="0"/>
              <w:left w:val="nil"/>
              <w:bottom w:val="single" w:color="auto" w:sz="4" w:space="0"/>
              <w:right w:val="single" w:color="auto" w:sz="4" w:space="0"/>
            </w:tcBorders>
            <w:noWrap w:val="0"/>
            <w:vAlign w:val="center"/>
          </w:tcPr>
          <w:p w14:paraId="60723007">
            <w:pPr>
              <w:widowControl/>
              <w:spacing w:line="340" w:lineRule="exact"/>
              <w:jc w:val="center"/>
              <w:rPr>
                <w:rFonts w:ascii="仿宋" w:hAnsi="仿宋" w:eastAsia="仿宋" w:cs="仿宋"/>
                <w:b/>
                <w:kern w:val="0"/>
                <w:sz w:val="24"/>
                <w:highlight w:val="none"/>
              </w:rPr>
            </w:pPr>
            <w:r>
              <w:rPr>
                <w:rFonts w:ascii="仿宋" w:hAnsi="仿宋" w:eastAsia="仿宋" w:cs="仿宋"/>
                <w:b/>
                <w:kern w:val="0"/>
                <w:sz w:val="24"/>
                <w:highlight w:val="none"/>
              </w:rPr>
              <w:t>计量单位</w:t>
            </w:r>
          </w:p>
        </w:tc>
        <w:tc>
          <w:tcPr>
            <w:tcW w:w="1896" w:type="dxa"/>
            <w:tcBorders>
              <w:top w:val="single" w:color="auto" w:sz="4" w:space="0"/>
              <w:left w:val="nil"/>
              <w:bottom w:val="single" w:color="auto" w:sz="4" w:space="0"/>
              <w:right w:val="single" w:color="auto" w:sz="4" w:space="0"/>
            </w:tcBorders>
            <w:noWrap w:val="0"/>
            <w:vAlign w:val="center"/>
          </w:tcPr>
          <w:p w14:paraId="1CB10422">
            <w:pPr>
              <w:widowControl/>
              <w:spacing w:line="340" w:lineRule="exact"/>
              <w:jc w:val="center"/>
              <w:rPr>
                <w:rFonts w:ascii="仿宋" w:hAnsi="仿宋" w:eastAsia="仿宋" w:cs="仿宋"/>
                <w:b/>
                <w:kern w:val="0"/>
                <w:sz w:val="24"/>
                <w:highlight w:val="none"/>
              </w:rPr>
            </w:pPr>
            <w:r>
              <w:rPr>
                <w:rFonts w:ascii="仿宋" w:hAnsi="仿宋" w:eastAsia="仿宋" w:cs="仿宋"/>
                <w:b/>
                <w:kern w:val="0"/>
                <w:sz w:val="24"/>
                <w:highlight w:val="none"/>
              </w:rPr>
              <w:t>中型</w:t>
            </w:r>
          </w:p>
        </w:tc>
        <w:tc>
          <w:tcPr>
            <w:tcW w:w="1751" w:type="dxa"/>
            <w:tcBorders>
              <w:top w:val="single" w:color="auto" w:sz="4" w:space="0"/>
              <w:left w:val="nil"/>
              <w:bottom w:val="single" w:color="auto" w:sz="4" w:space="0"/>
              <w:right w:val="single" w:color="auto" w:sz="4" w:space="0"/>
            </w:tcBorders>
            <w:noWrap w:val="0"/>
            <w:vAlign w:val="center"/>
          </w:tcPr>
          <w:p w14:paraId="28DD843B">
            <w:pPr>
              <w:widowControl/>
              <w:spacing w:line="340" w:lineRule="exact"/>
              <w:jc w:val="center"/>
              <w:rPr>
                <w:rFonts w:ascii="仿宋" w:hAnsi="仿宋" w:eastAsia="仿宋" w:cs="仿宋"/>
                <w:b/>
                <w:kern w:val="0"/>
                <w:sz w:val="24"/>
                <w:highlight w:val="none"/>
              </w:rPr>
            </w:pPr>
            <w:r>
              <w:rPr>
                <w:rFonts w:ascii="仿宋" w:hAnsi="仿宋" w:eastAsia="仿宋" w:cs="仿宋"/>
                <w:b/>
                <w:kern w:val="0"/>
                <w:sz w:val="24"/>
                <w:highlight w:val="none"/>
              </w:rPr>
              <w:t>小型</w:t>
            </w:r>
          </w:p>
        </w:tc>
        <w:tc>
          <w:tcPr>
            <w:tcW w:w="1167" w:type="dxa"/>
            <w:tcBorders>
              <w:top w:val="single" w:color="auto" w:sz="4" w:space="0"/>
              <w:left w:val="nil"/>
              <w:bottom w:val="single" w:color="auto" w:sz="4" w:space="0"/>
              <w:right w:val="single" w:color="auto" w:sz="4" w:space="0"/>
            </w:tcBorders>
            <w:noWrap w:val="0"/>
            <w:vAlign w:val="center"/>
          </w:tcPr>
          <w:p w14:paraId="0C3867F1">
            <w:pPr>
              <w:widowControl/>
              <w:spacing w:line="340" w:lineRule="exact"/>
              <w:jc w:val="center"/>
              <w:rPr>
                <w:rFonts w:ascii="仿宋" w:hAnsi="仿宋" w:eastAsia="仿宋" w:cs="仿宋"/>
                <w:b/>
                <w:kern w:val="0"/>
                <w:sz w:val="24"/>
                <w:highlight w:val="none"/>
              </w:rPr>
            </w:pPr>
            <w:r>
              <w:rPr>
                <w:rFonts w:ascii="仿宋" w:hAnsi="仿宋" w:eastAsia="仿宋" w:cs="仿宋"/>
                <w:b/>
                <w:kern w:val="0"/>
                <w:sz w:val="24"/>
                <w:highlight w:val="none"/>
              </w:rPr>
              <w:t>微型</w:t>
            </w:r>
          </w:p>
        </w:tc>
      </w:tr>
      <w:tr w14:paraId="4E2163DC">
        <w:tblPrEx>
          <w:tblCellMar>
            <w:top w:w="0" w:type="dxa"/>
            <w:left w:w="108" w:type="dxa"/>
            <w:bottom w:w="0" w:type="dxa"/>
            <w:right w:w="108" w:type="dxa"/>
          </w:tblCellMar>
        </w:tblPrEx>
        <w:trPr>
          <w:trHeight w:val="350" w:hRule="atLeast"/>
        </w:trPr>
        <w:tc>
          <w:tcPr>
            <w:tcW w:w="1835" w:type="dxa"/>
            <w:tcBorders>
              <w:top w:val="nil"/>
              <w:left w:val="single" w:color="auto" w:sz="4" w:space="0"/>
              <w:bottom w:val="single" w:color="auto" w:sz="4" w:space="0"/>
              <w:right w:val="single" w:color="auto" w:sz="4" w:space="0"/>
            </w:tcBorders>
            <w:noWrap w:val="0"/>
            <w:vAlign w:val="center"/>
          </w:tcPr>
          <w:p w14:paraId="1CFF3ACA">
            <w:pPr>
              <w:widowControl/>
              <w:spacing w:line="340" w:lineRule="exact"/>
              <w:jc w:val="center"/>
              <w:rPr>
                <w:rFonts w:ascii="仿宋" w:hAnsi="仿宋" w:eastAsia="仿宋" w:cs="仿宋"/>
                <w:b/>
                <w:bCs/>
                <w:kern w:val="0"/>
                <w:szCs w:val="21"/>
                <w:highlight w:val="none"/>
              </w:rPr>
            </w:pPr>
            <w:r>
              <w:rPr>
                <w:rFonts w:ascii="仿宋" w:hAnsi="仿宋" w:eastAsia="仿宋" w:cs="仿宋"/>
                <w:b/>
                <w:bCs/>
                <w:kern w:val="0"/>
                <w:szCs w:val="21"/>
                <w:highlight w:val="none"/>
              </w:rPr>
              <w:t>农、林、牧、渔</w:t>
            </w:r>
          </w:p>
        </w:tc>
        <w:tc>
          <w:tcPr>
            <w:tcW w:w="2042" w:type="dxa"/>
            <w:tcBorders>
              <w:top w:val="nil"/>
              <w:left w:val="nil"/>
              <w:bottom w:val="single" w:color="auto" w:sz="4" w:space="0"/>
              <w:right w:val="single" w:color="auto" w:sz="4" w:space="0"/>
            </w:tcBorders>
            <w:noWrap w:val="0"/>
            <w:vAlign w:val="center"/>
          </w:tcPr>
          <w:p w14:paraId="65BD6FF7">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营业收入（Y）</w:t>
            </w:r>
          </w:p>
        </w:tc>
        <w:tc>
          <w:tcPr>
            <w:tcW w:w="876" w:type="dxa"/>
            <w:tcBorders>
              <w:top w:val="nil"/>
              <w:left w:val="nil"/>
              <w:bottom w:val="single" w:color="auto" w:sz="4" w:space="0"/>
              <w:right w:val="single" w:color="auto" w:sz="4" w:space="0"/>
            </w:tcBorders>
            <w:noWrap w:val="0"/>
            <w:vAlign w:val="center"/>
          </w:tcPr>
          <w:p w14:paraId="0548876F">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万元</w:t>
            </w:r>
          </w:p>
        </w:tc>
        <w:tc>
          <w:tcPr>
            <w:tcW w:w="1896" w:type="dxa"/>
            <w:tcBorders>
              <w:top w:val="nil"/>
              <w:left w:val="nil"/>
              <w:bottom w:val="single" w:color="auto" w:sz="4" w:space="0"/>
              <w:right w:val="single" w:color="auto" w:sz="4" w:space="0"/>
            </w:tcBorders>
            <w:noWrap w:val="0"/>
            <w:vAlign w:val="center"/>
          </w:tcPr>
          <w:p w14:paraId="44C876FA">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500≤Y＜20000</w:t>
            </w:r>
          </w:p>
        </w:tc>
        <w:tc>
          <w:tcPr>
            <w:tcW w:w="1751" w:type="dxa"/>
            <w:tcBorders>
              <w:top w:val="nil"/>
              <w:left w:val="nil"/>
              <w:bottom w:val="single" w:color="auto" w:sz="4" w:space="0"/>
              <w:right w:val="single" w:color="auto" w:sz="4" w:space="0"/>
            </w:tcBorders>
            <w:noWrap w:val="0"/>
            <w:vAlign w:val="center"/>
          </w:tcPr>
          <w:p w14:paraId="611141C4">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50≤Y＜500</w:t>
            </w:r>
          </w:p>
        </w:tc>
        <w:tc>
          <w:tcPr>
            <w:tcW w:w="1167" w:type="dxa"/>
            <w:tcBorders>
              <w:top w:val="nil"/>
              <w:left w:val="nil"/>
              <w:bottom w:val="single" w:color="auto" w:sz="4" w:space="0"/>
              <w:right w:val="single" w:color="auto" w:sz="4" w:space="0"/>
            </w:tcBorders>
            <w:noWrap w:val="0"/>
            <w:vAlign w:val="center"/>
          </w:tcPr>
          <w:p w14:paraId="534AC676">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Y＜50</w:t>
            </w:r>
          </w:p>
        </w:tc>
      </w:tr>
      <w:tr w14:paraId="290D6987">
        <w:tblPrEx>
          <w:tblCellMar>
            <w:top w:w="0" w:type="dxa"/>
            <w:left w:w="108" w:type="dxa"/>
            <w:bottom w:w="0" w:type="dxa"/>
            <w:right w:w="108" w:type="dxa"/>
          </w:tblCellMar>
        </w:tblPrEx>
        <w:trPr>
          <w:trHeight w:val="350" w:hRule="atLeast"/>
        </w:trPr>
        <w:tc>
          <w:tcPr>
            <w:tcW w:w="1835" w:type="dxa"/>
            <w:vMerge w:val="restart"/>
            <w:tcBorders>
              <w:top w:val="nil"/>
              <w:left w:val="single" w:color="auto" w:sz="4" w:space="0"/>
              <w:bottom w:val="single" w:color="auto" w:sz="4" w:space="0"/>
              <w:right w:val="single" w:color="auto" w:sz="4" w:space="0"/>
            </w:tcBorders>
            <w:noWrap w:val="0"/>
            <w:vAlign w:val="center"/>
          </w:tcPr>
          <w:p w14:paraId="7FBFA257">
            <w:pPr>
              <w:widowControl/>
              <w:spacing w:line="340" w:lineRule="exact"/>
              <w:jc w:val="center"/>
              <w:rPr>
                <w:rFonts w:ascii="仿宋" w:hAnsi="仿宋" w:eastAsia="仿宋" w:cs="仿宋"/>
                <w:b/>
                <w:bCs/>
                <w:kern w:val="0"/>
                <w:szCs w:val="21"/>
                <w:highlight w:val="none"/>
              </w:rPr>
            </w:pPr>
            <w:r>
              <w:rPr>
                <w:rFonts w:ascii="仿宋" w:hAnsi="仿宋" w:eastAsia="仿宋" w:cs="仿宋"/>
                <w:b/>
                <w:bCs/>
                <w:kern w:val="0"/>
                <w:szCs w:val="21"/>
                <w:highlight w:val="none"/>
              </w:rPr>
              <w:t>工业</w:t>
            </w:r>
          </w:p>
        </w:tc>
        <w:tc>
          <w:tcPr>
            <w:tcW w:w="2042" w:type="dxa"/>
            <w:tcBorders>
              <w:top w:val="nil"/>
              <w:left w:val="nil"/>
              <w:bottom w:val="single" w:color="auto" w:sz="4" w:space="0"/>
              <w:right w:val="single" w:color="auto" w:sz="4" w:space="0"/>
            </w:tcBorders>
            <w:noWrap w:val="0"/>
            <w:vAlign w:val="center"/>
          </w:tcPr>
          <w:p w14:paraId="02EFCB18">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从业人员（X）</w:t>
            </w:r>
          </w:p>
        </w:tc>
        <w:tc>
          <w:tcPr>
            <w:tcW w:w="876" w:type="dxa"/>
            <w:tcBorders>
              <w:top w:val="nil"/>
              <w:left w:val="nil"/>
              <w:bottom w:val="single" w:color="auto" w:sz="4" w:space="0"/>
              <w:right w:val="single" w:color="auto" w:sz="4" w:space="0"/>
            </w:tcBorders>
            <w:noWrap w:val="0"/>
            <w:vAlign w:val="center"/>
          </w:tcPr>
          <w:p w14:paraId="62F7200E">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人</w:t>
            </w:r>
          </w:p>
        </w:tc>
        <w:tc>
          <w:tcPr>
            <w:tcW w:w="1896" w:type="dxa"/>
            <w:tcBorders>
              <w:top w:val="nil"/>
              <w:left w:val="nil"/>
              <w:bottom w:val="single" w:color="auto" w:sz="4" w:space="0"/>
              <w:right w:val="single" w:color="auto" w:sz="4" w:space="0"/>
            </w:tcBorders>
            <w:noWrap w:val="0"/>
            <w:vAlign w:val="center"/>
          </w:tcPr>
          <w:p w14:paraId="0A48ED61">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300≤X＜1000</w:t>
            </w:r>
          </w:p>
        </w:tc>
        <w:tc>
          <w:tcPr>
            <w:tcW w:w="1751" w:type="dxa"/>
            <w:tcBorders>
              <w:top w:val="nil"/>
              <w:left w:val="nil"/>
              <w:bottom w:val="single" w:color="auto" w:sz="4" w:space="0"/>
              <w:right w:val="single" w:color="auto" w:sz="4" w:space="0"/>
            </w:tcBorders>
            <w:noWrap w:val="0"/>
            <w:vAlign w:val="center"/>
          </w:tcPr>
          <w:p w14:paraId="3DEE5F56">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20≤X＜300</w:t>
            </w:r>
          </w:p>
        </w:tc>
        <w:tc>
          <w:tcPr>
            <w:tcW w:w="1167" w:type="dxa"/>
            <w:tcBorders>
              <w:top w:val="nil"/>
              <w:left w:val="nil"/>
              <w:bottom w:val="single" w:color="auto" w:sz="4" w:space="0"/>
              <w:right w:val="single" w:color="auto" w:sz="4" w:space="0"/>
            </w:tcBorders>
            <w:noWrap w:val="0"/>
            <w:vAlign w:val="center"/>
          </w:tcPr>
          <w:p w14:paraId="53BD6B8A">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X＜20</w:t>
            </w:r>
          </w:p>
        </w:tc>
      </w:tr>
      <w:tr w14:paraId="75294541">
        <w:tblPrEx>
          <w:tblCellMar>
            <w:top w:w="0" w:type="dxa"/>
            <w:left w:w="108" w:type="dxa"/>
            <w:bottom w:w="0" w:type="dxa"/>
            <w:right w:w="108" w:type="dxa"/>
          </w:tblCellMar>
        </w:tblPrEx>
        <w:trPr>
          <w:trHeight w:val="350" w:hRule="atLeast"/>
        </w:trPr>
        <w:tc>
          <w:tcPr>
            <w:tcW w:w="1835" w:type="dxa"/>
            <w:vMerge w:val="continue"/>
            <w:tcBorders>
              <w:top w:val="nil"/>
              <w:left w:val="single" w:color="auto" w:sz="4" w:space="0"/>
              <w:bottom w:val="single" w:color="auto" w:sz="4" w:space="0"/>
              <w:right w:val="single" w:color="auto" w:sz="4" w:space="0"/>
            </w:tcBorders>
            <w:noWrap w:val="0"/>
            <w:vAlign w:val="center"/>
          </w:tcPr>
          <w:p w14:paraId="4E5AC556">
            <w:pPr>
              <w:widowControl/>
              <w:spacing w:line="340" w:lineRule="exact"/>
              <w:jc w:val="center"/>
              <w:rPr>
                <w:rFonts w:ascii="仿宋" w:hAnsi="仿宋" w:eastAsia="仿宋" w:cs="仿宋"/>
                <w:b/>
                <w:bCs/>
                <w:kern w:val="0"/>
                <w:szCs w:val="21"/>
                <w:highlight w:val="none"/>
              </w:rPr>
            </w:pPr>
          </w:p>
        </w:tc>
        <w:tc>
          <w:tcPr>
            <w:tcW w:w="2042" w:type="dxa"/>
            <w:tcBorders>
              <w:top w:val="nil"/>
              <w:left w:val="nil"/>
              <w:bottom w:val="single" w:color="auto" w:sz="4" w:space="0"/>
              <w:right w:val="single" w:color="auto" w:sz="4" w:space="0"/>
            </w:tcBorders>
            <w:noWrap w:val="0"/>
            <w:vAlign w:val="center"/>
          </w:tcPr>
          <w:p w14:paraId="5A7A20A1">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营业收入（Y）</w:t>
            </w:r>
          </w:p>
        </w:tc>
        <w:tc>
          <w:tcPr>
            <w:tcW w:w="876" w:type="dxa"/>
            <w:tcBorders>
              <w:top w:val="nil"/>
              <w:left w:val="nil"/>
              <w:bottom w:val="single" w:color="auto" w:sz="4" w:space="0"/>
              <w:right w:val="single" w:color="auto" w:sz="4" w:space="0"/>
            </w:tcBorders>
            <w:noWrap w:val="0"/>
            <w:vAlign w:val="center"/>
          </w:tcPr>
          <w:p w14:paraId="7FDA21D4">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万元</w:t>
            </w:r>
          </w:p>
        </w:tc>
        <w:tc>
          <w:tcPr>
            <w:tcW w:w="1896" w:type="dxa"/>
            <w:tcBorders>
              <w:top w:val="nil"/>
              <w:left w:val="nil"/>
              <w:bottom w:val="single" w:color="auto" w:sz="4" w:space="0"/>
              <w:right w:val="single" w:color="auto" w:sz="4" w:space="0"/>
            </w:tcBorders>
            <w:noWrap w:val="0"/>
            <w:vAlign w:val="center"/>
          </w:tcPr>
          <w:p w14:paraId="0C8A6884">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2000≤Y＜40000</w:t>
            </w:r>
          </w:p>
        </w:tc>
        <w:tc>
          <w:tcPr>
            <w:tcW w:w="1751" w:type="dxa"/>
            <w:tcBorders>
              <w:top w:val="nil"/>
              <w:left w:val="nil"/>
              <w:bottom w:val="single" w:color="auto" w:sz="4" w:space="0"/>
              <w:right w:val="single" w:color="auto" w:sz="4" w:space="0"/>
            </w:tcBorders>
            <w:noWrap w:val="0"/>
            <w:vAlign w:val="center"/>
          </w:tcPr>
          <w:p w14:paraId="5AD8421F">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300≤Y＜2000</w:t>
            </w:r>
          </w:p>
        </w:tc>
        <w:tc>
          <w:tcPr>
            <w:tcW w:w="1167" w:type="dxa"/>
            <w:tcBorders>
              <w:top w:val="nil"/>
              <w:left w:val="nil"/>
              <w:bottom w:val="single" w:color="auto" w:sz="4" w:space="0"/>
              <w:right w:val="single" w:color="auto" w:sz="4" w:space="0"/>
            </w:tcBorders>
            <w:noWrap w:val="0"/>
            <w:vAlign w:val="center"/>
          </w:tcPr>
          <w:p w14:paraId="4925C277">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Y＜300</w:t>
            </w:r>
          </w:p>
        </w:tc>
      </w:tr>
      <w:tr w14:paraId="66604ACA">
        <w:tblPrEx>
          <w:tblCellMar>
            <w:top w:w="0" w:type="dxa"/>
            <w:left w:w="108" w:type="dxa"/>
            <w:bottom w:w="0" w:type="dxa"/>
            <w:right w:w="108" w:type="dxa"/>
          </w:tblCellMar>
        </w:tblPrEx>
        <w:trPr>
          <w:trHeight w:val="350" w:hRule="atLeast"/>
        </w:trPr>
        <w:tc>
          <w:tcPr>
            <w:tcW w:w="1835" w:type="dxa"/>
            <w:vMerge w:val="restart"/>
            <w:tcBorders>
              <w:top w:val="nil"/>
              <w:left w:val="single" w:color="auto" w:sz="4" w:space="0"/>
              <w:bottom w:val="single" w:color="auto" w:sz="4" w:space="0"/>
              <w:right w:val="single" w:color="auto" w:sz="4" w:space="0"/>
            </w:tcBorders>
            <w:noWrap w:val="0"/>
            <w:vAlign w:val="center"/>
          </w:tcPr>
          <w:p w14:paraId="782A9590">
            <w:pPr>
              <w:widowControl/>
              <w:spacing w:line="340" w:lineRule="exact"/>
              <w:jc w:val="center"/>
              <w:rPr>
                <w:rFonts w:ascii="仿宋" w:hAnsi="仿宋" w:eastAsia="仿宋" w:cs="仿宋"/>
                <w:b/>
                <w:bCs/>
                <w:kern w:val="0"/>
                <w:szCs w:val="21"/>
                <w:highlight w:val="none"/>
              </w:rPr>
            </w:pPr>
            <w:r>
              <w:rPr>
                <w:rFonts w:ascii="仿宋" w:hAnsi="仿宋" w:eastAsia="仿宋" w:cs="仿宋"/>
                <w:b/>
                <w:bCs/>
                <w:kern w:val="0"/>
                <w:szCs w:val="21"/>
                <w:highlight w:val="none"/>
              </w:rPr>
              <w:t>建筑业</w:t>
            </w:r>
          </w:p>
        </w:tc>
        <w:tc>
          <w:tcPr>
            <w:tcW w:w="2042" w:type="dxa"/>
            <w:tcBorders>
              <w:top w:val="nil"/>
              <w:left w:val="nil"/>
              <w:bottom w:val="single" w:color="auto" w:sz="4" w:space="0"/>
              <w:right w:val="single" w:color="auto" w:sz="4" w:space="0"/>
            </w:tcBorders>
            <w:noWrap w:val="0"/>
            <w:vAlign w:val="center"/>
          </w:tcPr>
          <w:p w14:paraId="78007A7A">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营业收入（Y）</w:t>
            </w:r>
          </w:p>
        </w:tc>
        <w:tc>
          <w:tcPr>
            <w:tcW w:w="876" w:type="dxa"/>
            <w:tcBorders>
              <w:top w:val="nil"/>
              <w:left w:val="nil"/>
              <w:bottom w:val="single" w:color="auto" w:sz="4" w:space="0"/>
              <w:right w:val="single" w:color="auto" w:sz="4" w:space="0"/>
            </w:tcBorders>
            <w:noWrap w:val="0"/>
            <w:vAlign w:val="center"/>
          </w:tcPr>
          <w:p w14:paraId="1B7E5530">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万元</w:t>
            </w:r>
          </w:p>
        </w:tc>
        <w:tc>
          <w:tcPr>
            <w:tcW w:w="1896" w:type="dxa"/>
            <w:tcBorders>
              <w:top w:val="nil"/>
              <w:left w:val="nil"/>
              <w:bottom w:val="single" w:color="auto" w:sz="4" w:space="0"/>
              <w:right w:val="single" w:color="auto" w:sz="4" w:space="0"/>
            </w:tcBorders>
            <w:noWrap w:val="0"/>
            <w:vAlign w:val="center"/>
          </w:tcPr>
          <w:p w14:paraId="2605EF18">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6000≤Y＜80000</w:t>
            </w:r>
          </w:p>
        </w:tc>
        <w:tc>
          <w:tcPr>
            <w:tcW w:w="1751" w:type="dxa"/>
            <w:tcBorders>
              <w:top w:val="nil"/>
              <w:left w:val="nil"/>
              <w:bottom w:val="single" w:color="auto" w:sz="4" w:space="0"/>
              <w:right w:val="single" w:color="auto" w:sz="4" w:space="0"/>
            </w:tcBorders>
            <w:noWrap w:val="0"/>
            <w:vAlign w:val="center"/>
          </w:tcPr>
          <w:p w14:paraId="587B59EA">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300≤Y＜6000</w:t>
            </w:r>
          </w:p>
        </w:tc>
        <w:tc>
          <w:tcPr>
            <w:tcW w:w="1167" w:type="dxa"/>
            <w:tcBorders>
              <w:top w:val="nil"/>
              <w:left w:val="nil"/>
              <w:bottom w:val="single" w:color="auto" w:sz="4" w:space="0"/>
              <w:right w:val="single" w:color="auto" w:sz="4" w:space="0"/>
            </w:tcBorders>
            <w:noWrap w:val="0"/>
            <w:vAlign w:val="center"/>
          </w:tcPr>
          <w:p w14:paraId="3C318F37">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Y＜300</w:t>
            </w:r>
          </w:p>
        </w:tc>
      </w:tr>
      <w:tr w14:paraId="4DACD406">
        <w:tblPrEx>
          <w:tblCellMar>
            <w:top w:w="0" w:type="dxa"/>
            <w:left w:w="108" w:type="dxa"/>
            <w:bottom w:w="0" w:type="dxa"/>
            <w:right w:w="108" w:type="dxa"/>
          </w:tblCellMar>
        </w:tblPrEx>
        <w:trPr>
          <w:trHeight w:val="350" w:hRule="atLeast"/>
        </w:trPr>
        <w:tc>
          <w:tcPr>
            <w:tcW w:w="1835" w:type="dxa"/>
            <w:vMerge w:val="continue"/>
            <w:tcBorders>
              <w:top w:val="nil"/>
              <w:left w:val="single" w:color="auto" w:sz="4" w:space="0"/>
              <w:bottom w:val="single" w:color="auto" w:sz="4" w:space="0"/>
              <w:right w:val="single" w:color="auto" w:sz="4" w:space="0"/>
            </w:tcBorders>
            <w:noWrap w:val="0"/>
            <w:vAlign w:val="center"/>
          </w:tcPr>
          <w:p w14:paraId="070B99FF">
            <w:pPr>
              <w:widowControl/>
              <w:spacing w:line="340" w:lineRule="exact"/>
              <w:jc w:val="center"/>
              <w:rPr>
                <w:rFonts w:ascii="仿宋" w:hAnsi="仿宋" w:eastAsia="仿宋" w:cs="仿宋"/>
                <w:b/>
                <w:bCs/>
                <w:kern w:val="0"/>
                <w:szCs w:val="21"/>
                <w:highlight w:val="none"/>
              </w:rPr>
            </w:pPr>
          </w:p>
        </w:tc>
        <w:tc>
          <w:tcPr>
            <w:tcW w:w="2042" w:type="dxa"/>
            <w:tcBorders>
              <w:top w:val="nil"/>
              <w:left w:val="nil"/>
              <w:bottom w:val="single" w:color="auto" w:sz="4" w:space="0"/>
              <w:right w:val="single" w:color="auto" w:sz="4" w:space="0"/>
            </w:tcBorders>
            <w:noWrap w:val="0"/>
            <w:vAlign w:val="center"/>
          </w:tcPr>
          <w:p w14:paraId="1D4472E1">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资产总额（Z）</w:t>
            </w:r>
          </w:p>
        </w:tc>
        <w:tc>
          <w:tcPr>
            <w:tcW w:w="876" w:type="dxa"/>
            <w:tcBorders>
              <w:top w:val="nil"/>
              <w:left w:val="nil"/>
              <w:bottom w:val="single" w:color="auto" w:sz="4" w:space="0"/>
              <w:right w:val="single" w:color="auto" w:sz="4" w:space="0"/>
            </w:tcBorders>
            <w:noWrap w:val="0"/>
            <w:vAlign w:val="center"/>
          </w:tcPr>
          <w:p w14:paraId="6FDC4143">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万元</w:t>
            </w:r>
          </w:p>
        </w:tc>
        <w:tc>
          <w:tcPr>
            <w:tcW w:w="1896" w:type="dxa"/>
            <w:tcBorders>
              <w:top w:val="nil"/>
              <w:left w:val="nil"/>
              <w:bottom w:val="single" w:color="auto" w:sz="4" w:space="0"/>
              <w:right w:val="single" w:color="auto" w:sz="4" w:space="0"/>
            </w:tcBorders>
            <w:noWrap w:val="0"/>
            <w:vAlign w:val="center"/>
          </w:tcPr>
          <w:p w14:paraId="02F98FCA">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5000≤Z＜80000</w:t>
            </w:r>
          </w:p>
        </w:tc>
        <w:tc>
          <w:tcPr>
            <w:tcW w:w="1751" w:type="dxa"/>
            <w:tcBorders>
              <w:top w:val="nil"/>
              <w:left w:val="nil"/>
              <w:bottom w:val="single" w:color="auto" w:sz="4" w:space="0"/>
              <w:right w:val="single" w:color="auto" w:sz="4" w:space="0"/>
            </w:tcBorders>
            <w:noWrap w:val="0"/>
            <w:vAlign w:val="center"/>
          </w:tcPr>
          <w:p w14:paraId="5EF78883">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300≤Z＜5000</w:t>
            </w:r>
          </w:p>
        </w:tc>
        <w:tc>
          <w:tcPr>
            <w:tcW w:w="1167" w:type="dxa"/>
            <w:tcBorders>
              <w:top w:val="nil"/>
              <w:left w:val="nil"/>
              <w:bottom w:val="single" w:color="auto" w:sz="4" w:space="0"/>
              <w:right w:val="single" w:color="auto" w:sz="4" w:space="0"/>
            </w:tcBorders>
            <w:noWrap w:val="0"/>
            <w:vAlign w:val="center"/>
          </w:tcPr>
          <w:p w14:paraId="2388F2A4">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Z＜300</w:t>
            </w:r>
          </w:p>
        </w:tc>
      </w:tr>
      <w:tr w14:paraId="275FFD50">
        <w:tblPrEx>
          <w:tblCellMar>
            <w:top w:w="0" w:type="dxa"/>
            <w:left w:w="108" w:type="dxa"/>
            <w:bottom w:w="0" w:type="dxa"/>
            <w:right w:w="108" w:type="dxa"/>
          </w:tblCellMar>
        </w:tblPrEx>
        <w:trPr>
          <w:trHeight w:val="350" w:hRule="atLeast"/>
        </w:trPr>
        <w:tc>
          <w:tcPr>
            <w:tcW w:w="1835" w:type="dxa"/>
            <w:vMerge w:val="restart"/>
            <w:tcBorders>
              <w:top w:val="nil"/>
              <w:left w:val="single" w:color="auto" w:sz="4" w:space="0"/>
              <w:bottom w:val="single" w:color="auto" w:sz="4" w:space="0"/>
              <w:right w:val="single" w:color="auto" w:sz="4" w:space="0"/>
            </w:tcBorders>
            <w:noWrap w:val="0"/>
            <w:vAlign w:val="center"/>
          </w:tcPr>
          <w:p w14:paraId="2EA06B7A">
            <w:pPr>
              <w:widowControl/>
              <w:spacing w:line="340" w:lineRule="exact"/>
              <w:jc w:val="center"/>
              <w:rPr>
                <w:rFonts w:ascii="仿宋" w:hAnsi="仿宋" w:eastAsia="仿宋" w:cs="仿宋"/>
                <w:b/>
                <w:bCs/>
                <w:kern w:val="0"/>
                <w:szCs w:val="21"/>
                <w:highlight w:val="none"/>
              </w:rPr>
            </w:pPr>
            <w:r>
              <w:rPr>
                <w:rFonts w:ascii="仿宋" w:hAnsi="仿宋" w:eastAsia="仿宋" w:cs="仿宋"/>
                <w:b/>
                <w:bCs/>
                <w:kern w:val="0"/>
                <w:szCs w:val="21"/>
                <w:highlight w:val="none"/>
              </w:rPr>
              <w:t>批发业</w:t>
            </w:r>
          </w:p>
        </w:tc>
        <w:tc>
          <w:tcPr>
            <w:tcW w:w="2042" w:type="dxa"/>
            <w:tcBorders>
              <w:top w:val="nil"/>
              <w:left w:val="nil"/>
              <w:bottom w:val="single" w:color="auto" w:sz="4" w:space="0"/>
              <w:right w:val="single" w:color="auto" w:sz="4" w:space="0"/>
            </w:tcBorders>
            <w:noWrap w:val="0"/>
            <w:vAlign w:val="center"/>
          </w:tcPr>
          <w:p w14:paraId="7B4FADB6">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从业人员（X）</w:t>
            </w:r>
          </w:p>
        </w:tc>
        <w:tc>
          <w:tcPr>
            <w:tcW w:w="876" w:type="dxa"/>
            <w:tcBorders>
              <w:top w:val="nil"/>
              <w:left w:val="nil"/>
              <w:bottom w:val="single" w:color="auto" w:sz="4" w:space="0"/>
              <w:right w:val="single" w:color="auto" w:sz="4" w:space="0"/>
            </w:tcBorders>
            <w:noWrap w:val="0"/>
            <w:vAlign w:val="center"/>
          </w:tcPr>
          <w:p w14:paraId="599C0039">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人</w:t>
            </w:r>
          </w:p>
        </w:tc>
        <w:tc>
          <w:tcPr>
            <w:tcW w:w="1896" w:type="dxa"/>
            <w:tcBorders>
              <w:top w:val="nil"/>
              <w:left w:val="nil"/>
              <w:bottom w:val="single" w:color="auto" w:sz="4" w:space="0"/>
              <w:right w:val="single" w:color="auto" w:sz="4" w:space="0"/>
            </w:tcBorders>
            <w:noWrap w:val="0"/>
            <w:vAlign w:val="center"/>
          </w:tcPr>
          <w:p w14:paraId="1290B024">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20≤X＜200</w:t>
            </w:r>
          </w:p>
        </w:tc>
        <w:tc>
          <w:tcPr>
            <w:tcW w:w="1751" w:type="dxa"/>
            <w:tcBorders>
              <w:top w:val="nil"/>
              <w:left w:val="nil"/>
              <w:bottom w:val="single" w:color="auto" w:sz="4" w:space="0"/>
              <w:right w:val="single" w:color="auto" w:sz="4" w:space="0"/>
            </w:tcBorders>
            <w:noWrap w:val="0"/>
            <w:vAlign w:val="center"/>
          </w:tcPr>
          <w:p w14:paraId="2E39685E">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5≤X＜20</w:t>
            </w:r>
          </w:p>
        </w:tc>
        <w:tc>
          <w:tcPr>
            <w:tcW w:w="1167" w:type="dxa"/>
            <w:tcBorders>
              <w:top w:val="nil"/>
              <w:left w:val="nil"/>
              <w:bottom w:val="single" w:color="auto" w:sz="4" w:space="0"/>
              <w:right w:val="single" w:color="auto" w:sz="4" w:space="0"/>
            </w:tcBorders>
            <w:noWrap w:val="0"/>
            <w:vAlign w:val="center"/>
          </w:tcPr>
          <w:p w14:paraId="12B13455">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X＜5</w:t>
            </w:r>
          </w:p>
        </w:tc>
      </w:tr>
      <w:tr w14:paraId="43314B4D">
        <w:tblPrEx>
          <w:tblCellMar>
            <w:top w:w="0" w:type="dxa"/>
            <w:left w:w="108" w:type="dxa"/>
            <w:bottom w:w="0" w:type="dxa"/>
            <w:right w:w="108" w:type="dxa"/>
          </w:tblCellMar>
        </w:tblPrEx>
        <w:trPr>
          <w:trHeight w:val="350" w:hRule="atLeast"/>
        </w:trPr>
        <w:tc>
          <w:tcPr>
            <w:tcW w:w="1835" w:type="dxa"/>
            <w:vMerge w:val="continue"/>
            <w:tcBorders>
              <w:top w:val="nil"/>
              <w:left w:val="single" w:color="auto" w:sz="4" w:space="0"/>
              <w:bottom w:val="single" w:color="auto" w:sz="4" w:space="0"/>
              <w:right w:val="single" w:color="auto" w:sz="4" w:space="0"/>
            </w:tcBorders>
            <w:noWrap w:val="0"/>
            <w:vAlign w:val="center"/>
          </w:tcPr>
          <w:p w14:paraId="7D6FF40B">
            <w:pPr>
              <w:widowControl/>
              <w:spacing w:line="340" w:lineRule="exact"/>
              <w:jc w:val="center"/>
              <w:rPr>
                <w:rFonts w:ascii="仿宋" w:hAnsi="仿宋" w:eastAsia="仿宋" w:cs="仿宋"/>
                <w:b/>
                <w:bCs/>
                <w:kern w:val="0"/>
                <w:szCs w:val="21"/>
                <w:highlight w:val="none"/>
              </w:rPr>
            </w:pPr>
          </w:p>
        </w:tc>
        <w:tc>
          <w:tcPr>
            <w:tcW w:w="2042" w:type="dxa"/>
            <w:tcBorders>
              <w:top w:val="nil"/>
              <w:left w:val="nil"/>
              <w:bottom w:val="single" w:color="auto" w:sz="4" w:space="0"/>
              <w:right w:val="single" w:color="auto" w:sz="4" w:space="0"/>
            </w:tcBorders>
            <w:noWrap w:val="0"/>
            <w:vAlign w:val="center"/>
          </w:tcPr>
          <w:p w14:paraId="213863B3">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营业收入（Y）</w:t>
            </w:r>
          </w:p>
        </w:tc>
        <w:tc>
          <w:tcPr>
            <w:tcW w:w="876" w:type="dxa"/>
            <w:tcBorders>
              <w:top w:val="nil"/>
              <w:left w:val="nil"/>
              <w:bottom w:val="single" w:color="auto" w:sz="4" w:space="0"/>
              <w:right w:val="single" w:color="auto" w:sz="4" w:space="0"/>
            </w:tcBorders>
            <w:noWrap w:val="0"/>
            <w:vAlign w:val="center"/>
          </w:tcPr>
          <w:p w14:paraId="02D1C693">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万元</w:t>
            </w:r>
          </w:p>
        </w:tc>
        <w:tc>
          <w:tcPr>
            <w:tcW w:w="1896" w:type="dxa"/>
            <w:tcBorders>
              <w:top w:val="nil"/>
              <w:left w:val="nil"/>
              <w:bottom w:val="single" w:color="auto" w:sz="4" w:space="0"/>
              <w:right w:val="single" w:color="auto" w:sz="4" w:space="0"/>
            </w:tcBorders>
            <w:noWrap w:val="0"/>
            <w:vAlign w:val="center"/>
          </w:tcPr>
          <w:p w14:paraId="292E050B">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5000≤Y＜40000</w:t>
            </w:r>
          </w:p>
        </w:tc>
        <w:tc>
          <w:tcPr>
            <w:tcW w:w="1751" w:type="dxa"/>
            <w:tcBorders>
              <w:top w:val="nil"/>
              <w:left w:val="nil"/>
              <w:bottom w:val="single" w:color="auto" w:sz="4" w:space="0"/>
              <w:right w:val="single" w:color="auto" w:sz="4" w:space="0"/>
            </w:tcBorders>
            <w:noWrap w:val="0"/>
            <w:vAlign w:val="center"/>
          </w:tcPr>
          <w:p w14:paraId="0571A704">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1000≤Y＜5000</w:t>
            </w:r>
          </w:p>
        </w:tc>
        <w:tc>
          <w:tcPr>
            <w:tcW w:w="1167" w:type="dxa"/>
            <w:tcBorders>
              <w:top w:val="nil"/>
              <w:left w:val="nil"/>
              <w:bottom w:val="single" w:color="auto" w:sz="4" w:space="0"/>
              <w:right w:val="single" w:color="auto" w:sz="4" w:space="0"/>
            </w:tcBorders>
            <w:noWrap w:val="0"/>
            <w:vAlign w:val="center"/>
          </w:tcPr>
          <w:p w14:paraId="2098361E">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Y＜1000</w:t>
            </w:r>
          </w:p>
        </w:tc>
      </w:tr>
      <w:tr w14:paraId="2A9C7C28">
        <w:tblPrEx>
          <w:tblCellMar>
            <w:top w:w="0" w:type="dxa"/>
            <w:left w:w="108" w:type="dxa"/>
            <w:bottom w:w="0" w:type="dxa"/>
            <w:right w:w="108" w:type="dxa"/>
          </w:tblCellMar>
        </w:tblPrEx>
        <w:trPr>
          <w:trHeight w:val="350" w:hRule="atLeast"/>
        </w:trPr>
        <w:tc>
          <w:tcPr>
            <w:tcW w:w="1835" w:type="dxa"/>
            <w:vMerge w:val="restart"/>
            <w:tcBorders>
              <w:top w:val="nil"/>
              <w:left w:val="single" w:color="auto" w:sz="4" w:space="0"/>
              <w:bottom w:val="single" w:color="auto" w:sz="4" w:space="0"/>
              <w:right w:val="single" w:color="auto" w:sz="4" w:space="0"/>
            </w:tcBorders>
            <w:noWrap w:val="0"/>
            <w:vAlign w:val="center"/>
          </w:tcPr>
          <w:p w14:paraId="7655A85D">
            <w:pPr>
              <w:widowControl/>
              <w:spacing w:line="340" w:lineRule="exact"/>
              <w:jc w:val="center"/>
              <w:rPr>
                <w:rFonts w:ascii="仿宋" w:hAnsi="仿宋" w:eastAsia="仿宋" w:cs="仿宋"/>
                <w:b/>
                <w:bCs/>
                <w:kern w:val="0"/>
                <w:szCs w:val="21"/>
                <w:highlight w:val="none"/>
              </w:rPr>
            </w:pPr>
            <w:r>
              <w:rPr>
                <w:rFonts w:ascii="仿宋" w:hAnsi="仿宋" w:eastAsia="仿宋" w:cs="仿宋"/>
                <w:b/>
                <w:bCs/>
                <w:kern w:val="0"/>
                <w:szCs w:val="21"/>
                <w:highlight w:val="none"/>
              </w:rPr>
              <w:t>零售业</w:t>
            </w:r>
          </w:p>
        </w:tc>
        <w:tc>
          <w:tcPr>
            <w:tcW w:w="2042" w:type="dxa"/>
            <w:tcBorders>
              <w:top w:val="nil"/>
              <w:left w:val="nil"/>
              <w:bottom w:val="single" w:color="auto" w:sz="4" w:space="0"/>
              <w:right w:val="single" w:color="auto" w:sz="4" w:space="0"/>
            </w:tcBorders>
            <w:noWrap w:val="0"/>
            <w:vAlign w:val="center"/>
          </w:tcPr>
          <w:p w14:paraId="3B6A7624">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从业人员（X）</w:t>
            </w:r>
          </w:p>
        </w:tc>
        <w:tc>
          <w:tcPr>
            <w:tcW w:w="876" w:type="dxa"/>
            <w:tcBorders>
              <w:top w:val="nil"/>
              <w:left w:val="nil"/>
              <w:bottom w:val="single" w:color="auto" w:sz="4" w:space="0"/>
              <w:right w:val="single" w:color="auto" w:sz="4" w:space="0"/>
            </w:tcBorders>
            <w:noWrap w:val="0"/>
            <w:vAlign w:val="center"/>
          </w:tcPr>
          <w:p w14:paraId="4FC9443F">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人</w:t>
            </w:r>
          </w:p>
        </w:tc>
        <w:tc>
          <w:tcPr>
            <w:tcW w:w="1896" w:type="dxa"/>
            <w:tcBorders>
              <w:top w:val="nil"/>
              <w:left w:val="nil"/>
              <w:bottom w:val="single" w:color="auto" w:sz="4" w:space="0"/>
              <w:right w:val="single" w:color="auto" w:sz="4" w:space="0"/>
            </w:tcBorders>
            <w:noWrap w:val="0"/>
            <w:vAlign w:val="center"/>
          </w:tcPr>
          <w:p w14:paraId="15B12D6C">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50≤X＜300</w:t>
            </w:r>
          </w:p>
        </w:tc>
        <w:tc>
          <w:tcPr>
            <w:tcW w:w="1751" w:type="dxa"/>
            <w:tcBorders>
              <w:top w:val="nil"/>
              <w:left w:val="nil"/>
              <w:bottom w:val="single" w:color="auto" w:sz="4" w:space="0"/>
              <w:right w:val="single" w:color="auto" w:sz="4" w:space="0"/>
            </w:tcBorders>
            <w:noWrap w:val="0"/>
            <w:vAlign w:val="center"/>
          </w:tcPr>
          <w:p w14:paraId="2E81A48B">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10≤X＜50</w:t>
            </w:r>
          </w:p>
        </w:tc>
        <w:tc>
          <w:tcPr>
            <w:tcW w:w="1167" w:type="dxa"/>
            <w:tcBorders>
              <w:top w:val="nil"/>
              <w:left w:val="nil"/>
              <w:bottom w:val="single" w:color="auto" w:sz="4" w:space="0"/>
              <w:right w:val="single" w:color="auto" w:sz="4" w:space="0"/>
            </w:tcBorders>
            <w:noWrap w:val="0"/>
            <w:vAlign w:val="center"/>
          </w:tcPr>
          <w:p w14:paraId="533A5F01">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X＜10</w:t>
            </w:r>
          </w:p>
        </w:tc>
      </w:tr>
      <w:tr w14:paraId="1166720E">
        <w:tblPrEx>
          <w:tblCellMar>
            <w:top w:w="0" w:type="dxa"/>
            <w:left w:w="108" w:type="dxa"/>
            <w:bottom w:w="0" w:type="dxa"/>
            <w:right w:w="108" w:type="dxa"/>
          </w:tblCellMar>
        </w:tblPrEx>
        <w:trPr>
          <w:trHeight w:val="350" w:hRule="atLeast"/>
        </w:trPr>
        <w:tc>
          <w:tcPr>
            <w:tcW w:w="1835" w:type="dxa"/>
            <w:vMerge w:val="continue"/>
            <w:tcBorders>
              <w:top w:val="nil"/>
              <w:left w:val="single" w:color="auto" w:sz="4" w:space="0"/>
              <w:bottom w:val="single" w:color="auto" w:sz="4" w:space="0"/>
              <w:right w:val="single" w:color="auto" w:sz="4" w:space="0"/>
            </w:tcBorders>
            <w:noWrap w:val="0"/>
            <w:vAlign w:val="center"/>
          </w:tcPr>
          <w:p w14:paraId="7D010EA8">
            <w:pPr>
              <w:widowControl/>
              <w:spacing w:line="340" w:lineRule="exact"/>
              <w:jc w:val="center"/>
              <w:rPr>
                <w:rFonts w:ascii="仿宋" w:hAnsi="仿宋" w:eastAsia="仿宋" w:cs="仿宋"/>
                <w:b/>
                <w:bCs/>
                <w:kern w:val="0"/>
                <w:szCs w:val="21"/>
                <w:highlight w:val="none"/>
              </w:rPr>
            </w:pPr>
          </w:p>
        </w:tc>
        <w:tc>
          <w:tcPr>
            <w:tcW w:w="2042" w:type="dxa"/>
            <w:tcBorders>
              <w:top w:val="nil"/>
              <w:left w:val="nil"/>
              <w:bottom w:val="single" w:color="auto" w:sz="4" w:space="0"/>
              <w:right w:val="single" w:color="auto" w:sz="4" w:space="0"/>
            </w:tcBorders>
            <w:noWrap w:val="0"/>
            <w:vAlign w:val="center"/>
          </w:tcPr>
          <w:p w14:paraId="34996052">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营业收入（Y）</w:t>
            </w:r>
          </w:p>
        </w:tc>
        <w:tc>
          <w:tcPr>
            <w:tcW w:w="876" w:type="dxa"/>
            <w:tcBorders>
              <w:top w:val="nil"/>
              <w:left w:val="nil"/>
              <w:bottom w:val="single" w:color="auto" w:sz="4" w:space="0"/>
              <w:right w:val="single" w:color="auto" w:sz="4" w:space="0"/>
            </w:tcBorders>
            <w:noWrap w:val="0"/>
            <w:vAlign w:val="center"/>
          </w:tcPr>
          <w:p w14:paraId="651ECFDB">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万元</w:t>
            </w:r>
          </w:p>
        </w:tc>
        <w:tc>
          <w:tcPr>
            <w:tcW w:w="1896" w:type="dxa"/>
            <w:tcBorders>
              <w:top w:val="nil"/>
              <w:left w:val="nil"/>
              <w:bottom w:val="single" w:color="auto" w:sz="4" w:space="0"/>
              <w:right w:val="single" w:color="auto" w:sz="4" w:space="0"/>
            </w:tcBorders>
            <w:noWrap w:val="0"/>
            <w:vAlign w:val="center"/>
          </w:tcPr>
          <w:p w14:paraId="1992D5B3">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500≤Y＜20000</w:t>
            </w:r>
          </w:p>
        </w:tc>
        <w:tc>
          <w:tcPr>
            <w:tcW w:w="1751" w:type="dxa"/>
            <w:tcBorders>
              <w:top w:val="nil"/>
              <w:left w:val="nil"/>
              <w:bottom w:val="single" w:color="auto" w:sz="4" w:space="0"/>
              <w:right w:val="single" w:color="auto" w:sz="4" w:space="0"/>
            </w:tcBorders>
            <w:noWrap w:val="0"/>
            <w:vAlign w:val="center"/>
          </w:tcPr>
          <w:p w14:paraId="035CE53A">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100≤Y＜500</w:t>
            </w:r>
          </w:p>
        </w:tc>
        <w:tc>
          <w:tcPr>
            <w:tcW w:w="1167" w:type="dxa"/>
            <w:tcBorders>
              <w:top w:val="nil"/>
              <w:left w:val="nil"/>
              <w:bottom w:val="single" w:color="auto" w:sz="4" w:space="0"/>
              <w:right w:val="single" w:color="auto" w:sz="4" w:space="0"/>
            </w:tcBorders>
            <w:noWrap w:val="0"/>
            <w:vAlign w:val="center"/>
          </w:tcPr>
          <w:p w14:paraId="16A74A9D">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Y＜100</w:t>
            </w:r>
          </w:p>
        </w:tc>
      </w:tr>
      <w:tr w14:paraId="6B6AB21C">
        <w:tblPrEx>
          <w:tblCellMar>
            <w:top w:w="0" w:type="dxa"/>
            <w:left w:w="108" w:type="dxa"/>
            <w:bottom w:w="0" w:type="dxa"/>
            <w:right w:w="108" w:type="dxa"/>
          </w:tblCellMar>
        </w:tblPrEx>
        <w:trPr>
          <w:trHeight w:val="350" w:hRule="atLeast"/>
        </w:trPr>
        <w:tc>
          <w:tcPr>
            <w:tcW w:w="1835" w:type="dxa"/>
            <w:vMerge w:val="restart"/>
            <w:tcBorders>
              <w:top w:val="nil"/>
              <w:left w:val="single" w:color="auto" w:sz="4" w:space="0"/>
              <w:bottom w:val="single" w:color="auto" w:sz="4" w:space="0"/>
              <w:right w:val="single" w:color="auto" w:sz="4" w:space="0"/>
            </w:tcBorders>
            <w:noWrap w:val="0"/>
            <w:vAlign w:val="center"/>
          </w:tcPr>
          <w:p w14:paraId="3E65C1CE">
            <w:pPr>
              <w:widowControl/>
              <w:spacing w:line="340" w:lineRule="exact"/>
              <w:jc w:val="center"/>
              <w:rPr>
                <w:rFonts w:ascii="仿宋" w:hAnsi="仿宋" w:eastAsia="仿宋" w:cs="仿宋"/>
                <w:b/>
                <w:bCs/>
                <w:kern w:val="0"/>
                <w:szCs w:val="21"/>
                <w:highlight w:val="none"/>
              </w:rPr>
            </w:pPr>
            <w:r>
              <w:rPr>
                <w:rFonts w:ascii="仿宋" w:hAnsi="仿宋" w:eastAsia="仿宋" w:cs="仿宋"/>
                <w:b/>
                <w:bCs/>
                <w:kern w:val="0"/>
                <w:szCs w:val="21"/>
                <w:highlight w:val="none"/>
              </w:rPr>
              <w:t>交通运输业</w:t>
            </w:r>
          </w:p>
        </w:tc>
        <w:tc>
          <w:tcPr>
            <w:tcW w:w="2042" w:type="dxa"/>
            <w:tcBorders>
              <w:top w:val="nil"/>
              <w:left w:val="nil"/>
              <w:bottom w:val="single" w:color="auto" w:sz="4" w:space="0"/>
              <w:right w:val="single" w:color="auto" w:sz="4" w:space="0"/>
            </w:tcBorders>
            <w:noWrap w:val="0"/>
            <w:vAlign w:val="center"/>
          </w:tcPr>
          <w:p w14:paraId="6F8DCAA9">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从业人员（X）</w:t>
            </w:r>
          </w:p>
        </w:tc>
        <w:tc>
          <w:tcPr>
            <w:tcW w:w="876" w:type="dxa"/>
            <w:tcBorders>
              <w:top w:val="nil"/>
              <w:left w:val="nil"/>
              <w:bottom w:val="single" w:color="auto" w:sz="4" w:space="0"/>
              <w:right w:val="single" w:color="auto" w:sz="4" w:space="0"/>
            </w:tcBorders>
            <w:noWrap w:val="0"/>
            <w:vAlign w:val="center"/>
          </w:tcPr>
          <w:p w14:paraId="615E39D5">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人</w:t>
            </w:r>
          </w:p>
        </w:tc>
        <w:tc>
          <w:tcPr>
            <w:tcW w:w="1896" w:type="dxa"/>
            <w:tcBorders>
              <w:top w:val="nil"/>
              <w:left w:val="nil"/>
              <w:bottom w:val="single" w:color="auto" w:sz="4" w:space="0"/>
              <w:right w:val="single" w:color="auto" w:sz="4" w:space="0"/>
            </w:tcBorders>
            <w:noWrap w:val="0"/>
            <w:vAlign w:val="center"/>
          </w:tcPr>
          <w:p w14:paraId="6DFB9BED">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300≤X＜1000</w:t>
            </w:r>
          </w:p>
        </w:tc>
        <w:tc>
          <w:tcPr>
            <w:tcW w:w="1751" w:type="dxa"/>
            <w:tcBorders>
              <w:top w:val="nil"/>
              <w:left w:val="nil"/>
              <w:bottom w:val="single" w:color="auto" w:sz="4" w:space="0"/>
              <w:right w:val="single" w:color="auto" w:sz="4" w:space="0"/>
            </w:tcBorders>
            <w:noWrap w:val="0"/>
            <w:vAlign w:val="center"/>
          </w:tcPr>
          <w:p w14:paraId="6736A013">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20≤X＜300</w:t>
            </w:r>
          </w:p>
        </w:tc>
        <w:tc>
          <w:tcPr>
            <w:tcW w:w="1167" w:type="dxa"/>
            <w:tcBorders>
              <w:top w:val="nil"/>
              <w:left w:val="nil"/>
              <w:bottom w:val="single" w:color="auto" w:sz="4" w:space="0"/>
              <w:right w:val="single" w:color="auto" w:sz="4" w:space="0"/>
            </w:tcBorders>
            <w:noWrap w:val="0"/>
            <w:vAlign w:val="center"/>
          </w:tcPr>
          <w:p w14:paraId="694E5DE5">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X＜20</w:t>
            </w:r>
          </w:p>
        </w:tc>
      </w:tr>
      <w:tr w14:paraId="33B423CF">
        <w:tblPrEx>
          <w:tblCellMar>
            <w:top w:w="0" w:type="dxa"/>
            <w:left w:w="108" w:type="dxa"/>
            <w:bottom w:w="0" w:type="dxa"/>
            <w:right w:w="108" w:type="dxa"/>
          </w:tblCellMar>
        </w:tblPrEx>
        <w:trPr>
          <w:trHeight w:val="350" w:hRule="atLeast"/>
        </w:trPr>
        <w:tc>
          <w:tcPr>
            <w:tcW w:w="1835" w:type="dxa"/>
            <w:vMerge w:val="continue"/>
            <w:tcBorders>
              <w:top w:val="nil"/>
              <w:left w:val="single" w:color="auto" w:sz="4" w:space="0"/>
              <w:bottom w:val="single" w:color="auto" w:sz="4" w:space="0"/>
              <w:right w:val="single" w:color="auto" w:sz="4" w:space="0"/>
            </w:tcBorders>
            <w:noWrap w:val="0"/>
            <w:vAlign w:val="center"/>
          </w:tcPr>
          <w:p w14:paraId="4033C53E">
            <w:pPr>
              <w:widowControl/>
              <w:spacing w:line="340" w:lineRule="exact"/>
              <w:jc w:val="center"/>
              <w:rPr>
                <w:rFonts w:ascii="仿宋" w:hAnsi="仿宋" w:eastAsia="仿宋" w:cs="仿宋"/>
                <w:b/>
                <w:bCs/>
                <w:kern w:val="0"/>
                <w:szCs w:val="21"/>
                <w:highlight w:val="none"/>
              </w:rPr>
            </w:pPr>
          </w:p>
        </w:tc>
        <w:tc>
          <w:tcPr>
            <w:tcW w:w="2042" w:type="dxa"/>
            <w:tcBorders>
              <w:top w:val="nil"/>
              <w:left w:val="nil"/>
              <w:bottom w:val="single" w:color="auto" w:sz="4" w:space="0"/>
              <w:right w:val="single" w:color="auto" w:sz="4" w:space="0"/>
            </w:tcBorders>
            <w:noWrap w:val="0"/>
            <w:vAlign w:val="center"/>
          </w:tcPr>
          <w:p w14:paraId="2289F324">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营业收入（Y）</w:t>
            </w:r>
          </w:p>
        </w:tc>
        <w:tc>
          <w:tcPr>
            <w:tcW w:w="876" w:type="dxa"/>
            <w:tcBorders>
              <w:top w:val="nil"/>
              <w:left w:val="nil"/>
              <w:bottom w:val="single" w:color="auto" w:sz="4" w:space="0"/>
              <w:right w:val="single" w:color="auto" w:sz="4" w:space="0"/>
            </w:tcBorders>
            <w:noWrap w:val="0"/>
            <w:vAlign w:val="center"/>
          </w:tcPr>
          <w:p w14:paraId="58256991">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万元</w:t>
            </w:r>
          </w:p>
        </w:tc>
        <w:tc>
          <w:tcPr>
            <w:tcW w:w="1896" w:type="dxa"/>
            <w:tcBorders>
              <w:top w:val="nil"/>
              <w:left w:val="nil"/>
              <w:bottom w:val="single" w:color="auto" w:sz="4" w:space="0"/>
              <w:right w:val="single" w:color="auto" w:sz="4" w:space="0"/>
            </w:tcBorders>
            <w:noWrap w:val="0"/>
            <w:vAlign w:val="center"/>
          </w:tcPr>
          <w:p w14:paraId="0224F414">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3000≤Y＜30000</w:t>
            </w:r>
          </w:p>
        </w:tc>
        <w:tc>
          <w:tcPr>
            <w:tcW w:w="1751" w:type="dxa"/>
            <w:tcBorders>
              <w:top w:val="nil"/>
              <w:left w:val="nil"/>
              <w:bottom w:val="single" w:color="auto" w:sz="4" w:space="0"/>
              <w:right w:val="single" w:color="auto" w:sz="4" w:space="0"/>
            </w:tcBorders>
            <w:noWrap w:val="0"/>
            <w:vAlign w:val="center"/>
          </w:tcPr>
          <w:p w14:paraId="366A74F4">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200≤Y＜3000</w:t>
            </w:r>
          </w:p>
        </w:tc>
        <w:tc>
          <w:tcPr>
            <w:tcW w:w="1167" w:type="dxa"/>
            <w:tcBorders>
              <w:top w:val="nil"/>
              <w:left w:val="nil"/>
              <w:bottom w:val="single" w:color="auto" w:sz="4" w:space="0"/>
              <w:right w:val="single" w:color="auto" w:sz="4" w:space="0"/>
            </w:tcBorders>
            <w:noWrap w:val="0"/>
            <w:vAlign w:val="center"/>
          </w:tcPr>
          <w:p w14:paraId="26411338">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Y＜200</w:t>
            </w:r>
          </w:p>
        </w:tc>
      </w:tr>
      <w:tr w14:paraId="10947BC9">
        <w:tblPrEx>
          <w:tblCellMar>
            <w:top w:w="0" w:type="dxa"/>
            <w:left w:w="108" w:type="dxa"/>
            <w:bottom w:w="0" w:type="dxa"/>
            <w:right w:w="108" w:type="dxa"/>
          </w:tblCellMar>
        </w:tblPrEx>
        <w:trPr>
          <w:trHeight w:val="350" w:hRule="atLeast"/>
        </w:trPr>
        <w:tc>
          <w:tcPr>
            <w:tcW w:w="1835" w:type="dxa"/>
            <w:vMerge w:val="restart"/>
            <w:tcBorders>
              <w:top w:val="nil"/>
              <w:left w:val="single" w:color="auto" w:sz="4" w:space="0"/>
              <w:bottom w:val="single" w:color="auto" w:sz="4" w:space="0"/>
              <w:right w:val="single" w:color="auto" w:sz="4" w:space="0"/>
            </w:tcBorders>
            <w:noWrap w:val="0"/>
            <w:vAlign w:val="center"/>
          </w:tcPr>
          <w:p w14:paraId="6223276D">
            <w:pPr>
              <w:widowControl/>
              <w:spacing w:line="340" w:lineRule="exact"/>
              <w:jc w:val="center"/>
              <w:rPr>
                <w:rFonts w:ascii="仿宋" w:hAnsi="仿宋" w:eastAsia="仿宋" w:cs="仿宋"/>
                <w:b/>
                <w:bCs/>
                <w:kern w:val="0"/>
                <w:szCs w:val="21"/>
                <w:highlight w:val="none"/>
              </w:rPr>
            </w:pPr>
            <w:r>
              <w:rPr>
                <w:rFonts w:ascii="仿宋" w:hAnsi="仿宋" w:eastAsia="仿宋" w:cs="仿宋"/>
                <w:b/>
                <w:bCs/>
                <w:kern w:val="0"/>
                <w:szCs w:val="21"/>
                <w:highlight w:val="none"/>
              </w:rPr>
              <w:t>仓储业</w:t>
            </w:r>
          </w:p>
        </w:tc>
        <w:tc>
          <w:tcPr>
            <w:tcW w:w="2042" w:type="dxa"/>
            <w:tcBorders>
              <w:top w:val="nil"/>
              <w:left w:val="nil"/>
              <w:bottom w:val="single" w:color="auto" w:sz="4" w:space="0"/>
              <w:right w:val="single" w:color="auto" w:sz="4" w:space="0"/>
            </w:tcBorders>
            <w:noWrap w:val="0"/>
            <w:vAlign w:val="center"/>
          </w:tcPr>
          <w:p w14:paraId="69745C8D">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从业人员（X）</w:t>
            </w:r>
          </w:p>
        </w:tc>
        <w:tc>
          <w:tcPr>
            <w:tcW w:w="876" w:type="dxa"/>
            <w:tcBorders>
              <w:top w:val="nil"/>
              <w:left w:val="nil"/>
              <w:bottom w:val="single" w:color="auto" w:sz="4" w:space="0"/>
              <w:right w:val="single" w:color="auto" w:sz="4" w:space="0"/>
            </w:tcBorders>
            <w:noWrap w:val="0"/>
            <w:vAlign w:val="center"/>
          </w:tcPr>
          <w:p w14:paraId="775F4197">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人</w:t>
            </w:r>
          </w:p>
        </w:tc>
        <w:tc>
          <w:tcPr>
            <w:tcW w:w="1896" w:type="dxa"/>
            <w:tcBorders>
              <w:top w:val="nil"/>
              <w:left w:val="nil"/>
              <w:bottom w:val="single" w:color="auto" w:sz="4" w:space="0"/>
              <w:right w:val="single" w:color="auto" w:sz="4" w:space="0"/>
            </w:tcBorders>
            <w:noWrap w:val="0"/>
            <w:vAlign w:val="center"/>
          </w:tcPr>
          <w:p w14:paraId="2DDA4C17">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100≤X＜200</w:t>
            </w:r>
          </w:p>
        </w:tc>
        <w:tc>
          <w:tcPr>
            <w:tcW w:w="1751" w:type="dxa"/>
            <w:tcBorders>
              <w:top w:val="nil"/>
              <w:left w:val="nil"/>
              <w:bottom w:val="single" w:color="auto" w:sz="4" w:space="0"/>
              <w:right w:val="single" w:color="auto" w:sz="4" w:space="0"/>
            </w:tcBorders>
            <w:noWrap w:val="0"/>
            <w:vAlign w:val="center"/>
          </w:tcPr>
          <w:p w14:paraId="15C1D75F">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20≤X＜100</w:t>
            </w:r>
          </w:p>
        </w:tc>
        <w:tc>
          <w:tcPr>
            <w:tcW w:w="1167" w:type="dxa"/>
            <w:tcBorders>
              <w:top w:val="nil"/>
              <w:left w:val="nil"/>
              <w:bottom w:val="single" w:color="auto" w:sz="4" w:space="0"/>
              <w:right w:val="single" w:color="auto" w:sz="4" w:space="0"/>
            </w:tcBorders>
            <w:noWrap w:val="0"/>
            <w:vAlign w:val="center"/>
          </w:tcPr>
          <w:p w14:paraId="08809514">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X＜20</w:t>
            </w:r>
          </w:p>
        </w:tc>
      </w:tr>
      <w:tr w14:paraId="61BE3C21">
        <w:tblPrEx>
          <w:tblCellMar>
            <w:top w:w="0" w:type="dxa"/>
            <w:left w:w="108" w:type="dxa"/>
            <w:bottom w:w="0" w:type="dxa"/>
            <w:right w:w="108" w:type="dxa"/>
          </w:tblCellMar>
        </w:tblPrEx>
        <w:trPr>
          <w:trHeight w:val="350" w:hRule="atLeast"/>
        </w:trPr>
        <w:tc>
          <w:tcPr>
            <w:tcW w:w="1835" w:type="dxa"/>
            <w:vMerge w:val="continue"/>
            <w:tcBorders>
              <w:top w:val="nil"/>
              <w:left w:val="single" w:color="auto" w:sz="4" w:space="0"/>
              <w:bottom w:val="single" w:color="auto" w:sz="4" w:space="0"/>
              <w:right w:val="single" w:color="auto" w:sz="4" w:space="0"/>
            </w:tcBorders>
            <w:noWrap w:val="0"/>
            <w:vAlign w:val="center"/>
          </w:tcPr>
          <w:p w14:paraId="23017643">
            <w:pPr>
              <w:widowControl/>
              <w:spacing w:line="340" w:lineRule="exact"/>
              <w:jc w:val="center"/>
              <w:rPr>
                <w:rFonts w:ascii="仿宋" w:hAnsi="仿宋" w:eastAsia="仿宋" w:cs="仿宋"/>
                <w:b/>
                <w:bCs/>
                <w:kern w:val="0"/>
                <w:szCs w:val="21"/>
                <w:highlight w:val="none"/>
              </w:rPr>
            </w:pPr>
          </w:p>
        </w:tc>
        <w:tc>
          <w:tcPr>
            <w:tcW w:w="2042" w:type="dxa"/>
            <w:tcBorders>
              <w:top w:val="nil"/>
              <w:left w:val="nil"/>
              <w:bottom w:val="single" w:color="auto" w:sz="4" w:space="0"/>
              <w:right w:val="single" w:color="auto" w:sz="4" w:space="0"/>
            </w:tcBorders>
            <w:noWrap w:val="0"/>
            <w:vAlign w:val="center"/>
          </w:tcPr>
          <w:p w14:paraId="20C9CCC4">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营业收入（Y）</w:t>
            </w:r>
          </w:p>
        </w:tc>
        <w:tc>
          <w:tcPr>
            <w:tcW w:w="876" w:type="dxa"/>
            <w:tcBorders>
              <w:top w:val="nil"/>
              <w:left w:val="nil"/>
              <w:bottom w:val="single" w:color="auto" w:sz="4" w:space="0"/>
              <w:right w:val="single" w:color="auto" w:sz="4" w:space="0"/>
            </w:tcBorders>
            <w:noWrap w:val="0"/>
            <w:vAlign w:val="center"/>
          </w:tcPr>
          <w:p w14:paraId="4E734205">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万元</w:t>
            </w:r>
          </w:p>
        </w:tc>
        <w:tc>
          <w:tcPr>
            <w:tcW w:w="1896" w:type="dxa"/>
            <w:tcBorders>
              <w:top w:val="nil"/>
              <w:left w:val="nil"/>
              <w:bottom w:val="single" w:color="auto" w:sz="4" w:space="0"/>
              <w:right w:val="single" w:color="auto" w:sz="4" w:space="0"/>
            </w:tcBorders>
            <w:noWrap w:val="0"/>
            <w:vAlign w:val="center"/>
          </w:tcPr>
          <w:p w14:paraId="3387D287">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1000≤Y＜30000</w:t>
            </w:r>
          </w:p>
        </w:tc>
        <w:tc>
          <w:tcPr>
            <w:tcW w:w="1751" w:type="dxa"/>
            <w:tcBorders>
              <w:top w:val="nil"/>
              <w:left w:val="nil"/>
              <w:bottom w:val="single" w:color="auto" w:sz="4" w:space="0"/>
              <w:right w:val="single" w:color="auto" w:sz="4" w:space="0"/>
            </w:tcBorders>
            <w:noWrap w:val="0"/>
            <w:vAlign w:val="center"/>
          </w:tcPr>
          <w:p w14:paraId="4680EA06">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100≤Y＜1000</w:t>
            </w:r>
          </w:p>
        </w:tc>
        <w:tc>
          <w:tcPr>
            <w:tcW w:w="1167" w:type="dxa"/>
            <w:tcBorders>
              <w:top w:val="nil"/>
              <w:left w:val="nil"/>
              <w:bottom w:val="single" w:color="auto" w:sz="4" w:space="0"/>
              <w:right w:val="single" w:color="auto" w:sz="4" w:space="0"/>
            </w:tcBorders>
            <w:noWrap w:val="0"/>
            <w:vAlign w:val="center"/>
          </w:tcPr>
          <w:p w14:paraId="28B27763">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Y＜100</w:t>
            </w:r>
          </w:p>
        </w:tc>
      </w:tr>
      <w:tr w14:paraId="1E8A4F3C">
        <w:tblPrEx>
          <w:tblCellMar>
            <w:top w:w="0" w:type="dxa"/>
            <w:left w:w="108" w:type="dxa"/>
            <w:bottom w:w="0" w:type="dxa"/>
            <w:right w:w="108" w:type="dxa"/>
          </w:tblCellMar>
        </w:tblPrEx>
        <w:trPr>
          <w:trHeight w:val="350" w:hRule="atLeast"/>
        </w:trPr>
        <w:tc>
          <w:tcPr>
            <w:tcW w:w="1835" w:type="dxa"/>
            <w:vMerge w:val="restart"/>
            <w:tcBorders>
              <w:top w:val="nil"/>
              <w:left w:val="single" w:color="auto" w:sz="4" w:space="0"/>
              <w:bottom w:val="single" w:color="auto" w:sz="4" w:space="0"/>
              <w:right w:val="single" w:color="auto" w:sz="4" w:space="0"/>
            </w:tcBorders>
            <w:noWrap w:val="0"/>
            <w:vAlign w:val="center"/>
          </w:tcPr>
          <w:p w14:paraId="3F0E19E1">
            <w:pPr>
              <w:widowControl/>
              <w:spacing w:line="340" w:lineRule="exact"/>
              <w:jc w:val="center"/>
              <w:rPr>
                <w:rFonts w:ascii="仿宋" w:hAnsi="仿宋" w:eastAsia="仿宋" w:cs="仿宋"/>
                <w:b/>
                <w:bCs/>
                <w:kern w:val="0"/>
                <w:szCs w:val="21"/>
                <w:highlight w:val="none"/>
              </w:rPr>
            </w:pPr>
            <w:r>
              <w:rPr>
                <w:rFonts w:ascii="仿宋" w:hAnsi="仿宋" w:eastAsia="仿宋" w:cs="仿宋"/>
                <w:b/>
                <w:bCs/>
                <w:kern w:val="0"/>
                <w:szCs w:val="21"/>
                <w:highlight w:val="none"/>
              </w:rPr>
              <w:t>邮政业</w:t>
            </w:r>
          </w:p>
        </w:tc>
        <w:tc>
          <w:tcPr>
            <w:tcW w:w="2042" w:type="dxa"/>
            <w:tcBorders>
              <w:top w:val="nil"/>
              <w:left w:val="nil"/>
              <w:bottom w:val="single" w:color="auto" w:sz="4" w:space="0"/>
              <w:right w:val="single" w:color="auto" w:sz="4" w:space="0"/>
            </w:tcBorders>
            <w:noWrap w:val="0"/>
            <w:vAlign w:val="center"/>
          </w:tcPr>
          <w:p w14:paraId="4704913F">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从业人员（X）</w:t>
            </w:r>
          </w:p>
        </w:tc>
        <w:tc>
          <w:tcPr>
            <w:tcW w:w="876" w:type="dxa"/>
            <w:tcBorders>
              <w:top w:val="nil"/>
              <w:left w:val="nil"/>
              <w:bottom w:val="single" w:color="auto" w:sz="4" w:space="0"/>
              <w:right w:val="single" w:color="auto" w:sz="4" w:space="0"/>
            </w:tcBorders>
            <w:noWrap w:val="0"/>
            <w:vAlign w:val="center"/>
          </w:tcPr>
          <w:p w14:paraId="39BC88E3">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人</w:t>
            </w:r>
          </w:p>
        </w:tc>
        <w:tc>
          <w:tcPr>
            <w:tcW w:w="1896" w:type="dxa"/>
            <w:tcBorders>
              <w:top w:val="nil"/>
              <w:left w:val="nil"/>
              <w:bottom w:val="single" w:color="auto" w:sz="4" w:space="0"/>
              <w:right w:val="single" w:color="auto" w:sz="4" w:space="0"/>
            </w:tcBorders>
            <w:noWrap w:val="0"/>
            <w:vAlign w:val="center"/>
          </w:tcPr>
          <w:p w14:paraId="6055DC0C">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300≤X＜1000</w:t>
            </w:r>
          </w:p>
        </w:tc>
        <w:tc>
          <w:tcPr>
            <w:tcW w:w="1751" w:type="dxa"/>
            <w:tcBorders>
              <w:top w:val="nil"/>
              <w:left w:val="nil"/>
              <w:bottom w:val="single" w:color="auto" w:sz="4" w:space="0"/>
              <w:right w:val="single" w:color="auto" w:sz="4" w:space="0"/>
            </w:tcBorders>
            <w:noWrap w:val="0"/>
            <w:vAlign w:val="center"/>
          </w:tcPr>
          <w:p w14:paraId="1ABF8340">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20≤X＜300</w:t>
            </w:r>
          </w:p>
        </w:tc>
        <w:tc>
          <w:tcPr>
            <w:tcW w:w="1167" w:type="dxa"/>
            <w:tcBorders>
              <w:top w:val="nil"/>
              <w:left w:val="nil"/>
              <w:bottom w:val="single" w:color="auto" w:sz="4" w:space="0"/>
              <w:right w:val="single" w:color="auto" w:sz="4" w:space="0"/>
            </w:tcBorders>
            <w:noWrap w:val="0"/>
            <w:vAlign w:val="center"/>
          </w:tcPr>
          <w:p w14:paraId="67E3A80E">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X＜20</w:t>
            </w:r>
          </w:p>
        </w:tc>
      </w:tr>
      <w:tr w14:paraId="58F92B44">
        <w:tblPrEx>
          <w:tblCellMar>
            <w:top w:w="0" w:type="dxa"/>
            <w:left w:w="108" w:type="dxa"/>
            <w:bottom w:w="0" w:type="dxa"/>
            <w:right w:w="108" w:type="dxa"/>
          </w:tblCellMar>
        </w:tblPrEx>
        <w:trPr>
          <w:trHeight w:val="350" w:hRule="atLeast"/>
        </w:trPr>
        <w:tc>
          <w:tcPr>
            <w:tcW w:w="1835" w:type="dxa"/>
            <w:vMerge w:val="continue"/>
            <w:tcBorders>
              <w:top w:val="nil"/>
              <w:left w:val="single" w:color="auto" w:sz="4" w:space="0"/>
              <w:bottom w:val="single" w:color="auto" w:sz="4" w:space="0"/>
              <w:right w:val="single" w:color="auto" w:sz="4" w:space="0"/>
            </w:tcBorders>
            <w:noWrap w:val="0"/>
            <w:vAlign w:val="center"/>
          </w:tcPr>
          <w:p w14:paraId="1DFC2D34">
            <w:pPr>
              <w:widowControl/>
              <w:spacing w:line="340" w:lineRule="exact"/>
              <w:jc w:val="center"/>
              <w:rPr>
                <w:rFonts w:ascii="仿宋" w:hAnsi="仿宋" w:eastAsia="仿宋" w:cs="仿宋"/>
                <w:b/>
                <w:bCs/>
                <w:kern w:val="0"/>
                <w:szCs w:val="21"/>
                <w:highlight w:val="none"/>
              </w:rPr>
            </w:pPr>
          </w:p>
        </w:tc>
        <w:tc>
          <w:tcPr>
            <w:tcW w:w="2042" w:type="dxa"/>
            <w:tcBorders>
              <w:top w:val="nil"/>
              <w:left w:val="nil"/>
              <w:bottom w:val="single" w:color="auto" w:sz="4" w:space="0"/>
              <w:right w:val="single" w:color="auto" w:sz="4" w:space="0"/>
            </w:tcBorders>
            <w:noWrap w:val="0"/>
            <w:vAlign w:val="center"/>
          </w:tcPr>
          <w:p w14:paraId="66AA79B5">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营业收入（Y）</w:t>
            </w:r>
          </w:p>
        </w:tc>
        <w:tc>
          <w:tcPr>
            <w:tcW w:w="876" w:type="dxa"/>
            <w:tcBorders>
              <w:top w:val="nil"/>
              <w:left w:val="nil"/>
              <w:bottom w:val="single" w:color="auto" w:sz="4" w:space="0"/>
              <w:right w:val="single" w:color="auto" w:sz="4" w:space="0"/>
            </w:tcBorders>
            <w:noWrap w:val="0"/>
            <w:vAlign w:val="center"/>
          </w:tcPr>
          <w:p w14:paraId="7CAF1BA6">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万元</w:t>
            </w:r>
          </w:p>
        </w:tc>
        <w:tc>
          <w:tcPr>
            <w:tcW w:w="1896" w:type="dxa"/>
            <w:tcBorders>
              <w:top w:val="nil"/>
              <w:left w:val="nil"/>
              <w:bottom w:val="single" w:color="auto" w:sz="4" w:space="0"/>
              <w:right w:val="single" w:color="auto" w:sz="4" w:space="0"/>
            </w:tcBorders>
            <w:noWrap w:val="0"/>
            <w:vAlign w:val="center"/>
          </w:tcPr>
          <w:p w14:paraId="6C61DD41">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2000≤Y＜30000</w:t>
            </w:r>
          </w:p>
        </w:tc>
        <w:tc>
          <w:tcPr>
            <w:tcW w:w="1751" w:type="dxa"/>
            <w:tcBorders>
              <w:top w:val="nil"/>
              <w:left w:val="nil"/>
              <w:bottom w:val="single" w:color="auto" w:sz="4" w:space="0"/>
              <w:right w:val="single" w:color="auto" w:sz="4" w:space="0"/>
            </w:tcBorders>
            <w:noWrap w:val="0"/>
            <w:vAlign w:val="center"/>
          </w:tcPr>
          <w:p w14:paraId="1332DD48">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100≤Y＜2000</w:t>
            </w:r>
          </w:p>
        </w:tc>
        <w:tc>
          <w:tcPr>
            <w:tcW w:w="1167" w:type="dxa"/>
            <w:tcBorders>
              <w:top w:val="nil"/>
              <w:left w:val="nil"/>
              <w:bottom w:val="single" w:color="auto" w:sz="4" w:space="0"/>
              <w:right w:val="single" w:color="auto" w:sz="4" w:space="0"/>
            </w:tcBorders>
            <w:noWrap w:val="0"/>
            <w:vAlign w:val="center"/>
          </w:tcPr>
          <w:p w14:paraId="680E6F84">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Y＜100</w:t>
            </w:r>
          </w:p>
        </w:tc>
      </w:tr>
      <w:tr w14:paraId="381DA53F">
        <w:tblPrEx>
          <w:tblCellMar>
            <w:top w:w="0" w:type="dxa"/>
            <w:left w:w="108" w:type="dxa"/>
            <w:bottom w:w="0" w:type="dxa"/>
            <w:right w:w="108" w:type="dxa"/>
          </w:tblCellMar>
        </w:tblPrEx>
        <w:trPr>
          <w:trHeight w:val="350" w:hRule="atLeast"/>
        </w:trPr>
        <w:tc>
          <w:tcPr>
            <w:tcW w:w="1835" w:type="dxa"/>
            <w:vMerge w:val="restart"/>
            <w:tcBorders>
              <w:top w:val="nil"/>
              <w:left w:val="single" w:color="auto" w:sz="4" w:space="0"/>
              <w:bottom w:val="single" w:color="auto" w:sz="4" w:space="0"/>
              <w:right w:val="single" w:color="auto" w:sz="4" w:space="0"/>
            </w:tcBorders>
            <w:noWrap w:val="0"/>
            <w:vAlign w:val="center"/>
          </w:tcPr>
          <w:p w14:paraId="22840554">
            <w:pPr>
              <w:widowControl/>
              <w:spacing w:line="340" w:lineRule="exact"/>
              <w:jc w:val="center"/>
              <w:rPr>
                <w:rFonts w:ascii="仿宋" w:hAnsi="仿宋" w:eastAsia="仿宋" w:cs="仿宋"/>
                <w:b/>
                <w:bCs/>
                <w:kern w:val="0"/>
                <w:szCs w:val="21"/>
                <w:highlight w:val="none"/>
              </w:rPr>
            </w:pPr>
            <w:r>
              <w:rPr>
                <w:rFonts w:ascii="仿宋" w:hAnsi="仿宋" w:eastAsia="仿宋" w:cs="仿宋"/>
                <w:b/>
                <w:bCs/>
                <w:kern w:val="0"/>
                <w:szCs w:val="21"/>
                <w:highlight w:val="none"/>
              </w:rPr>
              <w:t>住宿业</w:t>
            </w:r>
          </w:p>
        </w:tc>
        <w:tc>
          <w:tcPr>
            <w:tcW w:w="2042" w:type="dxa"/>
            <w:tcBorders>
              <w:top w:val="nil"/>
              <w:left w:val="nil"/>
              <w:bottom w:val="single" w:color="auto" w:sz="4" w:space="0"/>
              <w:right w:val="single" w:color="auto" w:sz="4" w:space="0"/>
            </w:tcBorders>
            <w:noWrap w:val="0"/>
            <w:vAlign w:val="center"/>
          </w:tcPr>
          <w:p w14:paraId="20E928CB">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从业人员（X）</w:t>
            </w:r>
          </w:p>
        </w:tc>
        <w:tc>
          <w:tcPr>
            <w:tcW w:w="876" w:type="dxa"/>
            <w:tcBorders>
              <w:top w:val="nil"/>
              <w:left w:val="nil"/>
              <w:bottom w:val="single" w:color="auto" w:sz="4" w:space="0"/>
              <w:right w:val="single" w:color="auto" w:sz="4" w:space="0"/>
            </w:tcBorders>
            <w:noWrap w:val="0"/>
            <w:vAlign w:val="center"/>
          </w:tcPr>
          <w:p w14:paraId="262CC965">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人</w:t>
            </w:r>
          </w:p>
        </w:tc>
        <w:tc>
          <w:tcPr>
            <w:tcW w:w="1896" w:type="dxa"/>
            <w:tcBorders>
              <w:top w:val="nil"/>
              <w:left w:val="nil"/>
              <w:bottom w:val="single" w:color="auto" w:sz="4" w:space="0"/>
              <w:right w:val="single" w:color="auto" w:sz="4" w:space="0"/>
            </w:tcBorders>
            <w:noWrap w:val="0"/>
            <w:vAlign w:val="center"/>
          </w:tcPr>
          <w:p w14:paraId="262080B2">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100≤X＜300</w:t>
            </w:r>
          </w:p>
        </w:tc>
        <w:tc>
          <w:tcPr>
            <w:tcW w:w="1751" w:type="dxa"/>
            <w:tcBorders>
              <w:top w:val="nil"/>
              <w:left w:val="nil"/>
              <w:bottom w:val="single" w:color="auto" w:sz="4" w:space="0"/>
              <w:right w:val="single" w:color="auto" w:sz="4" w:space="0"/>
            </w:tcBorders>
            <w:noWrap w:val="0"/>
            <w:vAlign w:val="center"/>
          </w:tcPr>
          <w:p w14:paraId="6F815A98">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10≤X＜100</w:t>
            </w:r>
          </w:p>
        </w:tc>
        <w:tc>
          <w:tcPr>
            <w:tcW w:w="1167" w:type="dxa"/>
            <w:tcBorders>
              <w:top w:val="nil"/>
              <w:left w:val="nil"/>
              <w:bottom w:val="single" w:color="auto" w:sz="4" w:space="0"/>
              <w:right w:val="single" w:color="auto" w:sz="4" w:space="0"/>
            </w:tcBorders>
            <w:noWrap w:val="0"/>
            <w:vAlign w:val="center"/>
          </w:tcPr>
          <w:p w14:paraId="35402071">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X＜10</w:t>
            </w:r>
          </w:p>
        </w:tc>
      </w:tr>
      <w:tr w14:paraId="2B4E2D71">
        <w:tblPrEx>
          <w:tblCellMar>
            <w:top w:w="0" w:type="dxa"/>
            <w:left w:w="108" w:type="dxa"/>
            <w:bottom w:w="0" w:type="dxa"/>
            <w:right w:w="108" w:type="dxa"/>
          </w:tblCellMar>
        </w:tblPrEx>
        <w:trPr>
          <w:trHeight w:val="350" w:hRule="atLeast"/>
        </w:trPr>
        <w:tc>
          <w:tcPr>
            <w:tcW w:w="1835" w:type="dxa"/>
            <w:vMerge w:val="continue"/>
            <w:tcBorders>
              <w:top w:val="nil"/>
              <w:left w:val="single" w:color="auto" w:sz="4" w:space="0"/>
              <w:bottom w:val="single" w:color="auto" w:sz="4" w:space="0"/>
              <w:right w:val="single" w:color="auto" w:sz="4" w:space="0"/>
            </w:tcBorders>
            <w:noWrap w:val="0"/>
            <w:vAlign w:val="center"/>
          </w:tcPr>
          <w:p w14:paraId="74785994">
            <w:pPr>
              <w:widowControl/>
              <w:spacing w:line="340" w:lineRule="exact"/>
              <w:jc w:val="center"/>
              <w:rPr>
                <w:rFonts w:ascii="仿宋" w:hAnsi="仿宋" w:eastAsia="仿宋" w:cs="仿宋"/>
                <w:b/>
                <w:bCs/>
                <w:kern w:val="0"/>
                <w:szCs w:val="21"/>
                <w:highlight w:val="none"/>
              </w:rPr>
            </w:pPr>
          </w:p>
        </w:tc>
        <w:tc>
          <w:tcPr>
            <w:tcW w:w="2042" w:type="dxa"/>
            <w:tcBorders>
              <w:top w:val="nil"/>
              <w:left w:val="nil"/>
              <w:bottom w:val="single" w:color="auto" w:sz="4" w:space="0"/>
              <w:right w:val="single" w:color="auto" w:sz="4" w:space="0"/>
            </w:tcBorders>
            <w:noWrap w:val="0"/>
            <w:vAlign w:val="center"/>
          </w:tcPr>
          <w:p w14:paraId="51B50CD3">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营业收入（Y）</w:t>
            </w:r>
          </w:p>
        </w:tc>
        <w:tc>
          <w:tcPr>
            <w:tcW w:w="876" w:type="dxa"/>
            <w:tcBorders>
              <w:top w:val="nil"/>
              <w:left w:val="nil"/>
              <w:bottom w:val="single" w:color="auto" w:sz="4" w:space="0"/>
              <w:right w:val="single" w:color="auto" w:sz="4" w:space="0"/>
            </w:tcBorders>
            <w:noWrap w:val="0"/>
            <w:vAlign w:val="center"/>
          </w:tcPr>
          <w:p w14:paraId="6C04F242">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万元</w:t>
            </w:r>
          </w:p>
        </w:tc>
        <w:tc>
          <w:tcPr>
            <w:tcW w:w="1896" w:type="dxa"/>
            <w:tcBorders>
              <w:top w:val="nil"/>
              <w:left w:val="nil"/>
              <w:bottom w:val="single" w:color="auto" w:sz="4" w:space="0"/>
              <w:right w:val="single" w:color="auto" w:sz="4" w:space="0"/>
            </w:tcBorders>
            <w:noWrap w:val="0"/>
            <w:vAlign w:val="center"/>
          </w:tcPr>
          <w:p w14:paraId="67AF0532">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2000≤Y＜10000</w:t>
            </w:r>
          </w:p>
        </w:tc>
        <w:tc>
          <w:tcPr>
            <w:tcW w:w="1751" w:type="dxa"/>
            <w:tcBorders>
              <w:top w:val="nil"/>
              <w:left w:val="nil"/>
              <w:bottom w:val="single" w:color="auto" w:sz="4" w:space="0"/>
              <w:right w:val="single" w:color="auto" w:sz="4" w:space="0"/>
            </w:tcBorders>
            <w:noWrap w:val="0"/>
            <w:vAlign w:val="center"/>
          </w:tcPr>
          <w:p w14:paraId="3F09D66B">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100≤Y＜2000</w:t>
            </w:r>
          </w:p>
        </w:tc>
        <w:tc>
          <w:tcPr>
            <w:tcW w:w="1167" w:type="dxa"/>
            <w:tcBorders>
              <w:top w:val="nil"/>
              <w:left w:val="nil"/>
              <w:bottom w:val="single" w:color="auto" w:sz="4" w:space="0"/>
              <w:right w:val="single" w:color="auto" w:sz="4" w:space="0"/>
            </w:tcBorders>
            <w:noWrap w:val="0"/>
            <w:vAlign w:val="center"/>
          </w:tcPr>
          <w:p w14:paraId="07E730E7">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Y＜100</w:t>
            </w:r>
          </w:p>
        </w:tc>
      </w:tr>
      <w:tr w14:paraId="48279277">
        <w:tblPrEx>
          <w:tblCellMar>
            <w:top w:w="0" w:type="dxa"/>
            <w:left w:w="108" w:type="dxa"/>
            <w:bottom w:w="0" w:type="dxa"/>
            <w:right w:w="108" w:type="dxa"/>
          </w:tblCellMar>
        </w:tblPrEx>
        <w:trPr>
          <w:trHeight w:val="350" w:hRule="atLeast"/>
        </w:trPr>
        <w:tc>
          <w:tcPr>
            <w:tcW w:w="1835" w:type="dxa"/>
            <w:vMerge w:val="restart"/>
            <w:tcBorders>
              <w:top w:val="nil"/>
              <w:left w:val="single" w:color="auto" w:sz="4" w:space="0"/>
              <w:bottom w:val="single" w:color="auto" w:sz="4" w:space="0"/>
              <w:right w:val="single" w:color="auto" w:sz="4" w:space="0"/>
            </w:tcBorders>
            <w:noWrap w:val="0"/>
            <w:vAlign w:val="center"/>
          </w:tcPr>
          <w:p w14:paraId="1B9E2D23">
            <w:pPr>
              <w:widowControl/>
              <w:spacing w:line="340" w:lineRule="exact"/>
              <w:jc w:val="center"/>
              <w:rPr>
                <w:rFonts w:ascii="仿宋" w:hAnsi="仿宋" w:eastAsia="仿宋" w:cs="仿宋"/>
                <w:b/>
                <w:bCs/>
                <w:kern w:val="0"/>
                <w:szCs w:val="21"/>
                <w:highlight w:val="none"/>
              </w:rPr>
            </w:pPr>
            <w:r>
              <w:rPr>
                <w:rFonts w:ascii="仿宋" w:hAnsi="仿宋" w:eastAsia="仿宋" w:cs="仿宋"/>
                <w:b/>
                <w:bCs/>
                <w:kern w:val="0"/>
                <w:szCs w:val="21"/>
                <w:highlight w:val="none"/>
              </w:rPr>
              <w:t>餐饮业</w:t>
            </w:r>
          </w:p>
        </w:tc>
        <w:tc>
          <w:tcPr>
            <w:tcW w:w="2042" w:type="dxa"/>
            <w:tcBorders>
              <w:top w:val="nil"/>
              <w:left w:val="nil"/>
              <w:bottom w:val="single" w:color="auto" w:sz="4" w:space="0"/>
              <w:right w:val="single" w:color="auto" w:sz="4" w:space="0"/>
            </w:tcBorders>
            <w:noWrap w:val="0"/>
            <w:vAlign w:val="center"/>
          </w:tcPr>
          <w:p w14:paraId="104D8E21">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从业人员（X）</w:t>
            </w:r>
          </w:p>
        </w:tc>
        <w:tc>
          <w:tcPr>
            <w:tcW w:w="876" w:type="dxa"/>
            <w:tcBorders>
              <w:top w:val="nil"/>
              <w:left w:val="nil"/>
              <w:bottom w:val="single" w:color="auto" w:sz="4" w:space="0"/>
              <w:right w:val="single" w:color="auto" w:sz="4" w:space="0"/>
            </w:tcBorders>
            <w:noWrap w:val="0"/>
            <w:vAlign w:val="center"/>
          </w:tcPr>
          <w:p w14:paraId="0D199D28">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人</w:t>
            </w:r>
          </w:p>
        </w:tc>
        <w:tc>
          <w:tcPr>
            <w:tcW w:w="1896" w:type="dxa"/>
            <w:tcBorders>
              <w:top w:val="nil"/>
              <w:left w:val="nil"/>
              <w:bottom w:val="single" w:color="auto" w:sz="4" w:space="0"/>
              <w:right w:val="single" w:color="auto" w:sz="4" w:space="0"/>
            </w:tcBorders>
            <w:noWrap w:val="0"/>
            <w:vAlign w:val="center"/>
          </w:tcPr>
          <w:p w14:paraId="5698D15B">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100≤X＜300</w:t>
            </w:r>
          </w:p>
        </w:tc>
        <w:tc>
          <w:tcPr>
            <w:tcW w:w="1751" w:type="dxa"/>
            <w:tcBorders>
              <w:top w:val="nil"/>
              <w:left w:val="nil"/>
              <w:bottom w:val="single" w:color="auto" w:sz="4" w:space="0"/>
              <w:right w:val="single" w:color="auto" w:sz="4" w:space="0"/>
            </w:tcBorders>
            <w:noWrap w:val="0"/>
            <w:vAlign w:val="center"/>
          </w:tcPr>
          <w:p w14:paraId="3614CD92">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10≤X＜100</w:t>
            </w:r>
          </w:p>
        </w:tc>
        <w:tc>
          <w:tcPr>
            <w:tcW w:w="1167" w:type="dxa"/>
            <w:tcBorders>
              <w:top w:val="nil"/>
              <w:left w:val="nil"/>
              <w:bottom w:val="single" w:color="auto" w:sz="4" w:space="0"/>
              <w:right w:val="single" w:color="auto" w:sz="4" w:space="0"/>
            </w:tcBorders>
            <w:noWrap w:val="0"/>
            <w:vAlign w:val="center"/>
          </w:tcPr>
          <w:p w14:paraId="1761DFC5">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X＜10</w:t>
            </w:r>
          </w:p>
        </w:tc>
      </w:tr>
      <w:tr w14:paraId="7D6D6710">
        <w:tblPrEx>
          <w:tblCellMar>
            <w:top w:w="0" w:type="dxa"/>
            <w:left w:w="108" w:type="dxa"/>
            <w:bottom w:w="0" w:type="dxa"/>
            <w:right w:w="108" w:type="dxa"/>
          </w:tblCellMar>
        </w:tblPrEx>
        <w:trPr>
          <w:trHeight w:val="350" w:hRule="atLeast"/>
        </w:trPr>
        <w:tc>
          <w:tcPr>
            <w:tcW w:w="1835" w:type="dxa"/>
            <w:vMerge w:val="continue"/>
            <w:tcBorders>
              <w:top w:val="nil"/>
              <w:left w:val="single" w:color="auto" w:sz="4" w:space="0"/>
              <w:bottom w:val="single" w:color="auto" w:sz="4" w:space="0"/>
              <w:right w:val="single" w:color="auto" w:sz="4" w:space="0"/>
            </w:tcBorders>
            <w:noWrap w:val="0"/>
            <w:vAlign w:val="center"/>
          </w:tcPr>
          <w:p w14:paraId="2319F9DA">
            <w:pPr>
              <w:widowControl/>
              <w:spacing w:line="340" w:lineRule="exact"/>
              <w:jc w:val="center"/>
              <w:rPr>
                <w:rFonts w:ascii="仿宋" w:hAnsi="仿宋" w:eastAsia="仿宋" w:cs="仿宋"/>
                <w:b/>
                <w:bCs/>
                <w:kern w:val="0"/>
                <w:szCs w:val="21"/>
                <w:highlight w:val="none"/>
              </w:rPr>
            </w:pPr>
          </w:p>
        </w:tc>
        <w:tc>
          <w:tcPr>
            <w:tcW w:w="2042" w:type="dxa"/>
            <w:tcBorders>
              <w:top w:val="nil"/>
              <w:left w:val="nil"/>
              <w:bottom w:val="single" w:color="auto" w:sz="4" w:space="0"/>
              <w:right w:val="single" w:color="auto" w:sz="4" w:space="0"/>
            </w:tcBorders>
            <w:noWrap w:val="0"/>
            <w:vAlign w:val="center"/>
          </w:tcPr>
          <w:p w14:paraId="062D471F">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营业收入（Y）</w:t>
            </w:r>
          </w:p>
        </w:tc>
        <w:tc>
          <w:tcPr>
            <w:tcW w:w="876" w:type="dxa"/>
            <w:tcBorders>
              <w:top w:val="nil"/>
              <w:left w:val="nil"/>
              <w:bottom w:val="single" w:color="auto" w:sz="4" w:space="0"/>
              <w:right w:val="single" w:color="auto" w:sz="4" w:space="0"/>
            </w:tcBorders>
            <w:noWrap w:val="0"/>
            <w:vAlign w:val="center"/>
          </w:tcPr>
          <w:p w14:paraId="054C4ADF">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万元</w:t>
            </w:r>
          </w:p>
        </w:tc>
        <w:tc>
          <w:tcPr>
            <w:tcW w:w="1896" w:type="dxa"/>
            <w:tcBorders>
              <w:top w:val="nil"/>
              <w:left w:val="nil"/>
              <w:bottom w:val="single" w:color="auto" w:sz="4" w:space="0"/>
              <w:right w:val="single" w:color="auto" w:sz="4" w:space="0"/>
            </w:tcBorders>
            <w:noWrap w:val="0"/>
            <w:vAlign w:val="center"/>
          </w:tcPr>
          <w:p w14:paraId="103EE63D">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2000≤Y＜10000</w:t>
            </w:r>
          </w:p>
        </w:tc>
        <w:tc>
          <w:tcPr>
            <w:tcW w:w="1751" w:type="dxa"/>
            <w:tcBorders>
              <w:top w:val="nil"/>
              <w:left w:val="nil"/>
              <w:bottom w:val="single" w:color="auto" w:sz="4" w:space="0"/>
              <w:right w:val="single" w:color="auto" w:sz="4" w:space="0"/>
            </w:tcBorders>
            <w:noWrap w:val="0"/>
            <w:vAlign w:val="center"/>
          </w:tcPr>
          <w:p w14:paraId="1AA991BA">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100≤Y＜2000</w:t>
            </w:r>
          </w:p>
        </w:tc>
        <w:tc>
          <w:tcPr>
            <w:tcW w:w="1167" w:type="dxa"/>
            <w:tcBorders>
              <w:top w:val="nil"/>
              <w:left w:val="nil"/>
              <w:bottom w:val="single" w:color="auto" w:sz="4" w:space="0"/>
              <w:right w:val="single" w:color="auto" w:sz="4" w:space="0"/>
            </w:tcBorders>
            <w:noWrap w:val="0"/>
            <w:vAlign w:val="center"/>
          </w:tcPr>
          <w:p w14:paraId="44873495">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Y＜100</w:t>
            </w:r>
          </w:p>
        </w:tc>
      </w:tr>
      <w:tr w14:paraId="225E97DB">
        <w:tblPrEx>
          <w:tblCellMar>
            <w:top w:w="0" w:type="dxa"/>
            <w:left w:w="108" w:type="dxa"/>
            <w:bottom w:w="0" w:type="dxa"/>
            <w:right w:w="108" w:type="dxa"/>
          </w:tblCellMar>
        </w:tblPrEx>
        <w:trPr>
          <w:trHeight w:val="350" w:hRule="atLeast"/>
        </w:trPr>
        <w:tc>
          <w:tcPr>
            <w:tcW w:w="1835" w:type="dxa"/>
            <w:vMerge w:val="restart"/>
            <w:tcBorders>
              <w:top w:val="nil"/>
              <w:left w:val="single" w:color="auto" w:sz="4" w:space="0"/>
              <w:bottom w:val="single" w:color="auto" w:sz="4" w:space="0"/>
              <w:right w:val="single" w:color="auto" w:sz="4" w:space="0"/>
            </w:tcBorders>
            <w:noWrap w:val="0"/>
            <w:vAlign w:val="center"/>
          </w:tcPr>
          <w:p w14:paraId="2343142B">
            <w:pPr>
              <w:widowControl/>
              <w:spacing w:line="340" w:lineRule="exact"/>
              <w:jc w:val="center"/>
              <w:rPr>
                <w:rFonts w:ascii="仿宋" w:hAnsi="仿宋" w:eastAsia="仿宋" w:cs="仿宋"/>
                <w:b/>
                <w:bCs/>
                <w:kern w:val="0"/>
                <w:szCs w:val="21"/>
                <w:highlight w:val="none"/>
              </w:rPr>
            </w:pPr>
            <w:r>
              <w:rPr>
                <w:rFonts w:ascii="仿宋" w:hAnsi="仿宋" w:eastAsia="仿宋" w:cs="仿宋"/>
                <w:b/>
                <w:bCs/>
                <w:kern w:val="0"/>
                <w:szCs w:val="21"/>
                <w:highlight w:val="none"/>
              </w:rPr>
              <w:t>信息传输业</w:t>
            </w:r>
          </w:p>
        </w:tc>
        <w:tc>
          <w:tcPr>
            <w:tcW w:w="2042" w:type="dxa"/>
            <w:tcBorders>
              <w:top w:val="nil"/>
              <w:left w:val="nil"/>
              <w:bottom w:val="single" w:color="auto" w:sz="4" w:space="0"/>
              <w:right w:val="single" w:color="auto" w:sz="4" w:space="0"/>
            </w:tcBorders>
            <w:noWrap w:val="0"/>
            <w:vAlign w:val="center"/>
          </w:tcPr>
          <w:p w14:paraId="0AFD8514">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从业人员（X）</w:t>
            </w:r>
          </w:p>
        </w:tc>
        <w:tc>
          <w:tcPr>
            <w:tcW w:w="876" w:type="dxa"/>
            <w:tcBorders>
              <w:top w:val="nil"/>
              <w:left w:val="nil"/>
              <w:bottom w:val="single" w:color="auto" w:sz="4" w:space="0"/>
              <w:right w:val="single" w:color="auto" w:sz="4" w:space="0"/>
            </w:tcBorders>
            <w:noWrap w:val="0"/>
            <w:vAlign w:val="center"/>
          </w:tcPr>
          <w:p w14:paraId="28EDCE0E">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人</w:t>
            </w:r>
          </w:p>
        </w:tc>
        <w:tc>
          <w:tcPr>
            <w:tcW w:w="1896" w:type="dxa"/>
            <w:tcBorders>
              <w:top w:val="nil"/>
              <w:left w:val="nil"/>
              <w:bottom w:val="single" w:color="auto" w:sz="4" w:space="0"/>
              <w:right w:val="single" w:color="auto" w:sz="4" w:space="0"/>
            </w:tcBorders>
            <w:noWrap w:val="0"/>
            <w:vAlign w:val="center"/>
          </w:tcPr>
          <w:p w14:paraId="2C255861">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100≤X＜2000</w:t>
            </w:r>
          </w:p>
        </w:tc>
        <w:tc>
          <w:tcPr>
            <w:tcW w:w="1751" w:type="dxa"/>
            <w:tcBorders>
              <w:top w:val="nil"/>
              <w:left w:val="nil"/>
              <w:bottom w:val="single" w:color="auto" w:sz="4" w:space="0"/>
              <w:right w:val="single" w:color="auto" w:sz="4" w:space="0"/>
            </w:tcBorders>
            <w:noWrap w:val="0"/>
            <w:vAlign w:val="center"/>
          </w:tcPr>
          <w:p w14:paraId="7BBB3506">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10≤X＜100</w:t>
            </w:r>
          </w:p>
        </w:tc>
        <w:tc>
          <w:tcPr>
            <w:tcW w:w="1167" w:type="dxa"/>
            <w:tcBorders>
              <w:top w:val="nil"/>
              <w:left w:val="nil"/>
              <w:bottom w:val="single" w:color="auto" w:sz="4" w:space="0"/>
              <w:right w:val="single" w:color="auto" w:sz="4" w:space="0"/>
            </w:tcBorders>
            <w:noWrap w:val="0"/>
            <w:vAlign w:val="center"/>
          </w:tcPr>
          <w:p w14:paraId="7D9811E2">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X＜10</w:t>
            </w:r>
          </w:p>
        </w:tc>
      </w:tr>
      <w:tr w14:paraId="21F99633">
        <w:tblPrEx>
          <w:tblCellMar>
            <w:top w:w="0" w:type="dxa"/>
            <w:left w:w="108" w:type="dxa"/>
            <w:bottom w:w="0" w:type="dxa"/>
            <w:right w:w="108" w:type="dxa"/>
          </w:tblCellMar>
        </w:tblPrEx>
        <w:trPr>
          <w:trHeight w:val="350" w:hRule="atLeast"/>
        </w:trPr>
        <w:tc>
          <w:tcPr>
            <w:tcW w:w="1835" w:type="dxa"/>
            <w:vMerge w:val="continue"/>
            <w:tcBorders>
              <w:top w:val="nil"/>
              <w:left w:val="single" w:color="auto" w:sz="4" w:space="0"/>
              <w:bottom w:val="single" w:color="auto" w:sz="4" w:space="0"/>
              <w:right w:val="single" w:color="auto" w:sz="4" w:space="0"/>
            </w:tcBorders>
            <w:noWrap w:val="0"/>
            <w:vAlign w:val="center"/>
          </w:tcPr>
          <w:p w14:paraId="17651D9B">
            <w:pPr>
              <w:widowControl/>
              <w:spacing w:line="340" w:lineRule="exact"/>
              <w:jc w:val="center"/>
              <w:rPr>
                <w:rFonts w:ascii="仿宋" w:hAnsi="仿宋" w:eastAsia="仿宋" w:cs="仿宋"/>
                <w:b/>
                <w:bCs/>
                <w:kern w:val="0"/>
                <w:szCs w:val="21"/>
                <w:highlight w:val="none"/>
              </w:rPr>
            </w:pPr>
          </w:p>
        </w:tc>
        <w:tc>
          <w:tcPr>
            <w:tcW w:w="2042" w:type="dxa"/>
            <w:tcBorders>
              <w:top w:val="nil"/>
              <w:left w:val="nil"/>
              <w:bottom w:val="single" w:color="auto" w:sz="4" w:space="0"/>
              <w:right w:val="single" w:color="auto" w:sz="4" w:space="0"/>
            </w:tcBorders>
            <w:noWrap w:val="0"/>
            <w:vAlign w:val="center"/>
          </w:tcPr>
          <w:p w14:paraId="062B39C5">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营业收入（Y）</w:t>
            </w:r>
          </w:p>
        </w:tc>
        <w:tc>
          <w:tcPr>
            <w:tcW w:w="876" w:type="dxa"/>
            <w:tcBorders>
              <w:top w:val="nil"/>
              <w:left w:val="nil"/>
              <w:bottom w:val="single" w:color="auto" w:sz="4" w:space="0"/>
              <w:right w:val="single" w:color="auto" w:sz="4" w:space="0"/>
            </w:tcBorders>
            <w:noWrap w:val="0"/>
            <w:vAlign w:val="center"/>
          </w:tcPr>
          <w:p w14:paraId="48D9D94E">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万元</w:t>
            </w:r>
          </w:p>
        </w:tc>
        <w:tc>
          <w:tcPr>
            <w:tcW w:w="1896" w:type="dxa"/>
            <w:tcBorders>
              <w:top w:val="nil"/>
              <w:left w:val="nil"/>
              <w:bottom w:val="single" w:color="auto" w:sz="4" w:space="0"/>
              <w:right w:val="single" w:color="auto" w:sz="4" w:space="0"/>
            </w:tcBorders>
            <w:noWrap w:val="0"/>
            <w:vAlign w:val="center"/>
          </w:tcPr>
          <w:p w14:paraId="4220024B">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1000≤Y＜100000</w:t>
            </w:r>
          </w:p>
        </w:tc>
        <w:tc>
          <w:tcPr>
            <w:tcW w:w="1751" w:type="dxa"/>
            <w:tcBorders>
              <w:top w:val="nil"/>
              <w:left w:val="nil"/>
              <w:bottom w:val="single" w:color="auto" w:sz="4" w:space="0"/>
              <w:right w:val="single" w:color="auto" w:sz="4" w:space="0"/>
            </w:tcBorders>
            <w:noWrap w:val="0"/>
            <w:vAlign w:val="center"/>
          </w:tcPr>
          <w:p w14:paraId="174F0CA5">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100≤Y＜1000</w:t>
            </w:r>
          </w:p>
        </w:tc>
        <w:tc>
          <w:tcPr>
            <w:tcW w:w="1167" w:type="dxa"/>
            <w:tcBorders>
              <w:top w:val="nil"/>
              <w:left w:val="nil"/>
              <w:bottom w:val="single" w:color="auto" w:sz="4" w:space="0"/>
              <w:right w:val="single" w:color="auto" w:sz="4" w:space="0"/>
            </w:tcBorders>
            <w:noWrap w:val="0"/>
            <w:vAlign w:val="center"/>
          </w:tcPr>
          <w:p w14:paraId="72D3963D">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Y＜100</w:t>
            </w:r>
          </w:p>
        </w:tc>
      </w:tr>
      <w:tr w14:paraId="1D5933F9">
        <w:tblPrEx>
          <w:tblCellMar>
            <w:top w:w="0" w:type="dxa"/>
            <w:left w:w="108" w:type="dxa"/>
            <w:bottom w:w="0" w:type="dxa"/>
            <w:right w:w="108" w:type="dxa"/>
          </w:tblCellMar>
        </w:tblPrEx>
        <w:trPr>
          <w:trHeight w:val="350" w:hRule="atLeast"/>
        </w:trPr>
        <w:tc>
          <w:tcPr>
            <w:tcW w:w="1835" w:type="dxa"/>
            <w:vMerge w:val="restart"/>
            <w:tcBorders>
              <w:top w:val="nil"/>
              <w:left w:val="single" w:color="auto" w:sz="4" w:space="0"/>
              <w:bottom w:val="single" w:color="auto" w:sz="4" w:space="0"/>
              <w:right w:val="single" w:color="auto" w:sz="4" w:space="0"/>
            </w:tcBorders>
            <w:noWrap w:val="0"/>
            <w:vAlign w:val="center"/>
          </w:tcPr>
          <w:p w14:paraId="26D9B971">
            <w:pPr>
              <w:widowControl/>
              <w:spacing w:line="340" w:lineRule="exact"/>
              <w:jc w:val="center"/>
              <w:rPr>
                <w:rFonts w:ascii="仿宋" w:hAnsi="仿宋" w:eastAsia="仿宋" w:cs="仿宋"/>
                <w:b/>
                <w:bCs/>
                <w:kern w:val="0"/>
                <w:szCs w:val="21"/>
                <w:highlight w:val="none"/>
              </w:rPr>
            </w:pPr>
            <w:r>
              <w:rPr>
                <w:rFonts w:ascii="仿宋" w:hAnsi="仿宋" w:eastAsia="仿宋" w:cs="仿宋"/>
                <w:b/>
                <w:bCs/>
                <w:kern w:val="0"/>
                <w:szCs w:val="21"/>
                <w:highlight w:val="none"/>
              </w:rPr>
              <w:t>软件和信息技术服务业</w:t>
            </w:r>
          </w:p>
        </w:tc>
        <w:tc>
          <w:tcPr>
            <w:tcW w:w="2042" w:type="dxa"/>
            <w:tcBorders>
              <w:top w:val="nil"/>
              <w:left w:val="nil"/>
              <w:bottom w:val="single" w:color="auto" w:sz="4" w:space="0"/>
              <w:right w:val="single" w:color="auto" w:sz="4" w:space="0"/>
            </w:tcBorders>
            <w:noWrap w:val="0"/>
            <w:vAlign w:val="center"/>
          </w:tcPr>
          <w:p w14:paraId="651BF584">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从业人员（X）</w:t>
            </w:r>
          </w:p>
        </w:tc>
        <w:tc>
          <w:tcPr>
            <w:tcW w:w="876" w:type="dxa"/>
            <w:tcBorders>
              <w:top w:val="nil"/>
              <w:left w:val="nil"/>
              <w:bottom w:val="single" w:color="auto" w:sz="4" w:space="0"/>
              <w:right w:val="single" w:color="auto" w:sz="4" w:space="0"/>
            </w:tcBorders>
            <w:noWrap w:val="0"/>
            <w:vAlign w:val="center"/>
          </w:tcPr>
          <w:p w14:paraId="4D495F73">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人</w:t>
            </w:r>
          </w:p>
        </w:tc>
        <w:tc>
          <w:tcPr>
            <w:tcW w:w="1896" w:type="dxa"/>
            <w:tcBorders>
              <w:top w:val="nil"/>
              <w:left w:val="nil"/>
              <w:bottom w:val="single" w:color="auto" w:sz="4" w:space="0"/>
              <w:right w:val="single" w:color="auto" w:sz="4" w:space="0"/>
            </w:tcBorders>
            <w:noWrap w:val="0"/>
            <w:vAlign w:val="center"/>
          </w:tcPr>
          <w:p w14:paraId="36CD41C3">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100≤X＜300</w:t>
            </w:r>
          </w:p>
        </w:tc>
        <w:tc>
          <w:tcPr>
            <w:tcW w:w="1751" w:type="dxa"/>
            <w:tcBorders>
              <w:top w:val="nil"/>
              <w:left w:val="nil"/>
              <w:bottom w:val="single" w:color="auto" w:sz="4" w:space="0"/>
              <w:right w:val="single" w:color="auto" w:sz="4" w:space="0"/>
            </w:tcBorders>
            <w:noWrap w:val="0"/>
            <w:vAlign w:val="center"/>
          </w:tcPr>
          <w:p w14:paraId="33D67466">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10≤X＜100</w:t>
            </w:r>
          </w:p>
        </w:tc>
        <w:tc>
          <w:tcPr>
            <w:tcW w:w="1167" w:type="dxa"/>
            <w:tcBorders>
              <w:top w:val="nil"/>
              <w:left w:val="nil"/>
              <w:bottom w:val="single" w:color="auto" w:sz="4" w:space="0"/>
              <w:right w:val="single" w:color="auto" w:sz="4" w:space="0"/>
            </w:tcBorders>
            <w:noWrap w:val="0"/>
            <w:vAlign w:val="center"/>
          </w:tcPr>
          <w:p w14:paraId="60FD7FDB">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X＜10</w:t>
            </w:r>
          </w:p>
        </w:tc>
      </w:tr>
      <w:tr w14:paraId="41418418">
        <w:tblPrEx>
          <w:tblCellMar>
            <w:top w:w="0" w:type="dxa"/>
            <w:left w:w="108" w:type="dxa"/>
            <w:bottom w:w="0" w:type="dxa"/>
            <w:right w:w="108" w:type="dxa"/>
          </w:tblCellMar>
        </w:tblPrEx>
        <w:trPr>
          <w:trHeight w:val="350" w:hRule="atLeast"/>
        </w:trPr>
        <w:tc>
          <w:tcPr>
            <w:tcW w:w="1835" w:type="dxa"/>
            <w:vMerge w:val="continue"/>
            <w:tcBorders>
              <w:top w:val="nil"/>
              <w:left w:val="single" w:color="auto" w:sz="4" w:space="0"/>
              <w:bottom w:val="single" w:color="auto" w:sz="4" w:space="0"/>
              <w:right w:val="single" w:color="auto" w:sz="4" w:space="0"/>
            </w:tcBorders>
            <w:noWrap w:val="0"/>
            <w:vAlign w:val="center"/>
          </w:tcPr>
          <w:p w14:paraId="3CE1E295">
            <w:pPr>
              <w:widowControl/>
              <w:spacing w:line="340" w:lineRule="exact"/>
              <w:jc w:val="center"/>
              <w:rPr>
                <w:rFonts w:ascii="仿宋" w:hAnsi="仿宋" w:eastAsia="仿宋" w:cs="仿宋"/>
                <w:b/>
                <w:bCs/>
                <w:kern w:val="0"/>
                <w:szCs w:val="21"/>
                <w:highlight w:val="none"/>
              </w:rPr>
            </w:pPr>
          </w:p>
        </w:tc>
        <w:tc>
          <w:tcPr>
            <w:tcW w:w="2042" w:type="dxa"/>
            <w:tcBorders>
              <w:top w:val="nil"/>
              <w:left w:val="nil"/>
              <w:bottom w:val="single" w:color="auto" w:sz="4" w:space="0"/>
              <w:right w:val="single" w:color="auto" w:sz="4" w:space="0"/>
            </w:tcBorders>
            <w:noWrap w:val="0"/>
            <w:vAlign w:val="center"/>
          </w:tcPr>
          <w:p w14:paraId="7C81D595">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营业收入（Y）</w:t>
            </w:r>
          </w:p>
        </w:tc>
        <w:tc>
          <w:tcPr>
            <w:tcW w:w="876" w:type="dxa"/>
            <w:tcBorders>
              <w:top w:val="nil"/>
              <w:left w:val="nil"/>
              <w:bottom w:val="single" w:color="auto" w:sz="4" w:space="0"/>
              <w:right w:val="single" w:color="auto" w:sz="4" w:space="0"/>
            </w:tcBorders>
            <w:noWrap w:val="0"/>
            <w:vAlign w:val="center"/>
          </w:tcPr>
          <w:p w14:paraId="7FB11EE5">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万元</w:t>
            </w:r>
          </w:p>
        </w:tc>
        <w:tc>
          <w:tcPr>
            <w:tcW w:w="1896" w:type="dxa"/>
            <w:tcBorders>
              <w:top w:val="nil"/>
              <w:left w:val="nil"/>
              <w:bottom w:val="single" w:color="auto" w:sz="4" w:space="0"/>
              <w:right w:val="single" w:color="auto" w:sz="4" w:space="0"/>
            </w:tcBorders>
            <w:noWrap w:val="0"/>
            <w:vAlign w:val="center"/>
          </w:tcPr>
          <w:p w14:paraId="73AC5F2A">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1000≤Y＜10000</w:t>
            </w:r>
          </w:p>
        </w:tc>
        <w:tc>
          <w:tcPr>
            <w:tcW w:w="1751" w:type="dxa"/>
            <w:tcBorders>
              <w:top w:val="nil"/>
              <w:left w:val="nil"/>
              <w:bottom w:val="single" w:color="auto" w:sz="4" w:space="0"/>
              <w:right w:val="single" w:color="auto" w:sz="4" w:space="0"/>
            </w:tcBorders>
            <w:noWrap w:val="0"/>
            <w:vAlign w:val="center"/>
          </w:tcPr>
          <w:p w14:paraId="3C4D85FF">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50≤Y＜1000</w:t>
            </w:r>
          </w:p>
        </w:tc>
        <w:tc>
          <w:tcPr>
            <w:tcW w:w="1167" w:type="dxa"/>
            <w:tcBorders>
              <w:top w:val="nil"/>
              <w:left w:val="nil"/>
              <w:bottom w:val="single" w:color="auto" w:sz="4" w:space="0"/>
              <w:right w:val="single" w:color="auto" w:sz="4" w:space="0"/>
            </w:tcBorders>
            <w:noWrap w:val="0"/>
            <w:vAlign w:val="center"/>
          </w:tcPr>
          <w:p w14:paraId="42B0C7FC">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Y＜50</w:t>
            </w:r>
          </w:p>
        </w:tc>
      </w:tr>
      <w:tr w14:paraId="792702BF">
        <w:tblPrEx>
          <w:tblCellMar>
            <w:top w:w="0" w:type="dxa"/>
            <w:left w:w="108" w:type="dxa"/>
            <w:bottom w:w="0" w:type="dxa"/>
            <w:right w:w="108" w:type="dxa"/>
          </w:tblCellMar>
        </w:tblPrEx>
        <w:trPr>
          <w:trHeight w:val="350" w:hRule="atLeast"/>
        </w:trPr>
        <w:tc>
          <w:tcPr>
            <w:tcW w:w="1835" w:type="dxa"/>
            <w:vMerge w:val="restart"/>
            <w:tcBorders>
              <w:top w:val="nil"/>
              <w:left w:val="single" w:color="auto" w:sz="4" w:space="0"/>
              <w:bottom w:val="single" w:color="auto" w:sz="4" w:space="0"/>
              <w:right w:val="single" w:color="auto" w:sz="4" w:space="0"/>
            </w:tcBorders>
            <w:noWrap w:val="0"/>
            <w:vAlign w:val="center"/>
          </w:tcPr>
          <w:p w14:paraId="6E1A6E40">
            <w:pPr>
              <w:widowControl/>
              <w:spacing w:line="340" w:lineRule="exact"/>
              <w:jc w:val="center"/>
              <w:rPr>
                <w:rFonts w:ascii="仿宋" w:hAnsi="仿宋" w:eastAsia="仿宋" w:cs="仿宋"/>
                <w:b/>
                <w:bCs/>
                <w:kern w:val="0"/>
                <w:szCs w:val="21"/>
                <w:highlight w:val="none"/>
              </w:rPr>
            </w:pPr>
            <w:r>
              <w:rPr>
                <w:rFonts w:ascii="仿宋" w:hAnsi="仿宋" w:eastAsia="仿宋" w:cs="仿宋"/>
                <w:b/>
                <w:bCs/>
                <w:kern w:val="0"/>
                <w:szCs w:val="21"/>
                <w:highlight w:val="none"/>
              </w:rPr>
              <w:t>房地产开发经营</w:t>
            </w:r>
          </w:p>
        </w:tc>
        <w:tc>
          <w:tcPr>
            <w:tcW w:w="2042" w:type="dxa"/>
            <w:tcBorders>
              <w:top w:val="nil"/>
              <w:left w:val="nil"/>
              <w:bottom w:val="single" w:color="auto" w:sz="4" w:space="0"/>
              <w:right w:val="single" w:color="auto" w:sz="4" w:space="0"/>
            </w:tcBorders>
            <w:noWrap w:val="0"/>
            <w:vAlign w:val="center"/>
          </w:tcPr>
          <w:p w14:paraId="66CA9F58">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营业收入（Y）</w:t>
            </w:r>
          </w:p>
        </w:tc>
        <w:tc>
          <w:tcPr>
            <w:tcW w:w="876" w:type="dxa"/>
            <w:tcBorders>
              <w:top w:val="nil"/>
              <w:left w:val="nil"/>
              <w:bottom w:val="single" w:color="auto" w:sz="4" w:space="0"/>
              <w:right w:val="single" w:color="auto" w:sz="4" w:space="0"/>
            </w:tcBorders>
            <w:noWrap w:val="0"/>
            <w:vAlign w:val="center"/>
          </w:tcPr>
          <w:p w14:paraId="331C5E2D">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万元</w:t>
            </w:r>
          </w:p>
        </w:tc>
        <w:tc>
          <w:tcPr>
            <w:tcW w:w="1896" w:type="dxa"/>
            <w:tcBorders>
              <w:top w:val="nil"/>
              <w:left w:val="nil"/>
              <w:bottom w:val="single" w:color="auto" w:sz="4" w:space="0"/>
              <w:right w:val="single" w:color="auto" w:sz="4" w:space="0"/>
            </w:tcBorders>
            <w:noWrap w:val="0"/>
            <w:vAlign w:val="center"/>
          </w:tcPr>
          <w:p w14:paraId="7E598394">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1000≤Y＜200000</w:t>
            </w:r>
          </w:p>
        </w:tc>
        <w:tc>
          <w:tcPr>
            <w:tcW w:w="1751" w:type="dxa"/>
            <w:tcBorders>
              <w:top w:val="nil"/>
              <w:left w:val="nil"/>
              <w:bottom w:val="single" w:color="auto" w:sz="4" w:space="0"/>
              <w:right w:val="single" w:color="auto" w:sz="4" w:space="0"/>
            </w:tcBorders>
            <w:noWrap w:val="0"/>
            <w:vAlign w:val="center"/>
          </w:tcPr>
          <w:p w14:paraId="731B2407">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100≤X＜1000</w:t>
            </w:r>
          </w:p>
        </w:tc>
        <w:tc>
          <w:tcPr>
            <w:tcW w:w="1167" w:type="dxa"/>
            <w:tcBorders>
              <w:top w:val="nil"/>
              <w:left w:val="nil"/>
              <w:bottom w:val="single" w:color="auto" w:sz="4" w:space="0"/>
              <w:right w:val="single" w:color="auto" w:sz="4" w:space="0"/>
            </w:tcBorders>
            <w:noWrap w:val="0"/>
            <w:vAlign w:val="center"/>
          </w:tcPr>
          <w:p w14:paraId="75A583FD">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X＜100</w:t>
            </w:r>
          </w:p>
        </w:tc>
      </w:tr>
      <w:tr w14:paraId="334DF30A">
        <w:tblPrEx>
          <w:tblCellMar>
            <w:top w:w="0" w:type="dxa"/>
            <w:left w:w="108" w:type="dxa"/>
            <w:bottom w:w="0" w:type="dxa"/>
            <w:right w:w="108" w:type="dxa"/>
          </w:tblCellMar>
        </w:tblPrEx>
        <w:trPr>
          <w:trHeight w:val="350" w:hRule="atLeast"/>
        </w:trPr>
        <w:tc>
          <w:tcPr>
            <w:tcW w:w="1835" w:type="dxa"/>
            <w:vMerge w:val="continue"/>
            <w:tcBorders>
              <w:top w:val="nil"/>
              <w:left w:val="single" w:color="auto" w:sz="4" w:space="0"/>
              <w:bottom w:val="single" w:color="auto" w:sz="4" w:space="0"/>
              <w:right w:val="single" w:color="auto" w:sz="4" w:space="0"/>
            </w:tcBorders>
            <w:noWrap w:val="0"/>
            <w:vAlign w:val="center"/>
          </w:tcPr>
          <w:p w14:paraId="0C5B4256">
            <w:pPr>
              <w:widowControl/>
              <w:spacing w:line="340" w:lineRule="exact"/>
              <w:jc w:val="center"/>
              <w:rPr>
                <w:rFonts w:ascii="仿宋" w:hAnsi="仿宋" w:eastAsia="仿宋" w:cs="仿宋"/>
                <w:b/>
                <w:bCs/>
                <w:kern w:val="0"/>
                <w:szCs w:val="21"/>
                <w:highlight w:val="none"/>
              </w:rPr>
            </w:pPr>
          </w:p>
        </w:tc>
        <w:tc>
          <w:tcPr>
            <w:tcW w:w="2042" w:type="dxa"/>
            <w:tcBorders>
              <w:top w:val="nil"/>
              <w:left w:val="nil"/>
              <w:bottom w:val="single" w:color="auto" w:sz="4" w:space="0"/>
              <w:right w:val="single" w:color="auto" w:sz="4" w:space="0"/>
            </w:tcBorders>
            <w:noWrap w:val="0"/>
            <w:vAlign w:val="center"/>
          </w:tcPr>
          <w:p w14:paraId="360B79B7">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资产总额（Z）</w:t>
            </w:r>
          </w:p>
        </w:tc>
        <w:tc>
          <w:tcPr>
            <w:tcW w:w="876" w:type="dxa"/>
            <w:tcBorders>
              <w:top w:val="nil"/>
              <w:left w:val="nil"/>
              <w:bottom w:val="single" w:color="auto" w:sz="4" w:space="0"/>
              <w:right w:val="single" w:color="auto" w:sz="4" w:space="0"/>
            </w:tcBorders>
            <w:noWrap w:val="0"/>
            <w:vAlign w:val="center"/>
          </w:tcPr>
          <w:p w14:paraId="40B9FDE1">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万元</w:t>
            </w:r>
          </w:p>
        </w:tc>
        <w:tc>
          <w:tcPr>
            <w:tcW w:w="1896" w:type="dxa"/>
            <w:tcBorders>
              <w:top w:val="nil"/>
              <w:left w:val="nil"/>
              <w:bottom w:val="single" w:color="auto" w:sz="4" w:space="0"/>
              <w:right w:val="single" w:color="auto" w:sz="4" w:space="0"/>
            </w:tcBorders>
            <w:noWrap w:val="0"/>
            <w:vAlign w:val="center"/>
          </w:tcPr>
          <w:p w14:paraId="51C739F3">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5000≤Z＜10000</w:t>
            </w:r>
          </w:p>
        </w:tc>
        <w:tc>
          <w:tcPr>
            <w:tcW w:w="1751" w:type="dxa"/>
            <w:tcBorders>
              <w:top w:val="nil"/>
              <w:left w:val="nil"/>
              <w:bottom w:val="single" w:color="auto" w:sz="4" w:space="0"/>
              <w:right w:val="single" w:color="auto" w:sz="4" w:space="0"/>
            </w:tcBorders>
            <w:noWrap w:val="0"/>
            <w:vAlign w:val="center"/>
          </w:tcPr>
          <w:p w14:paraId="71A97144">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2000≤Y＜5000</w:t>
            </w:r>
          </w:p>
        </w:tc>
        <w:tc>
          <w:tcPr>
            <w:tcW w:w="1167" w:type="dxa"/>
            <w:tcBorders>
              <w:top w:val="nil"/>
              <w:left w:val="nil"/>
              <w:bottom w:val="single" w:color="auto" w:sz="4" w:space="0"/>
              <w:right w:val="single" w:color="auto" w:sz="4" w:space="0"/>
            </w:tcBorders>
            <w:noWrap w:val="0"/>
            <w:vAlign w:val="center"/>
          </w:tcPr>
          <w:p w14:paraId="14238D96">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Y＜2000</w:t>
            </w:r>
          </w:p>
        </w:tc>
      </w:tr>
      <w:tr w14:paraId="4D3E198D">
        <w:tblPrEx>
          <w:tblCellMar>
            <w:top w:w="0" w:type="dxa"/>
            <w:left w:w="108" w:type="dxa"/>
            <w:bottom w:w="0" w:type="dxa"/>
            <w:right w:w="108" w:type="dxa"/>
          </w:tblCellMar>
        </w:tblPrEx>
        <w:trPr>
          <w:trHeight w:val="350" w:hRule="atLeast"/>
        </w:trPr>
        <w:tc>
          <w:tcPr>
            <w:tcW w:w="1835" w:type="dxa"/>
            <w:vMerge w:val="restart"/>
            <w:tcBorders>
              <w:top w:val="nil"/>
              <w:left w:val="single" w:color="auto" w:sz="4" w:space="0"/>
              <w:bottom w:val="single" w:color="auto" w:sz="4" w:space="0"/>
              <w:right w:val="single" w:color="auto" w:sz="4" w:space="0"/>
            </w:tcBorders>
            <w:noWrap w:val="0"/>
            <w:vAlign w:val="center"/>
          </w:tcPr>
          <w:p w14:paraId="69642496">
            <w:pPr>
              <w:widowControl/>
              <w:spacing w:line="340" w:lineRule="exact"/>
              <w:jc w:val="center"/>
              <w:rPr>
                <w:rFonts w:ascii="仿宋" w:hAnsi="仿宋" w:eastAsia="仿宋" w:cs="仿宋"/>
                <w:b/>
                <w:bCs/>
                <w:kern w:val="0"/>
                <w:szCs w:val="21"/>
                <w:highlight w:val="none"/>
              </w:rPr>
            </w:pPr>
            <w:r>
              <w:rPr>
                <w:rFonts w:ascii="仿宋" w:hAnsi="仿宋" w:eastAsia="仿宋" w:cs="仿宋"/>
                <w:b/>
                <w:bCs/>
                <w:kern w:val="0"/>
                <w:szCs w:val="21"/>
                <w:highlight w:val="none"/>
              </w:rPr>
              <w:t>物业管理</w:t>
            </w:r>
          </w:p>
        </w:tc>
        <w:tc>
          <w:tcPr>
            <w:tcW w:w="2042" w:type="dxa"/>
            <w:tcBorders>
              <w:top w:val="nil"/>
              <w:left w:val="nil"/>
              <w:bottom w:val="single" w:color="auto" w:sz="4" w:space="0"/>
              <w:right w:val="single" w:color="auto" w:sz="4" w:space="0"/>
            </w:tcBorders>
            <w:noWrap w:val="0"/>
            <w:vAlign w:val="center"/>
          </w:tcPr>
          <w:p w14:paraId="13CCB2B6">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从业人员（X）</w:t>
            </w:r>
          </w:p>
        </w:tc>
        <w:tc>
          <w:tcPr>
            <w:tcW w:w="876" w:type="dxa"/>
            <w:tcBorders>
              <w:top w:val="nil"/>
              <w:left w:val="nil"/>
              <w:bottom w:val="single" w:color="auto" w:sz="4" w:space="0"/>
              <w:right w:val="single" w:color="auto" w:sz="4" w:space="0"/>
            </w:tcBorders>
            <w:noWrap w:val="0"/>
            <w:vAlign w:val="center"/>
          </w:tcPr>
          <w:p w14:paraId="1AEC23AC">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人</w:t>
            </w:r>
          </w:p>
        </w:tc>
        <w:tc>
          <w:tcPr>
            <w:tcW w:w="1896" w:type="dxa"/>
            <w:tcBorders>
              <w:top w:val="nil"/>
              <w:left w:val="nil"/>
              <w:bottom w:val="single" w:color="auto" w:sz="4" w:space="0"/>
              <w:right w:val="single" w:color="auto" w:sz="4" w:space="0"/>
            </w:tcBorders>
            <w:noWrap w:val="0"/>
            <w:vAlign w:val="center"/>
          </w:tcPr>
          <w:p w14:paraId="69CCD01A">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300≤X＜1000</w:t>
            </w:r>
          </w:p>
        </w:tc>
        <w:tc>
          <w:tcPr>
            <w:tcW w:w="1751" w:type="dxa"/>
            <w:tcBorders>
              <w:top w:val="nil"/>
              <w:left w:val="nil"/>
              <w:bottom w:val="single" w:color="auto" w:sz="4" w:space="0"/>
              <w:right w:val="single" w:color="auto" w:sz="4" w:space="0"/>
            </w:tcBorders>
            <w:noWrap w:val="0"/>
            <w:vAlign w:val="center"/>
          </w:tcPr>
          <w:p w14:paraId="553B093A">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100≤X＜300</w:t>
            </w:r>
          </w:p>
        </w:tc>
        <w:tc>
          <w:tcPr>
            <w:tcW w:w="1167" w:type="dxa"/>
            <w:tcBorders>
              <w:top w:val="nil"/>
              <w:left w:val="nil"/>
              <w:bottom w:val="single" w:color="auto" w:sz="4" w:space="0"/>
              <w:right w:val="single" w:color="auto" w:sz="4" w:space="0"/>
            </w:tcBorders>
            <w:noWrap w:val="0"/>
            <w:vAlign w:val="center"/>
          </w:tcPr>
          <w:p w14:paraId="4E6A3E8C">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X＜100</w:t>
            </w:r>
          </w:p>
        </w:tc>
      </w:tr>
      <w:tr w14:paraId="33C6DA36">
        <w:tblPrEx>
          <w:tblCellMar>
            <w:top w:w="0" w:type="dxa"/>
            <w:left w:w="108" w:type="dxa"/>
            <w:bottom w:w="0" w:type="dxa"/>
            <w:right w:w="108" w:type="dxa"/>
          </w:tblCellMar>
        </w:tblPrEx>
        <w:trPr>
          <w:trHeight w:val="350" w:hRule="atLeast"/>
        </w:trPr>
        <w:tc>
          <w:tcPr>
            <w:tcW w:w="1835" w:type="dxa"/>
            <w:vMerge w:val="continue"/>
            <w:tcBorders>
              <w:top w:val="nil"/>
              <w:left w:val="single" w:color="auto" w:sz="4" w:space="0"/>
              <w:bottom w:val="single" w:color="auto" w:sz="4" w:space="0"/>
              <w:right w:val="single" w:color="auto" w:sz="4" w:space="0"/>
            </w:tcBorders>
            <w:noWrap w:val="0"/>
            <w:vAlign w:val="center"/>
          </w:tcPr>
          <w:p w14:paraId="10A67A41">
            <w:pPr>
              <w:widowControl/>
              <w:spacing w:line="340" w:lineRule="exact"/>
              <w:jc w:val="center"/>
              <w:rPr>
                <w:rFonts w:ascii="仿宋" w:hAnsi="仿宋" w:eastAsia="仿宋" w:cs="仿宋"/>
                <w:b/>
                <w:bCs/>
                <w:kern w:val="0"/>
                <w:szCs w:val="21"/>
                <w:highlight w:val="none"/>
              </w:rPr>
            </w:pPr>
          </w:p>
        </w:tc>
        <w:tc>
          <w:tcPr>
            <w:tcW w:w="2042" w:type="dxa"/>
            <w:tcBorders>
              <w:top w:val="nil"/>
              <w:left w:val="nil"/>
              <w:bottom w:val="single" w:color="auto" w:sz="4" w:space="0"/>
              <w:right w:val="single" w:color="auto" w:sz="4" w:space="0"/>
            </w:tcBorders>
            <w:noWrap w:val="0"/>
            <w:vAlign w:val="center"/>
          </w:tcPr>
          <w:p w14:paraId="24D06A59">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营业收入（Y）</w:t>
            </w:r>
          </w:p>
        </w:tc>
        <w:tc>
          <w:tcPr>
            <w:tcW w:w="876" w:type="dxa"/>
            <w:tcBorders>
              <w:top w:val="nil"/>
              <w:left w:val="nil"/>
              <w:bottom w:val="single" w:color="auto" w:sz="4" w:space="0"/>
              <w:right w:val="single" w:color="auto" w:sz="4" w:space="0"/>
            </w:tcBorders>
            <w:noWrap w:val="0"/>
            <w:vAlign w:val="center"/>
          </w:tcPr>
          <w:p w14:paraId="46565A43">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万元</w:t>
            </w:r>
          </w:p>
        </w:tc>
        <w:tc>
          <w:tcPr>
            <w:tcW w:w="1896" w:type="dxa"/>
            <w:tcBorders>
              <w:top w:val="nil"/>
              <w:left w:val="nil"/>
              <w:bottom w:val="single" w:color="auto" w:sz="4" w:space="0"/>
              <w:right w:val="single" w:color="auto" w:sz="4" w:space="0"/>
            </w:tcBorders>
            <w:noWrap w:val="0"/>
            <w:vAlign w:val="center"/>
          </w:tcPr>
          <w:p w14:paraId="7A3CE70A">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1000≤Y＜5000</w:t>
            </w:r>
          </w:p>
        </w:tc>
        <w:tc>
          <w:tcPr>
            <w:tcW w:w="1751" w:type="dxa"/>
            <w:tcBorders>
              <w:top w:val="nil"/>
              <w:left w:val="nil"/>
              <w:bottom w:val="single" w:color="auto" w:sz="4" w:space="0"/>
              <w:right w:val="single" w:color="auto" w:sz="4" w:space="0"/>
            </w:tcBorders>
            <w:noWrap w:val="0"/>
            <w:vAlign w:val="center"/>
          </w:tcPr>
          <w:p w14:paraId="6E2E5A53">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500≤Y＜1000</w:t>
            </w:r>
          </w:p>
        </w:tc>
        <w:tc>
          <w:tcPr>
            <w:tcW w:w="1167" w:type="dxa"/>
            <w:tcBorders>
              <w:top w:val="nil"/>
              <w:left w:val="nil"/>
              <w:bottom w:val="single" w:color="auto" w:sz="4" w:space="0"/>
              <w:right w:val="single" w:color="auto" w:sz="4" w:space="0"/>
            </w:tcBorders>
            <w:noWrap w:val="0"/>
            <w:vAlign w:val="center"/>
          </w:tcPr>
          <w:p w14:paraId="203680AD">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Y＜500</w:t>
            </w:r>
          </w:p>
        </w:tc>
      </w:tr>
      <w:tr w14:paraId="3E21A120">
        <w:tblPrEx>
          <w:tblCellMar>
            <w:top w:w="0" w:type="dxa"/>
            <w:left w:w="108" w:type="dxa"/>
            <w:bottom w:w="0" w:type="dxa"/>
            <w:right w:w="108" w:type="dxa"/>
          </w:tblCellMar>
        </w:tblPrEx>
        <w:trPr>
          <w:trHeight w:val="350" w:hRule="atLeast"/>
        </w:trPr>
        <w:tc>
          <w:tcPr>
            <w:tcW w:w="1835" w:type="dxa"/>
            <w:vMerge w:val="restart"/>
            <w:tcBorders>
              <w:top w:val="nil"/>
              <w:left w:val="single" w:color="auto" w:sz="4" w:space="0"/>
              <w:bottom w:val="single" w:color="auto" w:sz="4" w:space="0"/>
              <w:right w:val="single" w:color="auto" w:sz="4" w:space="0"/>
            </w:tcBorders>
            <w:noWrap w:val="0"/>
            <w:vAlign w:val="center"/>
          </w:tcPr>
          <w:p w14:paraId="3803D8FC">
            <w:pPr>
              <w:widowControl/>
              <w:spacing w:line="340" w:lineRule="exact"/>
              <w:jc w:val="center"/>
              <w:rPr>
                <w:rFonts w:ascii="仿宋" w:hAnsi="仿宋" w:eastAsia="仿宋" w:cs="仿宋"/>
                <w:b/>
                <w:bCs/>
                <w:kern w:val="0"/>
                <w:szCs w:val="21"/>
                <w:highlight w:val="none"/>
              </w:rPr>
            </w:pPr>
            <w:r>
              <w:rPr>
                <w:rFonts w:ascii="仿宋" w:hAnsi="仿宋" w:eastAsia="仿宋" w:cs="仿宋"/>
                <w:b/>
                <w:bCs/>
                <w:kern w:val="0"/>
                <w:szCs w:val="21"/>
                <w:highlight w:val="none"/>
              </w:rPr>
              <w:t>租赁和商务服务业</w:t>
            </w:r>
          </w:p>
        </w:tc>
        <w:tc>
          <w:tcPr>
            <w:tcW w:w="2042" w:type="dxa"/>
            <w:tcBorders>
              <w:top w:val="nil"/>
              <w:left w:val="nil"/>
              <w:bottom w:val="single" w:color="auto" w:sz="4" w:space="0"/>
              <w:right w:val="single" w:color="auto" w:sz="4" w:space="0"/>
            </w:tcBorders>
            <w:noWrap w:val="0"/>
            <w:vAlign w:val="center"/>
          </w:tcPr>
          <w:p w14:paraId="7224B22C">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从业人员（X）</w:t>
            </w:r>
          </w:p>
        </w:tc>
        <w:tc>
          <w:tcPr>
            <w:tcW w:w="876" w:type="dxa"/>
            <w:tcBorders>
              <w:top w:val="nil"/>
              <w:left w:val="nil"/>
              <w:bottom w:val="single" w:color="auto" w:sz="4" w:space="0"/>
              <w:right w:val="single" w:color="auto" w:sz="4" w:space="0"/>
            </w:tcBorders>
            <w:noWrap w:val="0"/>
            <w:vAlign w:val="center"/>
          </w:tcPr>
          <w:p w14:paraId="691AEE7A">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人</w:t>
            </w:r>
          </w:p>
        </w:tc>
        <w:tc>
          <w:tcPr>
            <w:tcW w:w="1896" w:type="dxa"/>
            <w:tcBorders>
              <w:top w:val="nil"/>
              <w:left w:val="nil"/>
              <w:bottom w:val="single" w:color="auto" w:sz="4" w:space="0"/>
              <w:right w:val="single" w:color="auto" w:sz="4" w:space="0"/>
            </w:tcBorders>
            <w:noWrap w:val="0"/>
            <w:vAlign w:val="center"/>
          </w:tcPr>
          <w:p w14:paraId="5EFD5645">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100≤X＜300</w:t>
            </w:r>
          </w:p>
        </w:tc>
        <w:tc>
          <w:tcPr>
            <w:tcW w:w="1751" w:type="dxa"/>
            <w:tcBorders>
              <w:top w:val="nil"/>
              <w:left w:val="nil"/>
              <w:bottom w:val="single" w:color="auto" w:sz="4" w:space="0"/>
              <w:right w:val="single" w:color="auto" w:sz="4" w:space="0"/>
            </w:tcBorders>
            <w:noWrap w:val="0"/>
            <w:vAlign w:val="center"/>
          </w:tcPr>
          <w:p w14:paraId="55DC7CA7">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10≤X＜100</w:t>
            </w:r>
          </w:p>
        </w:tc>
        <w:tc>
          <w:tcPr>
            <w:tcW w:w="1167" w:type="dxa"/>
            <w:tcBorders>
              <w:top w:val="nil"/>
              <w:left w:val="nil"/>
              <w:bottom w:val="single" w:color="auto" w:sz="4" w:space="0"/>
              <w:right w:val="single" w:color="auto" w:sz="4" w:space="0"/>
            </w:tcBorders>
            <w:noWrap w:val="0"/>
            <w:vAlign w:val="center"/>
          </w:tcPr>
          <w:p w14:paraId="44F94F0A">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X＜10</w:t>
            </w:r>
          </w:p>
        </w:tc>
      </w:tr>
      <w:tr w14:paraId="5566B077">
        <w:tblPrEx>
          <w:tblCellMar>
            <w:top w:w="0" w:type="dxa"/>
            <w:left w:w="108" w:type="dxa"/>
            <w:bottom w:w="0" w:type="dxa"/>
            <w:right w:w="108" w:type="dxa"/>
          </w:tblCellMar>
        </w:tblPrEx>
        <w:trPr>
          <w:trHeight w:val="350" w:hRule="atLeast"/>
        </w:trPr>
        <w:tc>
          <w:tcPr>
            <w:tcW w:w="1835" w:type="dxa"/>
            <w:vMerge w:val="continue"/>
            <w:tcBorders>
              <w:top w:val="nil"/>
              <w:left w:val="single" w:color="auto" w:sz="4" w:space="0"/>
              <w:bottom w:val="single" w:color="auto" w:sz="4" w:space="0"/>
              <w:right w:val="single" w:color="auto" w:sz="4" w:space="0"/>
            </w:tcBorders>
            <w:noWrap w:val="0"/>
            <w:vAlign w:val="center"/>
          </w:tcPr>
          <w:p w14:paraId="01C1BC33">
            <w:pPr>
              <w:widowControl/>
              <w:spacing w:line="340" w:lineRule="exact"/>
              <w:jc w:val="center"/>
              <w:rPr>
                <w:rFonts w:ascii="仿宋" w:hAnsi="仿宋" w:eastAsia="仿宋" w:cs="仿宋"/>
                <w:b/>
                <w:bCs/>
                <w:kern w:val="0"/>
                <w:szCs w:val="21"/>
                <w:highlight w:val="none"/>
              </w:rPr>
            </w:pPr>
          </w:p>
        </w:tc>
        <w:tc>
          <w:tcPr>
            <w:tcW w:w="2042" w:type="dxa"/>
            <w:tcBorders>
              <w:top w:val="nil"/>
              <w:left w:val="nil"/>
              <w:bottom w:val="single" w:color="auto" w:sz="4" w:space="0"/>
              <w:right w:val="single" w:color="auto" w:sz="4" w:space="0"/>
            </w:tcBorders>
            <w:noWrap w:val="0"/>
            <w:vAlign w:val="center"/>
          </w:tcPr>
          <w:p w14:paraId="6C8E4CF6">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资产总额（Z）</w:t>
            </w:r>
          </w:p>
        </w:tc>
        <w:tc>
          <w:tcPr>
            <w:tcW w:w="876" w:type="dxa"/>
            <w:tcBorders>
              <w:top w:val="nil"/>
              <w:left w:val="nil"/>
              <w:bottom w:val="single" w:color="auto" w:sz="4" w:space="0"/>
              <w:right w:val="single" w:color="auto" w:sz="4" w:space="0"/>
            </w:tcBorders>
            <w:noWrap w:val="0"/>
            <w:vAlign w:val="center"/>
          </w:tcPr>
          <w:p w14:paraId="25D5AE2C">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万元</w:t>
            </w:r>
          </w:p>
        </w:tc>
        <w:tc>
          <w:tcPr>
            <w:tcW w:w="1896" w:type="dxa"/>
            <w:tcBorders>
              <w:top w:val="nil"/>
              <w:left w:val="nil"/>
              <w:bottom w:val="single" w:color="auto" w:sz="4" w:space="0"/>
              <w:right w:val="single" w:color="auto" w:sz="4" w:space="0"/>
            </w:tcBorders>
            <w:noWrap w:val="0"/>
            <w:vAlign w:val="center"/>
          </w:tcPr>
          <w:p w14:paraId="219F8127">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8000≤Z＜120000</w:t>
            </w:r>
          </w:p>
        </w:tc>
        <w:tc>
          <w:tcPr>
            <w:tcW w:w="1751" w:type="dxa"/>
            <w:tcBorders>
              <w:top w:val="nil"/>
              <w:left w:val="nil"/>
              <w:bottom w:val="single" w:color="auto" w:sz="4" w:space="0"/>
              <w:right w:val="single" w:color="auto" w:sz="4" w:space="0"/>
            </w:tcBorders>
            <w:noWrap w:val="0"/>
            <w:vAlign w:val="center"/>
          </w:tcPr>
          <w:p w14:paraId="3F2DDE9A">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100≤Z＜8000</w:t>
            </w:r>
          </w:p>
        </w:tc>
        <w:tc>
          <w:tcPr>
            <w:tcW w:w="1167" w:type="dxa"/>
            <w:tcBorders>
              <w:top w:val="nil"/>
              <w:left w:val="nil"/>
              <w:bottom w:val="single" w:color="auto" w:sz="4" w:space="0"/>
              <w:right w:val="single" w:color="auto" w:sz="4" w:space="0"/>
            </w:tcBorders>
            <w:noWrap w:val="0"/>
            <w:vAlign w:val="center"/>
          </w:tcPr>
          <w:p w14:paraId="6267C968">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Y＜100</w:t>
            </w:r>
          </w:p>
        </w:tc>
      </w:tr>
      <w:tr w14:paraId="2EEE82A1">
        <w:tblPrEx>
          <w:tblCellMar>
            <w:top w:w="0" w:type="dxa"/>
            <w:left w:w="108" w:type="dxa"/>
            <w:bottom w:w="0" w:type="dxa"/>
            <w:right w:w="108" w:type="dxa"/>
          </w:tblCellMar>
        </w:tblPrEx>
        <w:trPr>
          <w:trHeight w:val="480" w:hRule="atLeast"/>
        </w:trPr>
        <w:tc>
          <w:tcPr>
            <w:tcW w:w="1835" w:type="dxa"/>
            <w:tcBorders>
              <w:top w:val="nil"/>
              <w:left w:val="single" w:color="auto" w:sz="4" w:space="0"/>
              <w:bottom w:val="single" w:color="auto" w:sz="4" w:space="0"/>
              <w:right w:val="single" w:color="auto" w:sz="4" w:space="0"/>
            </w:tcBorders>
            <w:noWrap w:val="0"/>
            <w:vAlign w:val="center"/>
          </w:tcPr>
          <w:p w14:paraId="5CAE79D6">
            <w:pPr>
              <w:widowControl/>
              <w:spacing w:line="340" w:lineRule="exact"/>
              <w:jc w:val="center"/>
              <w:rPr>
                <w:rFonts w:ascii="仿宋" w:hAnsi="仿宋" w:eastAsia="仿宋" w:cs="仿宋"/>
                <w:b/>
                <w:bCs/>
                <w:kern w:val="0"/>
                <w:szCs w:val="21"/>
                <w:highlight w:val="none"/>
              </w:rPr>
            </w:pPr>
            <w:r>
              <w:rPr>
                <w:rFonts w:ascii="仿宋" w:hAnsi="仿宋" w:eastAsia="仿宋" w:cs="仿宋"/>
                <w:b/>
                <w:bCs/>
                <w:kern w:val="0"/>
                <w:szCs w:val="21"/>
                <w:highlight w:val="none"/>
              </w:rPr>
              <w:t>其他未列明行业</w:t>
            </w:r>
          </w:p>
        </w:tc>
        <w:tc>
          <w:tcPr>
            <w:tcW w:w="2042" w:type="dxa"/>
            <w:tcBorders>
              <w:top w:val="nil"/>
              <w:left w:val="nil"/>
              <w:bottom w:val="single" w:color="auto" w:sz="4" w:space="0"/>
              <w:right w:val="single" w:color="auto" w:sz="4" w:space="0"/>
            </w:tcBorders>
            <w:noWrap w:val="0"/>
            <w:vAlign w:val="center"/>
          </w:tcPr>
          <w:p w14:paraId="383F39B8">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从业人员（X）</w:t>
            </w:r>
          </w:p>
        </w:tc>
        <w:tc>
          <w:tcPr>
            <w:tcW w:w="876" w:type="dxa"/>
            <w:tcBorders>
              <w:top w:val="nil"/>
              <w:left w:val="nil"/>
              <w:bottom w:val="single" w:color="auto" w:sz="4" w:space="0"/>
              <w:right w:val="single" w:color="auto" w:sz="4" w:space="0"/>
            </w:tcBorders>
            <w:noWrap w:val="0"/>
            <w:vAlign w:val="center"/>
          </w:tcPr>
          <w:p w14:paraId="7CDAA74D">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人</w:t>
            </w:r>
          </w:p>
        </w:tc>
        <w:tc>
          <w:tcPr>
            <w:tcW w:w="1896" w:type="dxa"/>
            <w:tcBorders>
              <w:top w:val="nil"/>
              <w:left w:val="nil"/>
              <w:bottom w:val="single" w:color="auto" w:sz="4" w:space="0"/>
              <w:right w:val="single" w:color="auto" w:sz="4" w:space="0"/>
            </w:tcBorders>
            <w:noWrap w:val="0"/>
            <w:vAlign w:val="center"/>
          </w:tcPr>
          <w:p w14:paraId="01CC90D9">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100≤X＜300</w:t>
            </w:r>
          </w:p>
        </w:tc>
        <w:tc>
          <w:tcPr>
            <w:tcW w:w="1751" w:type="dxa"/>
            <w:tcBorders>
              <w:top w:val="nil"/>
              <w:left w:val="nil"/>
              <w:bottom w:val="single" w:color="auto" w:sz="4" w:space="0"/>
              <w:right w:val="single" w:color="auto" w:sz="4" w:space="0"/>
            </w:tcBorders>
            <w:noWrap w:val="0"/>
            <w:vAlign w:val="center"/>
          </w:tcPr>
          <w:p w14:paraId="733EACCF">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10≤X＜100</w:t>
            </w:r>
          </w:p>
        </w:tc>
        <w:tc>
          <w:tcPr>
            <w:tcW w:w="1167" w:type="dxa"/>
            <w:tcBorders>
              <w:top w:val="nil"/>
              <w:left w:val="nil"/>
              <w:bottom w:val="single" w:color="auto" w:sz="4" w:space="0"/>
              <w:right w:val="single" w:color="auto" w:sz="4" w:space="0"/>
            </w:tcBorders>
            <w:noWrap w:val="0"/>
            <w:vAlign w:val="center"/>
          </w:tcPr>
          <w:p w14:paraId="08B368A8">
            <w:pPr>
              <w:widowControl/>
              <w:spacing w:line="340" w:lineRule="exact"/>
              <w:jc w:val="center"/>
              <w:rPr>
                <w:rFonts w:ascii="仿宋" w:hAnsi="仿宋" w:eastAsia="仿宋" w:cs="仿宋"/>
                <w:kern w:val="0"/>
                <w:szCs w:val="21"/>
                <w:highlight w:val="none"/>
              </w:rPr>
            </w:pPr>
            <w:r>
              <w:rPr>
                <w:rFonts w:ascii="仿宋" w:hAnsi="仿宋" w:eastAsia="仿宋" w:cs="仿宋"/>
                <w:kern w:val="0"/>
                <w:szCs w:val="21"/>
                <w:highlight w:val="none"/>
              </w:rPr>
              <w:t>X＜10</w:t>
            </w:r>
          </w:p>
        </w:tc>
      </w:tr>
    </w:tbl>
    <w:p w14:paraId="5F877514">
      <w:pPr>
        <w:spacing w:line="360" w:lineRule="auto"/>
        <w:ind w:firstLine="420" w:firstLineChars="200"/>
        <w:rPr>
          <w:rFonts w:hint="eastAsia" w:ascii="仿宋" w:hAnsi="仿宋" w:eastAsia="仿宋" w:cs="仿宋"/>
          <w:szCs w:val="21"/>
          <w:highlight w:val="none"/>
        </w:rPr>
      </w:pPr>
    </w:p>
    <w:p w14:paraId="65C7ECDC">
      <w:pPr>
        <w:pStyle w:val="18"/>
        <w:spacing w:line="360" w:lineRule="auto"/>
        <w:ind w:firstLine="400" w:firstLineChars="200"/>
        <w:rPr>
          <w:rFonts w:hint="eastAsia" w:hAnsi="宋体" w:cs="宋体"/>
          <w:sz w:val="24"/>
          <w:szCs w:val="24"/>
          <w:highlight w:val="none"/>
        </w:rPr>
      </w:pPr>
      <w:r>
        <w:rPr>
          <w:rFonts w:hint="eastAsia" w:ascii="仿宋" w:hAnsi="仿宋" w:eastAsia="仿宋" w:cs="仿宋"/>
          <w:szCs w:val="21"/>
          <w:highlight w:val="none"/>
        </w:rPr>
        <w:t>说明：上述标准参照《关于印发中小企业划型标准规定的通知》（工信部联企业〔2011〕300号），大型、中型和小型企业须同时满足所列指标的下限，否则下划一档；微型企业只需满足所列指标中的一项即可。</w:t>
      </w:r>
    </w:p>
    <w:p w14:paraId="0FD84DB8">
      <w:pPr>
        <w:spacing w:line="360" w:lineRule="auto"/>
        <w:ind w:firstLine="420" w:firstLineChars="200"/>
        <w:rPr>
          <w:rFonts w:ascii="宋体" w:hAnsi="宋体" w:cs="宋体"/>
          <w:color w:val="auto"/>
          <w:szCs w:val="21"/>
          <w:highlight w:val="none"/>
        </w:rPr>
      </w:pPr>
    </w:p>
    <w:p w14:paraId="0021399B">
      <w:pPr>
        <w:rPr>
          <w:rFonts w:hint="eastAsia" w:hAnsi="宋体" w:cs="宋体"/>
          <w:b/>
          <w:bCs/>
          <w:color w:val="auto"/>
          <w:kern w:val="2"/>
          <w:sz w:val="32"/>
          <w:szCs w:val="32"/>
          <w:highlight w:val="none"/>
        </w:rPr>
      </w:pPr>
      <w:bookmarkStart w:id="60" w:name="_Toc7085"/>
      <w:r>
        <w:rPr>
          <w:rFonts w:hint="eastAsia" w:hAnsi="宋体" w:cs="宋体"/>
          <w:b/>
          <w:bCs/>
          <w:color w:val="auto"/>
          <w:kern w:val="2"/>
          <w:sz w:val="32"/>
          <w:szCs w:val="32"/>
          <w:highlight w:val="none"/>
        </w:rPr>
        <w:br w:type="page"/>
      </w:r>
    </w:p>
    <w:p w14:paraId="555488DF">
      <w:pPr>
        <w:pStyle w:val="18"/>
        <w:spacing w:line="360" w:lineRule="auto"/>
        <w:ind w:firstLine="643" w:firstLineChars="200"/>
        <w:jc w:val="center"/>
        <w:textAlignment w:val="center"/>
        <w:outlineLvl w:val="0"/>
        <w:rPr>
          <w:rFonts w:hAnsi="宋体" w:cs="宋体"/>
          <w:color w:val="auto"/>
          <w:kern w:val="2"/>
          <w:sz w:val="44"/>
          <w:szCs w:val="44"/>
          <w:highlight w:val="none"/>
        </w:rPr>
      </w:pPr>
      <w:r>
        <w:rPr>
          <w:rFonts w:hint="eastAsia" w:hAnsi="宋体" w:cs="宋体"/>
          <w:b/>
          <w:bCs/>
          <w:color w:val="auto"/>
          <w:kern w:val="2"/>
          <w:sz w:val="32"/>
          <w:szCs w:val="32"/>
          <w:highlight w:val="none"/>
        </w:rPr>
        <w:t>第四章 评审程序、评审方法和评审标准</w:t>
      </w:r>
      <w:bookmarkEnd w:id="60"/>
    </w:p>
    <w:p w14:paraId="6667773C">
      <w:pPr>
        <w:pStyle w:val="3"/>
        <w:spacing w:before="0" w:after="0" w:line="360" w:lineRule="auto"/>
        <w:jc w:val="center"/>
        <w:rPr>
          <w:rFonts w:ascii="宋体" w:hAnsi="宋体" w:cs="宋体"/>
          <w:bCs w:val="0"/>
          <w:color w:val="auto"/>
          <w:sz w:val="28"/>
          <w:szCs w:val="28"/>
          <w:highlight w:val="none"/>
        </w:rPr>
      </w:pPr>
      <w:bookmarkStart w:id="61" w:name="_Toc15394"/>
      <w:r>
        <w:rPr>
          <w:rFonts w:hint="eastAsia" w:ascii="宋体" w:hAnsi="宋体" w:cs="宋体"/>
          <w:bCs w:val="0"/>
          <w:color w:val="auto"/>
          <w:sz w:val="28"/>
          <w:szCs w:val="28"/>
          <w:highlight w:val="none"/>
        </w:rPr>
        <w:t>第一节 评审程序和评审方法</w:t>
      </w:r>
      <w:bookmarkEnd w:id="61"/>
    </w:p>
    <w:p w14:paraId="5FFD4996">
      <w:pPr>
        <w:spacing w:line="43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1.确认磋商文件</w:t>
      </w:r>
    </w:p>
    <w:p w14:paraId="400AAC81">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由磋商小组确认磋商文件。</w:t>
      </w:r>
    </w:p>
    <w:p w14:paraId="711F1CA8">
      <w:pPr>
        <w:spacing w:line="43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2.资格审查</w:t>
      </w:r>
    </w:p>
    <w:p w14:paraId="152E41AB">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2.1响应文件开启后，磋商小组依法对供应商的资格证明文件进行审查。</w:t>
      </w:r>
    </w:p>
    <w:p w14:paraId="47467150">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注：采购人代表或者采购代理机构在资格审查结束前，对供应商进行信用查询。</w:t>
      </w:r>
    </w:p>
    <w:p w14:paraId="2DFBB905">
      <w:pPr>
        <w:spacing w:line="43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（1）查询渠道：广西政府采购云平台“信用中国”网站（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37"/>
          <w:rFonts w:hint="eastAsia" w:ascii="宋体" w:hAnsi="宋体" w:cs="宋体"/>
          <w:color w:val="auto"/>
          <w:sz w:val="24"/>
          <w:highlight w:val="none"/>
          <w:u w:val="none"/>
        </w:rPr>
        <w:t>www.creditchina.gov.cn</w:t>
      </w:r>
      <w:r>
        <w:rPr>
          <w:rStyle w:val="37"/>
          <w:rFonts w:hint="eastAsia" w:ascii="宋体" w:hAnsi="宋体" w:cs="宋体"/>
          <w:color w:val="auto"/>
          <w:sz w:val="24"/>
          <w:highlight w:val="none"/>
          <w:u w:val="none"/>
        </w:rPr>
        <w:fldChar w:fldCharType="end"/>
      </w:r>
      <w:r>
        <w:rPr>
          <w:rFonts w:hint="eastAsia" w:ascii="宋体" w:hAnsi="宋体" w:cs="宋体"/>
          <w:color w:val="auto"/>
          <w:sz w:val="24"/>
          <w:highlight w:val="none"/>
        </w:rPr>
        <w:t>）、中国政府采购网（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37"/>
          <w:rFonts w:hint="eastAsia" w:ascii="宋体" w:hAnsi="宋体" w:cs="宋体"/>
          <w:color w:val="auto"/>
          <w:sz w:val="24"/>
          <w:highlight w:val="none"/>
          <w:u w:val="none"/>
        </w:rPr>
        <w:t>www.ccgp.gov.cn</w:t>
      </w:r>
      <w:r>
        <w:rPr>
          <w:rStyle w:val="37"/>
          <w:rFonts w:hint="eastAsia" w:ascii="宋体" w:hAnsi="宋体" w:cs="宋体"/>
          <w:color w:val="auto"/>
          <w:sz w:val="24"/>
          <w:highlight w:val="none"/>
          <w:u w:val="none"/>
        </w:rPr>
        <w:fldChar w:fldCharType="end"/>
      </w:r>
      <w:r>
        <w:rPr>
          <w:rFonts w:hint="eastAsia" w:ascii="宋体" w:hAnsi="宋体" w:cs="宋体"/>
          <w:color w:val="auto"/>
          <w:sz w:val="24"/>
          <w:highlight w:val="none"/>
        </w:rPr>
        <w:t>）链接入口。</w:t>
      </w:r>
    </w:p>
    <w:p w14:paraId="7E4B8E56">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（2）信用查询截止时点：资格审查结束前。</w:t>
      </w:r>
    </w:p>
    <w:p w14:paraId="3C58DD1F">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查询记录和证据留存方式：在查询网站中直接打印查询记录，截图另存为电子文档作为评审资料保存。</w:t>
      </w:r>
    </w:p>
    <w:p w14:paraId="5A65B6C9">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信用信息使用规则：对在“信用中国”网站（www.creditchina.gov.cn）、中国政府采购网（www.ccgp.gov.cn）被列入失信被执行人、重大税收违法失信主体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9643479">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2.2资格审查标准为本磋商文件中载明对供应商资格要求的条件。资格审查采用合格制，凡符合磋商文件规定的供应商资格要求的响应文件均通过资格审查。</w:t>
      </w:r>
    </w:p>
    <w:p w14:paraId="4E6F48BA">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2.3供应商有下列情形之一的，资格审查不通过，其响应文件按无效响应处理：</w:t>
      </w:r>
    </w:p>
    <w:p w14:paraId="69B769B5">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（1）不具备磋商文件中规定的资格要求的；</w:t>
      </w:r>
    </w:p>
    <w:p w14:paraId="6EEAFE89">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（2）响应文件未提供任一项“供应商须知前附表”资格证明文件规定的“必须提供”的文件资料的；</w:t>
      </w:r>
    </w:p>
    <w:p w14:paraId="350F88CA">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（3）响应文件提供的资格证明文件出现任一项不符合“供应商须知前附表”资格证明文件规定的“必须提供”的文件资料要求或者无效的。</w:t>
      </w:r>
    </w:p>
    <w:p w14:paraId="5D4C9EA3">
      <w:pPr>
        <w:spacing w:line="430" w:lineRule="exact"/>
        <w:ind w:firstLine="480" w:firstLineChars="200"/>
        <w:rPr>
          <w:rFonts w:ascii="宋体" w:hAnsi="宋体" w:cs="宋体"/>
          <w:color w:val="auto"/>
          <w:sz w:val="24"/>
          <w:highlight w:val="none"/>
        </w:rPr>
      </w:pPr>
      <w:bookmarkStart w:id="62" w:name="_Hlk68601553"/>
      <w:r>
        <w:rPr>
          <w:rFonts w:hint="eastAsia" w:ascii="宋体" w:hAnsi="宋体" w:cs="宋体"/>
          <w:color w:val="auto"/>
          <w:sz w:val="24"/>
          <w:highlight w:val="none"/>
        </w:rPr>
        <w:t>（4）同一合同项下的不同供应商，单位负责人为同一人或者存在直接控股、管理关系的；为本项目提供过整体设计、规范编制或者项目管理、监理、检测等服务的。</w:t>
      </w:r>
      <w:bookmarkEnd w:id="62"/>
    </w:p>
    <w:p w14:paraId="28148B01">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2.4通过资格审查的合格供应商不足3家的，不得进入符合性审查环节，采购人或者采购代理机构应当重新开展采购活动。</w:t>
      </w:r>
    </w:p>
    <w:p w14:paraId="1BB09438">
      <w:pPr>
        <w:spacing w:line="43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3.符合性审查</w:t>
      </w:r>
    </w:p>
    <w:p w14:paraId="2F1557D3">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3.1由磋商小组对通过资格审查的合格供应商的响应文件的响应报价、商务、技术等实质性要求进行符合性审查，以确定其是否满足磋商文件的实质性要求。</w:t>
      </w:r>
    </w:p>
    <w:p w14:paraId="33947A32">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4D1EDF1">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供应商为自然人的，必须由本人签字并附身份证明。</w:t>
      </w:r>
    </w:p>
    <w:p w14:paraId="6FDE9A99">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3.4首次响应文件报价出现前后不一致的，按照下列规定修正： </w:t>
      </w:r>
    </w:p>
    <w:p w14:paraId="47384D7A">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（1）响应文件中报价表内容与响应文件中相应内容不一致的，以报价表为准；</w:t>
      </w:r>
    </w:p>
    <w:p w14:paraId="68A5DFA2">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（2）大写金额和小写金额不一致的，以大写金额为准；</w:t>
      </w:r>
    </w:p>
    <w:p w14:paraId="0228EB46">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（3）单价金额小数点或者百分比有明显错位的，以报价表的总价为准，并修改单价；</w:t>
      </w:r>
    </w:p>
    <w:p w14:paraId="4414CDE3">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（4）总价金额与按单价汇总金额不一致的，以单价金额计算结果为准。</w:t>
      </w:r>
    </w:p>
    <w:p w14:paraId="16933B2D">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同时出现两种以上不一致的，按照以上（1）-（4）规定的顺序逐条进行修正。修正后的报价经供应商确认后产生约束力，供应商不确认的，其响应文件按无效响应处理。</w:t>
      </w:r>
    </w:p>
    <w:p w14:paraId="7B8146FA">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3.5商务技术、报价评审</w:t>
      </w:r>
    </w:p>
    <w:p w14:paraId="5F8505C8">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在评审时，如发现下列情形之一的，将被视为响应文件无效处理：</w:t>
      </w:r>
    </w:p>
    <w:p w14:paraId="6F426236">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（1）商务技术评审</w:t>
      </w:r>
    </w:p>
    <w:p w14:paraId="3FC752CB">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1）响应文件未按磋商文件要求签署、盖章；</w:t>
      </w:r>
    </w:p>
    <w:p w14:paraId="7BA2F6CE">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2）委托代理人未能出具有效身份证明或者出具的身份证明与授权委托书中的信息不符； </w:t>
      </w:r>
    </w:p>
    <w:p w14:paraId="798347AF">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3）响应文件未提供任一项“供应商须知前附表” 商务技术文件中“必须提供”或者“委托时必须提供”的文件资料；响应文件提供的商务技术文件出现任一项不符合“供应商须知前附表”商务技术文件中“必须提供”或者“委托时必须提供”文件资料要求的规定或者提供的商务技术文件无效。</w:t>
      </w:r>
    </w:p>
    <w:p w14:paraId="5F8908AA">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4）商务条款中标“▲”的条款发生负偏离的或者允许负偏离的条款数超过“供应商须知前附表”规定项数的或者标明实质性的要求发生负偏离；</w:t>
      </w:r>
    </w:p>
    <w:p w14:paraId="011835EA">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5）未对磋商有效期作出响应或者响应文件承诺的磋商有效期不满足磋商文件要求；</w:t>
      </w:r>
    </w:p>
    <w:p w14:paraId="62496045">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6）响应文件的实质性内容未使用中文表述、使用计量单位不符合磋商文件要求；</w:t>
      </w:r>
    </w:p>
    <w:p w14:paraId="5BDCE904">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7）响应文件中的文件资料因填写不齐全或者内容虚假或者出现其他情形而导致被磋商小组认定无效；</w:t>
      </w:r>
    </w:p>
    <w:p w14:paraId="20492EAF">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8）响应文件含有采购人不能接受的附加条件；</w:t>
      </w:r>
    </w:p>
    <w:p w14:paraId="3208E2E9">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9）属于“供应商须知正文”第7.5条情形；</w:t>
      </w:r>
    </w:p>
    <w:p w14:paraId="22581CB3">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10）技术需求允许负偏离的条款数超过“供应商须知前附表”规定项数；</w:t>
      </w:r>
    </w:p>
    <w:p w14:paraId="2308DC49">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11）虚假竞标，或者出现其他情形而导致被磋商小组认定无效；</w:t>
      </w:r>
    </w:p>
    <w:p w14:paraId="39B4C1D6">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12）竞标技术方案不明确，磋商文件未允许但响应文件中存在一个或者一个以上备选（替代）竞标方案；</w:t>
      </w:r>
    </w:p>
    <w:p w14:paraId="5A496F56">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13）响应文件标注的项目名称或者项目编号与竞争性磋商文件标注的项目名称或者项目编号不一致的；</w:t>
      </w:r>
    </w:p>
    <w:p w14:paraId="7485B1DD">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14）未响应磋商文件实质性要求；</w:t>
      </w:r>
    </w:p>
    <w:p w14:paraId="4B23B818">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15）法律、法规和磋商文件规定的其他无效情形。</w:t>
      </w:r>
    </w:p>
    <w:p w14:paraId="6C169213">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（2）报价评审</w:t>
      </w:r>
    </w:p>
    <w:p w14:paraId="5BAADDE6">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1）响应文件未提供“供应商须知前附表”报价文件中规定的“报价函及报价函附录”；</w:t>
      </w:r>
    </w:p>
    <w:p w14:paraId="6AF7CF4E">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2）未采用人民币报价或者未按照磋商文件标明的币种报价；</w:t>
      </w:r>
    </w:p>
    <w:p w14:paraId="05164603">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780B83B5">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4651D70B">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7D8F94C2">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6）响应文件响应的标的数量及单位与竞争性磋商采购文件要求实质性不一致的。</w:t>
      </w:r>
    </w:p>
    <w:p w14:paraId="0EFB45CF">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341B3EF8">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7A78AB20">
      <w:pPr>
        <w:spacing w:line="430" w:lineRule="exact"/>
        <w:ind w:firstLine="482" w:firstLineChars="200"/>
        <w:rPr>
          <w:rFonts w:hint="eastAsia" w:ascii="宋体" w:hAnsi="宋体" w:cs="宋体"/>
          <w:b/>
          <w:bCs/>
          <w:color w:val="auto"/>
          <w:sz w:val="24"/>
          <w:highlight w:val="none"/>
        </w:rPr>
      </w:pPr>
    </w:p>
    <w:p w14:paraId="0DAFA32A">
      <w:pPr>
        <w:spacing w:line="43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4.磋商程序</w:t>
      </w:r>
    </w:p>
    <w:p w14:paraId="4C11A361">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4.1磋商小组按照“供应商须知前附表” 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623138F7">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6291A3D4">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4.3对磋商文件作出的实质性变动是磋商文件的有效组成部分，由磋商小组及时以电子澄清函形式同时通知所有参加磋商的供应商。</w:t>
      </w:r>
    </w:p>
    <w:p w14:paraId="2B00A129">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1CFF3B3E">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4.5磋商中，磋商的任何一方不得透露与磋商有关的其他供应商的技术资料、价格和其他信息。</w:t>
      </w:r>
    </w:p>
    <w:p w14:paraId="15D8DCD0">
      <w:pPr>
        <w:widowControl/>
        <w:tabs>
          <w:tab w:val="left" w:pos="540"/>
        </w:tabs>
        <w:spacing w:line="430" w:lineRule="exact"/>
        <w:ind w:firstLine="480" w:firstLineChars="200"/>
        <w:jc w:val="left"/>
        <w:rPr>
          <w:rFonts w:ascii="宋体" w:hAnsi="宋体" w:cs="宋体"/>
          <w:b/>
          <w:color w:val="auto"/>
          <w:sz w:val="24"/>
          <w:highlight w:val="none"/>
        </w:rPr>
      </w:pPr>
      <w:r>
        <w:rPr>
          <w:rFonts w:hint="eastAsia" w:ascii="宋体" w:hAnsi="宋体" w:cs="宋体"/>
          <w:color w:val="auto"/>
          <w:sz w:val="24"/>
          <w:highlight w:val="none"/>
        </w:rPr>
        <w:t>4.6磋商小组应对磋商过程和重要磋商内容进行记录，作为评标报告一部分，磋商小组在记录上签字确认。</w:t>
      </w:r>
      <w:r>
        <w:rPr>
          <w:rFonts w:hint="eastAsia" w:ascii="宋体" w:hAnsi="宋体" w:cs="宋体"/>
          <w:b/>
          <w:color w:val="auto"/>
          <w:sz w:val="24"/>
          <w:highlight w:val="none"/>
        </w:rPr>
        <w:t>主要内容包括：</w:t>
      </w:r>
    </w:p>
    <w:p w14:paraId="7CF3E919">
      <w:pPr>
        <w:pStyle w:val="78"/>
        <w:spacing w:before="0" w:line="430" w:lineRule="exact"/>
        <w:ind w:firstLine="480"/>
        <w:rPr>
          <w:rFonts w:ascii="宋体" w:hAnsi="宋体" w:cs="宋体"/>
          <w:color w:val="auto"/>
          <w:kern w:val="2"/>
          <w:szCs w:val="24"/>
          <w:highlight w:val="none"/>
        </w:rPr>
      </w:pPr>
      <w:r>
        <w:rPr>
          <w:rFonts w:hint="eastAsia" w:ascii="宋体" w:hAnsi="宋体" w:cs="宋体"/>
          <w:color w:val="auto"/>
          <w:kern w:val="2"/>
          <w:szCs w:val="24"/>
          <w:highlight w:val="none"/>
        </w:rPr>
        <w:t>（1）按照相关规定进行公示的，公示情况说明；</w:t>
      </w:r>
    </w:p>
    <w:p w14:paraId="532D0617">
      <w:pPr>
        <w:pStyle w:val="78"/>
        <w:spacing w:before="0" w:line="430" w:lineRule="exact"/>
        <w:ind w:firstLine="480"/>
        <w:rPr>
          <w:rFonts w:ascii="宋体" w:hAnsi="宋体" w:cs="宋体"/>
          <w:color w:val="auto"/>
          <w:kern w:val="2"/>
          <w:szCs w:val="24"/>
          <w:highlight w:val="none"/>
        </w:rPr>
      </w:pPr>
      <w:r>
        <w:rPr>
          <w:rFonts w:hint="eastAsia" w:ascii="宋体" w:hAnsi="宋体" w:cs="宋体"/>
          <w:color w:val="auto"/>
          <w:kern w:val="2"/>
          <w:szCs w:val="24"/>
          <w:highlight w:val="none"/>
        </w:rPr>
        <w:t>（2）磋商日期和地点，磋商人员名单；</w:t>
      </w:r>
    </w:p>
    <w:p w14:paraId="48145932">
      <w:pPr>
        <w:pStyle w:val="78"/>
        <w:spacing w:before="0" w:line="430" w:lineRule="exact"/>
        <w:ind w:firstLine="480"/>
        <w:rPr>
          <w:rFonts w:ascii="宋体" w:hAnsi="宋体" w:cs="宋体"/>
          <w:color w:val="auto"/>
          <w:kern w:val="2"/>
          <w:szCs w:val="24"/>
          <w:highlight w:val="none"/>
        </w:rPr>
      </w:pPr>
      <w:r>
        <w:rPr>
          <w:rFonts w:hint="eastAsia" w:ascii="宋体" w:hAnsi="宋体" w:cs="宋体"/>
          <w:color w:val="auto"/>
          <w:kern w:val="2"/>
          <w:szCs w:val="24"/>
          <w:highlight w:val="none"/>
        </w:rPr>
        <w:t>（3）合同主要条款及价格商定情况。</w:t>
      </w:r>
    </w:p>
    <w:p w14:paraId="21FB1AB6">
      <w:pPr>
        <w:widowControl/>
        <w:tabs>
          <w:tab w:val="left" w:pos="540"/>
        </w:tabs>
        <w:spacing w:line="43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4.7磋商过程中重新提交的响应文件，供应商可以在开启前补充、修改。</w:t>
      </w:r>
    </w:p>
    <w:p w14:paraId="61C66C34">
      <w:pPr>
        <w:tabs>
          <w:tab w:val="left" w:pos="2835"/>
        </w:tabs>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4.8对磋商过程提交的响应文件进行有效性、完整性和响应程度审查，通过审查的合格供应商不足3家的，采购人或者采购代理机构应当重新开展采购活动。</w:t>
      </w:r>
    </w:p>
    <w:p w14:paraId="4640614A">
      <w:pPr>
        <w:spacing w:line="43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5.竞标报价</w:t>
      </w:r>
    </w:p>
    <w:p w14:paraId="39FFFA4B">
      <w:pPr>
        <w:spacing w:line="43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5.1本工程竞标报价采用工程量清单报价。工程量按实际结算。供应商应就本项目作完整唯一报价。</w:t>
      </w:r>
    </w:p>
    <w:p w14:paraId="3AAE77E2">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5.1.1本工程采用</w:t>
      </w:r>
      <w:r>
        <w:rPr>
          <w:rFonts w:hint="eastAsia" w:ascii="宋体" w:hAnsi="宋体" w:cs="宋体"/>
          <w:color w:val="auto"/>
          <w:sz w:val="24"/>
          <w:highlight w:val="none"/>
          <w:lang w:val="en-US" w:eastAsia="zh-CN"/>
        </w:rPr>
        <w:t>施工合同价款采用综合单价固定，以工程量清单方式报价，按实际工程量结算</w:t>
      </w:r>
      <w:r>
        <w:rPr>
          <w:rFonts w:hint="eastAsia" w:ascii="宋体" w:hAnsi="宋体" w:cs="宋体"/>
          <w:color w:val="auto"/>
          <w:sz w:val="24"/>
          <w:highlight w:val="none"/>
        </w:rPr>
        <w:t>承包，竞标报价为供应商在响应文件中提出的各项支付金额的总和。供应商工程量清单中原有项目的工程量无论增减多少，均按原单价结算，承包人必须按发包人的指令完成施工，不得以任何理由拒绝，否则视为违约，供应商应在报价中考虑由工程量变化带来的风险。</w:t>
      </w:r>
    </w:p>
    <w:p w14:paraId="4E289F14">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5.1.2供应商所填报的各项综合单价中的各种材料单价及综合单价，在合同实施期间不因市场价格变化因素而变动,供应商所填报的单价及综合单价在合同实施期间在任何情况下不再作调整（工程变更、本工程约定的材料价格风险及政策性调整除外），供应商在报价时应考虑各种风险因素和自己的承受能力。</w:t>
      </w:r>
    </w:p>
    <w:p w14:paraId="24F19AE7">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5.1.3本合同实施期间因设计变更引起工程项目、工程量变化的，其工程量按实际发生并经监理工程师及发包人签证认可，变更合同价款按下列方法进行：</w:t>
      </w:r>
    </w:p>
    <w:p w14:paraId="06E8266A">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（1）合同中已有适用于变更工程的价格，按合同已有的价格变更合同价款；</w:t>
      </w:r>
    </w:p>
    <w:p w14:paraId="3A322E47">
      <w:pPr>
        <w:spacing w:line="43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（2）合同中只有类似于变更工程的价格，可以参照类似价格变更合同价款；</w:t>
      </w:r>
    </w:p>
    <w:p w14:paraId="4F73B419">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合同中没有适用或类似于变更工程的价格，则有定额的套定额计算（土石方除外），执行本工程竞标报价的计算及结算依据并乘以下浮系数（成交价/工程预算控制价）计算，其中材料价格有信息价的按施工期间的信息价进行计算，无信息的按市场价；新增项目无定额可套的，由发包人、承包人及监理根据市场价格协商确定。</w:t>
      </w:r>
    </w:p>
    <w:p w14:paraId="325A8310">
      <w:pPr>
        <w:spacing w:line="43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本工程最终结算以财政审计部门审定为准。</w:t>
      </w:r>
    </w:p>
    <w:p w14:paraId="7F7F2861">
      <w:pPr>
        <w:spacing w:line="430" w:lineRule="exact"/>
        <w:ind w:firstLine="482" w:firstLineChars="200"/>
        <w:rPr>
          <w:rFonts w:ascii="宋体" w:hAnsi="宋体" w:cs="宋体"/>
          <w:b/>
          <w:bCs/>
          <w:color w:val="auto"/>
          <w:sz w:val="24"/>
          <w:highlight w:val="none"/>
          <w:u w:val="single"/>
        </w:rPr>
      </w:pPr>
      <w:r>
        <w:rPr>
          <w:rFonts w:hint="eastAsia" w:ascii="宋体" w:hAnsi="宋体" w:cs="宋体"/>
          <w:b/>
          <w:bCs/>
          <w:color w:val="auto"/>
          <w:sz w:val="24"/>
          <w:highlight w:val="none"/>
          <w:u w:val="single"/>
        </w:rPr>
        <w:t>5.2本项目采用多次报价方式，作最终报价时，供应商的最终报价如有变动，则必须以完整的工程量清单报价表的格式（按磋商文件中的相关规定签字盖章）编制提交，供应商须提前做好相关准备并按时递交最终报价文件，否则按竞标无效处理。</w:t>
      </w:r>
    </w:p>
    <w:p w14:paraId="796455E8">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5.3竞标货币</w:t>
      </w:r>
    </w:p>
    <w:p w14:paraId="5BB6A314">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响应文件中的报价全部采用人民币表示。</w:t>
      </w:r>
    </w:p>
    <w:p w14:paraId="1AB82770">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5.4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1E343568">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5.5已经提交响应文件的供应商，在提交最后报价之前，可以根据磋商情况退出磋商，退出磋商的供应商的响应文件按无效响应处理。</w:t>
      </w:r>
    </w:p>
    <w:p w14:paraId="55258D09">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5.6供应商未在规定时间内提交最后报价的，视同退出磋商。</w:t>
      </w:r>
    </w:p>
    <w:p w14:paraId="0697B185">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5.7磋商小组收齐某一分标最后报价后统一开启，磋商小组对最后报价进行有效性、完整性和响应程度的审查。</w:t>
      </w:r>
    </w:p>
    <w:p w14:paraId="759D35AC">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5.8最终响应文件的报价出现前后不一致的，按照本章第3.4条的规定修正。 </w:t>
      </w:r>
    </w:p>
    <w:p w14:paraId="7A3BA86E">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5.9修正后的最终报价出现下列情形的，按无效响应处理：</w:t>
      </w:r>
    </w:p>
    <w:p w14:paraId="4071153B">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（1）供应商不确认的（全流程电子化评标采取在线确认）；</w:t>
      </w:r>
    </w:p>
    <w:p w14:paraId="61F59FE3">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（2）经供应商确认修正后的响应报价（包含首次报价、最后报价）超过所竞标分标规定的采购预算金额或者最高限价的（如本项目公布了最高限价）；</w:t>
      </w:r>
    </w:p>
    <w:p w14:paraId="17147BAB">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（3）经供应商确认修正后的响应报价（包含首次报价、最后报价）超过分项采购预算金额或者最高限价的（如本项目公布了最高限价）。</w:t>
      </w:r>
    </w:p>
    <w:p w14:paraId="3A402FB3">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5.10经供应商确认修正后的最后报价作为评审及签订合同的依据。</w:t>
      </w:r>
    </w:p>
    <w:p w14:paraId="1A810ED0">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5.11供应商出现最后报价按无效响应处理或者响应文件按无效处理时，磋商小组应当告知有关供应商。</w:t>
      </w:r>
    </w:p>
    <w:p w14:paraId="0F5EF3DA">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5.12最后报价结束后，磋商小组不得再与供应商进行任何形式的商谈。</w:t>
      </w:r>
    </w:p>
    <w:p w14:paraId="64E26DC8">
      <w:pPr>
        <w:spacing w:line="43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6.比较与评价</w:t>
      </w:r>
    </w:p>
    <w:p w14:paraId="214BF157">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6.1评审方法：综合评分法。</w:t>
      </w:r>
    </w:p>
    <w:p w14:paraId="3A911FC9">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6.2经磋商确定最终提交最后报价的供应商后，由磋商小组采用综合评分法对提交最后报价的供应商的响应文件和最后报价进行综合评分。</w:t>
      </w:r>
    </w:p>
    <w:p w14:paraId="3B3EDEA3">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6.3评审时，磋商小组各成员应当独立对每个有效响应的文件进行评价、打分，然后汇总每个供应商每项评分因素的得分。</w:t>
      </w:r>
    </w:p>
    <w:p w14:paraId="5BA24805">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（1）磋商小组按照磋商文件中规定的评审标准计算各供应商的报价得分。项目评审过程中，不得去掉最后报价中的最高报价和最低报价。</w:t>
      </w:r>
    </w:p>
    <w:p w14:paraId="2BDD430B">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（2）各供应商的得分为磋商小组所有成员的有效评分的算术平均数。</w:t>
      </w:r>
    </w:p>
    <w:p w14:paraId="28DD3EAD">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6.4评审价为供应商的最后报价进行政策性扣除后的价格，评审价只是作为评审时使用。最终成交供应商的成交金额等于最后报价（如有修正，以确认修正后的最后报价为准）。</w:t>
      </w:r>
    </w:p>
    <w:p w14:paraId="7A26CAAB">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6.5由磋商小组根据综合评分情况，按照评审得分由高到低顺序推荐3名以上成交候选供应商，并编写评审报告。符合本章第4.3条情形的，可以推荐2家成交候选供应商。评审得分相同的，按照最后报价由低到高的顺序推荐。评审得分且最后报价相同的，按照技术指标优劣顺序推荐。</w:t>
      </w:r>
    </w:p>
    <w:p w14:paraId="6AAAE680">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09A3BC4">
      <w:pPr>
        <w:spacing w:line="43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7.评审标准</w:t>
      </w:r>
    </w:p>
    <w:p w14:paraId="2C2EB713">
      <w:pPr>
        <w:spacing w:line="43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7.1评审依据：磋商小组将以磋商响应文件为评审依据，对供应商的报价、技术、商务等方面内容按百分制打分。（计分方法按四舍五入取至百分位）</w:t>
      </w:r>
    </w:p>
    <w:p w14:paraId="78B42FFA">
      <w:pPr>
        <w:spacing w:line="430" w:lineRule="exact"/>
        <w:ind w:firstLine="480" w:firstLineChars="200"/>
        <w:rPr>
          <w:rFonts w:ascii="宋体" w:hAnsi="宋体" w:cs="宋体"/>
          <w:bCs/>
          <w:color w:val="auto"/>
          <w:sz w:val="24"/>
          <w:highlight w:val="none"/>
          <w:u w:val="single"/>
        </w:rPr>
      </w:pPr>
      <w:r>
        <w:rPr>
          <w:rFonts w:hint="eastAsia" w:ascii="宋体" w:hAnsi="宋体" w:cs="宋体"/>
          <w:bCs/>
          <w:color w:val="auto"/>
          <w:sz w:val="24"/>
          <w:highlight w:val="none"/>
        </w:rPr>
        <w:t>总得分=1+2+3</w:t>
      </w:r>
    </w:p>
    <w:p w14:paraId="079BBE61">
      <w:pPr>
        <w:spacing w:line="440" w:lineRule="exact"/>
        <w:ind w:firstLine="480" w:firstLineChars="200"/>
        <w:jc w:val="center"/>
        <w:rPr>
          <w:rFonts w:hint="eastAsia" w:ascii="宋体" w:hAnsi="宋体" w:eastAsia="宋体" w:cs="宋体"/>
          <w:bCs/>
          <w:color w:val="auto"/>
          <w:szCs w:val="21"/>
          <w:highlight w:val="none"/>
          <w:lang w:val="en-US" w:eastAsia="zh-CN"/>
        </w:rPr>
      </w:pPr>
      <w:bookmarkStart w:id="63" w:name="PO_TDCUS_ITEM_SM_TITLE_1"/>
      <w:r>
        <w:rPr>
          <w:rFonts w:hint="eastAsia" w:ascii="宋体" w:hAnsi="宋体" w:cs="宋体"/>
          <w:bCs/>
          <w:color w:val="auto"/>
          <w:sz w:val="24"/>
          <w:highlight w:val="none"/>
        </w:rPr>
        <w:br w:type="page"/>
      </w:r>
      <w:bookmarkEnd w:id="63"/>
      <w:bookmarkStart w:id="64" w:name="PO_TDCUS_ITEM_SM_TABLE_1"/>
      <w:r>
        <w:rPr>
          <w:rFonts w:hint="eastAsia" w:ascii="宋体" w:hAnsi="宋体" w:cs="宋体"/>
          <w:b/>
          <w:color w:val="auto"/>
          <w:sz w:val="28"/>
          <w:szCs w:val="28"/>
          <w:highlight w:val="none"/>
        </w:rPr>
        <w:t>评分方法</w:t>
      </w:r>
      <w:r>
        <w:rPr>
          <w:rFonts w:hint="eastAsia" w:ascii="宋体" w:hAnsi="宋体" w:cs="宋体"/>
          <w:b/>
          <w:color w:val="auto"/>
          <w:sz w:val="28"/>
          <w:szCs w:val="28"/>
          <w:highlight w:val="none"/>
          <w:lang w:val="en-US" w:eastAsia="zh-CN"/>
        </w:rPr>
        <w:t xml:space="preserve"> </w:t>
      </w:r>
    </w:p>
    <w:tbl>
      <w:tblPr>
        <w:tblStyle w:val="30"/>
        <w:tblW w:w="50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211"/>
        <w:gridCol w:w="6192"/>
        <w:gridCol w:w="1168"/>
      </w:tblGrid>
      <w:tr w14:paraId="0C444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23" w:type="pct"/>
            <w:vAlign w:val="center"/>
          </w:tcPr>
          <w:p w14:paraId="372FD4D6">
            <w:pPr>
              <w:snapToGrid w:val="0"/>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646" w:type="pct"/>
            <w:vAlign w:val="center"/>
          </w:tcPr>
          <w:p w14:paraId="248995D4">
            <w:pPr>
              <w:snapToGrid w:val="0"/>
              <w:jc w:val="center"/>
              <w:rPr>
                <w:rFonts w:ascii="宋体" w:hAnsi="宋体" w:cs="宋体"/>
                <w:b/>
                <w:color w:val="auto"/>
                <w:szCs w:val="21"/>
                <w:highlight w:val="none"/>
              </w:rPr>
            </w:pPr>
            <w:r>
              <w:rPr>
                <w:rFonts w:hint="eastAsia" w:ascii="宋体" w:hAnsi="宋体" w:cs="宋体"/>
                <w:b/>
                <w:color w:val="auto"/>
                <w:szCs w:val="21"/>
                <w:highlight w:val="none"/>
              </w:rPr>
              <w:t>评分类型</w:t>
            </w:r>
          </w:p>
        </w:tc>
        <w:tc>
          <w:tcPr>
            <w:tcW w:w="3306" w:type="pct"/>
            <w:vAlign w:val="center"/>
          </w:tcPr>
          <w:p w14:paraId="2D7E9787">
            <w:pPr>
              <w:snapToGrid w:val="0"/>
              <w:jc w:val="center"/>
              <w:rPr>
                <w:rFonts w:ascii="宋体" w:hAnsi="宋体" w:cs="宋体"/>
                <w:b/>
                <w:color w:val="auto"/>
                <w:szCs w:val="21"/>
                <w:highlight w:val="none"/>
              </w:rPr>
            </w:pPr>
            <w:r>
              <w:rPr>
                <w:rFonts w:hint="eastAsia" w:ascii="宋体" w:hAnsi="宋体" w:cs="宋体"/>
                <w:b/>
                <w:color w:val="auto"/>
                <w:szCs w:val="21"/>
                <w:highlight w:val="none"/>
              </w:rPr>
              <w:t>评分标准</w:t>
            </w:r>
          </w:p>
        </w:tc>
        <w:tc>
          <w:tcPr>
            <w:tcW w:w="623" w:type="pct"/>
            <w:vAlign w:val="center"/>
          </w:tcPr>
          <w:p w14:paraId="4FDDD7B7">
            <w:pPr>
              <w:snapToGrid w:val="0"/>
              <w:jc w:val="center"/>
              <w:rPr>
                <w:rFonts w:ascii="宋体" w:hAnsi="宋体" w:cs="宋体"/>
                <w:b/>
                <w:color w:val="auto"/>
                <w:szCs w:val="21"/>
                <w:highlight w:val="none"/>
              </w:rPr>
            </w:pPr>
            <w:r>
              <w:rPr>
                <w:rFonts w:hint="eastAsia" w:ascii="宋体" w:hAnsi="宋体" w:cs="宋体"/>
                <w:b/>
                <w:color w:val="auto"/>
                <w:szCs w:val="21"/>
                <w:highlight w:val="none"/>
              </w:rPr>
              <w:t>分值</w:t>
            </w:r>
          </w:p>
        </w:tc>
      </w:tr>
      <w:tr w14:paraId="638FF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14:paraId="70C74630">
            <w:pPr>
              <w:snapToGrid w:val="0"/>
              <w:jc w:val="center"/>
              <w:rPr>
                <w:rFonts w:ascii="宋体" w:hAnsi="宋体" w:cs="宋体"/>
                <w:b/>
                <w:bCs/>
                <w:color w:val="auto"/>
                <w:szCs w:val="21"/>
                <w:highlight w:val="none"/>
              </w:rPr>
            </w:pPr>
            <w:r>
              <w:rPr>
                <w:rFonts w:hint="eastAsia" w:ascii="宋体" w:hAnsi="宋体" w:cs="宋体"/>
                <w:b/>
                <w:bCs/>
                <w:color w:val="auto"/>
                <w:szCs w:val="21"/>
                <w:highlight w:val="none"/>
              </w:rPr>
              <w:t>1</w:t>
            </w:r>
          </w:p>
        </w:tc>
        <w:tc>
          <w:tcPr>
            <w:tcW w:w="646" w:type="pct"/>
            <w:vAlign w:val="center"/>
          </w:tcPr>
          <w:p w14:paraId="700040D2">
            <w:pPr>
              <w:snapToGrid w:val="0"/>
              <w:jc w:val="center"/>
              <w:rPr>
                <w:rFonts w:ascii="宋体" w:hAnsi="宋体" w:cs="宋体"/>
                <w:b/>
                <w:bCs/>
                <w:color w:val="auto"/>
                <w:szCs w:val="21"/>
                <w:highlight w:val="none"/>
              </w:rPr>
            </w:pPr>
            <w:r>
              <w:rPr>
                <w:rFonts w:hint="eastAsia" w:ascii="宋体" w:hAnsi="宋体" w:cs="宋体"/>
                <w:b/>
                <w:bCs/>
                <w:color w:val="auto"/>
                <w:szCs w:val="21"/>
                <w:highlight w:val="none"/>
              </w:rPr>
              <w:t>价格分</w:t>
            </w:r>
          </w:p>
        </w:tc>
        <w:tc>
          <w:tcPr>
            <w:tcW w:w="3306" w:type="pct"/>
            <w:vAlign w:val="center"/>
          </w:tcPr>
          <w:p w14:paraId="1C9409BD">
            <w:pPr>
              <w:spacing w:line="40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（1）评审价为供应商的最后报价进行政策性扣除后（如有）的价格，评审价只是作为评审时使用。最终成交供应商的成交金额等于最后报价（如有修正，以确认修正后的最后报价为准）。</w:t>
            </w:r>
          </w:p>
          <w:p w14:paraId="62A8216E">
            <w:pPr>
              <w:pStyle w:val="18"/>
              <w:spacing w:line="40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（2）政府采购政策性扣除计算方法</w:t>
            </w:r>
          </w:p>
          <w:p w14:paraId="6DE16E98">
            <w:pPr>
              <w:spacing w:line="40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政府采购促进中小企业发展管理办法》（财库〔2020〕46号）、《广西壮族自治区财政厅关于贯彻落实政府采购支持中小企业发展政策的通知》（桂财采〔2022〕31号）及《广西壮族自治区财政厅关于持续优化政府采购营商环境推动高质量发展的通知》（桂财采〔2024〕55号）的规定，供应商在其响应文件中提供《中小企业声明函》，且工程的施工单位全部为符合政策要求的小微企业承建，对供应商的竞标报价给予5%的扣除，扣除后的价格为评审价，即评审价=竞标报价×（1-5%）。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2%的扣除，用扣除后的价格参加评审，扣除后的价格为评审价，即评审价=竞标报价×（1-2%）。除上述情况外，评审价=竞标报价。组成联合体或者接受分包的小微企业与联合体内其他企业、分包企业之间存在直接控股、管理关系的，不享受价格扣除优惠政策。</w:t>
            </w:r>
          </w:p>
          <w:p w14:paraId="16C6F2A8">
            <w:pPr>
              <w:spacing w:line="40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04EEB033">
            <w:pPr>
              <w:spacing w:line="40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2E454DB6">
            <w:pPr>
              <w:widowControl/>
              <w:spacing w:line="40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根据《广西壮族自治区财政厅关于贯彻落实政府采购支持中小企业发展政策的通知》（桂财采〔2022〕31号）及《广西壮族自治区财政厅关于持续优化政府采购营商环境推动高质量发展的通知》（桂财采〔2024〕55号）的规定，本项目100%采购份额全部面向中型企业、小型企业、微型企业、监狱企业、残疾人福利性单位采购，因此价格分部分不再进行政策性扣除，不再给予小型企业、微型企业、监狱企业、残疾人福利性单位价格扣除优惠。</w:t>
            </w:r>
          </w:p>
          <w:p w14:paraId="5FB4551B">
            <w:pPr>
              <w:widowControl/>
              <w:spacing w:line="40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（6）即：评审报价＝最后报价。</w:t>
            </w:r>
          </w:p>
          <w:p w14:paraId="768CBDFD">
            <w:pPr>
              <w:widowControl/>
              <w:spacing w:line="40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（7）以进入比较与评价环节的最低的评审报价为基准价，基准价得分为20分。</w:t>
            </w:r>
          </w:p>
          <w:p w14:paraId="67185EFC">
            <w:pPr>
              <w:snapToGrid w:val="0"/>
              <w:jc w:val="left"/>
              <w:rPr>
                <w:rFonts w:ascii="宋体" w:hAnsi="宋体" w:cs="宋体"/>
                <w:bCs/>
                <w:color w:val="auto"/>
                <w:szCs w:val="21"/>
                <w:highlight w:val="none"/>
              </w:rPr>
            </w:pPr>
            <w:r>
              <w:rPr>
                <w:rFonts w:hint="eastAsia" w:ascii="宋体" w:hAnsi="宋体" w:eastAsia="宋体" w:cs="宋体"/>
                <w:color w:val="auto"/>
                <w:kern w:val="2"/>
                <w:sz w:val="21"/>
                <w:szCs w:val="21"/>
                <w:highlight w:val="none"/>
                <w:lang w:val="en-US" w:eastAsia="zh-CN" w:bidi="ar-SA"/>
              </w:rPr>
              <w:t>（8）价格分计算公式：报价得分=（基准价/最后报价）×20分。</w:t>
            </w:r>
          </w:p>
        </w:tc>
        <w:tc>
          <w:tcPr>
            <w:tcW w:w="623" w:type="pct"/>
            <w:vAlign w:val="center"/>
          </w:tcPr>
          <w:p w14:paraId="3C008145">
            <w:pPr>
              <w:snapToGrid w:val="0"/>
              <w:jc w:val="center"/>
              <w:rPr>
                <w:rFonts w:ascii="宋体" w:hAnsi="宋体" w:cs="宋体"/>
                <w:bCs/>
                <w:color w:val="auto"/>
                <w:szCs w:val="21"/>
                <w:highlight w:val="none"/>
              </w:rPr>
            </w:pPr>
            <w:r>
              <w:rPr>
                <w:rFonts w:hint="eastAsia" w:ascii="宋体" w:hAnsi="宋体" w:cs="宋体"/>
                <w:bCs/>
                <w:color w:val="auto"/>
                <w:szCs w:val="21"/>
                <w:highlight w:val="none"/>
              </w:rPr>
              <w:t>满分20分</w:t>
            </w:r>
          </w:p>
        </w:tc>
      </w:tr>
      <w:tr w14:paraId="5582B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23" w:type="pct"/>
            <w:vAlign w:val="center"/>
          </w:tcPr>
          <w:p w14:paraId="1E5265C5">
            <w:pPr>
              <w:widowControl/>
              <w:snapToGrid w:val="0"/>
              <w:jc w:val="center"/>
              <w:rPr>
                <w:rFonts w:ascii="宋体" w:hAnsi="宋体" w:cs="宋体"/>
                <w:bCs/>
                <w:color w:val="auto"/>
                <w:szCs w:val="21"/>
                <w:highlight w:val="none"/>
              </w:rPr>
            </w:pPr>
            <w:r>
              <w:rPr>
                <w:rFonts w:hint="eastAsia" w:ascii="宋体" w:hAnsi="宋体" w:cs="宋体"/>
                <w:b/>
                <w:color w:val="auto"/>
                <w:szCs w:val="21"/>
                <w:highlight w:val="none"/>
              </w:rPr>
              <w:t>2</w:t>
            </w:r>
          </w:p>
        </w:tc>
        <w:tc>
          <w:tcPr>
            <w:tcW w:w="646" w:type="pct"/>
            <w:vAlign w:val="center"/>
          </w:tcPr>
          <w:p w14:paraId="537B14AD">
            <w:pPr>
              <w:widowControl/>
              <w:snapToGrid w:val="0"/>
              <w:jc w:val="center"/>
              <w:rPr>
                <w:rFonts w:ascii="宋体" w:hAnsi="宋体" w:cs="宋体"/>
                <w:bCs/>
                <w:color w:val="auto"/>
                <w:szCs w:val="21"/>
                <w:highlight w:val="none"/>
              </w:rPr>
            </w:pPr>
            <w:r>
              <w:rPr>
                <w:rFonts w:hint="eastAsia" w:ascii="宋体" w:hAnsi="宋体" w:cs="宋体"/>
                <w:b/>
                <w:color w:val="auto"/>
                <w:szCs w:val="21"/>
                <w:highlight w:val="none"/>
              </w:rPr>
              <w:t>技术分</w:t>
            </w:r>
          </w:p>
        </w:tc>
        <w:tc>
          <w:tcPr>
            <w:tcW w:w="3306" w:type="pct"/>
            <w:vAlign w:val="center"/>
          </w:tcPr>
          <w:p w14:paraId="7ED85631">
            <w:pPr>
              <w:widowControl/>
              <w:snapToGrid w:val="0"/>
              <w:jc w:val="left"/>
              <w:rPr>
                <w:rFonts w:ascii="宋体" w:hAnsi="宋体" w:cs="宋体"/>
                <w:bCs/>
                <w:color w:val="auto"/>
                <w:szCs w:val="21"/>
                <w:highlight w:val="none"/>
              </w:rPr>
            </w:pPr>
            <w:r>
              <w:rPr>
                <w:rFonts w:hint="eastAsia" w:ascii="宋体" w:hAnsi="宋体" w:cs="宋体"/>
                <w:b/>
                <w:color w:val="auto"/>
                <w:szCs w:val="21"/>
                <w:highlight w:val="none"/>
              </w:rPr>
              <w:t>评审因素</w:t>
            </w:r>
          </w:p>
        </w:tc>
        <w:tc>
          <w:tcPr>
            <w:tcW w:w="623" w:type="pct"/>
            <w:vAlign w:val="center"/>
          </w:tcPr>
          <w:p w14:paraId="63C9C38C">
            <w:pPr>
              <w:snapToGrid w:val="0"/>
              <w:jc w:val="center"/>
              <w:rPr>
                <w:rFonts w:ascii="宋体" w:hAnsi="宋体" w:cs="宋体"/>
                <w:bCs/>
                <w:color w:val="auto"/>
                <w:szCs w:val="21"/>
                <w:highlight w:val="none"/>
              </w:rPr>
            </w:pPr>
            <w:r>
              <w:rPr>
                <w:rFonts w:hint="eastAsia" w:ascii="宋体" w:hAnsi="宋体" w:cs="宋体"/>
                <w:b/>
                <w:color w:val="auto"/>
                <w:szCs w:val="21"/>
                <w:highlight w:val="none"/>
              </w:rPr>
              <w:t>满分60分</w:t>
            </w:r>
          </w:p>
        </w:tc>
      </w:tr>
      <w:tr w14:paraId="4A6F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14:paraId="71A9DEC3">
            <w:pPr>
              <w:snapToGrid w:val="0"/>
              <w:jc w:val="center"/>
              <w:rPr>
                <w:rFonts w:ascii="宋体" w:hAnsi="宋体" w:cs="宋体"/>
                <w:bCs/>
                <w:color w:val="auto"/>
                <w:szCs w:val="21"/>
                <w:highlight w:val="none"/>
              </w:rPr>
            </w:pPr>
            <w:r>
              <w:rPr>
                <w:rFonts w:hint="eastAsia" w:ascii="宋体" w:hAnsi="宋体" w:cs="宋体"/>
                <w:bCs/>
                <w:color w:val="auto"/>
                <w:szCs w:val="21"/>
                <w:highlight w:val="none"/>
              </w:rPr>
              <w:t>2.1</w:t>
            </w:r>
          </w:p>
        </w:tc>
        <w:tc>
          <w:tcPr>
            <w:tcW w:w="646" w:type="pct"/>
            <w:vAlign w:val="center"/>
          </w:tcPr>
          <w:p w14:paraId="20323418">
            <w:pPr>
              <w:snapToGrid w:val="0"/>
              <w:jc w:val="center"/>
              <w:rPr>
                <w:rFonts w:ascii="宋体" w:hAnsi="宋体" w:cs="宋体"/>
                <w:bCs/>
                <w:color w:val="auto"/>
                <w:szCs w:val="21"/>
                <w:highlight w:val="none"/>
              </w:rPr>
            </w:pPr>
            <w:r>
              <w:rPr>
                <w:rFonts w:hint="eastAsia" w:ascii="宋体" w:hAnsi="宋体" w:cs="宋体"/>
                <w:bCs/>
                <w:color w:val="auto"/>
                <w:szCs w:val="21"/>
                <w:highlight w:val="none"/>
              </w:rPr>
              <w:t>拟投入本项目人员情况分</w:t>
            </w:r>
          </w:p>
        </w:tc>
        <w:tc>
          <w:tcPr>
            <w:tcW w:w="3306" w:type="pct"/>
            <w:vAlign w:val="center"/>
          </w:tcPr>
          <w:p w14:paraId="03041C4E">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一档（9分）：组织结构合理，各类人员证件齐备有效（各类人员指项目经理、项目技术负责人、施工员、专职安全生产管理人员、质量员、资料员、</w:t>
            </w:r>
            <w:r>
              <w:rPr>
                <w:rFonts w:hint="eastAsia" w:ascii="宋体" w:hAnsi="宋体" w:cs="宋体"/>
                <w:color w:val="auto"/>
                <w:szCs w:val="21"/>
                <w:highlight w:val="none"/>
                <w:lang w:eastAsia="zh-CN"/>
              </w:rPr>
              <w:t>造价师</w:t>
            </w:r>
            <w:r>
              <w:rPr>
                <w:rFonts w:hint="eastAsia" w:ascii="宋体" w:hAnsi="宋体" w:cs="宋体"/>
                <w:color w:val="auto"/>
                <w:szCs w:val="21"/>
                <w:highlight w:val="none"/>
              </w:rPr>
              <w:t>），其中项目经理和项目技术负责人都具备中级或以上技术职称证书。</w:t>
            </w:r>
          </w:p>
          <w:p w14:paraId="4E66EC3E">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二档（6分）：组织结构较合理，各类人员证件齐备有效（各类人员指项目经理、项目技术负责人、施工员、专职安全生产管理人员、质量员、资料员、</w:t>
            </w:r>
            <w:r>
              <w:rPr>
                <w:rFonts w:hint="eastAsia" w:ascii="宋体" w:hAnsi="宋体" w:cs="宋体"/>
                <w:color w:val="auto"/>
                <w:szCs w:val="21"/>
                <w:highlight w:val="none"/>
                <w:lang w:eastAsia="zh-CN"/>
              </w:rPr>
              <w:t>造价师</w:t>
            </w:r>
            <w:r>
              <w:rPr>
                <w:rFonts w:hint="eastAsia" w:ascii="宋体" w:hAnsi="宋体" w:cs="宋体"/>
                <w:color w:val="auto"/>
                <w:szCs w:val="21"/>
                <w:highlight w:val="none"/>
              </w:rPr>
              <w:t>），其中项目经理或项目技术负责人其中1人具备中级或以上技术职称证书。</w:t>
            </w:r>
          </w:p>
          <w:p w14:paraId="0C4C78B4">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三档（3分）：组织结构简单，各类人员证件齐备有效（各类人员指项目经理、项目技术负责人、施工员、专职安全生产管理人员、质量员、资料员、</w:t>
            </w:r>
            <w:r>
              <w:rPr>
                <w:rFonts w:hint="eastAsia" w:ascii="宋体" w:hAnsi="宋体" w:cs="宋体"/>
                <w:color w:val="auto"/>
                <w:szCs w:val="21"/>
                <w:highlight w:val="none"/>
                <w:lang w:eastAsia="zh-CN"/>
              </w:rPr>
              <w:t>造价师</w:t>
            </w:r>
            <w:r>
              <w:rPr>
                <w:rFonts w:hint="eastAsia" w:ascii="宋体" w:hAnsi="宋体" w:cs="宋体"/>
                <w:color w:val="auto"/>
                <w:szCs w:val="21"/>
                <w:highlight w:val="none"/>
              </w:rPr>
              <w:t>）。</w:t>
            </w:r>
          </w:p>
          <w:p w14:paraId="02C25BF4">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注：以上人员须持有相应上岗证书[专职安全生产管理人员提供安全生产考核合格证书（C类），项目技术负责人提供中级及以上技术职称证书）]，响应文件中应提供以上人员有效的身份证正反面复印件、资格（上岗）证书、职称证书复印件及提供响应文件递交截止时间前半年内</w:t>
            </w:r>
            <w:r>
              <w:rPr>
                <w:rFonts w:hint="eastAsia" w:ascii="宋体" w:hAnsi="宋体" w:cs="宋体"/>
                <w:color w:val="auto"/>
                <w:szCs w:val="21"/>
                <w:highlight w:val="none"/>
                <w:lang w:val="en-US" w:eastAsia="zh-CN"/>
              </w:rPr>
              <w:t>任意一</w:t>
            </w:r>
            <w:r>
              <w:rPr>
                <w:rFonts w:hint="eastAsia" w:ascii="宋体" w:hAnsi="宋体" w:cs="宋体"/>
                <w:color w:val="auto"/>
                <w:szCs w:val="21"/>
                <w:highlight w:val="none"/>
              </w:rPr>
              <w:t>个月在现任职单位依法缴纳社会保险证明材料的复印件，如项目人员为退休返聘人员的需提供相关退休证明材料。</w:t>
            </w:r>
          </w:p>
        </w:tc>
        <w:tc>
          <w:tcPr>
            <w:tcW w:w="623" w:type="pct"/>
            <w:vAlign w:val="center"/>
          </w:tcPr>
          <w:p w14:paraId="32A1EA86">
            <w:pPr>
              <w:snapToGrid w:val="0"/>
              <w:jc w:val="center"/>
              <w:rPr>
                <w:rFonts w:ascii="宋体" w:hAnsi="宋体" w:cs="宋体"/>
                <w:bCs/>
                <w:color w:val="auto"/>
                <w:szCs w:val="21"/>
                <w:highlight w:val="none"/>
              </w:rPr>
            </w:pPr>
            <w:r>
              <w:rPr>
                <w:rFonts w:hint="eastAsia" w:ascii="宋体" w:hAnsi="宋体" w:cs="宋体"/>
                <w:bCs/>
                <w:color w:val="auto"/>
                <w:szCs w:val="21"/>
                <w:highlight w:val="none"/>
              </w:rPr>
              <w:t>满分9分</w:t>
            </w:r>
          </w:p>
        </w:tc>
      </w:tr>
      <w:tr w14:paraId="2694A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14:paraId="1882F6D4">
            <w:pPr>
              <w:snapToGrid w:val="0"/>
              <w:jc w:val="center"/>
              <w:rPr>
                <w:rFonts w:ascii="宋体" w:hAnsi="宋体" w:cs="宋体"/>
                <w:bCs/>
                <w:color w:val="auto"/>
                <w:szCs w:val="21"/>
                <w:highlight w:val="none"/>
              </w:rPr>
            </w:pPr>
            <w:r>
              <w:rPr>
                <w:rFonts w:hint="eastAsia" w:ascii="宋体" w:hAnsi="宋体" w:cs="宋体"/>
                <w:bCs/>
                <w:color w:val="auto"/>
                <w:szCs w:val="21"/>
                <w:highlight w:val="none"/>
              </w:rPr>
              <w:t>2.2</w:t>
            </w:r>
          </w:p>
        </w:tc>
        <w:tc>
          <w:tcPr>
            <w:tcW w:w="646" w:type="pct"/>
            <w:vAlign w:val="center"/>
          </w:tcPr>
          <w:p w14:paraId="77D65441">
            <w:pPr>
              <w:snapToGrid w:val="0"/>
              <w:jc w:val="center"/>
              <w:rPr>
                <w:rFonts w:ascii="宋体" w:hAnsi="宋体" w:cs="宋体"/>
                <w:bCs/>
                <w:color w:val="auto"/>
                <w:szCs w:val="21"/>
                <w:highlight w:val="none"/>
              </w:rPr>
            </w:pPr>
            <w:r>
              <w:rPr>
                <w:rFonts w:hint="eastAsia" w:ascii="宋体" w:hAnsi="宋体" w:cs="宋体"/>
                <w:bCs/>
                <w:color w:val="auto"/>
                <w:szCs w:val="21"/>
                <w:highlight w:val="none"/>
              </w:rPr>
              <w:t>主要施工方法</w:t>
            </w:r>
          </w:p>
        </w:tc>
        <w:tc>
          <w:tcPr>
            <w:tcW w:w="3306" w:type="pct"/>
            <w:vAlign w:val="center"/>
          </w:tcPr>
          <w:p w14:paraId="01959033">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 xml:space="preserve">各主要分部施工方法符合项目实际，须有详尽的施工技术方案，工艺先进、方法科学合理、可行，能指导具体施工并确保安全。 </w:t>
            </w:r>
          </w:p>
          <w:p w14:paraId="4D266D27">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一档（8分）：各主要分部施工方法符合项目实际，有详尽的施工技术方案，工艺先进、方法科学合理、可行，能指导具体施工并确保安全。</w:t>
            </w:r>
          </w:p>
          <w:p w14:paraId="30C5DCBE">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二档（6分）：各主要分部施工方法符合项目实际，有较详尽的施工技术方案，工艺较先进、方法较科学合理、可行，能指导具体施工并确保安全。</w:t>
            </w:r>
          </w:p>
          <w:p w14:paraId="0748A1D6">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三档（4分）：各主要分部施工方法基本符合项目实际，有施工技术方案，工艺较先进、方法较科学合理、可行，基本指导具体施工并确保安全。</w:t>
            </w:r>
          </w:p>
          <w:p w14:paraId="166316B2">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四档（2分）：各主要分部施工方法不符合项目实际，没有施工技术方案，工艺落后、方法不科学合理、可行，不能指导具体施工并确保安全。</w:t>
            </w:r>
          </w:p>
        </w:tc>
        <w:tc>
          <w:tcPr>
            <w:tcW w:w="623" w:type="pct"/>
            <w:vAlign w:val="center"/>
          </w:tcPr>
          <w:p w14:paraId="11191911">
            <w:pPr>
              <w:snapToGrid w:val="0"/>
              <w:jc w:val="center"/>
              <w:rPr>
                <w:rFonts w:ascii="宋体" w:hAnsi="宋体" w:cs="宋体"/>
                <w:color w:val="auto"/>
                <w:szCs w:val="21"/>
                <w:highlight w:val="none"/>
              </w:rPr>
            </w:pPr>
            <w:r>
              <w:rPr>
                <w:rFonts w:hint="eastAsia" w:ascii="宋体" w:hAnsi="宋体" w:cs="宋体"/>
                <w:bCs/>
                <w:color w:val="auto"/>
                <w:szCs w:val="21"/>
                <w:highlight w:val="none"/>
              </w:rPr>
              <w:t>满分</w:t>
            </w:r>
            <w:r>
              <w:rPr>
                <w:rFonts w:hint="eastAsia" w:ascii="宋体" w:hAnsi="宋体" w:cs="宋体"/>
                <w:color w:val="auto"/>
                <w:szCs w:val="21"/>
                <w:highlight w:val="none"/>
              </w:rPr>
              <w:t>8分</w:t>
            </w:r>
          </w:p>
        </w:tc>
      </w:tr>
      <w:tr w14:paraId="74AF5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14:paraId="61E032C8">
            <w:pPr>
              <w:snapToGrid w:val="0"/>
              <w:jc w:val="center"/>
              <w:rPr>
                <w:rFonts w:ascii="宋体" w:hAnsi="宋体" w:cs="宋体"/>
                <w:bCs/>
                <w:color w:val="auto"/>
                <w:szCs w:val="21"/>
                <w:highlight w:val="none"/>
              </w:rPr>
            </w:pPr>
            <w:r>
              <w:rPr>
                <w:rFonts w:hint="eastAsia" w:ascii="宋体" w:hAnsi="宋体" w:cs="宋体"/>
                <w:bCs/>
                <w:color w:val="auto"/>
                <w:szCs w:val="21"/>
                <w:highlight w:val="none"/>
              </w:rPr>
              <w:t>2.3</w:t>
            </w:r>
          </w:p>
        </w:tc>
        <w:tc>
          <w:tcPr>
            <w:tcW w:w="646" w:type="pct"/>
            <w:vAlign w:val="center"/>
          </w:tcPr>
          <w:p w14:paraId="03D4C057">
            <w:pPr>
              <w:snapToGrid w:val="0"/>
              <w:jc w:val="center"/>
              <w:rPr>
                <w:rFonts w:ascii="宋体" w:hAnsi="宋体" w:cs="宋体"/>
                <w:bCs/>
                <w:color w:val="auto"/>
                <w:szCs w:val="21"/>
                <w:highlight w:val="none"/>
              </w:rPr>
            </w:pPr>
            <w:r>
              <w:rPr>
                <w:rFonts w:hint="eastAsia" w:ascii="宋体" w:hAnsi="宋体" w:cs="宋体"/>
                <w:bCs/>
                <w:color w:val="auto"/>
                <w:szCs w:val="21"/>
                <w:highlight w:val="none"/>
              </w:rPr>
              <w:t>拟投入的主要物资计划</w:t>
            </w:r>
          </w:p>
        </w:tc>
        <w:tc>
          <w:tcPr>
            <w:tcW w:w="3306" w:type="pct"/>
            <w:vAlign w:val="center"/>
          </w:tcPr>
          <w:p w14:paraId="69C932BC">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投入的施工材料有详细的组织计划且计划周密，数量、选型配置、进场时间安排合理，满足施工需要。</w:t>
            </w:r>
          </w:p>
          <w:p w14:paraId="5FD2D1DE">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一档（8分）：投入的施工材料设备有详细、具体的组织计划且计划周密，数量、选型配置、进场时间安排很合理，切实满足施工需要。</w:t>
            </w:r>
          </w:p>
          <w:p w14:paraId="017F1D8B">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二档（6分）：投入的施工材料设备有较详细的组织计划，计划较周密，数量、选型配置、进场时间安排合理，满足施工需要。</w:t>
            </w:r>
          </w:p>
          <w:p w14:paraId="6182A28B">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三档（4分）：投入施工材料设备的组织与施工进度相呼应、材料计划数量基本满足施工材料要求、材料质量基本满足施工材料要求、材料进场时间基本合理。</w:t>
            </w:r>
          </w:p>
          <w:p w14:paraId="325F835C">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四档（2分）：投入施工材料设备的组织与施工进度不呼应、材料计划数量不能满足施工材料要求、材料质量不能满足施工材料要求、材料进场时间不合理。</w:t>
            </w:r>
          </w:p>
        </w:tc>
        <w:tc>
          <w:tcPr>
            <w:tcW w:w="623" w:type="pct"/>
            <w:vAlign w:val="center"/>
          </w:tcPr>
          <w:p w14:paraId="627C6546">
            <w:pPr>
              <w:snapToGrid w:val="0"/>
              <w:jc w:val="center"/>
              <w:rPr>
                <w:rFonts w:ascii="宋体" w:hAnsi="宋体" w:cs="宋体"/>
                <w:color w:val="auto"/>
                <w:szCs w:val="21"/>
                <w:highlight w:val="none"/>
              </w:rPr>
            </w:pPr>
            <w:r>
              <w:rPr>
                <w:rFonts w:hint="eastAsia" w:ascii="宋体" w:hAnsi="宋体" w:cs="宋体"/>
                <w:bCs/>
                <w:color w:val="auto"/>
                <w:szCs w:val="21"/>
                <w:highlight w:val="none"/>
              </w:rPr>
              <w:t>满分</w:t>
            </w:r>
            <w:r>
              <w:rPr>
                <w:rFonts w:hint="eastAsia" w:ascii="宋体" w:hAnsi="宋体" w:cs="宋体"/>
                <w:color w:val="auto"/>
                <w:szCs w:val="21"/>
                <w:highlight w:val="none"/>
              </w:rPr>
              <w:t>8分</w:t>
            </w:r>
          </w:p>
        </w:tc>
      </w:tr>
      <w:tr w14:paraId="175FC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14:paraId="0E72CD34">
            <w:pPr>
              <w:snapToGrid w:val="0"/>
              <w:jc w:val="center"/>
              <w:rPr>
                <w:rFonts w:ascii="宋体" w:hAnsi="宋体" w:cs="宋体"/>
                <w:bCs/>
                <w:color w:val="auto"/>
                <w:szCs w:val="21"/>
                <w:highlight w:val="none"/>
              </w:rPr>
            </w:pPr>
            <w:r>
              <w:rPr>
                <w:rFonts w:hint="eastAsia" w:ascii="宋体" w:hAnsi="宋体" w:cs="宋体"/>
                <w:bCs/>
                <w:color w:val="auto"/>
                <w:szCs w:val="21"/>
                <w:highlight w:val="none"/>
              </w:rPr>
              <w:t>2.4</w:t>
            </w:r>
          </w:p>
        </w:tc>
        <w:tc>
          <w:tcPr>
            <w:tcW w:w="646" w:type="pct"/>
            <w:vAlign w:val="center"/>
          </w:tcPr>
          <w:p w14:paraId="7146F5E8">
            <w:pPr>
              <w:snapToGrid w:val="0"/>
              <w:jc w:val="center"/>
              <w:rPr>
                <w:rFonts w:ascii="宋体" w:hAnsi="宋体" w:cs="宋体"/>
                <w:bCs/>
                <w:color w:val="auto"/>
                <w:szCs w:val="21"/>
                <w:highlight w:val="none"/>
              </w:rPr>
            </w:pPr>
            <w:r>
              <w:rPr>
                <w:rFonts w:hint="eastAsia" w:ascii="宋体" w:hAnsi="宋体" w:cs="宋体"/>
                <w:bCs/>
                <w:color w:val="auto"/>
                <w:szCs w:val="21"/>
                <w:highlight w:val="none"/>
              </w:rPr>
              <w:t>拟投入的主要施工机械、设备计划</w:t>
            </w:r>
          </w:p>
        </w:tc>
        <w:tc>
          <w:tcPr>
            <w:tcW w:w="3306" w:type="pct"/>
            <w:vAlign w:val="center"/>
          </w:tcPr>
          <w:p w14:paraId="38C8748B">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 xml:space="preserve">投入的施工机械、设备、机具有详细的组织计划且计划周密，设备数量、选型配置、进场时间安排合理，满足施工需要。 </w:t>
            </w:r>
          </w:p>
          <w:p w14:paraId="792725E5">
            <w:pPr>
              <w:pStyle w:val="29"/>
              <w:snapToGrid w:val="0"/>
              <w:ind w:firstLine="0" w:firstLineChars="0"/>
              <w:jc w:val="left"/>
              <w:rPr>
                <w:rFonts w:ascii="宋体" w:hAnsi="宋体" w:cs="宋体"/>
                <w:bCs/>
                <w:color w:val="auto"/>
                <w:szCs w:val="21"/>
                <w:highlight w:val="none"/>
              </w:rPr>
            </w:pPr>
            <w:r>
              <w:rPr>
                <w:rFonts w:hint="eastAsia" w:ascii="宋体" w:hAnsi="宋体" w:cs="宋体"/>
                <w:bCs/>
                <w:color w:val="auto"/>
                <w:szCs w:val="21"/>
                <w:highlight w:val="none"/>
              </w:rPr>
              <w:t>一档（7分）：投入的施工机械、设备、机具有详细的组织计划且计划周密，设备数量、选型配置、进场时间安排合理，满足施工需要。</w:t>
            </w:r>
          </w:p>
          <w:p w14:paraId="0F772E71">
            <w:pPr>
              <w:pStyle w:val="29"/>
              <w:snapToGrid w:val="0"/>
              <w:ind w:firstLine="0" w:firstLineChars="0"/>
              <w:jc w:val="left"/>
              <w:rPr>
                <w:rFonts w:ascii="宋体" w:hAnsi="宋体" w:cs="宋体"/>
                <w:bCs/>
                <w:color w:val="auto"/>
                <w:szCs w:val="21"/>
                <w:highlight w:val="none"/>
              </w:rPr>
            </w:pPr>
            <w:r>
              <w:rPr>
                <w:rFonts w:hint="eastAsia" w:ascii="宋体" w:hAnsi="宋体" w:cs="宋体"/>
                <w:bCs/>
                <w:color w:val="auto"/>
                <w:szCs w:val="21"/>
                <w:highlight w:val="none"/>
              </w:rPr>
              <w:t>二档（4分）：投入的施工机械、设备、机具有较为详细的组织计划，投入计划进度计划呼应，设备数量、选型配置、进场时间安排较合理，满足施工需要。</w:t>
            </w:r>
          </w:p>
          <w:p w14:paraId="7ABBDFA1">
            <w:pPr>
              <w:pStyle w:val="29"/>
              <w:snapToGrid w:val="0"/>
              <w:ind w:firstLine="0" w:firstLineChars="0"/>
              <w:jc w:val="left"/>
              <w:rPr>
                <w:rFonts w:ascii="宋体" w:hAnsi="宋体" w:cs="宋体"/>
                <w:bCs/>
                <w:color w:val="auto"/>
                <w:szCs w:val="21"/>
                <w:highlight w:val="none"/>
              </w:rPr>
            </w:pPr>
            <w:r>
              <w:rPr>
                <w:rFonts w:hint="eastAsia" w:ascii="宋体" w:hAnsi="宋体" w:cs="宋体"/>
                <w:bCs/>
                <w:color w:val="auto"/>
                <w:szCs w:val="21"/>
                <w:highlight w:val="none"/>
              </w:rPr>
              <w:t>三档（2分）：投入计划与进度计划呼应，满足施工需要。</w:t>
            </w:r>
          </w:p>
          <w:p w14:paraId="5E758FA6">
            <w:pPr>
              <w:pStyle w:val="29"/>
              <w:snapToGrid w:val="0"/>
              <w:ind w:firstLine="0" w:firstLineChars="0"/>
              <w:jc w:val="left"/>
              <w:rPr>
                <w:rFonts w:ascii="宋体" w:hAnsi="宋体" w:cs="宋体"/>
                <w:bCs/>
                <w:color w:val="auto"/>
                <w:szCs w:val="21"/>
                <w:highlight w:val="none"/>
              </w:rPr>
            </w:pPr>
            <w:r>
              <w:rPr>
                <w:rFonts w:hint="eastAsia" w:ascii="宋体" w:hAnsi="宋体" w:cs="宋体"/>
                <w:bCs/>
                <w:color w:val="auto"/>
                <w:szCs w:val="21"/>
                <w:highlight w:val="none"/>
              </w:rPr>
              <w:t>四档（1分）：投入计划与进度计划不呼应，不能满足施工需要。</w:t>
            </w:r>
          </w:p>
        </w:tc>
        <w:tc>
          <w:tcPr>
            <w:tcW w:w="623" w:type="pct"/>
            <w:vAlign w:val="center"/>
          </w:tcPr>
          <w:p w14:paraId="782FE7CC">
            <w:pPr>
              <w:snapToGrid w:val="0"/>
              <w:jc w:val="center"/>
              <w:rPr>
                <w:rFonts w:ascii="宋体" w:hAnsi="宋体" w:cs="宋体"/>
                <w:color w:val="auto"/>
                <w:szCs w:val="21"/>
                <w:highlight w:val="none"/>
              </w:rPr>
            </w:pPr>
            <w:r>
              <w:rPr>
                <w:rFonts w:hint="eastAsia" w:ascii="宋体" w:hAnsi="宋体" w:cs="宋体"/>
                <w:bCs/>
                <w:color w:val="auto"/>
                <w:szCs w:val="21"/>
                <w:highlight w:val="none"/>
              </w:rPr>
              <w:t>满分</w:t>
            </w:r>
            <w:r>
              <w:rPr>
                <w:rFonts w:hint="eastAsia" w:ascii="宋体" w:hAnsi="宋体" w:cs="宋体"/>
                <w:color w:val="auto"/>
                <w:szCs w:val="21"/>
                <w:highlight w:val="none"/>
              </w:rPr>
              <w:t>7分</w:t>
            </w:r>
          </w:p>
        </w:tc>
      </w:tr>
      <w:tr w14:paraId="2AB3B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14:paraId="55428842">
            <w:pPr>
              <w:snapToGrid w:val="0"/>
              <w:jc w:val="center"/>
              <w:rPr>
                <w:rFonts w:ascii="宋体" w:hAnsi="宋体" w:cs="宋体"/>
                <w:bCs/>
                <w:color w:val="auto"/>
                <w:szCs w:val="21"/>
                <w:highlight w:val="none"/>
              </w:rPr>
            </w:pPr>
            <w:r>
              <w:rPr>
                <w:rFonts w:hint="eastAsia" w:ascii="宋体" w:hAnsi="宋体" w:cs="宋体"/>
                <w:bCs/>
                <w:color w:val="auto"/>
                <w:szCs w:val="21"/>
                <w:highlight w:val="none"/>
              </w:rPr>
              <w:t>2.5</w:t>
            </w:r>
          </w:p>
        </w:tc>
        <w:tc>
          <w:tcPr>
            <w:tcW w:w="646" w:type="pct"/>
            <w:vAlign w:val="center"/>
          </w:tcPr>
          <w:p w14:paraId="4F28C78E">
            <w:pPr>
              <w:snapToGrid w:val="0"/>
              <w:jc w:val="center"/>
              <w:rPr>
                <w:rFonts w:ascii="宋体" w:hAnsi="宋体" w:cs="宋体"/>
                <w:bCs/>
                <w:color w:val="auto"/>
                <w:szCs w:val="21"/>
                <w:highlight w:val="none"/>
              </w:rPr>
            </w:pPr>
            <w:r>
              <w:rPr>
                <w:rFonts w:hint="eastAsia" w:ascii="宋体" w:hAnsi="宋体" w:cs="宋体"/>
                <w:bCs/>
                <w:color w:val="auto"/>
                <w:szCs w:val="21"/>
                <w:highlight w:val="none"/>
              </w:rPr>
              <w:t>劳动力安排计划</w:t>
            </w:r>
          </w:p>
        </w:tc>
        <w:tc>
          <w:tcPr>
            <w:tcW w:w="3306" w:type="pct"/>
            <w:vAlign w:val="center"/>
          </w:tcPr>
          <w:p w14:paraId="78F8F911">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 xml:space="preserve">各主要施工工序应有详细周密的劳动力安排计划，有各工种劳动力安排计划，劳动力投入合理，满足施工需要。 </w:t>
            </w:r>
          </w:p>
          <w:p w14:paraId="1C0DBBF4">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一档（4分）：各主要施工工序应有详细周密的劳动力安排计划，有各工种劳动力安排计划，劳动力投入合理，满足施工需要。</w:t>
            </w:r>
          </w:p>
          <w:p w14:paraId="6A622B98">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二档（3分）：各主要施工工序应有详细的劳动力安排计划，劳动力投入合理，满足施工需要。</w:t>
            </w:r>
          </w:p>
          <w:p w14:paraId="5533F739">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三档（2分）：投入计划与进度计划呼应，基本满足施工需要，调配投入计划基本合理、准确。</w:t>
            </w:r>
          </w:p>
          <w:p w14:paraId="005166F7">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四档（1分）：投入计划与进度计划不呼应，不能满足施工需要。</w:t>
            </w:r>
          </w:p>
        </w:tc>
        <w:tc>
          <w:tcPr>
            <w:tcW w:w="623" w:type="pct"/>
            <w:vAlign w:val="center"/>
          </w:tcPr>
          <w:p w14:paraId="5E90ACD7">
            <w:pPr>
              <w:snapToGrid w:val="0"/>
              <w:jc w:val="center"/>
              <w:rPr>
                <w:rFonts w:ascii="宋体" w:hAnsi="宋体" w:cs="宋体"/>
                <w:color w:val="auto"/>
                <w:szCs w:val="21"/>
                <w:highlight w:val="none"/>
              </w:rPr>
            </w:pPr>
            <w:r>
              <w:rPr>
                <w:rFonts w:hint="eastAsia" w:ascii="宋体" w:hAnsi="宋体" w:cs="宋体"/>
                <w:bCs/>
                <w:color w:val="auto"/>
                <w:szCs w:val="21"/>
                <w:highlight w:val="none"/>
              </w:rPr>
              <w:t>满分</w:t>
            </w:r>
            <w:r>
              <w:rPr>
                <w:rFonts w:hint="eastAsia" w:ascii="宋体" w:hAnsi="宋体" w:cs="宋体"/>
                <w:color w:val="auto"/>
                <w:szCs w:val="21"/>
                <w:highlight w:val="none"/>
              </w:rPr>
              <w:t>4分</w:t>
            </w:r>
          </w:p>
        </w:tc>
      </w:tr>
      <w:tr w14:paraId="689F4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14:paraId="0332E14B">
            <w:pPr>
              <w:snapToGrid w:val="0"/>
              <w:jc w:val="center"/>
              <w:rPr>
                <w:rFonts w:ascii="宋体" w:hAnsi="宋体" w:cs="宋体"/>
                <w:bCs/>
                <w:color w:val="auto"/>
                <w:szCs w:val="21"/>
                <w:highlight w:val="none"/>
              </w:rPr>
            </w:pPr>
            <w:r>
              <w:rPr>
                <w:rFonts w:hint="eastAsia" w:ascii="宋体" w:hAnsi="宋体" w:cs="宋体"/>
                <w:bCs/>
                <w:color w:val="auto"/>
                <w:szCs w:val="21"/>
                <w:highlight w:val="none"/>
              </w:rPr>
              <w:t>2.6</w:t>
            </w:r>
          </w:p>
        </w:tc>
        <w:tc>
          <w:tcPr>
            <w:tcW w:w="646" w:type="pct"/>
            <w:vAlign w:val="center"/>
          </w:tcPr>
          <w:p w14:paraId="7412C07E">
            <w:pPr>
              <w:snapToGrid w:val="0"/>
              <w:jc w:val="center"/>
              <w:rPr>
                <w:rFonts w:ascii="宋体" w:hAnsi="宋体" w:cs="宋体"/>
                <w:bCs/>
                <w:color w:val="auto"/>
                <w:szCs w:val="21"/>
                <w:highlight w:val="none"/>
              </w:rPr>
            </w:pPr>
            <w:r>
              <w:rPr>
                <w:rFonts w:hint="eastAsia" w:ascii="宋体" w:hAnsi="宋体" w:cs="宋体"/>
                <w:bCs/>
                <w:color w:val="auto"/>
                <w:szCs w:val="21"/>
                <w:highlight w:val="none"/>
              </w:rPr>
              <w:t>确保工程质量的技术组织措施</w:t>
            </w:r>
          </w:p>
        </w:tc>
        <w:tc>
          <w:tcPr>
            <w:tcW w:w="3306" w:type="pct"/>
            <w:vAlign w:val="center"/>
          </w:tcPr>
          <w:p w14:paraId="6A84A2C1">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 xml:space="preserve">应有专门的质量技术管理班子和制度，且人员配备合理，制度健全。主要工序应有质量技术保证措施和手段，自控体系完整，能有效保证技术质量，达到承诺的质量标准。 </w:t>
            </w:r>
          </w:p>
          <w:p w14:paraId="2D870C14">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一档（4分）：应有专门的质量技术管理班子和制度，且人员配备合理，制度健全。主要工序应有质量技术保证措施和手段，自控体系完整，能有效保证技术质量，达到承诺的质量标准。</w:t>
            </w:r>
          </w:p>
          <w:p w14:paraId="08DAFF45">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二档（3分）：应有质量技术管理班子和制度，且人员配备较合理，有较完善的制度。主要工序应有质量技术保证措施和手段，自控体系较完整，能保证技术质量，达到承诺的质量标准。</w:t>
            </w:r>
          </w:p>
          <w:p w14:paraId="70EEB7A9">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三挡（2分）：应有质量技术管理班子和制度，且人员配备可行。主要工序应有质量技术保证措施和手段，自控体系可行，基本能保证技术质量，达到承诺的质量标准。</w:t>
            </w:r>
          </w:p>
          <w:p w14:paraId="49BA67A7">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四档（1分）：编制的质量技术保证措施和手段不完善、不满足项目的实际施工要求。质量保证措施不具体。</w:t>
            </w:r>
          </w:p>
        </w:tc>
        <w:tc>
          <w:tcPr>
            <w:tcW w:w="623" w:type="pct"/>
            <w:vAlign w:val="center"/>
          </w:tcPr>
          <w:p w14:paraId="661EDC6F">
            <w:pPr>
              <w:snapToGrid w:val="0"/>
              <w:jc w:val="center"/>
              <w:rPr>
                <w:rFonts w:ascii="宋体" w:hAnsi="宋体" w:cs="宋体"/>
                <w:color w:val="auto"/>
                <w:szCs w:val="21"/>
                <w:highlight w:val="none"/>
              </w:rPr>
            </w:pPr>
            <w:r>
              <w:rPr>
                <w:rFonts w:hint="eastAsia" w:ascii="宋体" w:hAnsi="宋体" w:cs="宋体"/>
                <w:bCs/>
                <w:color w:val="auto"/>
                <w:szCs w:val="21"/>
                <w:highlight w:val="none"/>
              </w:rPr>
              <w:t>满分</w:t>
            </w:r>
            <w:r>
              <w:rPr>
                <w:rFonts w:hint="eastAsia" w:ascii="宋体" w:hAnsi="宋体" w:cs="宋体"/>
                <w:color w:val="auto"/>
                <w:szCs w:val="21"/>
                <w:highlight w:val="none"/>
              </w:rPr>
              <w:t>4分</w:t>
            </w:r>
          </w:p>
        </w:tc>
      </w:tr>
      <w:tr w14:paraId="1DCD8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14:paraId="416F1CA2">
            <w:pPr>
              <w:snapToGrid w:val="0"/>
              <w:jc w:val="center"/>
              <w:rPr>
                <w:rFonts w:ascii="宋体" w:hAnsi="宋体" w:cs="宋体"/>
                <w:bCs/>
                <w:color w:val="auto"/>
                <w:szCs w:val="21"/>
                <w:highlight w:val="none"/>
              </w:rPr>
            </w:pPr>
            <w:r>
              <w:rPr>
                <w:rFonts w:hint="eastAsia" w:ascii="宋体" w:hAnsi="宋体" w:cs="宋体"/>
                <w:bCs/>
                <w:color w:val="auto"/>
                <w:szCs w:val="21"/>
                <w:highlight w:val="none"/>
              </w:rPr>
              <w:t>2.7</w:t>
            </w:r>
          </w:p>
        </w:tc>
        <w:tc>
          <w:tcPr>
            <w:tcW w:w="646" w:type="pct"/>
            <w:vAlign w:val="center"/>
          </w:tcPr>
          <w:p w14:paraId="7D02237D">
            <w:pPr>
              <w:snapToGrid w:val="0"/>
              <w:jc w:val="center"/>
              <w:rPr>
                <w:rFonts w:ascii="宋体" w:hAnsi="宋体" w:cs="宋体"/>
                <w:bCs/>
                <w:color w:val="auto"/>
                <w:szCs w:val="21"/>
                <w:highlight w:val="none"/>
              </w:rPr>
            </w:pPr>
            <w:r>
              <w:rPr>
                <w:rFonts w:hint="eastAsia" w:ascii="宋体" w:hAnsi="宋体" w:cs="宋体"/>
                <w:bCs/>
                <w:color w:val="auto"/>
                <w:szCs w:val="21"/>
                <w:highlight w:val="none"/>
              </w:rPr>
              <w:t>确保安全生产的技术组织措施</w:t>
            </w:r>
          </w:p>
        </w:tc>
        <w:tc>
          <w:tcPr>
            <w:tcW w:w="3306" w:type="pct"/>
            <w:vAlign w:val="center"/>
          </w:tcPr>
          <w:p w14:paraId="1690B625">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 xml:space="preserve">应有专门的安全管理人员和制度，且人员配备合理，制度健全，各道工序安全技术措施针对性强，符合实际且满足有关安全技术标准要求。现场防火、应急救援、社会治安安全措施得力。 </w:t>
            </w:r>
          </w:p>
          <w:p w14:paraId="3691619A">
            <w:pPr>
              <w:snapToGrid w:val="0"/>
              <w:jc w:val="left"/>
              <w:rPr>
                <w:rFonts w:ascii="宋体" w:hAnsi="宋体" w:cs="宋体"/>
                <w:color w:val="auto"/>
                <w:szCs w:val="21"/>
                <w:highlight w:val="none"/>
              </w:rPr>
            </w:pPr>
            <w:r>
              <w:rPr>
                <w:rFonts w:hint="eastAsia" w:ascii="宋体" w:hAnsi="宋体" w:cs="宋体"/>
                <w:color w:val="auto"/>
                <w:szCs w:val="21"/>
                <w:highlight w:val="none"/>
              </w:rPr>
              <w:t>一档（4分）：针对项目应有专门的安全管理人员和制度，且人员配备合理，制度健全，各道工序安全技术措施针对性强，符合实际且满足有关安全技术标准要求。现场防火、应急救援、社会治安安全措施得力。</w:t>
            </w:r>
          </w:p>
          <w:p w14:paraId="6AA552B7">
            <w:pPr>
              <w:snapToGrid w:val="0"/>
              <w:jc w:val="left"/>
              <w:rPr>
                <w:rFonts w:ascii="宋体" w:hAnsi="宋体" w:cs="宋体"/>
                <w:color w:val="auto"/>
                <w:szCs w:val="21"/>
                <w:highlight w:val="none"/>
              </w:rPr>
            </w:pPr>
            <w:r>
              <w:rPr>
                <w:rFonts w:hint="eastAsia" w:ascii="宋体" w:hAnsi="宋体" w:cs="宋体"/>
                <w:color w:val="auto"/>
                <w:szCs w:val="21"/>
                <w:highlight w:val="none"/>
              </w:rPr>
              <w:t>二档（3分）：针对项目应有专门的安全管理人员和制度，且人员配备基本合理，制度基本健全，各道工序安全技术措施针对性强，基本满足符合实际且满足有关安全技术标准要求。现场防火、应急救援、社会治安安全措施得力。</w:t>
            </w:r>
          </w:p>
          <w:p w14:paraId="1CCB4C81">
            <w:pPr>
              <w:snapToGrid w:val="0"/>
              <w:jc w:val="left"/>
              <w:rPr>
                <w:rFonts w:ascii="宋体" w:hAnsi="宋体" w:cs="宋体"/>
                <w:color w:val="auto"/>
                <w:szCs w:val="21"/>
                <w:highlight w:val="none"/>
              </w:rPr>
            </w:pPr>
            <w:r>
              <w:rPr>
                <w:rFonts w:hint="eastAsia" w:ascii="宋体" w:hAnsi="宋体" w:cs="宋体"/>
                <w:color w:val="auto"/>
                <w:szCs w:val="21"/>
                <w:highlight w:val="none"/>
              </w:rPr>
              <w:t>三档（2分）：针对项目有专门的安全管理人员和制度，但人员配备不够合理，制度不够健全，各道工序安全技术措施针对性一般，不够符合实际且不能满足有关安全技术标准要求。现场防火、应急救援、社会治安安全措施不够完善。</w:t>
            </w:r>
          </w:p>
          <w:p w14:paraId="4FA6F93C">
            <w:pPr>
              <w:snapToGrid w:val="0"/>
              <w:jc w:val="left"/>
              <w:rPr>
                <w:rFonts w:ascii="宋体" w:hAnsi="宋体" w:cs="宋体"/>
                <w:color w:val="auto"/>
                <w:szCs w:val="21"/>
                <w:highlight w:val="none"/>
              </w:rPr>
            </w:pPr>
            <w:r>
              <w:rPr>
                <w:rFonts w:hint="eastAsia" w:ascii="宋体" w:hAnsi="宋体" w:cs="宋体"/>
                <w:color w:val="auto"/>
                <w:szCs w:val="21"/>
                <w:highlight w:val="none"/>
              </w:rPr>
              <w:t>四档（1分）：针对项目有专门的安全管理人员和制度，但人员配备不合理，制度不健全，各道工序安全技术措施针对性差，不符合实际且不能满足有关安全技术标准要求。现场防火、应急救援、社会治安安全措施不完善。</w:t>
            </w:r>
          </w:p>
        </w:tc>
        <w:tc>
          <w:tcPr>
            <w:tcW w:w="623" w:type="pct"/>
            <w:vAlign w:val="center"/>
          </w:tcPr>
          <w:p w14:paraId="61EDBCC1">
            <w:pPr>
              <w:snapToGrid w:val="0"/>
              <w:jc w:val="center"/>
              <w:rPr>
                <w:rFonts w:ascii="宋体" w:hAnsi="宋体" w:cs="宋体"/>
                <w:color w:val="auto"/>
                <w:szCs w:val="21"/>
                <w:highlight w:val="none"/>
              </w:rPr>
            </w:pPr>
            <w:r>
              <w:rPr>
                <w:rFonts w:hint="eastAsia" w:ascii="宋体" w:hAnsi="宋体" w:cs="宋体"/>
                <w:bCs/>
                <w:color w:val="auto"/>
                <w:szCs w:val="21"/>
                <w:highlight w:val="none"/>
              </w:rPr>
              <w:t>满分</w:t>
            </w:r>
            <w:r>
              <w:rPr>
                <w:rFonts w:hint="eastAsia" w:ascii="宋体" w:hAnsi="宋体" w:cs="宋体"/>
                <w:color w:val="auto"/>
                <w:szCs w:val="21"/>
                <w:highlight w:val="none"/>
              </w:rPr>
              <w:t>4分</w:t>
            </w:r>
          </w:p>
        </w:tc>
      </w:tr>
      <w:tr w14:paraId="0E6FE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14:paraId="25BE15FA">
            <w:pPr>
              <w:snapToGrid w:val="0"/>
              <w:jc w:val="center"/>
              <w:rPr>
                <w:rFonts w:ascii="宋体" w:hAnsi="宋体" w:cs="宋体"/>
                <w:bCs/>
                <w:color w:val="auto"/>
                <w:szCs w:val="21"/>
                <w:highlight w:val="none"/>
              </w:rPr>
            </w:pPr>
            <w:r>
              <w:rPr>
                <w:rFonts w:hint="eastAsia" w:ascii="宋体" w:hAnsi="宋体" w:cs="宋体"/>
                <w:bCs/>
                <w:color w:val="auto"/>
                <w:szCs w:val="21"/>
                <w:highlight w:val="none"/>
              </w:rPr>
              <w:t>2.8</w:t>
            </w:r>
          </w:p>
        </w:tc>
        <w:tc>
          <w:tcPr>
            <w:tcW w:w="646" w:type="pct"/>
            <w:vAlign w:val="center"/>
          </w:tcPr>
          <w:p w14:paraId="1C816001">
            <w:pPr>
              <w:snapToGrid w:val="0"/>
              <w:jc w:val="center"/>
              <w:rPr>
                <w:rFonts w:ascii="宋体" w:hAnsi="宋体" w:cs="宋体"/>
                <w:bCs/>
                <w:color w:val="auto"/>
                <w:szCs w:val="21"/>
                <w:highlight w:val="none"/>
              </w:rPr>
            </w:pPr>
            <w:r>
              <w:rPr>
                <w:rFonts w:hint="eastAsia" w:ascii="宋体" w:hAnsi="宋体" w:cs="宋体"/>
                <w:bCs/>
                <w:color w:val="auto"/>
                <w:szCs w:val="21"/>
                <w:highlight w:val="none"/>
              </w:rPr>
              <w:t>确保工期的技术组织措施</w:t>
            </w:r>
          </w:p>
        </w:tc>
        <w:tc>
          <w:tcPr>
            <w:tcW w:w="3306" w:type="pct"/>
            <w:vAlign w:val="center"/>
          </w:tcPr>
          <w:p w14:paraId="15481313">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w:t>
            </w:r>
          </w:p>
          <w:p w14:paraId="77AB0A81">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一档（4分）：在施工工艺、施工方法、材料选用、劳动力安排、技术等方面有保证工期的具体措施且措施得当。有控制工期的施工进度计划。应有施工总进度表或施工网络图，各项计划图表编制完善，安排科学合理，符合本项目施工实际要求。</w:t>
            </w:r>
          </w:p>
          <w:p w14:paraId="435C3658">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二档（3分）：在施工工艺、施工方法、材料选用、劳动力安排、技术等方面有基本保证工期的具体措施且措施可行。有控制工期的施工进度计划。应有施工总进度表或施工网络图，各项计划图表编制比较完善，安排科学合理，符合本项目施工实际要求。</w:t>
            </w:r>
          </w:p>
          <w:p w14:paraId="14C863FA">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三档（2分）：在施工工艺、施工方法、材料选用、劳动力安排、技术等方面有基本保证工期的措施，措施基本可行。有控制工期的施工进度计划。应有施工总进度表或施工网络图，各项计划图表编制基本完善，安排科学基本合理，基本符合本项目施工要求。</w:t>
            </w:r>
          </w:p>
          <w:p w14:paraId="42D17AE1">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四档（1分）：在施工工艺、施工方法、材料选用、劳动力安排、技术等方面没有保证工期的具体措施。没有控制工期的施工进度计划。没有有施工总进度表或施工网络图，各项计划图表编制不完善，安排科学不合理，不符合本项目施工实际要求。</w:t>
            </w:r>
          </w:p>
        </w:tc>
        <w:tc>
          <w:tcPr>
            <w:tcW w:w="623" w:type="pct"/>
            <w:vAlign w:val="center"/>
          </w:tcPr>
          <w:p w14:paraId="6C902FDC">
            <w:pPr>
              <w:snapToGrid w:val="0"/>
              <w:jc w:val="center"/>
              <w:rPr>
                <w:rFonts w:ascii="宋体" w:hAnsi="宋体" w:cs="宋体"/>
                <w:bCs/>
                <w:color w:val="auto"/>
                <w:szCs w:val="21"/>
                <w:highlight w:val="none"/>
              </w:rPr>
            </w:pPr>
            <w:r>
              <w:rPr>
                <w:rFonts w:hint="eastAsia" w:ascii="宋体" w:hAnsi="宋体" w:cs="宋体"/>
                <w:bCs/>
                <w:color w:val="auto"/>
                <w:szCs w:val="21"/>
                <w:highlight w:val="none"/>
              </w:rPr>
              <w:t>满分</w:t>
            </w:r>
            <w:r>
              <w:rPr>
                <w:rFonts w:hint="eastAsia" w:ascii="宋体" w:hAnsi="宋体" w:cs="宋体"/>
                <w:color w:val="auto"/>
                <w:szCs w:val="21"/>
                <w:highlight w:val="none"/>
              </w:rPr>
              <w:t>4分</w:t>
            </w:r>
          </w:p>
        </w:tc>
      </w:tr>
      <w:tr w14:paraId="5036B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14:paraId="1B58275E">
            <w:pPr>
              <w:snapToGrid w:val="0"/>
              <w:jc w:val="center"/>
              <w:rPr>
                <w:rFonts w:ascii="宋体" w:hAnsi="宋体" w:cs="宋体"/>
                <w:bCs/>
                <w:color w:val="auto"/>
                <w:szCs w:val="21"/>
                <w:highlight w:val="none"/>
              </w:rPr>
            </w:pPr>
            <w:r>
              <w:rPr>
                <w:rFonts w:hint="eastAsia" w:ascii="宋体" w:hAnsi="宋体" w:cs="宋体"/>
                <w:bCs/>
                <w:color w:val="auto"/>
                <w:szCs w:val="21"/>
                <w:highlight w:val="none"/>
              </w:rPr>
              <w:t>2.9</w:t>
            </w:r>
          </w:p>
        </w:tc>
        <w:tc>
          <w:tcPr>
            <w:tcW w:w="646" w:type="pct"/>
            <w:vAlign w:val="center"/>
          </w:tcPr>
          <w:p w14:paraId="63C7FD45">
            <w:pPr>
              <w:snapToGrid w:val="0"/>
              <w:jc w:val="center"/>
              <w:rPr>
                <w:rFonts w:ascii="宋体" w:hAnsi="宋体" w:cs="宋体"/>
                <w:bCs/>
                <w:color w:val="auto"/>
                <w:szCs w:val="21"/>
                <w:highlight w:val="none"/>
              </w:rPr>
            </w:pPr>
            <w:r>
              <w:rPr>
                <w:rFonts w:hint="eastAsia" w:ascii="宋体" w:hAnsi="宋体" w:cs="宋体"/>
                <w:bCs/>
                <w:color w:val="auto"/>
                <w:szCs w:val="21"/>
                <w:highlight w:val="none"/>
              </w:rPr>
              <w:t>确保文明施工的技术组织措施</w:t>
            </w:r>
          </w:p>
        </w:tc>
        <w:tc>
          <w:tcPr>
            <w:tcW w:w="3306" w:type="pct"/>
            <w:vAlign w:val="center"/>
          </w:tcPr>
          <w:p w14:paraId="45B53BE1">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针对本工程项目特点，应有现场文明施工、环境保护措施，且措施内容应达到《建筑施工安全生产检查标准》（JGJ59-2011）合格标准并符合《广西壮族自治区建筑工程文明施工导则》要求。各项措施周全、具体、有效。有具体实现现场文明施工目标的承诺。</w:t>
            </w:r>
          </w:p>
          <w:p w14:paraId="373B568F">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一档（4分）：针对本工程项目特点，应有现场文明施工、环境保护措施，且措施内容应达到《建筑施工安全生产检查标准》（JGJ59-2011）合格标准并符合《广西壮族自治区建筑工程文明施工导则》要求。各项措施周全、具体、有效。有具体实现现场文明施工目标的承诺。</w:t>
            </w:r>
          </w:p>
          <w:p w14:paraId="3C5CED13">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二档（3分）：针对本工程项目特点，应有现场文明施工、环境保护措施，且措施内容应达到《建筑施工安全生产检查标准》（JGJ59-2011）合格标准并符合《广西壮族自治区建筑工程文明施工导则》要求。各项措施比较具体。有实现现场文明施工目标的承诺。</w:t>
            </w:r>
          </w:p>
          <w:p w14:paraId="4A00DAD2">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三档（2分）：有基本合理的措施，采用规范正确。</w:t>
            </w:r>
          </w:p>
          <w:p w14:paraId="4ED29403">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四档（1分）：安全文明措施不得力，采用规范不正确。</w:t>
            </w:r>
          </w:p>
        </w:tc>
        <w:tc>
          <w:tcPr>
            <w:tcW w:w="623" w:type="pct"/>
            <w:vAlign w:val="center"/>
          </w:tcPr>
          <w:p w14:paraId="311B91EA">
            <w:pPr>
              <w:snapToGrid w:val="0"/>
              <w:jc w:val="center"/>
              <w:rPr>
                <w:rFonts w:ascii="宋体" w:hAnsi="宋体" w:cs="宋体"/>
                <w:bCs/>
                <w:color w:val="auto"/>
                <w:szCs w:val="21"/>
                <w:highlight w:val="none"/>
              </w:rPr>
            </w:pPr>
            <w:r>
              <w:rPr>
                <w:rFonts w:hint="eastAsia" w:ascii="宋体" w:hAnsi="宋体" w:cs="宋体"/>
                <w:bCs/>
                <w:color w:val="auto"/>
                <w:szCs w:val="21"/>
                <w:highlight w:val="none"/>
              </w:rPr>
              <w:t>满分</w:t>
            </w:r>
            <w:r>
              <w:rPr>
                <w:rFonts w:hint="eastAsia" w:ascii="宋体" w:hAnsi="宋体" w:cs="宋体"/>
                <w:color w:val="auto"/>
                <w:szCs w:val="21"/>
                <w:highlight w:val="none"/>
              </w:rPr>
              <w:t>4分</w:t>
            </w:r>
          </w:p>
        </w:tc>
      </w:tr>
      <w:tr w14:paraId="09489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14:paraId="13D3D21C">
            <w:pPr>
              <w:snapToGrid w:val="0"/>
              <w:jc w:val="center"/>
              <w:rPr>
                <w:rFonts w:ascii="宋体" w:hAnsi="宋体" w:cs="宋体"/>
                <w:bCs/>
                <w:color w:val="auto"/>
                <w:szCs w:val="21"/>
                <w:highlight w:val="none"/>
              </w:rPr>
            </w:pPr>
            <w:r>
              <w:rPr>
                <w:rFonts w:hint="eastAsia" w:ascii="宋体" w:hAnsi="宋体" w:cs="宋体"/>
                <w:bCs/>
                <w:color w:val="auto"/>
                <w:szCs w:val="21"/>
                <w:highlight w:val="none"/>
              </w:rPr>
              <w:t>2.10</w:t>
            </w:r>
          </w:p>
        </w:tc>
        <w:tc>
          <w:tcPr>
            <w:tcW w:w="646" w:type="pct"/>
            <w:vAlign w:val="center"/>
          </w:tcPr>
          <w:p w14:paraId="0C5DF5BD">
            <w:pPr>
              <w:snapToGrid w:val="0"/>
              <w:jc w:val="center"/>
              <w:rPr>
                <w:rFonts w:ascii="宋体" w:hAnsi="宋体" w:cs="宋体"/>
                <w:bCs/>
                <w:color w:val="auto"/>
                <w:szCs w:val="21"/>
                <w:highlight w:val="none"/>
              </w:rPr>
            </w:pPr>
            <w:r>
              <w:rPr>
                <w:rFonts w:hint="eastAsia" w:ascii="宋体" w:hAnsi="宋体" w:cs="宋体"/>
                <w:bCs/>
                <w:color w:val="auto"/>
                <w:szCs w:val="21"/>
                <w:highlight w:val="none"/>
              </w:rPr>
              <w:t>工程施工的重点和难点及保证措施</w:t>
            </w:r>
          </w:p>
        </w:tc>
        <w:tc>
          <w:tcPr>
            <w:tcW w:w="3306" w:type="pct"/>
            <w:vAlign w:val="center"/>
          </w:tcPr>
          <w:p w14:paraId="7B3667FF">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针对本工程的特点，阐述本工程的重点和难点，解决重点和难点问题的方法是否合理。</w:t>
            </w:r>
          </w:p>
          <w:p w14:paraId="3117738D">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一档（4分）：针对本工程的特点，阐述本工程的重点和难点，解决重点和难点问题的方法是否具体而合理。</w:t>
            </w:r>
          </w:p>
          <w:p w14:paraId="3FD05F25">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二档（3分）：针对本工程的特点，阐述本工程的重点和难点，解决重点和难点问题的方法可行。</w:t>
            </w:r>
          </w:p>
          <w:p w14:paraId="7C3E8A08">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三档（2分）：针对本工程的特点，阐述本工程的重点和难点，解决重点和难点问题的方法基本可行。</w:t>
            </w:r>
          </w:p>
          <w:p w14:paraId="6CA7C993">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四档（1分）：针对本工程的特点，阐述本工程的重点和难点，解决重点和难点问题的方法不可行。</w:t>
            </w:r>
          </w:p>
        </w:tc>
        <w:tc>
          <w:tcPr>
            <w:tcW w:w="623" w:type="pct"/>
            <w:vAlign w:val="center"/>
          </w:tcPr>
          <w:p w14:paraId="760DA92C">
            <w:pPr>
              <w:snapToGrid w:val="0"/>
              <w:jc w:val="center"/>
              <w:rPr>
                <w:rFonts w:ascii="宋体" w:hAnsi="宋体" w:cs="宋体"/>
                <w:bCs/>
                <w:color w:val="auto"/>
                <w:szCs w:val="21"/>
                <w:highlight w:val="none"/>
              </w:rPr>
            </w:pPr>
            <w:r>
              <w:rPr>
                <w:rFonts w:hint="eastAsia" w:ascii="宋体" w:hAnsi="宋体" w:cs="宋体"/>
                <w:bCs/>
                <w:color w:val="auto"/>
                <w:szCs w:val="21"/>
                <w:highlight w:val="none"/>
              </w:rPr>
              <w:t>满分</w:t>
            </w:r>
            <w:r>
              <w:rPr>
                <w:rFonts w:hint="eastAsia" w:ascii="宋体" w:hAnsi="宋体" w:cs="宋体"/>
                <w:color w:val="auto"/>
                <w:szCs w:val="21"/>
                <w:highlight w:val="none"/>
              </w:rPr>
              <w:t>4分</w:t>
            </w:r>
          </w:p>
        </w:tc>
      </w:tr>
      <w:tr w14:paraId="65A12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14:paraId="175641AA">
            <w:pPr>
              <w:snapToGrid w:val="0"/>
              <w:jc w:val="center"/>
              <w:rPr>
                <w:rFonts w:ascii="宋体" w:hAnsi="宋体" w:cs="宋体"/>
                <w:bCs/>
                <w:color w:val="auto"/>
                <w:szCs w:val="21"/>
                <w:highlight w:val="none"/>
              </w:rPr>
            </w:pPr>
            <w:r>
              <w:rPr>
                <w:rFonts w:hint="eastAsia" w:ascii="宋体" w:hAnsi="宋体" w:cs="宋体"/>
                <w:bCs/>
                <w:color w:val="auto"/>
                <w:szCs w:val="21"/>
                <w:highlight w:val="none"/>
              </w:rPr>
              <w:t>2.11</w:t>
            </w:r>
          </w:p>
        </w:tc>
        <w:tc>
          <w:tcPr>
            <w:tcW w:w="646" w:type="pct"/>
            <w:vAlign w:val="center"/>
          </w:tcPr>
          <w:p w14:paraId="097951D8">
            <w:pPr>
              <w:snapToGrid w:val="0"/>
              <w:jc w:val="center"/>
              <w:rPr>
                <w:rFonts w:ascii="宋体" w:hAnsi="宋体" w:cs="宋体"/>
                <w:bCs/>
                <w:color w:val="auto"/>
                <w:szCs w:val="21"/>
                <w:highlight w:val="none"/>
              </w:rPr>
            </w:pPr>
            <w:r>
              <w:rPr>
                <w:rFonts w:hint="eastAsia" w:ascii="宋体" w:hAnsi="宋体" w:cs="宋体"/>
                <w:bCs/>
                <w:color w:val="auto"/>
                <w:szCs w:val="21"/>
                <w:highlight w:val="none"/>
              </w:rPr>
              <w:t>施工总平面布置图</w:t>
            </w:r>
          </w:p>
        </w:tc>
        <w:tc>
          <w:tcPr>
            <w:tcW w:w="3306" w:type="pct"/>
            <w:vAlign w:val="center"/>
          </w:tcPr>
          <w:p w14:paraId="7F3FEB34">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应有施工总平面布置图，安排科学合理，符合本项目施工实际要求及文件要求。</w:t>
            </w:r>
          </w:p>
          <w:p w14:paraId="0E264153">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一档（4分）：应有施工总平面布置图，安排科学合理，符合本项目施工实际要求。</w:t>
            </w:r>
          </w:p>
          <w:p w14:paraId="6F2E9C2A">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二档（3分）：应有施工总平面布置图，安排科学合理，基本符合本项目施工实际要求及文件要求。</w:t>
            </w:r>
          </w:p>
          <w:p w14:paraId="6C7CF749">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三档（2分）：应有的施工总平面布置图，安排基本可行，基本满足本项目施工实际要求及文件要求。</w:t>
            </w:r>
          </w:p>
          <w:p w14:paraId="328E533F">
            <w:pPr>
              <w:pStyle w:val="29"/>
              <w:snapToGrid w:val="0"/>
              <w:ind w:firstLine="0" w:firstLineChars="0"/>
              <w:jc w:val="left"/>
              <w:rPr>
                <w:rFonts w:ascii="宋体" w:hAnsi="宋体" w:cs="宋体"/>
                <w:color w:val="auto"/>
                <w:szCs w:val="21"/>
                <w:highlight w:val="none"/>
              </w:rPr>
            </w:pPr>
            <w:r>
              <w:rPr>
                <w:rFonts w:hint="eastAsia" w:ascii="宋体" w:hAnsi="宋体" w:cs="宋体"/>
                <w:color w:val="auto"/>
                <w:szCs w:val="21"/>
                <w:highlight w:val="none"/>
              </w:rPr>
              <w:t>四档（1分）：布置不合理，不符合安全、文明生产要求。</w:t>
            </w:r>
          </w:p>
        </w:tc>
        <w:tc>
          <w:tcPr>
            <w:tcW w:w="623" w:type="pct"/>
            <w:vAlign w:val="center"/>
          </w:tcPr>
          <w:p w14:paraId="03583633">
            <w:pPr>
              <w:snapToGrid w:val="0"/>
              <w:jc w:val="center"/>
              <w:rPr>
                <w:rFonts w:ascii="宋体" w:hAnsi="宋体" w:cs="宋体"/>
                <w:bCs/>
                <w:color w:val="auto"/>
                <w:szCs w:val="21"/>
                <w:highlight w:val="none"/>
              </w:rPr>
            </w:pPr>
            <w:r>
              <w:rPr>
                <w:rFonts w:hint="eastAsia" w:ascii="宋体" w:hAnsi="宋体" w:cs="宋体"/>
                <w:bCs/>
                <w:color w:val="auto"/>
                <w:szCs w:val="21"/>
                <w:highlight w:val="none"/>
              </w:rPr>
              <w:t>满分4分</w:t>
            </w:r>
          </w:p>
        </w:tc>
      </w:tr>
      <w:tr w14:paraId="62CCB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423" w:type="pct"/>
            <w:vAlign w:val="center"/>
          </w:tcPr>
          <w:p w14:paraId="3A8D496B">
            <w:pPr>
              <w:snapToGrid w:val="0"/>
              <w:jc w:val="center"/>
              <w:rPr>
                <w:rFonts w:ascii="宋体" w:hAnsi="宋体" w:cs="宋体"/>
                <w:b/>
                <w:color w:val="auto"/>
                <w:szCs w:val="21"/>
                <w:highlight w:val="none"/>
              </w:rPr>
            </w:pPr>
            <w:r>
              <w:rPr>
                <w:rFonts w:hint="eastAsia" w:ascii="宋体" w:hAnsi="宋体" w:cs="宋体"/>
                <w:b/>
                <w:color w:val="auto"/>
                <w:szCs w:val="21"/>
                <w:highlight w:val="none"/>
              </w:rPr>
              <w:t>3</w:t>
            </w:r>
          </w:p>
        </w:tc>
        <w:tc>
          <w:tcPr>
            <w:tcW w:w="646" w:type="pct"/>
            <w:vAlign w:val="center"/>
          </w:tcPr>
          <w:p w14:paraId="1EE45B5E">
            <w:pPr>
              <w:snapToGrid w:val="0"/>
              <w:jc w:val="center"/>
              <w:rPr>
                <w:rFonts w:ascii="宋体" w:hAnsi="宋体" w:cs="宋体"/>
                <w:b/>
                <w:color w:val="auto"/>
                <w:szCs w:val="21"/>
                <w:highlight w:val="none"/>
              </w:rPr>
            </w:pPr>
            <w:r>
              <w:rPr>
                <w:rFonts w:hint="eastAsia" w:ascii="宋体" w:hAnsi="宋体" w:cs="宋体"/>
                <w:b/>
                <w:color w:val="auto"/>
                <w:szCs w:val="21"/>
                <w:highlight w:val="none"/>
              </w:rPr>
              <w:t>商务分</w:t>
            </w:r>
          </w:p>
        </w:tc>
        <w:tc>
          <w:tcPr>
            <w:tcW w:w="3306" w:type="pct"/>
            <w:vAlign w:val="center"/>
          </w:tcPr>
          <w:p w14:paraId="2277D193">
            <w:pPr>
              <w:snapToGrid w:val="0"/>
              <w:jc w:val="left"/>
              <w:rPr>
                <w:rFonts w:ascii="宋体" w:hAnsi="宋体" w:cs="宋体"/>
                <w:b/>
                <w:color w:val="auto"/>
                <w:szCs w:val="21"/>
                <w:highlight w:val="none"/>
              </w:rPr>
            </w:pPr>
            <w:r>
              <w:rPr>
                <w:rFonts w:hint="eastAsia" w:ascii="宋体" w:hAnsi="宋体" w:cs="宋体"/>
                <w:b/>
                <w:color w:val="auto"/>
                <w:szCs w:val="21"/>
                <w:highlight w:val="none"/>
              </w:rPr>
              <w:t>评审因素</w:t>
            </w:r>
          </w:p>
        </w:tc>
        <w:tc>
          <w:tcPr>
            <w:tcW w:w="623" w:type="pct"/>
            <w:vAlign w:val="center"/>
          </w:tcPr>
          <w:p w14:paraId="696170D5">
            <w:pPr>
              <w:snapToGrid w:val="0"/>
              <w:jc w:val="center"/>
              <w:rPr>
                <w:rFonts w:ascii="宋体" w:hAnsi="宋体" w:cs="宋体"/>
                <w:b/>
                <w:color w:val="auto"/>
                <w:szCs w:val="21"/>
                <w:highlight w:val="none"/>
              </w:rPr>
            </w:pPr>
            <w:r>
              <w:rPr>
                <w:rFonts w:hint="eastAsia" w:ascii="宋体" w:hAnsi="宋体" w:cs="宋体"/>
                <w:b/>
                <w:color w:val="auto"/>
                <w:szCs w:val="21"/>
                <w:highlight w:val="none"/>
              </w:rPr>
              <w:t>满分20分</w:t>
            </w:r>
          </w:p>
        </w:tc>
      </w:tr>
      <w:tr w14:paraId="78C1D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14:paraId="1616AF1D">
            <w:pPr>
              <w:snapToGrid w:val="0"/>
              <w:jc w:val="center"/>
              <w:rPr>
                <w:rFonts w:ascii="宋体" w:hAnsi="宋体" w:cs="宋体"/>
                <w:bCs/>
                <w:color w:val="auto"/>
                <w:szCs w:val="21"/>
                <w:highlight w:val="none"/>
              </w:rPr>
            </w:pPr>
            <w:r>
              <w:rPr>
                <w:rFonts w:hint="eastAsia" w:ascii="宋体" w:hAnsi="宋体" w:cs="宋体"/>
                <w:bCs/>
                <w:color w:val="auto"/>
                <w:szCs w:val="21"/>
                <w:highlight w:val="none"/>
              </w:rPr>
              <w:t>3.1</w:t>
            </w:r>
          </w:p>
        </w:tc>
        <w:tc>
          <w:tcPr>
            <w:tcW w:w="646" w:type="pct"/>
            <w:vAlign w:val="center"/>
          </w:tcPr>
          <w:p w14:paraId="14A000B2">
            <w:pPr>
              <w:widowControl/>
              <w:snapToGrid w:val="0"/>
              <w:jc w:val="center"/>
              <w:rPr>
                <w:rFonts w:ascii="宋体" w:hAnsi="宋体" w:cs="宋体"/>
                <w:b/>
                <w:bCs/>
                <w:color w:val="auto"/>
                <w:szCs w:val="21"/>
                <w:highlight w:val="none"/>
              </w:rPr>
            </w:pPr>
            <w:r>
              <w:rPr>
                <w:rFonts w:hint="eastAsia" w:ascii="宋体" w:hAnsi="宋体" w:cs="宋体"/>
                <w:color w:val="auto"/>
                <w:szCs w:val="21"/>
                <w:highlight w:val="none"/>
              </w:rPr>
              <w:t>业绩分</w:t>
            </w:r>
          </w:p>
        </w:tc>
        <w:tc>
          <w:tcPr>
            <w:tcW w:w="3306" w:type="pct"/>
            <w:vAlign w:val="center"/>
          </w:tcPr>
          <w:p w14:paraId="6897EDAA">
            <w:pPr>
              <w:snapToGrid w:val="0"/>
              <w:jc w:val="left"/>
              <w:rPr>
                <w:rFonts w:ascii="宋体" w:hAnsi="宋体" w:cs="宋体"/>
                <w:bCs/>
                <w:color w:val="auto"/>
                <w:szCs w:val="21"/>
                <w:highlight w:val="none"/>
              </w:rPr>
            </w:pPr>
            <w:bookmarkStart w:id="535" w:name="_GoBack"/>
            <w:r>
              <w:rPr>
                <w:rFonts w:hint="eastAsia" w:ascii="宋体" w:hAnsi="宋体" w:cs="宋体"/>
                <w:bCs/>
                <w:color w:val="auto"/>
                <w:szCs w:val="21"/>
                <w:highlight w:val="none"/>
              </w:rPr>
              <w:t>供应商在202</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年1月1日</w:t>
            </w:r>
            <w:r>
              <w:rPr>
                <w:rFonts w:hint="eastAsia" w:ascii="宋体" w:hAnsi="宋体" w:cs="宋体"/>
                <w:bCs/>
                <w:color w:val="auto"/>
                <w:szCs w:val="21"/>
                <w:highlight w:val="none"/>
                <w:lang w:eastAsia="zh-CN"/>
              </w:rPr>
              <w:t>至今</w:t>
            </w:r>
            <w:r>
              <w:rPr>
                <w:rFonts w:hint="eastAsia" w:ascii="宋体" w:hAnsi="宋体" w:cs="宋体"/>
                <w:bCs/>
                <w:color w:val="auto"/>
                <w:szCs w:val="21"/>
                <w:highlight w:val="none"/>
              </w:rPr>
              <w:t>承接过类项目的，每个得</w:t>
            </w:r>
            <w:r>
              <w:rPr>
                <w:rFonts w:hint="eastAsia" w:ascii="宋体" w:hAnsi="宋体" w:cs="宋体"/>
                <w:bCs/>
                <w:color w:val="auto"/>
                <w:szCs w:val="21"/>
                <w:highlight w:val="none"/>
                <w:lang w:val="en-US" w:eastAsia="zh-CN"/>
              </w:rPr>
              <w:t>10</w:t>
            </w:r>
            <w:r>
              <w:rPr>
                <w:rFonts w:hint="eastAsia" w:ascii="宋体" w:hAnsi="宋体" w:cs="宋体"/>
                <w:bCs/>
                <w:color w:val="auto"/>
                <w:szCs w:val="21"/>
                <w:highlight w:val="none"/>
              </w:rPr>
              <w:t>分，满分20分。（须提供中标通知书或施工合同或竣工验收报告复印件，否则不得分）</w:t>
            </w:r>
            <w:bookmarkEnd w:id="535"/>
          </w:p>
        </w:tc>
        <w:tc>
          <w:tcPr>
            <w:tcW w:w="623" w:type="pct"/>
            <w:vAlign w:val="center"/>
          </w:tcPr>
          <w:p w14:paraId="34B92777">
            <w:pPr>
              <w:snapToGrid w:val="0"/>
              <w:jc w:val="center"/>
              <w:rPr>
                <w:rFonts w:ascii="宋体" w:hAnsi="宋体" w:cs="宋体"/>
                <w:bCs/>
                <w:color w:val="auto"/>
                <w:szCs w:val="21"/>
                <w:highlight w:val="none"/>
              </w:rPr>
            </w:pPr>
            <w:r>
              <w:rPr>
                <w:rFonts w:hint="eastAsia" w:ascii="宋体" w:hAnsi="宋体" w:cs="宋体"/>
                <w:bCs/>
                <w:color w:val="auto"/>
                <w:szCs w:val="21"/>
                <w:highlight w:val="none"/>
              </w:rPr>
              <w:t>满分20分</w:t>
            </w:r>
          </w:p>
        </w:tc>
      </w:tr>
    </w:tbl>
    <w:p w14:paraId="4FA1F42D">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 xml:space="preserve"> </w:t>
      </w:r>
      <w:bookmarkEnd w:id="64"/>
    </w:p>
    <w:p w14:paraId="6FAC705B">
      <w:pPr>
        <w:spacing w:line="360" w:lineRule="auto"/>
        <w:ind w:firstLine="482" w:firstLineChars="200"/>
        <w:rPr>
          <w:rFonts w:ascii="宋体" w:hAnsi="宋体" w:cs="宋体"/>
          <w:b/>
          <w:bCs/>
          <w:color w:val="auto"/>
          <w:sz w:val="24"/>
          <w:highlight w:val="none"/>
        </w:rPr>
      </w:pPr>
      <w:bookmarkStart w:id="65" w:name="_Toc80205935"/>
      <w:r>
        <w:rPr>
          <w:rFonts w:hint="eastAsia" w:ascii="宋体" w:hAnsi="宋体" w:cs="宋体"/>
          <w:b/>
          <w:bCs/>
          <w:color w:val="auto"/>
          <w:sz w:val="24"/>
          <w:highlight w:val="none"/>
        </w:rPr>
        <w:t>7.2终止竞争性磋商采购活动</w:t>
      </w:r>
    </w:p>
    <w:p w14:paraId="19959CC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747C9C96">
      <w:pPr>
        <w:widowControl/>
        <w:jc w:val="left"/>
        <w:rPr>
          <w:rFonts w:ascii="宋体" w:hAnsi="宋体" w:cs="宋体"/>
          <w:color w:val="auto"/>
          <w:sz w:val="24"/>
          <w:highlight w:val="none"/>
        </w:rPr>
      </w:pPr>
      <w:r>
        <w:rPr>
          <w:rFonts w:ascii="宋体" w:hAnsi="宋体" w:cs="宋体"/>
          <w:color w:val="auto"/>
          <w:sz w:val="24"/>
          <w:highlight w:val="none"/>
        </w:rPr>
        <w:br w:type="page"/>
      </w:r>
    </w:p>
    <w:p w14:paraId="60F3950A">
      <w:pPr>
        <w:spacing w:line="360" w:lineRule="auto"/>
        <w:ind w:firstLine="480" w:firstLineChars="200"/>
        <w:rPr>
          <w:rFonts w:ascii="宋体" w:hAnsi="宋体" w:cs="宋体"/>
          <w:color w:val="auto"/>
          <w:sz w:val="24"/>
          <w:highlight w:val="none"/>
        </w:rPr>
      </w:pPr>
    </w:p>
    <w:p w14:paraId="441D8904">
      <w:pPr>
        <w:pStyle w:val="3"/>
        <w:spacing w:beforeLines="50" w:after="0" w:line="360" w:lineRule="auto"/>
        <w:jc w:val="center"/>
        <w:rPr>
          <w:rFonts w:ascii="宋体" w:hAnsi="宋体" w:cs="宋体"/>
          <w:bCs w:val="0"/>
          <w:color w:val="auto"/>
          <w:sz w:val="28"/>
          <w:szCs w:val="28"/>
          <w:highlight w:val="none"/>
        </w:rPr>
      </w:pPr>
      <w:bookmarkStart w:id="66" w:name="_Toc25766"/>
      <w:r>
        <w:rPr>
          <w:rFonts w:hint="eastAsia" w:ascii="宋体" w:hAnsi="宋体" w:cs="宋体"/>
          <w:bCs w:val="0"/>
          <w:color w:val="auto"/>
          <w:sz w:val="28"/>
          <w:szCs w:val="28"/>
          <w:highlight w:val="none"/>
        </w:rPr>
        <w:t>第二节 评标报告</w:t>
      </w:r>
      <w:bookmarkEnd w:id="65"/>
      <w:bookmarkEnd w:id="66"/>
    </w:p>
    <w:p w14:paraId="783B38B6">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1.成交标准</w:t>
      </w:r>
    </w:p>
    <w:p w14:paraId="12B6D614">
      <w:pPr>
        <w:spacing w:line="400" w:lineRule="exact"/>
        <w:ind w:firstLine="480" w:firstLineChars="200"/>
        <w:rPr>
          <w:rFonts w:ascii="宋体" w:hAnsi="宋体" w:cs="宋体"/>
          <w:color w:val="auto"/>
          <w:sz w:val="24"/>
          <w:highlight w:val="none"/>
        </w:rPr>
      </w:pPr>
      <w:r>
        <w:rPr>
          <w:rFonts w:hint="eastAsia" w:ascii="宋体" w:hAnsi="宋体" w:cs="宋体"/>
          <w:bCs/>
          <w:color w:val="auto"/>
          <w:sz w:val="24"/>
          <w:highlight w:val="none"/>
        </w:rPr>
        <w:t>由磋商小组根据综合评分情况，按照评审得分由高到低顺序推荐3名以上成交候选供应商</w:t>
      </w:r>
      <w:r>
        <w:rPr>
          <w:rFonts w:hint="eastAsia" w:ascii="宋体" w:hAnsi="宋体" w:cs="宋体"/>
          <w:color w:val="auto"/>
          <w:sz w:val="24"/>
          <w:highlight w:val="none"/>
        </w:rPr>
        <w:t>,并在线编写电子评审报告</w:t>
      </w:r>
      <w:r>
        <w:rPr>
          <w:rFonts w:hint="eastAsia" w:ascii="宋体" w:hAnsi="宋体" w:cs="宋体"/>
          <w:bCs/>
          <w:color w:val="auto"/>
          <w:sz w:val="24"/>
          <w:highlight w:val="none"/>
        </w:rPr>
        <w:t>。符合本章第一节第5.4条情形的，可以推荐2家成交候选供应商。评审得分相同的，按照最后报价（不计算价格折扣）由低到高的顺序推荐。评审得分且最后报价（不计算价格折扣）相同的，按照技术得分由高到低排序推荐，技术得分相同的按照商务得分由高到低排序推荐。评审得分、最后报价（不计算价格折扣）、技术得分、商务得分均相同的，由磋商小组随机抽取推荐。</w:t>
      </w:r>
    </w:p>
    <w:p w14:paraId="6F98079E">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2.评标争议事项处理</w:t>
      </w:r>
    </w:p>
    <w:p w14:paraId="0201DCAD">
      <w:pPr>
        <w:pStyle w:val="78"/>
        <w:spacing w:before="0" w:line="400" w:lineRule="exact"/>
        <w:ind w:firstLine="480"/>
        <w:rPr>
          <w:rFonts w:ascii="宋体" w:hAnsi="宋体" w:cs="宋体"/>
          <w:color w:val="auto"/>
          <w:kern w:val="2"/>
          <w:szCs w:val="24"/>
          <w:highlight w:val="none"/>
        </w:rPr>
      </w:pPr>
      <w:r>
        <w:rPr>
          <w:rFonts w:hint="eastAsia" w:ascii="宋体" w:hAnsi="宋体" w:cs="宋体"/>
          <w:color w:val="auto"/>
          <w:kern w:val="2"/>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00ADC922">
      <w:pPr>
        <w:pStyle w:val="78"/>
        <w:spacing w:before="0" w:line="400" w:lineRule="exact"/>
        <w:ind w:firstLine="480"/>
        <w:rPr>
          <w:rFonts w:ascii="宋体" w:hAnsi="宋体" w:cs="宋体"/>
          <w:color w:val="auto"/>
          <w:kern w:val="2"/>
          <w:szCs w:val="24"/>
          <w:highlight w:val="none"/>
        </w:rPr>
      </w:pPr>
    </w:p>
    <w:p w14:paraId="2839991F">
      <w:pPr>
        <w:pStyle w:val="3"/>
        <w:spacing w:before="0" w:after="0" w:line="360" w:lineRule="auto"/>
        <w:jc w:val="center"/>
        <w:rPr>
          <w:rFonts w:ascii="宋体" w:hAnsi="宋体" w:cs="宋体"/>
          <w:b w:val="0"/>
          <w:color w:val="auto"/>
          <w:highlight w:val="none"/>
        </w:rPr>
      </w:pPr>
      <w:bookmarkStart w:id="67" w:name="_Toc6554"/>
      <w:bookmarkStart w:id="68" w:name="_Toc80205936"/>
      <w:r>
        <w:rPr>
          <w:rFonts w:hint="eastAsia" w:ascii="宋体" w:hAnsi="宋体" w:cs="宋体"/>
          <w:bCs w:val="0"/>
          <w:color w:val="auto"/>
          <w:sz w:val="28"/>
          <w:szCs w:val="28"/>
          <w:highlight w:val="none"/>
        </w:rPr>
        <w:t>第三节 评审过程的保密与录像</w:t>
      </w:r>
      <w:bookmarkEnd w:id="67"/>
      <w:bookmarkEnd w:id="68"/>
    </w:p>
    <w:p w14:paraId="2A5107EF">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1.保密</w:t>
      </w:r>
    </w:p>
    <w:p w14:paraId="435F2EF7">
      <w:pPr>
        <w:widowControl/>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评审活动在严格保密的情况下进行。评审过程中凡是与采购响应文件评审和比较、成交供应商推荐等评审有关的情况，以及涉及国家秘密和商业秘密等信息，评审委员会成员、采购人和采购机构工作人员、相关监督人员等与评审有关的人员应当予以保密。</w:t>
      </w:r>
    </w:p>
    <w:p w14:paraId="1DD51C9A">
      <w:pPr>
        <w:widowControl/>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2.录音录像</w:t>
      </w:r>
    </w:p>
    <w:p w14:paraId="03CF03A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采购代理机构对评审工作现场及操作屏幕进行全过程录音录像，录音录像资料作为采购项目文件随其他文件一并存档。</w:t>
      </w:r>
    </w:p>
    <w:p w14:paraId="7F1B27D2">
      <w:pPr>
        <w:widowControl/>
        <w:jc w:val="left"/>
        <w:rPr>
          <w:rFonts w:ascii="宋体" w:hAnsi="宋体" w:cs="宋体"/>
          <w:color w:val="auto"/>
          <w:highlight w:val="none"/>
        </w:rPr>
      </w:pPr>
      <w:r>
        <w:rPr>
          <w:rFonts w:ascii="宋体" w:hAnsi="宋体" w:cs="宋体"/>
          <w:color w:val="auto"/>
          <w:highlight w:val="none"/>
        </w:rPr>
        <w:br w:type="page"/>
      </w:r>
    </w:p>
    <w:p w14:paraId="2288EF34">
      <w:pPr>
        <w:spacing w:line="400" w:lineRule="exact"/>
        <w:ind w:firstLine="420" w:firstLineChars="200"/>
        <w:rPr>
          <w:rFonts w:ascii="宋体" w:hAnsi="宋体" w:cs="宋体"/>
          <w:color w:val="auto"/>
          <w:highlight w:val="none"/>
        </w:rPr>
      </w:pPr>
    </w:p>
    <w:p w14:paraId="149CBCD6">
      <w:pPr>
        <w:pStyle w:val="2"/>
        <w:spacing w:before="0" w:after="0" w:line="360" w:lineRule="auto"/>
        <w:jc w:val="center"/>
        <w:rPr>
          <w:rFonts w:hint="eastAsia" w:ascii="宋体" w:hAnsi="宋体" w:eastAsia="宋体" w:cs="宋体"/>
          <w:bCs w:val="0"/>
          <w:color w:val="auto"/>
          <w:kern w:val="2"/>
          <w:sz w:val="32"/>
          <w:szCs w:val="32"/>
          <w:highlight w:val="none"/>
          <w:lang w:val="en-US" w:eastAsia="zh-CN"/>
        </w:rPr>
      </w:pPr>
      <w:bookmarkStart w:id="69" w:name="_Toc19118"/>
      <w:r>
        <w:rPr>
          <w:rFonts w:hint="eastAsia" w:ascii="宋体" w:hAnsi="宋体" w:cs="宋体"/>
          <w:bCs w:val="0"/>
          <w:color w:val="auto"/>
          <w:kern w:val="2"/>
          <w:sz w:val="32"/>
          <w:szCs w:val="32"/>
          <w:highlight w:val="none"/>
        </w:rPr>
        <w:t>第五章  工程量清单</w:t>
      </w:r>
      <w:bookmarkEnd w:id="69"/>
      <w:r>
        <w:rPr>
          <w:rFonts w:hint="eastAsia" w:ascii="宋体" w:hAnsi="宋体" w:cs="宋体"/>
          <w:bCs w:val="0"/>
          <w:color w:val="auto"/>
          <w:kern w:val="2"/>
          <w:sz w:val="32"/>
          <w:szCs w:val="32"/>
          <w:highlight w:val="none"/>
          <w:lang w:val="en-US" w:eastAsia="zh-CN"/>
        </w:rPr>
        <w:t xml:space="preserve"> </w:t>
      </w:r>
    </w:p>
    <w:p w14:paraId="0FDEBB6D">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一、工程量清单说明</w:t>
      </w:r>
    </w:p>
    <w:p w14:paraId="340A63B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1.工程量清单编制说明</w:t>
      </w:r>
    </w:p>
    <w:p w14:paraId="76F9C3A5">
      <w:pPr>
        <w:widowControl/>
        <w:spacing w:line="360" w:lineRule="auto"/>
        <w:ind w:firstLine="480" w:firstLineChars="200"/>
        <w:jc w:val="left"/>
        <w:rPr>
          <w:rFonts w:ascii="宋体" w:hAnsi="宋体" w:cs="宋体"/>
          <w:color w:val="auto"/>
          <w:highlight w:val="none"/>
        </w:rPr>
      </w:pPr>
      <w:r>
        <w:rPr>
          <w:rFonts w:hint="eastAsia" w:ascii="宋体" w:hAnsi="宋体" w:cs="宋体"/>
          <w:color w:val="auto"/>
          <w:sz w:val="24"/>
          <w:highlight w:val="none"/>
        </w:rPr>
        <w:t>1.1本工程量清单依据</w:t>
      </w:r>
    </w:p>
    <w:p w14:paraId="4E6FC846">
      <w:pPr>
        <w:numPr>
          <w:ilvl w:val="0"/>
          <w:numId w:val="1"/>
        </w:numPr>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建设工程工程量清单计价规范》（GB50500-2013）、《〈建设工程工程量清单计价规范〉（GB50500-2013）广西壮族自治区实施细则》、《〈建设工程工程量计算规范〉（GB50854～50862-2013）广西壮族自治区实施细则(修订本)》；</w:t>
      </w:r>
    </w:p>
    <w:p w14:paraId="5895B508">
      <w:pPr>
        <w:numPr>
          <w:ilvl w:val="0"/>
          <w:numId w:val="1"/>
        </w:numPr>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2024年《广西建筑装饰装修工程消耗量定额》；</w:t>
      </w:r>
    </w:p>
    <w:p w14:paraId="37D6B46A">
      <w:pPr>
        <w:numPr>
          <w:ilvl w:val="0"/>
          <w:numId w:val="1"/>
        </w:numPr>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2023年《广西安装工程消耗量定额》；</w:t>
      </w:r>
    </w:p>
    <w:p w14:paraId="0C433425">
      <w:pPr>
        <w:numPr>
          <w:ilvl w:val="0"/>
          <w:numId w:val="1"/>
        </w:numPr>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2022年《广西市政工程消耗量定额》；</w:t>
      </w:r>
    </w:p>
    <w:p w14:paraId="5ADF32EF">
      <w:pPr>
        <w:numPr>
          <w:ilvl w:val="0"/>
          <w:numId w:val="1"/>
        </w:numPr>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2021年《广西园林绿化及仿古建筑工程消耗量定额》；</w:t>
      </w:r>
    </w:p>
    <w:p w14:paraId="2FCEBE7B">
      <w:pPr>
        <w:numPr>
          <w:ilvl w:val="0"/>
          <w:numId w:val="1"/>
        </w:numPr>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2016年《广西壮族自治区建设工程费用定额》；</w:t>
      </w:r>
    </w:p>
    <w:p w14:paraId="3502A852">
      <w:pPr>
        <w:numPr>
          <w:ilvl w:val="0"/>
          <w:numId w:val="1"/>
        </w:numPr>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《关于调整建设工程计价增值税税率的通知》（桂建标[2019]12号文）；</w:t>
      </w:r>
    </w:p>
    <w:p w14:paraId="73C59535">
      <w:pPr>
        <w:numPr>
          <w:ilvl w:val="0"/>
          <w:numId w:val="1"/>
        </w:numPr>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《自治区住房城乡建设厅关于调整建设工程定额人工费及有关费率的通知》（桂建标[2023]7号）；</w:t>
      </w:r>
    </w:p>
    <w:p w14:paraId="2953B7DA">
      <w:pPr>
        <w:numPr>
          <w:ilvl w:val="0"/>
          <w:numId w:val="1"/>
        </w:numPr>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 xml:space="preserve">建设工程项目有关的标准、规范、技术资料； </w:t>
      </w:r>
    </w:p>
    <w:p w14:paraId="4034CBBC">
      <w:pPr>
        <w:numPr>
          <w:ilvl w:val="0"/>
          <w:numId w:val="1"/>
        </w:numPr>
        <w:spacing w:line="360" w:lineRule="auto"/>
        <w:ind w:firstLine="480" w:firstLineChars="200"/>
        <w:rPr>
          <w:rFonts w:hint="eastAsia" w:ascii="宋体" w:hAnsi="宋体" w:cs="宋体"/>
          <w:b/>
          <w:bCs/>
          <w:color w:val="auto"/>
          <w:sz w:val="24"/>
          <w:highlight w:val="none"/>
        </w:rPr>
      </w:pPr>
      <w:r>
        <w:rPr>
          <w:rFonts w:hint="eastAsia" w:ascii="宋体" w:hAnsi="宋体" w:cs="宋体"/>
          <w:color w:val="auto"/>
          <w:sz w:val="24"/>
          <w:highlight w:val="none"/>
          <w:lang w:eastAsia="zh-CN"/>
        </w:rPr>
        <w:t>其他相关资料；</w:t>
      </w:r>
    </w:p>
    <w:p w14:paraId="5DBF8729">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备注：《计价规范》中工程量清单格式名词中，“招标”与本采购文件“采购”同义，“投标”与本采购文件“竞标”或“磋商”同义，“发包人”“招标人”与本采购文件“采购人”同义，“承包人”“投标人”与本采购文件“供应商”同义。</w:t>
      </w:r>
    </w:p>
    <w:p w14:paraId="30C9478F">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1.2工程量清单应与磋商须知、合同协议条款、合同的通用条款、合同专用条款、技术规范及图纸等文件一起结合使用。</w:t>
      </w:r>
    </w:p>
    <w:p w14:paraId="4819C73F">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1.3工程量清单是采购文件的组成部分，是工程量清单计价的基础，作为编制采购预算、竞标报价、计算或调整工程量、索赔等的依据之一。</w:t>
      </w:r>
    </w:p>
    <w:p w14:paraId="4FE4CF88">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1.4工程量清单另册发放。</w:t>
      </w:r>
    </w:p>
    <w:p w14:paraId="247144CD">
      <w:pPr>
        <w:pStyle w:val="21"/>
        <w:rPr>
          <w:highlight w:val="none"/>
        </w:rPr>
      </w:pPr>
    </w:p>
    <w:p w14:paraId="270EA10C">
      <w:pPr>
        <w:pStyle w:val="13"/>
        <w:spacing w:line="5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二、工程量清单[登陆广西政府采购云平台（https://www.gcy.zfcg.gxzf.gov.cn/）获取（下载）]是本竞争性磋商文件的组成部分。</w:t>
      </w:r>
    </w:p>
    <w:p w14:paraId="0FCDFFDC">
      <w:pPr>
        <w:spacing w:line="500" w:lineRule="exact"/>
        <w:ind w:firstLine="480" w:firstLineChars="200"/>
        <w:rPr>
          <w:rFonts w:ascii="宋体" w:hAnsi="宋体" w:cs="宋体"/>
          <w:color w:val="auto"/>
          <w:sz w:val="24"/>
          <w:highlight w:val="none"/>
        </w:rPr>
      </w:pPr>
    </w:p>
    <w:p w14:paraId="0802F625">
      <w:pPr>
        <w:widowControl/>
        <w:jc w:val="left"/>
        <w:rPr>
          <w:rFonts w:ascii="宋体" w:hAnsi="宋体" w:cs="宋体"/>
          <w:color w:val="auto"/>
          <w:sz w:val="24"/>
          <w:highlight w:val="none"/>
        </w:rPr>
      </w:pPr>
    </w:p>
    <w:p w14:paraId="4BCCB816">
      <w:pPr>
        <w:rPr>
          <w:rFonts w:hint="eastAsia" w:ascii="宋体" w:hAnsi="宋体" w:cs="宋体"/>
          <w:bCs w:val="0"/>
          <w:color w:val="auto"/>
          <w:kern w:val="2"/>
          <w:sz w:val="32"/>
          <w:szCs w:val="32"/>
          <w:highlight w:val="none"/>
        </w:rPr>
      </w:pPr>
      <w:bookmarkStart w:id="70" w:name="_Toc30036"/>
      <w:r>
        <w:rPr>
          <w:rFonts w:hint="eastAsia" w:ascii="宋体" w:hAnsi="宋体" w:cs="宋体"/>
          <w:bCs w:val="0"/>
          <w:color w:val="auto"/>
          <w:kern w:val="2"/>
          <w:sz w:val="32"/>
          <w:szCs w:val="32"/>
          <w:highlight w:val="none"/>
        </w:rPr>
        <w:br w:type="page"/>
      </w:r>
    </w:p>
    <w:p w14:paraId="0AC5534B">
      <w:pPr>
        <w:pStyle w:val="2"/>
        <w:spacing w:before="0" w:after="0" w:line="360" w:lineRule="auto"/>
        <w:jc w:val="center"/>
        <w:rPr>
          <w:rFonts w:ascii="宋体" w:hAnsi="宋体" w:cs="宋体"/>
          <w:bCs w:val="0"/>
          <w:color w:val="auto"/>
          <w:kern w:val="2"/>
          <w:sz w:val="32"/>
          <w:szCs w:val="32"/>
          <w:highlight w:val="none"/>
        </w:rPr>
      </w:pPr>
      <w:r>
        <w:rPr>
          <w:rFonts w:hint="eastAsia" w:ascii="宋体" w:hAnsi="宋体" w:cs="宋体"/>
          <w:bCs w:val="0"/>
          <w:color w:val="auto"/>
          <w:kern w:val="2"/>
          <w:sz w:val="32"/>
          <w:szCs w:val="32"/>
          <w:highlight w:val="none"/>
        </w:rPr>
        <w:t>第六章 图纸（另册）</w:t>
      </w:r>
      <w:bookmarkEnd w:id="70"/>
    </w:p>
    <w:p w14:paraId="169A6C56">
      <w:pPr>
        <w:spacing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t>施工图纸（如有的话）[登陆广西政府采购云平台（https://www.gcy.zfcg.gxzf.gov.cn/）获取（下载）]，是本竞争性磋商文件的组成部分。</w:t>
      </w:r>
    </w:p>
    <w:p w14:paraId="4AA584B2">
      <w:pPr>
        <w:widowControl/>
        <w:jc w:val="left"/>
        <w:rPr>
          <w:rFonts w:ascii="宋体" w:hAnsi="宋体" w:cs="宋体"/>
          <w:color w:val="auto"/>
          <w:sz w:val="28"/>
          <w:szCs w:val="28"/>
          <w:highlight w:val="none"/>
        </w:rPr>
      </w:pPr>
      <w:r>
        <w:rPr>
          <w:rFonts w:ascii="宋体" w:hAnsi="宋体" w:cs="宋体"/>
          <w:color w:val="auto"/>
          <w:sz w:val="28"/>
          <w:szCs w:val="28"/>
          <w:highlight w:val="none"/>
        </w:rPr>
        <w:br w:type="page"/>
      </w:r>
    </w:p>
    <w:p w14:paraId="53C0C959">
      <w:pPr>
        <w:pStyle w:val="18"/>
        <w:rPr>
          <w:rFonts w:hAnsi="宋体" w:cs="宋体"/>
          <w:color w:val="auto"/>
          <w:kern w:val="2"/>
          <w:sz w:val="22"/>
          <w:szCs w:val="24"/>
          <w:highlight w:val="none"/>
        </w:rPr>
      </w:pPr>
      <w:r>
        <w:rPr>
          <w:rFonts w:hint="eastAsia" w:hAnsi="宋体" w:cs="宋体"/>
          <w:color w:val="auto"/>
          <w:kern w:val="2"/>
          <w:sz w:val="22"/>
          <w:szCs w:val="24"/>
          <w:highlight w:val="none"/>
        </w:rPr>
        <w:t>附件1：</w:t>
      </w:r>
    </w:p>
    <w:p w14:paraId="4394298E">
      <w:pPr>
        <w:pStyle w:val="18"/>
        <w:ind w:firstLine="400" w:firstLineChars="200"/>
        <w:rPr>
          <w:rFonts w:hAnsi="宋体" w:cs="宋体"/>
          <w:color w:val="auto"/>
          <w:kern w:val="2"/>
          <w:highlight w:val="none"/>
        </w:rPr>
      </w:pPr>
    </w:p>
    <w:p w14:paraId="47A585CA">
      <w:pPr>
        <w:widowControl/>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广西壮族自治区政府采购项目合同验收书（格式）</w:t>
      </w:r>
    </w:p>
    <w:p w14:paraId="6945CA6F">
      <w:pPr>
        <w:widowControl/>
        <w:spacing w:before="100" w:beforeAutospacing="1" w:after="100" w:afterAutospacing="1" w:line="320" w:lineRule="exact"/>
        <w:ind w:left="-359" w:leftChars="-171" w:firstLine="420" w:firstLineChars="200"/>
        <w:jc w:val="left"/>
        <w:rPr>
          <w:rFonts w:ascii="宋体" w:hAnsi="宋体" w:cs="宋体"/>
          <w:color w:val="auto"/>
          <w:szCs w:val="21"/>
          <w:highlight w:val="none"/>
        </w:rPr>
      </w:pPr>
      <w:r>
        <w:rPr>
          <w:rFonts w:hint="eastAsia" w:ascii="宋体" w:hAnsi="宋体" w:cs="宋体"/>
          <w:color w:val="auto"/>
          <w:szCs w:val="21"/>
          <w:highlight w:val="none"/>
        </w:rPr>
        <w:t>根据政府采购项目（</w:t>
      </w:r>
      <w:r>
        <w:rPr>
          <w:rFonts w:hint="eastAsia" w:ascii="宋体" w:hAnsi="宋体" w:cs="宋体"/>
          <w:color w:val="auto"/>
          <w:szCs w:val="21"/>
          <w:highlight w:val="none"/>
          <w:u w:val="single"/>
        </w:rPr>
        <w:t>采购合同编号：</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）的约定，我单位对（</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）政府采购项目中标（或成交）供应商（</w:t>
      </w:r>
      <w:r>
        <w:rPr>
          <w:rFonts w:hint="eastAsia" w:ascii="宋体" w:hAnsi="宋体" w:cs="宋体"/>
          <w:color w:val="auto"/>
          <w:szCs w:val="21"/>
          <w:highlight w:val="none"/>
          <w:u w:val="single"/>
        </w:rPr>
        <w:t xml:space="preserve">            公司名称              </w:t>
      </w:r>
      <w:r>
        <w:rPr>
          <w:rFonts w:hint="eastAsia" w:ascii="宋体" w:hAnsi="宋体" w:cs="宋体"/>
          <w:color w:val="auto"/>
          <w:szCs w:val="21"/>
          <w:highlight w:val="none"/>
        </w:rPr>
        <w:t>）提供的货物（或工程、服务）进行了验收，验收情况如下：</w:t>
      </w:r>
    </w:p>
    <w:tbl>
      <w:tblPr>
        <w:tblStyle w:val="30"/>
        <w:tblW w:w="5062"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1537"/>
        <w:gridCol w:w="2174"/>
        <w:gridCol w:w="895"/>
        <w:gridCol w:w="2363"/>
        <w:gridCol w:w="192"/>
        <w:gridCol w:w="752"/>
        <w:gridCol w:w="1297"/>
      </w:tblGrid>
      <w:tr w14:paraId="04E4CA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97" w:hRule="atLeast"/>
          <w:jc w:val="center"/>
        </w:trPr>
        <w:tc>
          <w:tcPr>
            <w:tcW w:w="2015" w:type="pct"/>
            <w:gridSpan w:val="2"/>
            <w:tcBorders>
              <w:top w:val="single" w:color="auto" w:sz="8" w:space="0"/>
              <w:left w:val="single" w:color="auto" w:sz="8" w:space="0"/>
              <w:bottom w:val="single" w:color="auto" w:sz="8" w:space="0"/>
              <w:right w:val="single" w:color="auto" w:sz="8" w:space="0"/>
            </w:tcBorders>
            <w:vAlign w:val="center"/>
          </w:tcPr>
          <w:p w14:paraId="3E7DD3FB">
            <w:pPr>
              <w:widowControl/>
              <w:spacing w:before="100" w:beforeAutospacing="1" w:after="100" w:afterAutospacing="1" w:line="320" w:lineRule="exact"/>
              <w:ind w:left="-3" w:firstLine="4" w:firstLineChars="2"/>
              <w:jc w:val="center"/>
              <w:rPr>
                <w:rFonts w:ascii="宋体" w:hAnsi="宋体" w:cs="宋体"/>
                <w:color w:val="auto"/>
                <w:szCs w:val="21"/>
                <w:highlight w:val="none"/>
              </w:rPr>
            </w:pPr>
            <w:r>
              <w:rPr>
                <w:rFonts w:hint="eastAsia" w:ascii="宋体" w:hAnsi="宋体" w:cs="宋体"/>
                <w:color w:val="auto"/>
                <w:szCs w:val="21"/>
                <w:highlight w:val="none"/>
              </w:rPr>
              <w:t>验收方式：</w:t>
            </w:r>
          </w:p>
        </w:tc>
        <w:tc>
          <w:tcPr>
            <w:tcW w:w="2984" w:type="pct"/>
            <w:gridSpan w:val="5"/>
            <w:tcBorders>
              <w:top w:val="single" w:color="auto" w:sz="8" w:space="0"/>
              <w:left w:val="single" w:color="auto" w:sz="8" w:space="0"/>
              <w:bottom w:val="single" w:color="auto" w:sz="8" w:space="0"/>
              <w:right w:val="single" w:color="auto" w:sz="8" w:space="0"/>
            </w:tcBorders>
            <w:vAlign w:val="center"/>
          </w:tcPr>
          <w:p w14:paraId="48D1AD1D">
            <w:pPr>
              <w:widowControl/>
              <w:spacing w:before="100" w:beforeAutospacing="1" w:after="100" w:afterAutospacing="1" w:line="320" w:lineRule="exact"/>
              <w:ind w:left="-3" w:firstLine="420" w:firstLineChars="200"/>
              <w:jc w:val="center"/>
              <w:rPr>
                <w:rFonts w:ascii="宋体" w:hAnsi="宋体" w:cs="宋体"/>
                <w:color w:val="auto"/>
                <w:szCs w:val="21"/>
                <w:highlight w:val="none"/>
              </w:rPr>
            </w:pPr>
            <w:r>
              <w:rPr>
                <w:rFonts w:hint="eastAsia" w:ascii="宋体" w:hAnsi="宋体" w:cs="宋体"/>
                <w:color w:val="auto"/>
                <w:szCs w:val="21"/>
                <w:highlight w:val="none"/>
              </w:rPr>
              <w:t>□自行验收</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□委托验收</w:t>
            </w:r>
          </w:p>
        </w:tc>
      </w:tr>
      <w:tr w14:paraId="46B97D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2" w:hRule="atLeast"/>
          <w:jc w:val="center"/>
        </w:trPr>
        <w:tc>
          <w:tcPr>
            <w:tcW w:w="835" w:type="pct"/>
            <w:tcBorders>
              <w:top w:val="single" w:color="auto" w:sz="8" w:space="0"/>
              <w:left w:val="single" w:color="auto" w:sz="8" w:space="0"/>
              <w:bottom w:val="single" w:color="auto" w:sz="8" w:space="0"/>
              <w:right w:val="single" w:color="auto" w:sz="8" w:space="0"/>
            </w:tcBorders>
            <w:vAlign w:val="center"/>
          </w:tcPr>
          <w:p w14:paraId="3EED9ED3">
            <w:pPr>
              <w:widowControl/>
              <w:spacing w:before="100" w:beforeAutospacing="1" w:after="100" w:afterAutospacing="1" w:line="320" w:lineRule="exact"/>
              <w:ind w:firstLine="2" w:firstLineChars="1"/>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179" w:type="pct"/>
            <w:tcBorders>
              <w:top w:val="single" w:color="auto" w:sz="8" w:space="0"/>
              <w:left w:val="single" w:color="auto" w:sz="8" w:space="0"/>
              <w:bottom w:val="single" w:color="auto" w:sz="8" w:space="0"/>
              <w:right w:val="single" w:color="auto" w:sz="8" w:space="0"/>
            </w:tcBorders>
            <w:vAlign w:val="center"/>
          </w:tcPr>
          <w:p w14:paraId="0766DD3F">
            <w:pPr>
              <w:widowControl/>
              <w:spacing w:before="100" w:beforeAutospacing="1" w:after="100" w:afterAutospacing="1" w:line="320" w:lineRule="exact"/>
              <w:ind w:left="-3" w:firstLine="2" w:firstLineChars="1"/>
              <w:jc w:val="center"/>
              <w:rPr>
                <w:rFonts w:ascii="宋体" w:hAnsi="宋体" w:cs="宋体"/>
                <w:color w:val="auto"/>
                <w:szCs w:val="21"/>
                <w:highlight w:val="none"/>
              </w:rPr>
            </w:pPr>
            <w:r>
              <w:rPr>
                <w:rFonts w:hint="eastAsia" w:ascii="宋体" w:hAnsi="宋体" w:cs="宋体"/>
                <w:color w:val="auto"/>
                <w:szCs w:val="21"/>
                <w:highlight w:val="none"/>
              </w:rPr>
              <w:t>名</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称</w:t>
            </w:r>
          </w:p>
        </w:tc>
        <w:tc>
          <w:tcPr>
            <w:tcW w:w="1768" w:type="pct"/>
            <w:gridSpan w:val="2"/>
            <w:tcBorders>
              <w:top w:val="single" w:color="auto" w:sz="8" w:space="0"/>
              <w:left w:val="single" w:color="auto" w:sz="8" w:space="0"/>
              <w:bottom w:val="single" w:color="auto" w:sz="8" w:space="0"/>
              <w:right w:val="single" w:color="auto" w:sz="8" w:space="0"/>
            </w:tcBorders>
            <w:vAlign w:val="center"/>
          </w:tcPr>
          <w:p w14:paraId="47457F43">
            <w:pPr>
              <w:widowControl/>
              <w:spacing w:before="100" w:beforeAutospacing="1" w:after="100" w:afterAutospacing="1" w:line="320" w:lineRule="exact"/>
              <w:ind w:left="-3" w:firstLine="2" w:firstLineChars="1"/>
              <w:jc w:val="center"/>
              <w:rPr>
                <w:rFonts w:ascii="宋体" w:hAnsi="宋体" w:cs="宋体"/>
                <w:color w:val="auto"/>
                <w:szCs w:val="21"/>
                <w:highlight w:val="none"/>
              </w:rPr>
            </w:pPr>
            <w:r>
              <w:rPr>
                <w:rFonts w:hint="eastAsia" w:ascii="宋体" w:hAnsi="宋体" w:cs="宋体"/>
                <w:color w:val="auto"/>
                <w:szCs w:val="21"/>
                <w:highlight w:val="none"/>
              </w:rPr>
              <w:t>货物型号规格、标准及配置等（或服务内容、标准）</w:t>
            </w:r>
          </w:p>
        </w:tc>
        <w:tc>
          <w:tcPr>
            <w:tcW w:w="512" w:type="pct"/>
            <w:gridSpan w:val="2"/>
            <w:tcBorders>
              <w:top w:val="single" w:color="auto" w:sz="8" w:space="0"/>
              <w:left w:val="single" w:color="auto" w:sz="8" w:space="0"/>
              <w:bottom w:val="single" w:color="auto" w:sz="8" w:space="0"/>
              <w:right w:val="single" w:color="auto" w:sz="8" w:space="0"/>
            </w:tcBorders>
            <w:vAlign w:val="center"/>
          </w:tcPr>
          <w:p w14:paraId="7AAE8ED7">
            <w:pPr>
              <w:widowControl/>
              <w:spacing w:before="100" w:beforeAutospacing="1" w:after="100" w:afterAutospacing="1" w:line="320" w:lineRule="exact"/>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702" w:type="pct"/>
            <w:tcBorders>
              <w:top w:val="single" w:color="auto" w:sz="8" w:space="0"/>
              <w:left w:val="single" w:color="auto" w:sz="8" w:space="0"/>
              <w:bottom w:val="single" w:color="auto" w:sz="8" w:space="0"/>
              <w:right w:val="single" w:color="auto" w:sz="8" w:space="0"/>
            </w:tcBorders>
            <w:vAlign w:val="center"/>
          </w:tcPr>
          <w:p w14:paraId="64D4EC16">
            <w:pPr>
              <w:widowControl/>
              <w:spacing w:before="100" w:beforeAutospacing="1" w:after="100" w:afterAutospacing="1" w:line="320" w:lineRule="exact"/>
              <w:ind w:left="-3" w:firstLine="2" w:firstLineChars="1"/>
              <w:jc w:val="center"/>
              <w:rPr>
                <w:rFonts w:ascii="宋体" w:hAnsi="宋体" w:cs="宋体"/>
                <w:color w:val="auto"/>
                <w:szCs w:val="21"/>
                <w:highlight w:val="none"/>
              </w:rPr>
            </w:pPr>
            <w:r>
              <w:rPr>
                <w:rFonts w:hint="eastAsia" w:ascii="宋体" w:hAnsi="宋体" w:cs="宋体"/>
                <w:color w:val="auto"/>
                <w:szCs w:val="21"/>
                <w:highlight w:val="none"/>
              </w:rPr>
              <w:t>金  额</w:t>
            </w:r>
          </w:p>
        </w:tc>
      </w:tr>
      <w:tr w14:paraId="74F57E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835" w:type="pct"/>
            <w:tcBorders>
              <w:top w:val="single" w:color="auto" w:sz="8" w:space="0"/>
              <w:left w:val="single" w:color="auto" w:sz="8" w:space="0"/>
              <w:bottom w:val="single" w:color="auto" w:sz="8" w:space="0"/>
              <w:right w:val="single" w:color="auto" w:sz="8" w:space="0"/>
            </w:tcBorders>
            <w:vAlign w:val="center"/>
          </w:tcPr>
          <w:p w14:paraId="4E23448C">
            <w:pPr>
              <w:widowControl/>
              <w:spacing w:before="100" w:beforeAutospacing="1" w:after="100" w:afterAutospacing="1" w:line="320" w:lineRule="exact"/>
              <w:ind w:left="-3" w:firstLine="4" w:firstLineChars="2"/>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 xml:space="preserve"> </w:t>
            </w:r>
          </w:p>
        </w:tc>
        <w:tc>
          <w:tcPr>
            <w:tcW w:w="1179" w:type="pct"/>
            <w:tcBorders>
              <w:top w:val="single" w:color="auto" w:sz="8" w:space="0"/>
              <w:left w:val="single" w:color="auto" w:sz="8" w:space="0"/>
              <w:bottom w:val="single" w:color="auto" w:sz="8" w:space="0"/>
              <w:right w:val="single" w:color="auto" w:sz="8" w:space="0"/>
            </w:tcBorders>
            <w:vAlign w:val="center"/>
          </w:tcPr>
          <w:p w14:paraId="52BAB3C1">
            <w:pPr>
              <w:widowControl/>
              <w:spacing w:before="100" w:beforeAutospacing="1" w:after="100" w:afterAutospacing="1" w:line="320" w:lineRule="exact"/>
              <w:ind w:left="-3"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 xml:space="preserve"> </w:t>
            </w:r>
          </w:p>
        </w:tc>
        <w:tc>
          <w:tcPr>
            <w:tcW w:w="1768" w:type="pct"/>
            <w:gridSpan w:val="2"/>
            <w:tcBorders>
              <w:top w:val="single" w:color="auto" w:sz="8" w:space="0"/>
              <w:left w:val="single" w:color="auto" w:sz="8" w:space="0"/>
              <w:bottom w:val="single" w:color="auto" w:sz="8" w:space="0"/>
              <w:right w:val="single" w:color="auto" w:sz="8" w:space="0"/>
            </w:tcBorders>
            <w:vAlign w:val="center"/>
          </w:tcPr>
          <w:p w14:paraId="1CC646EE">
            <w:pPr>
              <w:widowControl/>
              <w:spacing w:before="100" w:beforeAutospacing="1" w:after="100" w:afterAutospacing="1" w:line="320" w:lineRule="exact"/>
              <w:ind w:left="-3"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 xml:space="preserve"> </w:t>
            </w:r>
          </w:p>
        </w:tc>
        <w:tc>
          <w:tcPr>
            <w:tcW w:w="512" w:type="pct"/>
            <w:gridSpan w:val="2"/>
            <w:tcBorders>
              <w:top w:val="single" w:color="auto" w:sz="8" w:space="0"/>
              <w:left w:val="single" w:color="auto" w:sz="8" w:space="0"/>
              <w:bottom w:val="single" w:color="auto" w:sz="8" w:space="0"/>
              <w:right w:val="single" w:color="auto" w:sz="8" w:space="0"/>
            </w:tcBorders>
            <w:vAlign w:val="center"/>
          </w:tcPr>
          <w:p w14:paraId="7AB8175D">
            <w:pPr>
              <w:widowControl/>
              <w:spacing w:before="100" w:beforeAutospacing="1" w:after="100" w:afterAutospacing="1" w:line="32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 xml:space="preserve">  </w:t>
            </w:r>
          </w:p>
        </w:tc>
        <w:tc>
          <w:tcPr>
            <w:tcW w:w="702" w:type="pct"/>
            <w:tcBorders>
              <w:top w:val="single" w:color="auto" w:sz="8" w:space="0"/>
              <w:left w:val="single" w:color="auto" w:sz="8" w:space="0"/>
              <w:bottom w:val="single" w:color="auto" w:sz="8" w:space="0"/>
              <w:right w:val="single" w:color="auto" w:sz="8" w:space="0"/>
            </w:tcBorders>
            <w:vAlign w:val="center"/>
          </w:tcPr>
          <w:p w14:paraId="2F5241D2">
            <w:pPr>
              <w:widowControl/>
              <w:spacing w:before="100" w:beforeAutospacing="1" w:after="100" w:afterAutospacing="1" w:line="32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 xml:space="preserve"> </w:t>
            </w:r>
          </w:p>
        </w:tc>
      </w:tr>
      <w:tr w14:paraId="48AB82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835" w:type="pct"/>
            <w:tcBorders>
              <w:top w:val="single" w:color="auto" w:sz="8" w:space="0"/>
              <w:left w:val="single" w:color="auto" w:sz="8" w:space="0"/>
              <w:bottom w:val="single" w:color="auto" w:sz="8" w:space="0"/>
              <w:right w:val="single" w:color="auto" w:sz="8" w:space="0"/>
            </w:tcBorders>
            <w:vAlign w:val="center"/>
          </w:tcPr>
          <w:p w14:paraId="65B4C94C">
            <w:pPr>
              <w:widowControl/>
              <w:spacing w:before="100" w:beforeAutospacing="1" w:after="100" w:afterAutospacing="1" w:line="320" w:lineRule="exact"/>
              <w:ind w:left="-3"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 xml:space="preserve"> </w:t>
            </w:r>
          </w:p>
        </w:tc>
        <w:tc>
          <w:tcPr>
            <w:tcW w:w="1179" w:type="pct"/>
            <w:tcBorders>
              <w:top w:val="single" w:color="auto" w:sz="8" w:space="0"/>
              <w:left w:val="single" w:color="auto" w:sz="8" w:space="0"/>
              <w:bottom w:val="single" w:color="auto" w:sz="8" w:space="0"/>
              <w:right w:val="single" w:color="auto" w:sz="8" w:space="0"/>
            </w:tcBorders>
            <w:vAlign w:val="center"/>
          </w:tcPr>
          <w:p w14:paraId="6FD64C35">
            <w:pPr>
              <w:widowControl/>
              <w:spacing w:before="100" w:beforeAutospacing="1" w:after="100" w:afterAutospacing="1" w:line="320" w:lineRule="exact"/>
              <w:ind w:left="-3"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 xml:space="preserve"> </w:t>
            </w:r>
          </w:p>
        </w:tc>
        <w:tc>
          <w:tcPr>
            <w:tcW w:w="1768" w:type="pct"/>
            <w:gridSpan w:val="2"/>
            <w:tcBorders>
              <w:top w:val="single" w:color="auto" w:sz="8" w:space="0"/>
              <w:left w:val="single" w:color="auto" w:sz="8" w:space="0"/>
              <w:bottom w:val="single" w:color="auto" w:sz="8" w:space="0"/>
              <w:right w:val="single" w:color="auto" w:sz="8" w:space="0"/>
            </w:tcBorders>
            <w:vAlign w:val="center"/>
          </w:tcPr>
          <w:p w14:paraId="0C412ADD">
            <w:pPr>
              <w:widowControl/>
              <w:spacing w:before="100" w:beforeAutospacing="1" w:after="100" w:afterAutospacing="1" w:line="320" w:lineRule="exact"/>
              <w:ind w:left="-3"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 xml:space="preserve"> </w:t>
            </w:r>
          </w:p>
        </w:tc>
        <w:tc>
          <w:tcPr>
            <w:tcW w:w="512" w:type="pct"/>
            <w:gridSpan w:val="2"/>
            <w:tcBorders>
              <w:top w:val="single" w:color="auto" w:sz="8" w:space="0"/>
              <w:left w:val="single" w:color="auto" w:sz="8" w:space="0"/>
              <w:bottom w:val="single" w:color="auto" w:sz="8" w:space="0"/>
              <w:right w:val="single" w:color="auto" w:sz="8" w:space="0"/>
            </w:tcBorders>
            <w:vAlign w:val="center"/>
          </w:tcPr>
          <w:p w14:paraId="0B14B2AA">
            <w:pPr>
              <w:widowControl/>
              <w:spacing w:before="100" w:beforeAutospacing="1" w:after="100" w:afterAutospacing="1" w:line="32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 xml:space="preserve"> </w:t>
            </w:r>
          </w:p>
        </w:tc>
        <w:tc>
          <w:tcPr>
            <w:tcW w:w="702" w:type="pct"/>
            <w:tcBorders>
              <w:top w:val="single" w:color="auto" w:sz="8" w:space="0"/>
              <w:left w:val="single" w:color="auto" w:sz="8" w:space="0"/>
              <w:bottom w:val="single" w:color="auto" w:sz="8" w:space="0"/>
              <w:right w:val="single" w:color="auto" w:sz="8" w:space="0"/>
            </w:tcBorders>
            <w:vAlign w:val="center"/>
          </w:tcPr>
          <w:p w14:paraId="5DC6AEF1">
            <w:pPr>
              <w:widowControl/>
              <w:spacing w:before="100" w:beforeAutospacing="1" w:after="100" w:afterAutospacing="1" w:line="32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 xml:space="preserve"> </w:t>
            </w:r>
          </w:p>
        </w:tc>
      </w:tr>
      <w:tr w14:paraId="3528F6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835" w:type="pct"/>
            <w:tcBorders>
              <w:top w:val="single" w:color="auto" w:sz="8" w:space="0"/>
              <w:left w:val="single" w:color="auto" w:sz="8" w:space="0"/>
              <w:bottom w:val="single" w:color="auto" w:sz="8" w:space="0"/>
              <w:right w:val="single" w:color="auto" w:sz="8" w:space="0"/>
            </w:tcBorders>
            <w:vAlign w:val="center"/>
          </w:tcPr>
          <w:p w14:paraId="6F76D83E">
            <w:pPr>
              <w:widowControl/>
              <w:spacing w:before="100" w:beforeAutospacing="1" w:after="100" w:afterAutospacing="1" w:line="320" w:lineRule="exact"/>
              <w:ind w:left="-3"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 xml:space="preserve"> </w:t>
            </w:r>
          </w:p>
        </w:tc>
        <w:tc>
          <w:tcPr>
            <w:tcW w:w="1179" w:type="pct"/>
            <w:tcBorders>
              <w:top w:val="single" w:color="auto" w:sz="8" w:space="0"/>
              <w:left w:val="single" w:color="auto" w:sz="8" w:space="0"/>
              <w:bottom w:val="single" w:color="auto" w:sz="8" w:space="0"/>
              <w:right w:val="single" w:color="auto" w:sz="8" w:space="0"/>
            </w:tcBorders>
            <w:vAlign w:val="center"/>
          </w:tcPr>
          <w:p w14:paraId="5AEA2176">
            <w:pPr>
              <w:widowControl/>
              <w:spacing w:before="100" w:beforeAutospacing="1" w:after="100" w:afterAutospacing="1" w:line="320" w:lineRule="exact"/>
              <w:ind w:left="-3"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 xml:space="preserve"> </w:t>
            </w:r>
          </w:p>
        </w:tc>
        <w:tc>
          <w:tcPr>
            <w:tcW w:w="1768" w:type="pct"/>
            <w:gridSpan w:val="2"/>
            <w:tcBorders>
              <w:top w:val="single" w:color="auto" w:sz="8" w:space="0"/>
              <w:left w:val="single" w:color="auto" w:sz="8" w:space="0"/>
              <w:bottom w:val="single" w:color="auto" w:sz="8" w:space="0"/>
              <w:right w:val="single" w:color="auto" w:sz="8" w:space="0"/>
            </w:tcBorders>
            <w:vAlign w:val="center"/>
          </w:tcPr>
          <w:p w14:paraId="5E41E217">
            <w:pPr>
              <w:widowControl/>
              <w:spacing w:before="100" w:beforeAutospacing="1" w:after="100" w:afterAutospacing="1" w:line="320" w:lineRule="exact"/>
              <w:ind w:left="-3" w:firstLine="420" w:firstLineChars="200"/>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 xml:space="preserve"> </w:t>
            </w:r>
          </w:p>
        </w:tc>
        <w:tc>
          <w:tcPr>
            <w:tcW w:w="512" w:type="pct"/>
            <w:gridSpan w:val="2"/>
            <w:tcBorders>
              <w:top w:val="single" w:color="auto" w:sz="8" w:space="0"/>
              <w:left w:val="single" w:color="auto" w:sz="8" w:space="0"/>
              <w:bottom w:val="single" w:color="auto" w:sz="8" w:space="0"/>
              <w:right w:val="single" w:color="auto" w:sz="8" w:space="0"/>
            </w:tcBorders>
            <w:vAlign w:val="center"/>
          </w:tcPr>
          <w:p w14:paraId="37E8CBA1">
            <w:pPr>
              <w:widowControl/>
              <w:spacing w:before="100" w:beforeAutospacing="1" w:after="100" w:afterAutospacing="1" w:line="32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 xml:space="preserve"> </w:t>
            </w:r>
          </w:p>
        </w:tc>
        <w:tc>
          <w:tcPr>
            <w:tcW w:w="702" w:type="pct"/>
            <w:tcBorders>
              <w:top w:val="single" w:color="auto" w:sz="8" w:space="0"/>
              <w:left w:val="single" w:color="auto" w:sz="8" w:space="0"/>
              <w:bottom w:val="single" w:color="auto" w:sz="8" w:space="0"/>
              <w:right w:val="single" w:color="auto" w:sz="8" w:space="0"/>
            </w:tcBorders>
            <w:vAlign w:val="center"/>
          </w:tcPr>
          <w:p w14:paraId="6A52748C">
            <w:pPr>
              <w:widowControl/>
              <w:spacing w:before="100" w:beforeAutospacing="1" w:after="100" w:afterAutospacing="1" w:line="32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 xml:space="preserve"> </w:t>
            </w:r>
          </w:p>
        </w:tc>
      </w:tr>
      <w:tr w14:paraId="5E91E5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3784" w:type="pct"/>
            <w:gridSpan w:val="4"/>
            <w:tcBorders>
              <w:top w:val="single" w:color="auto" w:sz="8" w:space="0"/>
              <w:left w:val="single" w:color="auto" w:sz="8" w:space="0"/>
              <w:bottom w:val="single" w:color="auto" w:sz="8" w:space="0"/>
              <w:right w:val="single" w:color="auto" w:sz="8" w:space="0"/>
            </w:tcBorders>
            <w:vAlign w:val="center"/>
          </w:tcPr>
          <w:p w14:paraId="1627EF4C">
            <w:pPr>
              <w:widowControl/>
              <w:spacing w:before="100" w:beforeAutospacing="1" w:after="100" w:afterAutospacing="1" w:line="320" w:lineRule="exact"/>
              <w:ind w:left="-3" w:firstLine="4" w:firstLineChars="2"/>
              <w:jc w:val="left"/>
              <w:rPr>
                <w:rFonts w:ascii="宋体" w:hAnsi="宋体" w:cs="宋体"/>
                <w:color w:val="auto"/>
                <w:szCs w:val="21"/>
                <w:highlight w:val="none"/>
              </w:rPr>
            </w:pPr>
            <w:r>
              <w:rPr>
                <w:rFonts w:hint="eastAsia" w:ascii="宋体" w:hAnsi="宋体" w:cs="宋体"/>
                <w:color w:val="auto"/>
                <w:szCs w:val="21"/>
                <w:highlight w:val="none"/>
              </w:rPr>
              <w:t>合</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计</w:t>
            </w:r>
          </w:p>
        </w:tc>
        <w:tc>
          <w:tcPr>
            <w:tcW w:w="512" w:type="pct"/>
            <w:gridSpan w:val="2"/>
            <w:tcBorders>
              <w:top w:val="single" w:color="auto" w:sz="8" w:space="0"/>
              <w:left w:val="single" w:color="auto" w:sz="8" w:space="0"/>
              <w:bottom w:val="single" w:color="auto" w:sz="8" w:space="0"/>
              <w:right w:val="single" w:color="auto" w:sz="8" w:space="0"/>
            </w:tcBorders>
            <w:vAlign w:val="center"/>
          </w:tcPr>
          <w:p w14:paraId="58A4FB58">
            <w:pPr>
              <w:widowControl/>
              <w:spacing w:before="100" w:beforeAutospacing="1" w:after="100" w:afterAutospacing="1" w:line="32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 xml:space="preserve"> </w:t>
            </w:r>
          </w:p>
        </w:tc>
        <w:tc>
          <w:tcPr>
            <w:tcW w:w="702" w:type="pct"/>
            <w:tcBorders>
              <w:top w:val="single" w:color="auto" w:sz="8" w:space="0"/>
              <w:left w:val="single" w:color="auto" w:sz="8" w:space="0"/>
              <w:bottom w:val="single" w:color="auto" w:sz="8" w:space="0"/>
              <w:right w:val="single" w:color="auto" w:sz="8" w:space="0"/>
            </w:tcBorders>
            <w:vAlign w:val="center"/>
          </w:tcPr>
          <w:p w14:paraId="4C07B5A5">
            <w:pPr>
              <w:widowControl/>
              <w:spacing w:before="100" w:beforeAutospacing="1" w:after="100" w:afterAutospacing="1" w:line="32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 xml:space="preserve"> </w:t>
            </w:r>
          </w:p>
        </w:tc>
      </w:tr>
      <w:tr w14:paraId="4F59BD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jc w:val="center"/>
        </w:trPr>
        <w:tc>
          <w:tcPr>
            <w:tcW w:w="5000" w:type="pct"/>
            <w:gridSpan w:val="7"/>
            <w:tcBorders>
              <w:top w:val="single" w:color="auto" w:sz="8" w:space="0"/>
              <w:left w:val="single" w:color="auto" w:sz="8" w:space="0"/>
              <w:bottom w:val="single" w:color="auto" w:sz="8" w:space="0"/>
              <w:right w:val="single" w:color="auto" w:sz="8" w:space="0"/>
            </w:tcBorders>
            <w:vAlign w:val="center"/>
          </w:tcPr>
          <w:p w14:paraId="5086D1C6">
            <w:pPr>
              <w:widowControl/>
              <w:spacing w:before="100" w:beforeAutospacing="1" w:after="100" w:afterAutospacing="1" w:line="320" w:lineRule="exact"/>
              <w:ind w:firstLine="2" w:firstLineChars="1"/>
              <w:jc w:val="left"/>
              <w:rPr>
                <w:rFonts w:ascii="宋体" w:hAnsi="宋体" w:cs="宋体"/>
                <w:color w:val="auto"/>
                <w:szCs w:val="21"/>
                <w:highlight w:val="none"/>
              </w:rPr>
            </w:pPr>
            <w:r>
              <w:rPr>
                <w:rFonts w:hint="eastAsia" w:ascii="宋体" w:hAnsi="宋体" w:cs="宋体"/>
                <w:color w:val="auto"/>
                <w:szCs w:val="21"/>
                <w:highlight w:val="none"/>
              </w:rPr>
              <w:t>合计大写金额：</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仟</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佰</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拾</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万</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仟</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佰</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拾</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元</w:t>
            </w:r>
          </w:p>
        </w:tc>
      </w:tr>
      <w:tr w14:paraId="46FA57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jc w:val="center"/>
        </w:trPr>
        <w:tc>
          <w:tcPr>
            <w:tcW w:w="835" w:type="pct"/>
            <w:tcBorders>
              <w:top w:val="single" w:color="auto" w:sz="8" w:space="0"/>
              <w:left w:val="single" w:color="auto" w:sz="8" w:space="0"/>
              <w:bottom w:val="single" w:color="auto" w:sz="8" w:space="0"/>
              <w:right w:val="single" w:color="auto" w:sz="8" w:space="0"/>
            </w:tcBorders>
            <w:vAlign w:val="center"/>
          </w:tcPr>
          <w:p w14:paraId="7BADED9E">
            <w:pPr>
              <w:widowControl/>
              <w:spacing w:before="100" w:beforeAutospacing="1" w:after="100" w:afterAutospacing="1" w:line="320" w:lineRule="exact"/>
              <w:ind w:firstLine="2" w:firstLineChars="1"/>
              <w:jc w:val="center"/>
              <w:rPr>
                <w:rFonts w:ascii="宋体" w:hAnsi="宋体" w:cs="宋体"/>
                <w:color w:val="auto"/>
                <w:szCs w:val="21"/>
                <w:highlight w:val="none"/>
              </w:rPr>
            </w:pPr>
            <w:r>
              <w:rPr>
                <w:rFonts w:hint="eastAsia" w:ascii="宋体" w:hAnsi="宋体" w:cs="宋体"/>
                <w:color w:val="auto"/>
                <w:szCs w:val="21"/>
                <w:highlight w:val="none"/>
              </w:rPr>
              <w:t>实际供货日期</w:t>
            </w:r>
          </w:p>
        </w:tc>
        <w:tc>
          <w:tcPr>
            <w:tcW w:w="1665" w:type="pct"/>
            <w:gridSpan w:val="2"/>
            <w:tcBorders>
              <w:top w:val="single" w:color="auto" w:sz="8" w:space="0"/>
              <w:left w:val="single" w:color="auto" w:sz="8" w:space="0"/>
              <w:bottom w:val="single" w:color="auto" w:sz="8" w:space="0"/>
              <w:right w:val="single" w:color="auto" w:sz="8" w:space="0"/>
            </w:tcBorders>
            <w:vAlign w:val="center"/>
          </w:tcPr>
          <w:p w14:paraId="78E97B51">
            <w:pPr>
              <w:spacing w:before="100" w:beforeAutospacing="1" w:after="100" w:afterAutospacing="1" w:line="320" w:lineRule="exact"/>
              <w:ind w:firstLine="420" w:firstLineChars="200"/>
              <w:jc w:val="center"/>
              <w:rPr>
                <w:rFonts w:ascii="宋体" w:hAnsi="宋体" w:cs="宋体"/>
                <w:color w:val="auto"/>
                <w:szCs w:val="21"/>
                <w:highlight w:val="none"/>
              </w:rPr>
            </w:pPr>
          </w:p>
        </w:tc>
        <w:tc>
          <w:tcPr>
            <w:tcW w:w="1387" w:type="pct"/>
            <w:gridSpan w:val="2"/>
            <w:tcBorders>
              <w:top w:val="single" w:color="auto" w:sz="8" w:space="0"/>
              <w:left w:val="single" w:color="auto" w:sz="8" w:space="0"/>
              <w:bottom w:val="single" w:color="auto" w:sz="8" w:space="0"/>
              <w:right w:val="single" w:color="auto" w:sz="8" w:space="0"/>
            </w:tcBorders>
            <w:vAlign w:val="center"/>
          </w:tcPr>
          <w:p w14:paraId="0BDEDA71">
            <w:pPr>
              <w:spacing w:before="100" w:beforeAutospacing="1" w:after="100" w:afterAutospacing="1" w:line="320" w:lineRule="exact"/>
              <w:ind w:firstLine="39" w:firstLineChars="19"/>
              <w:jc w:val="center"/>
              <w:rPr>
                <w:rFonts w:ascii="宋体" w:hAnsi="宋体" w:cs="宋体"/>
                <w:color w:val="auto"/>
                <w:szCs w:val="21"/>
                <w:highlight w:val="none"/>
              </w:rPr>
            </w:pPr>
            <w:r>
              <w:rPr>
                <w:rFonts w:hint="eastAsia" w:ascii="宋体" w:hAnsi="宋体" w:cs="宋体"/>
                <w:color w:val="auto"/>
                <w:szCs w:val="21"/>
                <w:highlight w:val="none"/>
              </w:rPr>
              <w:t>合同交货验收日期</w:t>
            </w:r>
          </w:p>
        </w:tc>
        <w:tc>
          <w:tcPr>
            <w:tcW w:w="1110" w:type="pct"/>
            <w:gridSpan w:val="2"/>
            <w:tcBorders>
              <w:top w:val="single" w:color="auto" w:sz="8" w:space="0"/>
              <w:left w:val="single" w:color="auto" w:sz="8" w:space="0"/>
              <w:bottom w:val="single" w:color="auto" w:sz="8" w:space="0"/>
              <w:right w:val="single" w:color="auto" w:sz="8" w:space="0"/>
            </w:tcBorders>
            <w:vAlign w:val="center"/>
          </w:tcPr>
          <w:p w14:paraId="1CD02C7C">
            <w:pPr>
              <w:spacing w:before="100" w:beforeAutospacing="1" w:after="100" w:afterAutospacing="1" w:line="320" w:lineRule="exact"/>
              <w:ind w:firstLine="420" w:firstLineChars="200"/>
              <w:jc w:val="left"/>
              <w:rPr>
                <w:rFonts w:ascii="宋体" w:hAnsi="宋体" w:cs="宋体"/>
                <w:color w:val="auto"/>
                <w:szCs w:val="21"/>
                <w:highlight w:val="none"/>
              </w:rPr>
            </w:pPr>
          </w:p>
        </w:tc>
      </w:tr>
      <w:tr w14:paraId="7C6B61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4" w:hRule="atLeast"/>
          <w:jc w:val="center"/>
        </w:trPr>
        <w:tc>
          <w:tcPr>
            <w:tcW w:w="835" w:type="pct"/>
            <w:tcBorders>
              <w:top w:val="single" w:color="auto" w:sz="8" w:space="0"/>
              <w:left w:val="single" w:color="auto" w:sz="8" w:space="0"/>
              <w:bottom w:val="single" w:color="auto" w:sz="8" w:space="0"/>
              <w:right w:val="single" w:color="auto" w:sz="8" w:space="0"/>
            </w:tcBorders>
            <w:vAlign w:val="center"/>
          </w:tcPr>
          <w:p w14:paraId="7A9FB0F9">
            <w:pPr>
              <w:widowControl/>
              <w:spacing w:before="100" w:beforeAutospacing="1" w:after="100" w:afterAutospacing="1" w:line="320" w:lineRule="exact"/>
              <w:ind w:firstLine="420" w:firstLineChars="200"/>
              <w:jc w:val="left"/>
              <w:rPr>
                <w:rFonts w:ascii="宋体" w:hAnsi="宋体" w:cs="宋体"/>
                <w:color w:val="auto"/>
                <w:szCs w:val="21"/>
                <w:highlight w:val="none"/>
              </w:rPr>
            </w:pPr>
          </w:p>
        </w:tc>
        <w:tc>
          <w:tcPr>
            <w:tcW w:w="1665" w:type="pct"/>
            <w:gridSpan w:val="2"/>
            <w:tcBorders>
              <w:top w:val="single" w:color="auto" w:sz="8" w:space="0"/>
              <w:left w:val="single" w:color="auto" w:sz="8" w:space="0"/>
              <w:bottom w:val="single" w:color="auto" w:sz="8" w:space="0"/>
              <w:right w:val="single" w:color="auto" w:sz="8" w:space="0"/>
            </w:tcBorders>
            <w:vAlign w:val="center"/>
          </w:tcPr>
          <w:p w14:paraId="683E2A3D">
            <w:pPr>
              <w:spacing w:before="100" w:beforeAutospacing="1" w:after="100" w:afterAutospacing="1" w:line="320" w:lineRule="exact"/>
              <w:ind w:firstLine="420" w:firstLineChars="200"/>
              <w:jc w:val="left"/>
              <w:rPr>
                <w:rFonts w:ascii="宋体" w:hAnsi="宋体" w:cs="宋体"/>
                <w:color w:val="auto"/>
                <w:szCs w:val="21"/>
                <w:highlight w:val="none"/>
              </w:rPr>
            </w:pPr>
          </w:p>
        </w:tc>
        <w:tc>
          <w:tcPr>
            <w:tcW w:w="1387" w:type="pct"/>
            <w:gridSpan w:val="2"/>
            <w:tcBorders>
              <w:top w:val="single" w:color="auto" w:sz="8" w:space="0"/>
              <w:left w:val="single" w:color="auto" w:sz="8" w:space="0"/>
              <w:bottom w:val="single" w:color="auto" w:sz="8" w:space="0"/>
              <w:right w:val="single" w:color="auto" w:sz="8" w:space="0"/>
            </w:tcBorders>
            <w:vAlign w:val="center"/>
          </w:tcPr>
          <w:p w14:paraId="271D0C65">
            <w:pPr>
              <w:spacing w:before="100" w:beforeAutospacing="1" w:after="100" w:afterAutospacing="1" w:line="320" w:lineRule="exact"/>
              <w:ind w:left="590" w:firstLine="420" w:firstLineChars="200"/>
              <w:jc w:val="left"/>
              <w:rPr>
                <w:rFonts w:ascii="宋体" w:hAnsi="宋体" w:cs="宋体"/>
                <w:color w:val="auto"/>
                <w:szCs w:val="21"/>
                <w:highlight w:val="none"/>
              </w:rPr>
            </w:pPr>
          </w:p>
        </w:tc>
        <w:tc>
          <w:tcPr>
            <w:tcW w:w="1110" w:type="pct"/>
            <w:gridSpan w:val="2"/>
            <w:tcBorders>
              <w:top w:val="single" w:color="auto" w:sz="8" w:space="0"/>
              <w:left w:val="single" w:color="auto" w:sz="8" w:space="0"/>
              <w:bottom w:val="single" w:color="auto" w:sz="8" w:space="0"/>
              <w:right w:val="single" w:color="auto" w:sz="8" w:space="0"/>
            </w:tcBorders>
            <w:vAlign w:val="center"/>
          </w:tcPr>
          <w:p w14:paraId="3DA9BA17">
            <w:pPr>
              <w:spacing w:before="100" w:beforeAutospacing="1" w:after="100" w:afterAutospacing="1" w:line="320" w:lineRule="exact"/>
              <w:ind w:firstLine="420" w:firstLineChars="200"/>
              <w:jc w:val="left"/>
              <w:rPr>
                <w:rFonts w:ascii="宋体" w:hAnsi="宋体" w:cs="宋体"/>
                <w:color w:val="auto"/>
                <w:szCs w:val="21"/>
                <w:highlight w:val="none"/>
              </w:rPr>
            </w:pPr>
          </w:p>
        </w:tc>
      </w:tr>
      <w:tr w14:paraId="08CD6B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835"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8D6A2A1">
            <w:pPr>
              <w:widowControl/>
              <w:spacing w:before="100" w:beforeAutospacing="1" w:after="100" w:afterAutospacing="1" w:line="320" w:lineRule="exact"/>
              <w:jc w:val="left"/>
              <w:rPr>
                <w:rFonts w:ascii="宋体" w:hAnsi="宋体" w:cs="宋体"/>
                <w:color w:val="auto"/>
                <w:szCs w:val="21"/>
                <w:highlight w:val="none"/>
              </w:rPr>
            </w:pPr>
            <w:r>
              <w:rPr>
                <w:rFonts w:hint="eastAsia" w:ascii="宋体" w:hAnsi="宋体" w:cs="宋体"/>
                <w:color w:val="auto"/>
                <w:szCs w:val="21"/>
                <w:highlight w:val="none"/>
              </w:rPr>
              <w:t>验收具体内容</w:t>
            </w:r>
          </w:p>
        </w:tc>
        <w:tc>
          <w:tcPr>
            <w:tcW w:w="4164" w:type="pct"/>
            <w:gridSpan w:val="6"/>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AFDE025">
            <w:pPr>
              <w:widowControl/>
              <w:spacing w:before="100" w:beforeAutospacing="1" w:after="100" w:afterAutospacing="1" w:line="320" w:lineRule="exact"/>
              <w:jc w:val="left"/>
              <w:rPr>
                <w:rFonts w:ascii="宋体" w:hAnsi="宋体" w:cs="宋体"/>
                <w:color w:val="auto"/>
                <w:szCs w:val="21"/>
                <w:highlight w:val="none"/>
              </w:rPr>
            </w:pPr>
            <w:r>
              <w:rPr>
                <w:rFonts w:hint="eastAsia" w:ascii="宋体" w:hAnsi="宋体" w:cs="宋体"/>
                <w:color w:val="auto"/>
                <w:szCs w:val="21"/>
                <w:highlight w:val="none"/>
              </w:rPr>
              <w:t>（应按采购合同、采购文件、投标响应文件及验收方案等进行验收；并核对中标或者成交供应商在安装调试等方面是否违反合同约定或服务规范要求、提供的质量保证证明材料是否齐全、应有的配件及附件是否达到合同约定等。可附件)</w:t>
            </w:r>
          </w:p>
        </w:tc>
      </w:tr>
      <w:tr w14:paraId="392A6A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32" w:hRule="atLeast"/>
          <w:jc w:val="center"/>
        </w:trPr>
        <w:tc>
          <w:tcPr>
            <w:tcW w:w="835" w:type="pct"/>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3B4F9F9">
            <w:pPr>
              <w:widowControl/>
              <w:spacing w:before="100" w:beforeAutospacing="1" w:after="100" w:afterAutospacing="1" w:line="320" w:lineRule="exact"/>
              <w:jc w:val="left"/>
              <w:rPr>
                <w:rFonts w:ascii="宋体" w:hAnsi="宋体" w:cs="宋体"/>
                <w:color w:val="auto"/>
                <w:szCs w:val="21"/>
                <w:highlight w:val="none"/>
              </w:rPr>
            </w:pPr>
            <w:r>
              <w:rPr>
                <w:rFonts w:hint="eastAsia" w:ascii="宋体" w:hAnsi="宋体" w:cs="宋体"/>
                <w:color w:val="auto"/>
                <w:szCs w:val="21"/>
                <w:highlight w:val="none"/>
              </w:rPr>
              <w:t>验收小组意见</w:t>
            </w:r>
          </w:p>
        </w:tc>
        <w:tc>
          <w:tcPr>
            <w:tcW w:w="4164" w:type="pct"/>
            <w:gridSpan w:val="6"/>
            <w:tcBorders>
              <w:top w:val="single" w:color="auto" w:sz="8" w:space="0"/>
              <w:left w:val="single" w:color="auto" w:sz="8" w:space="0"/>
              <w:bottom w:val="single" w:color="auto" w:sz="4" w:space="0"/>
              <w:right w:val="single" w:color="auto" w:sz="8" w:space="0"/>
            </w:tcBorders>
            <w:vAlign w:val="center"/>
          </w:tcPr>
          <w:p w14:paraId="06AE27C1">
            <w:pPr>
              <w:widowControl/>
              <w:spacing w:before="100" w:beforeAutospacing="1" w:after="100" w:afterAutospacing="1" w:line="32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验收结论性意见：</w:t>
            </w:r>
          </w:p>
        </w:tc>
      </w:tr>
      <w:tr w14:paraId="721C99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07" w:hRule="atLeast"/>
          <w:jc w:val="center"/>
        </w:trPr>
        <w:tc>
          <w:tcPr>
            <w:tcW w:w="835" w:type="pct"/>
            <w:vMerge w:val="continue"/>
            <w:tcBorders>
              <w:top w:val="single" w:color="auto" w:sz="8" w:space="0"/>
              <w:left w:val="single" w:color="auto" w:sz="8" w:space="0"/>
              <w:bottom w:val="single" w:color="auto" w:sz="8" w:space="0"/>
              <w:right w:val="single" w:color="auto" w:sz="8" w:space="0"/>
            </w:tcBorders>
            <w:vAlign w:val="center"/>
          </w:tcPr>
          <w:p w14:paraId="0B610250">
            <w:pPr>
              <w:widowControl/>
              <w:spacing w:line="320" w:lineRule="exact"/>
              <w:jc w:val="left"/>
              <w:rPr>
                <w:rFonts w:ascii="宋体" w:hAnsi="宋体" w:cs="宋体"/>
                <w:color w:val="auto"/>
                <w:szCs w:val="21"/>
                <w:highlight w:val="none"/>
              </w:rPr>
            </w:pPr>
          </w:p>
        </w:tc>
        <w:tc>
          <w:tcPr>
            <w:tcW w:w="4164" w:type="pct"/>
            <w:gridSpan w:val="6"/>
            <w:tcBorders>
              <w:top w:val="single" w:color="auto" w:sz="4" w:space="0"/>
              <w:left w:val="single" w:color="auto" w:sz="8" w:space="0"/>
              <w:bottom w:val="single" w:color="auto" w:sz="8" w:space="0"/>
              <w:right w:val="single" w:color="auto" w:sz="8" w:space="0"/>
            </w:tcBorders>
            <w:vAlign w:val="center"/>
          </w:tcPr>
          <w:p w14:paraId="3F127137">
            <w:pPr>
              <w:spacing w:before="100" w:beforeAutospacing="1" w:after="100" w:afterAutospacing="1" w:line="320" w:lineRule="exact"/>
              <w:ind w:firstLine="84" w:firstLineChars="40"/>
              <w:jc w:val="left"/>
              <w:rPr>
                <w:rFonts w:ascii="宋体" w:hAnsi="宋体" w:cs="宋体"/>
                <w:color w:val="auto"/>
                <w:szCs w:val="21"/>
                <w:highlight w:val="none"/>
              </w:rPr>
            </w:pPr>
            <w:r>
              <w:rPr>
                <w:rFonts w:hint="eastAsia" w:ascii="宋体" w:hAnsi="宋体" w:cs="宋体"/>
                <w:color w:val="auto"/>
                <w:szCs w:val="21"/>
                <w:highlight w:val="none"/>
              </w:rPr>
              <w:t>有异议的意见和说明理由：</w:t>
            </w:r>
          </w:p>
          <w:p w14:paraId="08D00102">
            <w:pPr>
              <w:spacing w:before="100" w:beforeAutospacing="1" w:after="100" w:afterAutospacing="1" w:line="320" w:lineRule="exact"/>
              <w:jc w:val="left"/>
              <w:rPr>
                <w:rFonts w:ascii="宋体" w:hAnsi="宋体" w:cs="宋体"/>
                <w:color w:val="auto"/>
                <w:szCs w:val="21"/>
                <w:highlight w:val="none"/>
              </w:rPr>
            </w:pPr>
            <w:r>
              <w:rPr>
                <w:rFonts w:hint="eastAsia" w:ascii="宋体" w:hAnsi="宋体" w:cs="宋体"/>
                <w:color w:val="auto"/>
                <w:szCs w:val="21"/>
                <w:highlight w:val="none"/>
              </w:rPr>
              <w:t xml:space="preserve">                                      签字：</w:t>
            </w:r>
          </w:p>
        </w:tc>
      </w:tr>
      <w:tr w14:paraId="428689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7" w:hRule="atLeast"/>
          <w:jc w:val="center"/>
        </w:trPr>
        <w:tc>
          <w:tcPr>
            <w:tcW w:w="5000" w:type="pct"/>
            <w:gridSpan w:val="7"/>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0E0554">
            <w:pPr>
              <w:widowControl/>
              <w:spacing w:before="100" w:beforeAutospacing="1" w:after="100" w:afterAutospacing="1" w:line="320" w:lineRule="exact"/>
              <w:jc w:val="left"/>
              <w:rPr>
                <w:rFonts w:ascii="宋体" w:hAnsi="宋体" w:cs="宋体"/>
                <w:color w:val="auto"/>
                <w:szCs w:val="21"/>
                <w:highlight w:val="none"/>
              </w:rPr>
            </w:pPr>
            <w:r>
              <w:rPr>
                <w:rFonts w:hint="eastAsia" w:ascii="宋体" w:hAnsi="宋体" w:cs="宋体"/>
                <w:color w:val="auto"/>
                <w:szCs w:val="21"/>
                <w:highlight w:val="none"/>
              </w:rPr>
              <w:t>验收小组成员签字：</w:t>
            </w:r>
          </w:p>
        </w:tc>
      </w:tr>
      <w:tr w14:paraId="0BA1BD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6" w:hRule="atLeast"/>
          <w:jc w:val="center"/>
        </w:trPr>
        <w:tc>
          <w:tcPr>
            <w:tcW w:w="5000" w:type="pct"/>
            <w:gridSpan w:val="7"/>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2D2595D">
            <w:pPr>
              <w:widowControl/>
              <w:spacing w:before="100" w:beforeAutospacing="1" w:after="100" w:afterAutospacing="1" w:line="320" w:lineRule="exact"/>
              <w:jc w:val="left"/>
              <w:rPr>
                <w:rFonts w:ascii="宋体" w:hAnsi="宋体" w:cs="宋体"/>
                <w:color w:val="auto"/>
                <w:szCs w:val="21"/>
                <w:highlight w:val="none"/>
              </w:rPr>
            </w:pPr>
            <w:r>
              <w:rPr>
                <w:rFonts w:hint="eastAsia" w:ascii="宋体" w:hAnsi="宋体" w:cs="宋体"/>
                <w:color w:val="auto"/>
                <w:szCs w:val="21"/>
                <w:highlight w:val="none"/>
              </w:rPr>
              <w:t>监督人员或其他相关人员签字：</w:t>
            </w:r>
          </w:p>
          <w:p w14:paraId="5FABFD00">
            <w:pPr>
              <w:widowControl/>
              <w:spacing w:before="100" w:beforeAutospacing="1" w:after="100" w:afterAutospacing="1" w:line="320" w:lineRule="exact"/>
              <w:ind w:firstLine="65" w:firstLineChars="31"/>
              <w:jc w:val="left"/>
              <w:rPr>
                <w:rFonts w:ascii="宋体" w:hAnsi="宋体" w:cs="宋体"/>
                <w:color w:val="auto"/>
                <w:szCs w:val="21"/>
                <w:highlight w:val="none"/>
              </w:rPr>
            </w:pPr>
            <w:r>
              <w:rPr>
                <w:rFonts w:hint="eastAsia" w:ascii="宋体" w:hAnsi="宋体" w:cs="宋体"/>
                <w:color w:val="auto"/>
                <w:szCs w:val="21"/>
                <w:highlight w:val="none"/>
              </w:rPr>
              <w:t>或受邀机构的意见（盖章）：</w:t>
            </w:r>
          </w:p>
        </w:tc>
      </w:tr>
      <w:tr w14:paraId="255B83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58" w:hRule="atLeast"/>
          <w:jc w:val="center"/>
        </w:trPr>
        <w:tc>
          <w:tcPr>
            <w:tcW w:w="2501" w:type="pct"/>
            <w:gridSpan w:val="3"/>
            <w:tcBorders>
              <w:top w:val="single" w:color="auto" w:sz="8" w:space="0"/>
              <w:left w:val="single" w:color="auto" w:sz="8" w:space="0"/>
              <w:bottom w:val="single" w:color="auto" w:sz="8" w:space="0"/>
              <w:right w:val="nil"/>
            </w:tcBorders>
            <w:tcMar>
              <w:top w:w="0" w:type="dxa"/>
              <w:left w:w="108" w:type="dxa"/>
              <w:bottom w:w="0" w:type="dxa"/>
              <w:right w:w="108" w:type="dxa"/>
            </w:tcMar>
            <w:vAlign w:val="center"/>
          </w:tcPr>
          <w:p w14:paraId="4B8B4B9C">
            <w:pPr>
              <w:widowControl/>
              <w:spacing w:before="100" w:beforeAutospacing="1" w:after="100" w:afterAutospacing="1" w:line="320" w:lineRule="exact"/>
              <w:ind w:firstLine="65" w:firstLineChars="31"/>
              <w:jc w:val="left"/>
              <w:rPr>
                <w:rFonts w:ascii="宋体" w:hAnsi="宋体" w:cs="宋体"/>
                <w:color w:val="auto"/>
                <w:szCs w:val="21"/>
                <w:highlight w:val="none"/>
              </w:rPr>
            </w:pPr>
            <w:r>
              <w:rPr>
                <w:rFonts w:hint="eastAsia" w:ascii="宋体" w:hAnsi="宋体" w:cs="宋体"/>
                <w:color w:val="auto"/>
                <w:szCs w:val="21"/>
                <w:highlight w:val="none"/>
              </w:rPr>
              <w:t>中标或者成交供应商负责人签字或盖章：</w:t>
            </w:r>
          </w:p>
          <w:p w14:paraId="1A38C80D">
            <w:pPr>
              <w:widowControl/>
              <w:spacing w:before="100" w:beforeAutospacing="1" w:after="100" w:afterAutospacing="1" w:line="320" w:lineRule="exact"/>
              <w:jc w:val="left"/>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日</w:t>
            </w:r>
          </w:p>
        </w:tc>
        <w:tc>
          <w:tcPr>
            <w:tcW w:w="2498" w:type="pct"/>
            <w:gridSpan w:val="4"/>
            <w:tcBorders>
              <w:top w:val="single" w:color="auto" w:sz="8" w:space="0"/>
              <w:left w:val="nil"/>
              <w:bottom w:val="single" w:color="auto" w:sz="8" w:space="0"/>
              <w:right w:val="single" w:color="auto" w:sz="8" w:space="0"/>
            </w:tcBorders>
            <w:vAlign w:val="center"/>
          </w:tcPr>
          <w:p w14:paraId="5D297F5A">
            <w:pPr>
              <w:widowControl/>
              <w:spacing w:before="100" w:beforeAutospacing="1" w:after="100" w:afterAutospacing="1" w:line="32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采购人或受托机构的意见（盖章）：</w:t>
            </w:r>
          </w:p>
          <w:p w14:paraId="2DF532D4">
            <w:pPr>
              <w:widowControl/>
              <w:spacing w:before="100" w:beforeAutospacing="1" w:after="100" w:afterAutospacing="1" w:line="320" w:lineRule="exact"/>
              <w:jc w:val="left"/>
              <w:rPr>
                <w:rFonts w:ascii="宋体" w:hAnsi="宋体" w:cs="宋体"/>
                <w:color w:val="auto"/>
                <w:szCs w:val="21"/>
                <w:highlight w:val="none"/>
              </w:rPr>
            </w:pPr>
            <w:r>
              <w:rPr>
                <w:rFonts w:hint="eastAsia" w:ascii="宋体" w:hAnsi="宋体" w:cs="宋体"/>
                <w:color w:val="auto"/>
                <w:szCs w:val="21"/>
                <w:highlight w:val="none"/>
              </w:rPr>
              <w:t>联系电话：                 年   月   日</w:t>
            </w:r>
          </w:p>
        </w:tc>
      </w:tr>
    </w:tbl>
    <w:p w14:paraId="2B779182">
      <w:pPr>
        <w:widowControl/>
        <w:jc w:val="left"/>
        <w:rPr>
          <w:rFonts w:ascii="宋体" w:hAnsi="宋体" w:cs="宋体"/>
          <w:color w:val="auto"/>
          <w:szCs w:val="21"/>
          <w:highlight w:val="none"/>
        </w:rPr>
      </w:pPr>
      <w:r>
        <w:rPr>
          <w:rFonts w:hint="eastAsia" w:ascii="宋体" w:hAnsi="宋体" w:cs="宋体"/>
          <w:color w:val="auto"/>
          <w:szCs w:val="21"/>
          <w:highlight w:val="none"/>
        </w:rPr>
        <w:t>备注：本报告单一式4份（采购单位1份、供应商1份、采购监督部门备案1份、采购代理机构1份）。</w:t>
      </w:r>
    </w:p>
    <w:p w14:paraId="1110EED5">
      <w:pPr>
        <w:jc w:val="left"/>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sz w:val="24"/>
          <w:szCs w:val="32"/>
          <w:highlight w:val="none"/>
        </w:rPr>
        <w:t>附件2：</w:t>
      </w:r>
    </w:p>
    <w:p w14:paraId="5328A6ED">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政府采购项目履约保证金退付意见书（参考）</w:t>
      </w:r>
    </w:p>
    <w:p w14:paraId="72A14090">
      <w:pPr>
        <w:jc w:val="center"/>
        <w:rPr>
          <w:rFonts w:ascii="宋体" w:hAnsi="宋体" w:cs="宋体"/>
          <w:color w:val="auto"/>
          <w:sz w:val="36"/>
          <w:szCs w:val="36"/>
          <w:highlight w:val="none"/>
        </w:rPr>
      </w:pPr>
    </w:p>
    <w:tbl>
      <w:tblPr>
        <w:tblStyle w:val="30"/>
        <w:tblW w:w="8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7706"/>
      </w:tblGrid>
      <w:tr w14:paraId="75A8C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008" w:type="dxa"/>
            <w:vMerge w:val="restart"/>
            <w:tcBorders>
              <w:top w:val="single" w:color="auto" w:sz="4" w:space="0"/>
              <w:left w:val="single" w:color="auto" w:sz="4" w:space="0"/>
              <w:bottom w:val="single" w:color="auto" w:sz="4" w:space="0"/>
              <w:right w:val="single" w:color="auto" w:sz="4" w:space="0"/>
            </w:tcBorders>
            <w:vAlign w:val="center"/>
          </w:tcPr>
          <w:p w14:paraId="5D4E7C5D">
            <w:pPr>
              <w:jc w:val="center"/>
              <w:rPr>
                <w:rFonts w:ascii="宋体" w:hAnsi="宋体" w:cs="宋体"/>
                <w:color w:val="auto"/>
                <w:sz w:val="24"/>
                <w:highlight w:val="none"/>
              </w:rPr>
            </w:pPr>
            <w:r>
              <w:rPr>
                <w:rFonts w:hint="eastAsia" w:ascii="宋体" w:hAnsi="宋体" w:cs="宋体"/>
                <w:color w:val="auto"/>
                <w:sz w:val="24"/>
                <w:highlight w:val="none"/>
              </w:rPr>
              <w:t>供</w:t>
            </w:r>
          </w:p>
          <w:p w14:paraId="52D33CFA">
            <w:pPr>
              <w:jc w:val="center"/>
              <w:rPr>
                <w:rFonts w:ascii="宋体" w:hAnsi="宋体" w:cs="宋体"/>
                <w:color w:val="auto"/>
                <w:sz w:val="24"/>
                <w:highlight w:val="none"/>
              </w:rPr>
            </w:pPr>
            <w:r>
              <w:rPr>
                <w:rFonts w:hint="eastAsia" w:ascii="宋体" w:hAnsi="宋体" w:cs="宋体"/>
                <w:color w:val="auto"/>
                <w:sz w:val="24"/>
                <w:highlight w:val="none"/>
              </w:rPr>
              <w:t>应</w:t>
            </w:r>
          </w:p>
          <w:p w14:paraId="587A380E">
            <w:pPr>
              <w:jc w:val="center"/>
              <w:rPr>
                <w:rFonts w:ascii="宋体" w:hAnsi="宋体" w:cs="宋体"/>
                <w:color w:val="auto"/>
                <w:sz w:val="24"/>
                <w:highlight w:val="none"/>
              </w:rPr>
            </w:pPr>
            <w:r>
              <w:rPr>
                <w:rFonts w:hint="eastAsia" w:ascii="宋体" w:hAnsi="宋体" w:cs="宋体"/>
                <w:color w:val="auto"/>
                <w:sz w:val="24"/>
                <w:highlight w:val="none"/>
              </w:rPr>
              <w:t>商</w:t>
            </w:r>
          </w:p>
          <w:p w14:paraId="0F39337A">
            <w:pPr>
              <w:jc w:val="center"/>
              <w:rPr>
                <w:rFonts w:ascii="宋体" w:hAnsi="宋体" w:cs="宋体"/>
                <w:color w:val="auto"/>
                <w:sz w:val="24"/>
                <w:highlight w:val="none"/>
              </w:rPr>
            </w:pPr>
            <w:r>
              <w:rPr>
                <w:rFonts w:hint="eastAsia" w:ascii="宋体" w:hAnsi="宋体" w:cs="宋体"/>
                <w:color w:val="auto"/>
                <w:sz w:val="24"/>
                <w:highlight w:val="none"/>
              </w:rPr>
              <w:t>申</w:t>
            </w:r>
          </w:p>
          <w:p w14:paraId="6DF02A28">
            <w:pPr>
              <w:jc w:val="center"/>
              <w:rPr>
                <w:rFonts w:ascii="宋体" w:hAnsi="宋体" w:cs="宋体"/>
                <w:color w:val="auto"/>
                <w:sz w:val="24"/>
                <w:highlight w:val="none"/>
              </w:rPr>
            </w:pPr>
            <w:r>
              <w:rPr>
                <w:rFonts w:hint="eastAsia" w:ascii="宋体" w:hAnsi="宋体" w:cs="宋体"/>
                <w:color w:val="auto"/>
                <w:sz w:val="24"/>
                <w:highlight w:val="none"/>
              </w:rPr>
              <w:t>请</w:t>
            </w:r>
          </w:p>
        </w:tc>
        <w:tc>
          <w:tcPr>
            <w:tcW w:w="7706" w:type="dxa"/>
            <w:tcBorders>
              <w:top w:val="single" w:color="auto" w:sz="4" w:space="0"/>
              <w:left w:val="single" w:color="auto" w:sz="4" w:space="0"/>
              <w:bottom w:val="single" w:color="auto" w:sz="4" w:space="0"/>
              <w:right w:val="single" w:color="auto" w:sz="4" w:space="0"/>
            </w:tcBorders>
            <w:vAlign w:val="center"/>
          </w:tcPr>
          <w:p w14:paraId="7924F2C5">
            <w:pPr>
              <w:rPr>
                <w:rFonts w:ascii="宋体" w:hAnsi="宋体" w:cs="宋体"/>
                <w:color w:val="auto"/>
                <w:sz w:val="24"/>
                <w:highlight w:val="none"/>
              </w:rPr>
            </w:pPr>
            <w:r>
              <w:rPr>
                <w:rFonts w:hint="eastAsia" w:ascii="宋体" w:hAnsi="宋体" w:cs="宋体"/>
                <w:color w:val="auto"/>
                <w:sz w:val="24"/>
                <w:highlight w:val="none"/>
              </w:rPr>
              <w:t>项目编号：</w:t>
            </w:r>
          </w:p>
        </w:tc>
      </w:tr>
      <w:tr w14:paraId="1BE8A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2559C9F3">
            <w:pPr>
              <w:widowControl/>
              <w:jc w:val="left"/>
              <w:rPr>
                <w:rFonts w:ascii="宋体" w:hAnsi="宋体" w:cs="宋体"/>
                <w:color w:val="auto"/>
                <w:sz w:val="24"/>
                <w:highlight w:val="none"/>
              </w:rPr>
            </w:pPr>
          </w:p>
        </w:tc>
        <w:tc>
          <w:tcPr>
            <w:tcW w:w="7706" w:type="dxa"/>
            <w:tcBorders>
              <w:top w:val="single" w:color="auto" w:sz="4" w:space="0"/>
              <w:left w:val="single" w:color="auto" w:sz="4" w:space="0"/>
              <w:bottom w:val="single" w:color="auto" w:sz="4" w:space="0"/>
              <w:right w:val="single" w:color="auto" w:sz="4" w:space="0"/>
            </w:tcBorders>
            <w:vAlign w:val="center"/>
          </w:tcPr>
          <w:p w14:paraId="2A92D0A2">
            <w:pPr>
              <w:rPr>
                <w:rFonts w:ascii="宋体" w:hAnsi="宋体" w:cs="宋体"/>
                <w:color w:val="auto"/>
                <w:sz w:val="24"/>
                <w:highlight w:val="none"/>
              </w:rPr>
            </w:pPr>
            <w:r>
              <w:rPr>
                <w:rFonts w:hint="eastAsia" w:ascii="宋体" w:hAnsi="宋体" w:cs="宋体"/>
                <w:color w:val="auto"/>
                <w:sz w:val="24"/>
                <w:highlight w:val="none"/>
              </w:rPr>
              <w:t>项目名称：</w:t>
            </w:r>
          </w:p>
        </w:tc>
      </w:tr>
      <w:tr w14:paraId="08E85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31251902">
            <w:pPr>
              <w:widowControl/>
              <w:jc w:val="left"/>
              <w:rPr>
                <w:rFonts w:ascii="宋体" w:hAnsi="宋体" w:cs="宋体"/>
                <w:color w:val="auto"/>
                <w:sz w:val="24"/>
                <w:highlight w:val="none"/>
              </w:rPr>
            </w:pPr>
          </w:p>
        </w:tc>
        <w:tc>
          <w:tcPr>
            <w:tcW w:w="7706" w:type="dxa"/>
            <w:tcBorders>
              <w:top w:val="single" w:color="auto" w:sz="4" w:space="0"/>
              <w:left w:val="single" w:color="auto" w:sz="4" w:space="0"/>
              <w:bottom w:val="single" w:color="auto" w:sz="4" w:space="0"/>
              <w:right w:val="single" w:color="auto" w:sz="4" w:space="0"/>
            </w:tcBorders>
          </w:tcPr>
          <w:p w14:paraId="3C9C73EC">
            <w:pPr>
              <w:rPr>
                <w:rFonts w:ascii="宋体" w:hAnsi="宋体" w:cs="宋体"/>
                <w:color w:val="auto"/>
                <w:sz w:val="24"/>
                <w:highlight w:val="none"/>
              </w:rPr>
            </w:pPr>
            <w:r>
              <w:rPr>
                <w:rFonts w:hint="eastAsia" w:ascii="宋体" w:hAnsi="宋体" w:cs="宋体"/>
                <w:color w:val="auto"/>
                <w:sz w:val="24"/>
                <w:highlight w:val="none"/>
              </w:rPr>
              <w:t xml:space="preserve">  </w:t>
            </w:r>
          </w:p>
          <w:p w14:paraId="74267C9A">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该项目已于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日验收并交付使用。根据合同规定，该项目的履约保证金期限于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日已满，请将履约保证金</w:t>
            </w:r>
          </w:p>
          <w:p w14:paraId="50547E46">
            <w:pPr>
              <w:spacing w:line="400" w:lineRule="exact"/>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（小写）退付到达以下帐户。</w:t>
            </w:r>
          </w:p>
          <w:p w14:paraId="7B32D9F6">
            <w:pPr>
              <w:spacing w:line="400" w:lineRule="exact"/>
              <w:ind w:firstLine="705"/>
              <w:rPr>
                <w:rFonts w:ascii="宋体" w:hAnsi="宋体" w:cs="宋体"/>
                <w:color w:val="auto"/>
                <w:sz w:val="24"/>
                <w:highlight w:val="none"/>
              </w:rPr>
            </w:pPr>
            <w:r>
              <w:rPr>
                <w:rFonts w:hint="eastAsia" w:ascii="宋体" w:hAnsi="宋体" w:cs="宋体"/>
                <w:color w:val="auto"/>
                <w:sz w:val="24"/>
                <w:highlight w:val="none"/>
              </w:rPr>
              <w:t>单位名称：</w:t>
            </w:r>
          </w:p>
          <w:p w14:paraId="7AE15A55">
            <w:pPr>
              <w:spacing w:line="400" w:lineRule="exact"/>
              <w:ind w:firstLine="705"/>
              <w:rPr>
                <w:rFonts w:ascii="宋体" w:hAnsi="宋体" w:cs="宋体"/>
                <w:color w:val="auto"/>
                <w:sz w:val="24"/>
                <w:highlight w:val="none"/>
              </w:rPr>
            </w:pPr>
            <w:r>
              <w:rPr>
                <w:rFonts w:hint="eastAsia" w:ascii="宋体" w:hAnsi="宋体" w:cs="宋体"/>
                <w:color w:val="auto"/>
                <w:sz w:val="24"/>
                <w:highlight w:val="none"/>
              </w:rPr>
              <w:t>开户银行：</w:t>
            </w:r>
          </w:p>
          <w:p w14:paraId="42A7B167">
            <w:pPr>
              <w:spacing w:line="400" w:lineRule="exact"/>
              <w:ind w:firstLine="705"/>
              <w:rPr>
                <w:rFonts w:ascii="宋体" w:hAnsi="宋体" w:cs="宋体"/>
                <w:color w:val="auto"/>
                <w:sz w:val="24"/>
                <w:highlight w:val="none"/>
              </w:rPr>
            </w:pPr>
            <w:r>
              <w:rPr>
                <w:rFonts w:hint="eastAsia" w:ascii="宋体" w:hAnsi="宋体" w:cs="宋体"/>
                <w:color w:val="auto"/>
                <w:sz w:val="24"/>
                <w:highlight w:val="none"/>
              </w:rPr>
              <w:t>帐   号：</w:t>
            </w:r>
          </w:p>
          <w:p w14:paraId="25BDD65E">
            <w:pPr>
              <w:spacing w:line="400" w:lineRule="exact"/>
              <w:rPr>
                <w:rFonts w:ascii="宋体" w:hAnsi="宋体" w:cs="宋体"/>
                <w:color w:val="auto"/>
                <w:sz w:val="24"/>
                <w:highlight w:val="none"/>
              </w:rPr>
            </w:pPr>
            <w:r>
              <w:rPr>
                <w:rFonts w:hint="eastAsia" w:ascii="宋体" w:hAnsi="宋体" w:cs="宋体"/>
                <w:color w:val="auto"/>
                <w:sz w:val="24"/>
                <w:highlight w:val="none"/>
              </w:rPr>
              <w:t>联系人及电话：</w:t>
            </w:r>
          </w:p>
          <w:p w14:paraId="6B24C239">
            <w:pPr>
              <w:spacing w:line="400" w:lineRule="exact"/>
              <w:rPr>
                <w:rFonts w:ascii="宋体" w:hAnsi="宋体" w:cs="宋体"/>
                <w:color w:val="auto"/>
                <w:sz w:val="24"/>
                <w:highlight w:val="none"/>
              </w:rPr>
            </w:pPr>
          </w:p>
          <w:p w14:paraId="4381E5F9">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 xml:space="preserve">         供应商（盖章）：</w:t>
            </w:r>
          </w:p>
          <w:p w14:paraId="6BAE58D4">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tc>
      </w:tr>
      <w:tr w14:paraId="3408A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6"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12EC0566">
            <w:pPr>
              <w:jc w:val="center"/>
              <w:rPr>
                <w:rFonts w:ascii="宋体" w:hAnsi="宋体" w:cs="宋体"/>
                <w:color w:val="auto"/>
                <w:sz w:val="24"/>
                <w:highlight w:val="none"/>
              </w:rPr>
            </w:pPr>
            <w:r>
              <w:rPr>
                <w:rFonts w:hint="eastAsia" w:ascii="宋体" w:hAnsi="宋体" w:cs="宋体"/>
                <w:color w:val="auto"/>
                <w:sz w:val="24"/>
                <w:highlight w:val="none"/>
              </w:rPr>
              <w:t>采</w:t>
            </w:r>
          </w:p>
          <w:p w14:paraId="00C2F05C">
            <w:pPr>
              <w:jc w:val="center"/>
              <w:rPr>
                <w:rFonts w:ascii="宋体" w:hAnsi="宋体" w:cs="宋体"/>
                <w:color w:val="auto"/>
                <w:sz w:val="24"/>
                <w:highlight w:val="none"/>
              </w:rPr>
            </w:pPr>
            <w:r>
              <w:rPr>
                <w:rFonts w:hint="eastAsia" w:ascii="宋体" w:hAnsi="宋体" w:cs="宋体"/>
                <w:color w:val="auto"/>
                <w:sz w:val="24"/>
                <w:highlight w:val="none"/>
              </w:rPr>
              <w:t>购</w:t>
            </w:r>
          </w:p>
          <w:p w14:paraId="5C404627">
            <w:pPr>
              <w:jc w:val="center"/>
              <w:rPr>
                <w:rFonts w:ascii="宋体" w:hAnsi="宋体" w:cs="宋体"/>
                <w:color w:val="auto"/>
                <w:sz w:val="24"/>
                <w:highlight w:val="none"/>
              </w:rPr>
            </w:pPr>
            <w:r>
              <w:rPr>
                <w:rFonts w:hint="eastAsia" w:ascii="宋体" w:hAnsi="宋体" w:cs="宋体"/>
                <w:color w:val="auto"/>
                <w:sz w:val="24"/>
                <w:highlight w:val="none"/>
              </w:rPr>
              <w:t>人</w:t>
            </w:r>
          </w:p>
          <w:p w14:paraId="150CACA8">
            <w:pPr>
              <w:jc w:val="center"/>
              <w:rPr>
                <w:rFonts w:ascii="宋体" w:hAnsi="宋体" w:cs="宋体"/>
                <w:color w:val="auto"/>
                <w:sz w:val="24"/>
                <w:highlight w:val="none"/>
              </w:rPr>
            </w:pPr>
            <w:r>
              <w:rPr>
                <w:rFonts w:hint="eastAsia" w:ascii="宋体" w:hAnsi="宋体" w:cs="宋体"/>
                <w:color w:val="auto"/>
                <w:sz w:val="24"/>
                <w:highlight w:val="none"/>
              </w:rPr>
              <w:t>意</w:t>
            </w:r>
          </w:p>
          <w:p w14:paraId="397A58C3">
            <w:pPr>
              <w:jc w:val="center"/>
              <w:rPr>
                <w:rFonts w:ascii="宋体" w:hAnsi="宋体" w:cs="宋体"/>
                <w:color w:val="auto"/>
                <w:sz w:val="24"/>
                <w:highlight w:val="none"/>
              </w:rPr>
            </w:pPr>
            <w:r>
              <w:rPr>
                <w:rFonts w:hint="eastAsia" w:ascii="宋体" w:hAnsi="宋体" w:cs="宋体"/>
                <w:color w:val="auto"/>
                <w:sz w:val="24"/>
                <w:highlight w:val="none"/>
              </w:rPr>
              <w:t>见</w:t>
            </w:r>
          </w:p>
        </w:tc>
        <w:tc>
          <w:tcPr>
            <w:tcW w:w="7706" w:type="dxa"/>
            <w:tcBorders>
              <w:top w:val="single" w:color="auto" w:sz="4" w:space="0"/>
              <w:left w:val="single" w:color="auto" w:sz="4" w:space="0"/>
              <w:bottom w:val="single" w:color="auto" w:sz="4" w:space="0"/>
              <w:right w:val="single" w:color="auto" w:sz="4" w:space="0"/>
            </w:tcBorders>
          </w:tcPr>
          <w:p w14:paraId="7DC4A90A">
            <w:pPr>
              <w:rPr>
                <w:rFonts w:ascii="宋体" w:hAnsi="宋体" w:cs="宋体"/>
                <w:color w:val="auto"/>
                <w:sz w:val="24"/>
                <w:highlight w:val="none"/>
              </w:rPr>
            </w:pPr>
          </w:p>
          <w:p w14:paraId="52D1265A">
            <w:pPr>
              <w:rPr>
                <w:rFonts w:ascii="宋体" w:hAnsi="宋体" w:cs="宋体"/>
                <w:color w:val="auto"/>
                <w:sz w:val="24"/>
                <w:highlight w:val="none"/>
              </w:rPr>
            </w:pPr>
            <w:r>
              <w:rPr>
                <w:rFonts w:hint="eastAsia" w:ascii="宋体" w:hAnsi="宋体" w:cs="宋体"/>
                <w:color w:val="auto"/>
                <w:sz w:val="24"/>
                <w:highlight w:val="none"/>
              </w:rPr>
              <w:t>退付意见：（是否同意退付履约保证金及退付金额）</w:t>
            </w:r>
          </w:p>
          <w:p w14:paraId="7EC21AC4">
            <w:pPr>
              <w:rPr>
                <w:rFonts w:ascii="宋体" w:hAnsi="宋体" w:cs="宋体"/>
                <w:color w:val="auto"/>
                <w:sz w:val="24"/>
                <w:highlight w:val="none"/>
              </w:rPr>
            </w:pPr>
          </w:p>
          <w:p w14:paraId="2AB33F0B">
            <w:pPr>
              <w:rPr>
                <w:rFonts w:ascii="宋体" w:hAnsi="宋体" w:cs="宋体"/>
                <w:color w:val="auto"/>
                <w:sz w:val="24"/>
                <w:highlight w:val="none"/>
              </w:rPr>
            </w:pPr>
          </w:p>
          <w:p w14:paraId="6D5FF8FB">
            <w:pPr>
              <w:rPr>
                <w:rFonts w:ascii="宋体" w:hAnsi="宋体" w:cs="宋体"/>
                <w:color w:val="auto"/>
                <w:sz w:val="24"/>
                <w:highlight w:val="none"/>
              </w:rPr>
            </w:pPr>
          </w:p>
          <w:p w14:paraId="14C4F290">
            <w:pPr>
              <w:rPr>
                <w:rFonts w:ascii="宋体" w:hAnsi="宋体" w:cs="宋体"/>
                <w:color w:val="auto"/>
                <w:sz w:val="24"/>
                <w:highlight w:val="none"/>
              </w:rPr>
            </w:pPr>
          </w:p>
          <w:p w14:paraId="1BAC4BC0">
            <w:pPr>
              <w:rPr>
                <w:rFonts w:ascii="宋体" w:hAnsi="宋体" w:cs="宋体"/>
                <w:color w:val="auto"/>
                <w:sz w:val="24"/>
                <w:highlight w:val="none"/>
              </w:rPr>
            </w:pPr>
          </w:p>
          <w:p w14:paraId="7529ECC8">
            <w:pPr>
              <w:rPr>
                <w:rFonts w:ascii="宋体" w:hAnsi="宋体" w:cs="宋体"/>
                <w:color w:val="auto"/>
                <w:sz w:val="24"/>
                <w:highlight w:val="none"/>
              </w:rPr>
            </w:pPr>
          </w:p>
          <w:p w14:paraId="7D841014">
            <w:pPr>
              <w:rPr>
                <w:rFonts w:ascii="宋体" w:hAnsi="宋体" w:cs="宋体"/>
                <w:color w:val="auto"/>
                <w:sz w:val="24"/>
                <w:highlight w:val="none"/>
              </w:rPr>
            </w:pPr>
          </w:p>
          <w:p w14:paraId="566FF73E">
            <w:pPr>
              <w:spacing w:line="520" w:lineRule="exact"/>
              <w:rPr>
                <w:rFonts w:ascii="宋体" w:hAnsi="宋体" w:cs="宋体"/>
                <w:color w:val="auto"/>
                <w:sz w:val="24"/>
                <w:highlight w:val="none"/>
              </w:rPr>
            </w:pPr>
            <w:r>
              <w:rPr>
                <w:rFonts w:hint="eastAsia" w:ascii="宋体" w:hAnsi="宋体" w:cs="宋体"/>
                <w:color w:val="auto"/>
                <w:sz w:val="24"/>
                <w:highlight w:val="none"/>
              </w:rPr>
              <w:t>联系人及电话：               采购人（盖章）：</w:t>
            </w:r>
          </w:p>
          <w:p w14:paraId="3B4A4785">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1AD1A966">
            <w:pPr>
              <w:spacing w:line="520" w:lineRule="exact"/>
              <w:jc w:val="center"/>
              <w:rPr>
                <w:rFonts w:ascii="宋体" w:hAnsi="宋体" w:cs="宋体"/>
                <w:color w:val="auto"/>
                <w:sz w:val="24"/>
                <w:highlight w:val="none"/>
              </w:rPr>
            </w:pPr>
          </w:p>
        </w:tc>
      </w:tr>
    </w:tbl>
    <w:p w14:paraId="5093D3E0">
      <w:pPr>
        <w:spacing w:before="120" w:after="120"/>
        <w:rPr>
          <w:rFonts w:ascii="宋体" w:hAnsi="宋体" w:cs="宋体"/>
          <w:b/>
          <w:bCs/>
          <w:color w:val="auto"/>
          <w:szCs w:val="21"/>
          <w:highlight w:val="none"/>
        </w:rPr>
      </w:pPr>
      <w:r>
        <w:rPr>
          <w:rFonts w:hint="eastAsia" w:ascii="宋体" w:hAnsi="宋体" w:cs="宋体"/>
          <w:b/>
          <w:bCs/>
          <w:color w:val="auto"/>
          <w:szCs w:val="21"/>
          <w:highlight w:val="none"/>
        </w:rPr>
        <w:t>注：供应商凭经采购人审批的退付意见书到保证金收取单位办理履约保证金退付事宜。</w:t>
      </w:r>
    </w:p>
    <w:p w14:paraId="67DE86E7">
      <w:pPr>
        <w:spacing w:before="120" w:after="120"/>
        <w:rPr>
          <w:rFonts w:ascii="宋体" w:hAnsi="宋体" w:cs="宋体"/>
          <w:color w:val="auto"/>
          <w:highlight w:val="none"/>
        </w:rPr>
      </w:pPr>
      <w:r>
        <w:rPr>
          <w:rFonts w:ascii="宋体" w:hAnsi="宋体" w:cs="宋体"/>
          <w:b/>
          <w:bCs/>
          <w:color w:val="auto"/>
          <w:szCs w:val="21"/>
          <w:highlight w:val="none"/>
        </w:rPr>
        <w:br w:type="page"/>
      </w:r>
    </w:p>
    <w:p w14:paraId="233DE07E">
      <w:pPr>
        <w:pStyle w:val="2"/>
        <w:spacing w:before="0" w:after="0" w:line="360" w:lineRule="auto"/>
        <w:jc w:val="center"/>
        <w:rPr>
          <w:rFonts w:ascii="宋体" w:hAnsi="宋体" w:cs="宋体"/>
          <w:color w:val="auto"/>
          <w:kern w:val="2"/>
          <w:sz w:val="32"/>
          <w:szCs w:val="32"/>
          <w:highlight w:val="none"/>
        </w:rPr>
      </w:pPr>
      <w:bookmarkStart w:id="71" w:name="_Toc29359"/>
      <w:r>
        <w:rPr>
          <w:rFonts w:hint="eastAsia" w:ascii="宋体" w:hAnsi="宋体" w:cs="宋体"/>
          <w:color w:val="auto"/>
          <w:kern w:val="2"/>
          <w:sz w:val="32"/>
          <w:szCs w:val="32"/>
          <w:highlight w:val="none"/>
        </w:rPr>
        <w:t>第七章 响应文件格式</w:t>
      </w:r>
      <w:bookmarkEnd w:id="71"/>
    </w:p>
    <w:p w14:paraId="224A2BE1">
      <w:pPr>
        <w:rPr>
          <w:rFonts w:ascii="宋体" w:hAnsi="宋体"/>
          <w:color w:val="auto"/>
          <w:highlight w:val="none"/>
        </w:rPr>
      </w:pPr>
    </w:p>
    <w:p w14:paraId="6A38CD1B">
      <w:pPr>
        <w:pStyle w:val="3"/>
        <w:jc w:val="center"/>
        <w:rPr>
          <w:rFonts w:hint="eastAsia" w:ascii="宋体" w:hAnsi="宋体" w:cs="宋体"/>
          <w:bCs w:val="0"/>
          <w:color w:val="auto"/>
          <w:highlight w:val="none"/>
        </w:rPr>
      </w:pPr>
      <w:bookmarkStart w:id="72" w:name="_Toc7655"/>
      <w:bookmarkStart w:id="73" w:name="_Toc80205938"/>
      <w:r>
        <w:rPr>
          <w:rFonts w:hint="eastAsia" w:ascii="宋体" w:hAnsi="宋体" w:cs="宋体"/>
          <w:bCs w:val="0"/>
          <w:color w:val="auto"/>
          <w:highlight w:val="none"/>
        </w:rPr>
        <w:t>第一节 封面格式</w:t>
      </w:r>
      <w:bookmarkEnd w:id="72"/>
      <w:bookmarkEnd w:id="73"/>
    </w:p>
    <w:p w14:paraId="47197E20">
      <w:pPr>
        <w:spacing w:beforeLines="50" w:after="50"/>
        <w:rPr>
          <w:rFonts w:ascii="宋体" w:hAnsi="宋体" w:cs="宋体"/>
          <w:color w:val="auto"/>
          <w:sz w:val="24"/>
          <w:szCs w:val="20"/>
          <w:highlight w:val="none"/>
        </w:rPr>
      </w:pPr>
    </w:p>
    <w:p w14:paraId="52AF34D9">
      <w:pPr>
        <w:spacing w:beforeLines="50" w:after="50"/>
        <w:jc w:val="center"/>
        <w:rPr>
          <w:rFonts w:ascii="宋体" w:hAnsi="宋体" w:cs="宋体"/>
          <w:bCs/>
          <w:color w:val="auto"/>
          <w:sz w:val="24"/>
          <w:szCs w:val="20"/>
          <w:highlight w:val="none"/>
        </w:rPr>
      </w:pPr>
    </w:p>
    <w:p w14:paraId="688625F5">
      <w:pPr>
        <w:spacing w:beforeLines="50" w:after="50"/>
        <w:jc w:val="center"/>
        <w:rPr>
          <w:rFonts w:ascii="宋体" w:hAnsi="宋体" w:cs="宋体"/>
          <w:b/>
          <w:color w:val="auto"/>
          <w:sz w:val="48"/>
          <w:szCs w:val="48"/>
          <w:highlight w:val="none"/>
        </w:rPr>
      </w:pPr>
    </w:p>
    <w:p w14:paraId="4B737650">
      <w:pPr>
        <w:spacing w:beforeLines="50" w:after="50"/>
        <w:jc w:val="center"/>
        <w:rPr>
          <w:rFonts w:ascii="宋体" w:hAnsi="宋体" w:cs="宋体"/>
          <w:b/>
          <w:color w:val="auto"/>
          <w:sz w:val="48"/>
          <w:szCs w:val="48"/>
          <w:highlight w:val="none"/>
        </w:rPr>
      </w:pPr>
      <w:r>
        <w:rPr>
          <w:rFonts w:hint="eastAsia" w:ascii="宋体" w:hAnsi="宋体" w:cs="宋体"/>
          <w:b/>
          <w:color w:val="auto"/>
          <w:sz w:val="48"/>
          <w:szCs w:val="48"/>
          <w:highlight w:val="none"/>
        </w:rPr>
        <w:t>响  应  文  件</w:t>
      </w:r>
    </w:p>
    <w:p w14:paraId="3C9976D2">
      <w:pPr>
        <w:spacing w:beforeLines="50" w:after="50"/>
        <w:rPr>
          <w:rFonts w:ascii="宋体" w:hAnsi="宋体" w:cs="宋体"/>
          <w:bCs/>
          <w:color w:val="auto"/>
          <w:sz w:val="24"/>
          <w:szCs w:val="20"/>
          <w:highlight w:val="none"/>
        </w:rPr>
      </w:pPr>
    </w:p>
    <w:p w14:paraId="2216A44B">
      <w:pPr>
        <w:spacing w:beforeLines="50" w:after="50"/>
        <w:rPr>
          <w:rFonts w:ascii="宋体" w:hAnsi="宋体" w:cs="宋体"/>
          <w:bCs/>
          <w:color w:val="auto"/>
          <w:sz w:val="24"/>
          <w:szCs w:val="20"/>
          <w:highlight w:val="none"/>
        </w:rPr>
      </w:pPr>
    </w:p>
    <w:p w14:paraId="3F1FC48B">
      <w:pPr>
        <w:spacing w:beforeLines="50" w:after="50"/>
        <w:rPr>
          <w:rFonts w:ascii="宋体" w:hAnsi="宋体" w:cs="宋体"/>
          <w:bCs/>
          <w:color w:val="auto"/>
          <w:sz w:val="32"/>
          <w:szCs w:val="32"/>
          <w:highlight w:val="none"/>
        </w:rPr>
      </w:pPr>
    </w:p>
    <w:p w14:paraId="12C34096">
      <w:pPr>
        <w:spacing w:beforeLines="50" w:after="50"/>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项目名称：</w:t>
      </w:r>
    </w:p>
    <w:p w14:paraId="38C06D8E">
      <w:pPr>
        <w:spacing w:beforeLines="50" w:after="50"/>
        <w:ind w:firstLine="420" w:firstLineChars="150"/>
        <w:rPr>
          <w:rFonts w:ascii="宋体" w:hAnsi="宋体" w:cs="宋体"/>
          <w:bCs/>
          <w:color w:val="auto"/>
          <w:sz w:val="28"/>
          <w:szCs w:val="28"/>
          <w:highlight w:val="none"/>
        </w:rPr>
      </w:pPr>
    </w:p>
    <w:p w14:paraId="76556049">
      <w:pPr>
        <w:spacing w:beforeLines="50" w:after="50"/>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项目编号：</w:t>
      </w:r>
    </w:p>
    <w:p w14:paraId="79E1C991">
      <w:pPr>
        <w:spacing w:beforeLines="50" w:after="50"/>
        <w:ind w:firstLine="420" w:firstLineChars="150"/>
        <w:rPr>
          <w:rFonts w:ascii="宋体" w:hAnsi="宋体" w:cs="宋体"/>
          <w:bCs/>
          <w:color w:val="auto"/>
          <w:sz w:val="28"/>
          <w:szCs w:val="28"/>
          <w:highlight w:val="none"/>
        </w:rPr>
      </w:pPr>
    </w:p>
    <w:p w14:paraId="54BEE710">
      <w:pPr>
        <w:spacing w:beforeLines="50" w:after="50"/>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所竞分标：</w:t>
      </w:r>
    </w:p>
    <w:p w14:paraId="56FDDD4D">
      <w:pPr>
        <w:spacing w:beforeLines="50" w:after="50"/>
        <w:rPr>
          <w:rFonts w:ascii="宋体" w:hAnsi="宋体" w:cs="宋体"/>
          <w:bCs/>
          <w:color w:val="auto"/>
          <w:sz w:val="28"/>
          <w:szCs w:val="28"/>
          <w:highlight w:val="none"/>
        </w:rPr>
      </w:pPr>
    </w:p>
    <w:p w14:paraId="736BCF05">
      <w:pPr>
        <w:spacing w:beforeLines="50" w:after="50"/>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供应商名称：</w:t>
      </w:r>
    </w:p>
    <w:p w14:paraId="71CA06CC">
      <w:pPr>
        <w:spacing w:beforeLines="50" w:after="50"/>
        <w:rPr>
          <w:rFonts w:ascii="宋体" w:hAnsi="宋体" w:cs="宋体"/>
          <w:bCs/>
          <w:color w:val="auto"/>
          <w:sz w:val="28"/>
          <w:szCs w:val="28"/>
          <w:highlight w:val="none"/>
        </w:rPr>
      </w:pPr>
    </w:p>
    <w:p w14:paraId="67900C60">
      <w:pPr>
        <w:spacing w:beforeLines="50" w:after="50"/>
        <w:ind w:firstLine="420" w:firstLineChars="150"/>
        <w:jc w:val="center"/>
        <w:rPr>
          <w:rFonts w:ascii="宋体" w:hAnsi="宋体" w:cs="宋体"/>
          <w:bCs/>
          <w:color w:val="auto"/>
          <w:sz w:val="28"/>
          <w:szCs w:val="28"/>
          <w:highlight w:val="none"/>
        </w:rPr>
      </w:pPr>
      <w:r>
        <w:rPr>
          <w:rFonts w:hint="eastAsia" w:ascii="宋体" w:hAnsi="宋体" w:cs="宋体"/>
          <w:bCs/>
          <w:color w:val="auto"/>
          <w:sz w:val="28"/>
          <w:szCs w:val="28"/>
          <w:highlight w:val="none"/>
        </w:rPr>
        <w:t>首次响应文件提交截止时间前不得解密</w:t>
      </w:r>
    </w:p>
    <w:p w14:paraId="5720381E">
      <w:pPr>
        <w:spacing w:beforeLines="50" w:after="50"/>
        <w:ind w:firstLine="4760" w:firstLineChars="1700"/>
        <w:jc w:val="center"/>
        <w:rPr>
          <w:rFonts w:ascii="宋体" w:hAnsi="宋体" w:cs="宋体"/>
          <w:bCs/>
          <w:color w:val="auto"/>
          <w:sz w:val="28"/>
          <w:szCs w:val="28"/>
          <w:highlight w:val="none"/>
        </w:rPr>
      </w:pPr>
    </w:p>
    <w:p w14:paraId="2F4C528D">
      <w:pPr>
        <w:spacing w:beforeLines="50" w:after="50"/>
        <w:ind w:firstLine="645"/>
        <w:jc w:val="center"/>
        <w:rPr>
          <w:rFonts w:ascii="宋体" w:hAnsi="宋体" w:cs="宋体"/>
          <w:bCs/>
          <w:color w:val="auto"/>
          <w:sz w:val="28"/>
          <w:szCs w:val="28"/>
          <w:highlight w:val="none"/>
        </w:rPr>
      </w:pPr>
      <w:r>
        <w:rPr>
          <w:rFonts w:hint="eastAsia" w:ascii="宋体" w:hAnsi="宋体" w:cs="宋体"/>
          <w:bCs/>
          <w:color w:val="auto"/>
          <w:sz w:val="28"/>
          <w:szCs w:val="28"/>
          <w:highlight w:val="none"/>
        </w:rPr>
        <w:t>年    月    日</w:t>
      </w:r>
    </w:p>
    <w:p w14:paraId="27BF6975">
      <w:pPr>
        <w:spacing w:beforeLines="50" w:after="50"/>
        <w:ind w:firstLine="645"/>
        <w:jc w:val="center"/>
        <w:rPr>
          <w:rFonts w:ascii="宋体" w:hAnsi="宋体" w:cs="宋体"/>
          <w:bCs/>
          <w:color w:val="auto"/>
          <w:sz w:val="28"/>
          <w:szCs w:val="28"/>
          <w:highlight w:val="none"/>
        </w:rPr>
      </w:pPr>
    </w:p>
    <w:p w14:paraId="2860CB79">
      <w:pPr>
        <w:spacing w:beforeLines="50" w:after="50"/>
        <w:ind w:firstLine="645"/>
        <w:jc w:val="center"/>
        <w:rPr>
          <w:rFonts w:ascii="宋体" w:hAnsi="宋体" w:cs="宋体"/>
          <w:bCs/>
          <w:color w:val="auto"/>
          <w:sz w:val="28"/>
          <w:szCs w:val="28"/>
          <w:highlight w:val="none"/>
        </w:rPr>
      </w:pPr>
      <w:r>
        <w:rPr>
          <w:rFonts w:ascii="宋体" w:hAnsi="宋体" w:cs="宋体"/>
          <w:bCs/>
          <w:color w:val="auto"/>
          <w:sz w:val="28"/>
          <w:szCs w:val="28"/>
          <w:highlight w:val="none"/>
        </w:rPr>
        <w:br w:type="page"/>
      </w:r>
    </w:p>
    <w:p w14:paraId="62F0C406">
      <w:pPr>
        <w:spacing w:beforeLines="50" w:after="50"/>
        <w:rPr>
          <w:rFonts w:ascii="宋体" w:hAnsi="宋体" w:cs="宋体"/>
          <w:color w:val="auto"/>
          <w:sz w:val="24"/>
          <w:szCs w:val="20"/>
          <w:highlight w:val="none"/>
        </w:rPr>
      </w:pPr>
      <w:bookmarkStart w:id="74" w:name="_Toc8406"/>
      <w:bookmarkStart w:id="75" w:name="_Toc80205939"/>
    </w:p>
    <w:p w14:paraId="0029FE22">
      <w:pPr>
        <w:pStyle w:val="3"/>
        <w:jc w:val="center"/>
        <w:rPr>
          <w:rFonts w:ascii="宋体" w:hAnsi="宋体" w:cs="宋体"/>
          <w:bCs w:val="0"/>
          <w:color w:val="auto"/>
          <w:highlight w:val="none"/>
        </w:rPr>
      </w:pPr>
      <w:r>
        <w:rPr>
          <w:rFonts w:hint="eastAsia" w:ascii="宋体" w:hAnsi="宋体" w:cs="宋体"/>
          <w:bCs w:val="0"/>
          <w:color w:val="auto"/>
          <w:highlight w:val="none"/>
        </w:rPr>
        <w:t>第二节 资格证明文件格式</w:t>
      </w:r>
      <w:bookmarkEnd w:id="74"/>
      <w:bookmarkEnd w:id="75"/>
    </w:p>
    <w:p w14:paraId="6BF48F60">
      <w:pPr>
        <w:spacing w:beforeLines="50" w:after="50"/>
        <w:jc w:val="right"/>
        <w:rPr>
          <w:rFonts w:ascii="宋体" w:hAnsi="宋体" w:cs="宋体"/>
          <w:bCs/>
          <w:color w:val="auto"/>
          <w:sz w:val="28"/>
          <w:szCs w:val="28"/>
          <w:highlight w:val="none"/>
        </w:rPr>
      </w:pPr>
      <w:r>
        <w:rPr>
          <w:rFonts w:hint="eastAsia" w:ascii="宋体" w:hAnsi="宋体" w:cs="宋体"/>
          <w:bCs/>
          <w:color w:val="auto"/>
          <w:sz w:val="28"/>
          <w:szCs w:val="28"/>
          <w:highlight w:val="none"/>
        </w:rPr>
        <w:t>全流程电子文件</w:t>
      </w:r>
    </w:p>
    <w:p w14:paraId="2E7D78FC">
      <w:pPr>
        <w:spacing w:beforeLines="50" w:after="50"/>
        <w:rPr>
          <w:rFonts w:ascii="宋体" w:hAnsi="宋体" w:cs="宋体"/>
          <w:color w:val="auto"/>
          <w:sz w:val="24"/>
          <w:szCs w:val="20"/>
          <w:highlight w:val="none"/>
        </w:rPr>
      </w:pPr>
    </w:p>
    <w:p w14:paraId="49E35839">
      <w:pPr>
        <w:spacing w:beforeLines="50" w:after="50"/>
        <w:rPr>
          <w:rFonts w:ascii="宋体" w:hAnsi="宋体" w:cs="宋体"/>
          <w:color w:val="auto"/>
          <w:sz w:val="24"/>
          <w:szCs w:val="20"/>
          <w:highlight w:val="none"/>
        </w:rPr>
      </w:pPr>
    </w:p>
    <w:p w14:paraId="60AF5CFC">
      <w:pPr>
        <w:spacing w:beforeLines="50" w:after="50"/>
        <w:jc w:val="center"/>
        <w:rPr>
          <w:rFonts w:ascii="宋体" w:hAnsi="宋体" w:cs="宋体"/>
          <w:b/>
          <w:color w:val="auto"/>
          <w:sz w:val="48"/>
          <w:szCs w:val="48"/>
          <w:highlight w:val="none"/>
        </w:rPr>
      </w:pPr>
      <w:r>
        <w:rPr>
          <w:rFonts w:hint="eastAsia" w:ascii="宋体" w:hAnsi="宋体" w:cs="宋体"/>
          <w:b/>
          <w:color w:val="auto"/>
          <w:sz w:val="48"/>
          <w:szCs w:val="48"/>
          <w:highlight w:val="none"/>
        </w:rPr>
        <w:t>资 格 证 明 文 件</w:t>
      </w:r>
    </w:p>
    <w:p w14:paraId="44E32557">
      <w:pPr>
        <w:spacing w:beforeLines="50" w:after="50"/>
        <w:rPr>
          <w:rFonts w:ascii="宋体" w:hAnsi="宋体" w:cs="宋体"/>
          <w:bCs/>
          <w:color w:val="auto"/>
          <w:sz w:val="24"/>
          <w:szCs w:val="20"/>
          <w:highlight w:val="none"/>
        </w:rPr>
      </w:pPr>
    </w:p>
    <w:p w14:paraId="418F385D">
      <w:pPr>
        <w:spacing w:beforeLines="50" w:after="50"/>
        <w:rPr>
          <w:rFonts w:ascii="宋体" w:hAnsi="宋体" w:cs="宋体"/>
          <w:bCs/>
          <w:color w:val="auto"/>
          <w:sz w:val="24"/>
          <w:szCs w:val="20"/>
          <w:highlight w:val="none"/>
        </w:rPr>
      </w:pPr>
    </w:p>
    <w:p w14:paraId="4A298C15">
      <w:pPr>
        <w:spacing w:beforeLines="50" w:after="50"/>
        <w:rPr>
          <w:rFonts w:ascii="宋体" w:hAnsi="宋体" w:cs="宋体"/>
          <w:bCs/>
          <w:color w:val="auto"/>
          <w:sz w:val="24"/>
          <w:szCs w:val="20"/>
          <w:highlight w:val="none"/>
        </w:rPr>
      </w:pPr>
    </w:p>
    <w:p w14:paraId="4F2B4B61">
      <w:pPr>
        <w:spacing w:beforeLines="50" w:after="50"/>
        <w:rPr>
          <w:rFonts w:ascii="宋体" w:hAnsi="宋体" w:cs="宋体"/>
          <w:bCs/>
          <w:color w:val="auto"/>
          <w:sz w:val="24"/>
          <w:szCs w:val="20"/>
          <w:highlight w:val="none"/>
        </w:rPr>
      </w:pPr>
    </w:p>
    <w:p w14:paraId="2742D63B">
      <w:pPr>
        <w:spacing w:beforeLines="50" w:after="50"/>
        <w:rPr>
          <w:rFonts w:ascii="宋体" w:hAnsi="宋体" w:cs="宋体"/>
          <w:bCs/>
          <w:color w:val="auto"/>
          <w:sz w:val="24"/>
          <w:szCs w:val="20"/>
          <w:highlight w:val="none"/>
        </w:rPr>
      </w:pPr>
    </w:p>
    <w:p w14:paraId="523F1BC3">
      <w:pPr>
        <w:spacing w:beforeLines="50" w:after="50"/>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项目名称：</w:t>
      </w:r>
    </w:p>
    <w:p w14:paraId="1DD204F5">
      <w:pPr>
        <w:spacing w:beforeLines="50" w:after="50"/>
        <w:ind w:firstLine="420" w:firstLineChars="150"/>
        <w:rPr>
          <w:rFonts w:ascii="宋体" w:hAnsi="宋体" w:cs="宋体"/>
          <w:bCs/>
          <w:color w:val="auto"/>
          <w:sz w:val="28"/>
          <w:szCs w:val="28"/>
          <w:highlight w:val="none"/>
        </w:rPr>
      </w:pPr>
    </w:p>
    <w:p w14:paraId="203AE02F">
      <w:pPr>
        <w:spacing w:beforeLines="50" w:after="50"/>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项目编号：</w:t>
      </w:r>
    </w:p>
    <w:p w14:paraId="5ED80FB0">
      <w:pPr>
        <w:spacing w:beforeLines="50" w:after="50"/>
        <w:ind w:firstLine="420" w:firstLineChars="150"/>
        <w:rPr>
          <w:rFonts w:ascii="宋体" w:hAnsi="宋体" w:cs="宋体"/>
          <w:bCs/>
          <w:color w:val="auto"/>
          <w:sz w:val="28"/>
          <w:szCs w:val="28"/>
          <w:highlight w:val="none"/>
        </w:rPr>
      </w:pPr>
    </w:p>
    <w:p w14:paraId="4225282E">
      <w:pPr>
        <w:spacing w:beforeLines="50" w:after="50"/>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所竞分标：</w:t>
      </w:r>
    </w:p>
    <w:p w14:paraId="0BA31222">
      <w:pPr>
        <w:spacing w:beforeLines="50" w:after="50"/>
        <w:rPr>
          <w:rFonts w:ascii="宋体" w:hAnsi="宋体" w:cs="宋体"/>
          <w:bCs/>
          <w:color w:val="auto"/>
          <w:sz w:val="28"/>
          <w:szCs w:val="28"/>
          <w:highlight w:val="none"/>
        </w:rPr>
      </w:pPr>
    </w:p>
    <w:p w14:paraId="2B19EE75">
      <w:pPr>
        <w:spacing w:beforeLines="50" w:after="50"/>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供应商名称：</w:t>
      </w:r>
    </w:p>
    <w:p w14:paraId="6A5160DA">
      <w:pPr>
        <w:pStyle w:val="7"/>
        <w:spacing w:before="50" w:after="50"/>
        <w:ind w:firstLine="720" w:firstLineChars="225"/>
        <w:rPr>
          <w:rFonts w:ascii="宋体" w:hAnsi="宋体" w:cs="宋体"/>
          <w:bCs/>
          <w:color w:val="auto"/>
          <w:sz w:val="32"/>
          <w:szCs w:val="32"/>
          <w:highlight w:val="none"/>
        </w:rPr>
      </w:pPr>
    </w:p>
    <w:p w14:paraId="79423C35">
      <w:pPr>
        <w:pStyle w:val="7"/>
        <w:spacing w:before="50" w:after="50"/>
        <w:ind w:firstLine="720" w:firstLineChars="225"/>
        <w:rPr>
          <w:rFonts w:ascii="宋体" w:hAnsi="宋体" w:cs="宋体"/>
          <w:bCs/>
          <w:color w:val="auto"/>
          <w:sz w:val="32"/>
          <w:szCs w:val="32"/>
          <w:highlight w:val="none"/>
        </w:rPr>
      </w:pPr>
    </w:p>
    <w:p w14:paraId="1B838B9D">
      <w:pPr>
        <w:pStyle w:val="7"/>
        <w:spacing w:before="50" w:after="50"/>
        <w:ind w:firstLine="1280" w:firstLineChars="400"/>
        <w:rPr>
          <w:rFonts w:ascii="宋体" w:hAnsi="宋体" w:cs="宋体"/>
          <w:bCs/>
          <w:color w:val="auto"/>
          <w:sz w:val="32"/>
          <w:szCs w:val="32"/>
          <w:highlight w:val="none"/>
        </w:rPr>
      </w:pPr>
    </w:p>
    <w:p w14:paraId="09B9D117">
      <w:pPr>
        <w:spacing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16C47647">
      <w:pPr>
        <w:spacing w:beforeLines="50" w:after="50" w:line="360" w:lineRule="auto"/>
        <w:jc w:val="center"/>
        <w:rPr>
          <w:rFonts w:ascii="宋体" w:hAnsi="宋体" w:cs="宋体"/>
          <w:b/>
          <w:color w:val="auto"/>
          <w:sz w:val="36"/>
          <w:szCs w:val="36"/>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 xml:space="preserve"> </w:t>
      </w:r>
      <w:r>
        <w:rPr>
          <w:rFonts w:hint="eastAsia" w:ascii="宋体" w:hAnsi="宋体" w:cs="宋体"/>
          <w:b/>
          <w:color w:val="auto"/>
          <w:sz w:val="32"/>
          <w:szCs w:val="32"/>
          <w:highlight w:val="none"/>
        </w:rPr>
        <w:t>资格证明文件目录</w:t>
      </w:r>
    </w:p>
    <w:p w14:paraId="6035DE01">
      <w:pPr>
        <w:spacing w:line="360" w:lineRule="auto"/>
        <w:rPr>
          <w:rFonts w:ascii="宋体" w:hAnsi="宋体" w:cs="宋体"/>
          <w:color w:val="auto"/>
          <w:sz w:val="24"/>
          <w:highlight w:val="none"/>
        </w:rPr>
      </w:pPr>
    </w:p>
    <w:p w14:paraId="36F3A058">
      <w:pPr>
        <w:spacing w:beforeLines="50" w:after="50" w:line="360" w:lineRule="auto"/>
        <w:jc w:val="center"/>
        <w:rPr>
          <w:rFonts w:ascii="宋体" w:hAnsi="宋体" w:cs="宋体"/>
          <w:color w:val="auto"/>
          <w:sz w:val="24"/>
          <w:highlight w:val="none"/>
        </w:rPr>
      </w:pPr>
      <w:r>
        <w:rPr>
          <w:rFonts w:hint="eastAsia" w:ascii="宋体" w:hAnsi="宋体" w:cs="宋体"/>
          <w:color w:val="auto"/>
          <w:sz w:val="24"/>
          <w:highlight w:val="none"/>
        </w:rPr>
        <w:t>根据竞争性磋商文件规定及供应商提供的材料自行编写目录（部分格式后附）。</w:t>
      </w:r>
    </w:p>
    <w:p w14:paraId="39BC471D">
      <w:pPr>
        <w:spacing w:beforeLines="50" w:after="50" w:line="360" w:lineRule="auto"/>
        <w:ind w:left="142" w:firstLine="420" w:firstLineChars="200"/>
        <w:jc w:val="left"/>
        <w:rPr>
          <w:rFonts w:ascii="宋体" w:hAnsi="宋体" w:cs="宋体"/>
          <w:color w:val="auto"/>
          <w:szCs w:val="21"/>
          <w:highlight w:val="none"/>
        </w:rPr>
      </w:pPr>
    </w:p>
    <w:p w14:paraId="4B7B0E87">
      <w:pPr>
        <w:spacing w:line="300" w:lineRule="auto"/>
        <w:rPr>
          <w:rFonts w:ascii="宋体" w:hAnsi="宋体" w:cs="宋体"/>
          <w:color w:val="auto"/>
          <w:szCs w:val="21"/>
          <w:highlight w:val="none"/>
        </w:rPr>
      </w:pPr>
    </w:p>
    <w:p w14:paraId="49FC79EE">
      <w:pPr>
        <w:spacing w:line="300" w:lineRule="auto"/>
        <w:rPr>
          <w:rFonts w:ascii="宋体" w:hAnsi="宋体" w:cs="宋体"/>
          <w:color w:val="auto"/>
          <w:szCs w:val="21"/>
          <w:highlight w:val="none"/>
        </w:rPr>
      </w:pPr>
    </w:p>
    <w:p w14:paraId="402A0652">
      <w:pPr>
        <w:spacing w:line="300" w:lineRule="auto"/>
        <w:rPr>
          <w:rFonts w:ascii="宋体" w:hAnsi="宋体" w:cs="宋体"/>
          <w:color w:val="auto"/>
          <w:szCs w:val="21"/>
          <w:highlight w:val="none"/>
        </w:rPr>
      </w:pPr>
    </w:p>
    <w:p w14:paraId="38D9DC0F">
      <w:pPr>
        <w:spacing w:line="300" w:lineRule="auto"/>
        <w:rPr>
          <w:rFonts w:ascii="宋体" w:hAnsi="宋体" w:cs="宋体"/>
          <w:color w:val="auto"/>
          <w:szCs w:val="21"/>
          <w:highlight w:val="none"/>
        </w:rPr>
      </w:pPr>
    </w:p>
    <w:p w14:paraId="139194F9">
      <w:pPr>
        <w:spacing w:line="300" w:lineRule="auto"/>
        <w:rPr>
          <w:rFonts w:ascii="宋体" w:hAnsi="宋体" w:cs="宋体"/>
          <w:color w:val="auto"/>
          <w:szCs w:val="21"/>
          <w:highlight w:val="none"/>
        </w:rPr>
      </w:pPr>
    </w:p>
    <w:p w14:paraId="0E812E77">
      <w:pPr>
        <w:spacing w:line="300" w:lineRule="auto"/>
        <w:rPr>
          <w:rFonts w:ascii="宋体" w:hAnsi="宋体" w:cs="宋体"/>
          <w:color w:val="auto"/>
          <w:szCs w:val="21"/>
          <w:highlight w:val="none"/>
        </w:rPr>
      </w:pPr>
    </w:p>
    <w:p w14:paraId="267FA845">
      <w:pPr>
        <w:spacing w:line="300" w:lineRule="auto"/>
        <w:rPr>
          <w:rFonts w:ascii="宋体" w:hAnsi="宋体" w:cs="宋体"/>
          <w:color w:val="auto"/>
          <w:szCs w:val="21"/>
          <w:highlight w:val="none"/>
        </w:rPr>
      </w:pPr>
    </w:p>
    <w:p w14:paraId="5378C9C0">
      <w:pPr>
        <w:spacing w:line="300" w:lineRule="auto"/>
        <w:rPr>
          <w:rFonts w:ascii="宋体" w:hAnsi="宋体" w:cs="宋体"/>
          <w:color w:val="auto"/>
          <w:szCs w:val="21"/>
          <w:highlight w:val="none"/>
        </w:rPr>
      </w:pPr>
    </w:p>
    <w:p w14:paraId="59472453">
      <w:pPr>
        <w:spacing w:line="300" w:lineRule="auto"/>
        <w:rPr>
          <w:rFonts w:ascii="宋体" w:hAnsi="宋体" w:cs="宋体"/>
          <w:color w:val="auto"/>
          <w:szCs w:val="21"/>
          <w:highlight w:val="none"/>
        </w:rPr>
      </w:pPr>
    </w:p>
    <w:p w14:paraId="20B61B26">
      <w:pPr>
        <w:spacing w:line="360" w:lineRule="auto"/>
        <w:rPr>
          <w:rFonts w:ascii="宋体" w:hAnsi="宋体" w:cs="宋体"/>
          <w:color w:val="auto"/>
          <w:highlight w:val="none"/>
        </w:rPr>
      </w:pPr>
      <w:r>
        <w:rPr>
          <w:rFonts w:hint="eastAsia" w:ascii="宋体" w:hAnsi="宋体" w:cs="宋体"/>
          <w:color w:val="auto"/>
          <w:highlight w:val="none"/>
        </w:rPr>
        <w:br w:type="page"/>
      </w:r>
    </w:p>
    <w:p w14:paraId="70ECA956">
      <w:pPr>
        <w:spacing w:line="360" w:lineRule="auto"/>
        <w:rPr>
          <w:rFonts w:ascii="宋体" w:hAnsi="宋体" w:cs="宋体"/>
          <w:b/>
          <w:color w:val="auto"/>
          <w:sz w:val="30"/>
          <w:szCs w:val="30"/>
          <w:highlight w:val="none"/>
        </w:rPr>
      </w:pPr>
      <w:r>
        <w:rPr>
          <w:rFonts w:hint="eastAsia" w:ascii="宋体" w:hAnsi="宋体" w:cs="宋体"/>
          <w:b/>
          <w:color w:val="auto"/>
          <w:sz w:val="30"/>
          <w:szCs w:val="30"/>
          <w:highlight w:val="none"/>
        </w:rPr>
        <w:t>一、供应商有效的营业执照复印件</w:t>
      </w:r>
    </w:p>
    <w:p w14:paraId="6A766A81">
      <w:pPr>
        <w:spacing w:line="360" w:lineRule="auto"/>
        <w:ind w:firstLine="602" w:firstLineChars="200"/>
        <w:rPr>
          <w:rFonts w:ascii="宋体" w:hAnsi="宋体" w:cs="宋体"/>
          <w:b/>
          <w:color w:val="auto"/>
          <w:sz w:val="30"/>
          <w:szCs w:val="30"/>
          <w:highlight w:val="none"/>
        </w:rPr>
      </w:pPr>
    </w:p>
    <w:p w14:paraId="1E405747">
      <w:pPr>
        <w:autoSpaceDE w:val="0"/>
        <w:autoSpaceDN w:val="0"/>
        <w:spacing w:line="360" w:lineRule="auto"/>
        <w:ind w:left="4365" w:leftChars="1850" w:hanging="480" w:hangingChars="200"/>
        <w:rPr>
          <w:rFonts w:ascii="宋体" w:hAnsi="宋体" w:cs="宋体"/>
          <w:color w:val="auto"/>
          <w:sz w:val="24"/>
          <w:highlight w:val="none"/>
        </w:rPr>
      </w:pPr>
      <w:r>
        <w:rPr>
          <w:rFonts w:hint="eastAsia" w:ascii="宋体" w:hAnsi="宋体" w:cs="宋体"/>
          <w:color w:val="auto"/>
          <w:sz w:val="24"/>
          <w:highlight w:val="none"/>
        </w:rPr>
        <w:t>供应商名称（电子签章）：</w:t>
      </w:r>
    </w:p>
    <w:p w14:paraId="07067B69">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sz w:val="24"/>
          <w:highlight w:val="none"/>
          <w:lang w:val="zh-CN"/>
        </w:rPr>
        <w:t>日期：  年  月   日</w:t>
      </w:r>
    </w:p>
    <w:p w14:paraId="6764C8A7">
      <w:pPr>
        <w:spacing w:beforeLines="50" w:after="50"/>
        <w:rPr>
          <w:rFonts w:ascii="宋体" w:hAnsi="宋体" w:cs="宋体"/>
          <w:color w:val="auto"/>
          <w:sz w:val="24"/>
          <w:szCs w:val="20"/>
          <w:highlight w:val="none"/>
        </w:rPr>
      </w:pPr>
    </w:p>
    <w:p w14:paraId="1CE15402">
      <w:pPr>
        <w:spacing w:line="360" w:lineRule="auto"/>
        <w:ind w:firstLine="602" w:firstLineChars="200"/>
        <w:rPr>
          <w:rFonts w:ascii="宋体" w:hAnsi="宋体" w:cs="宋体"/>
          <w:b/>
          <w:color w:val="auto"/>
          <w:sz w:val="30"/>
          <w:szCs w:val="30"/>
          <w:highlight w:val="none"/>
        </w:rPr>
      </w:pPr>
    </w:p>
    <w:p w14:paraId="35086B43">
      <w:pPr>
        <w:spacing w:line="360" w:lineRule="auto"/>
        <w:rPr>
          <w:rFonts w:ascii="宋体" w:hAnsi="宋体" w:cs="宋体"/>
          <w:b/>
          <w:color w:val="auto"/>
          <w:sz w:val="30"/>
          <w:szCs w:val="30"/>
          <w:highlight w:val="none"/>
        </w:rPr>
      </w:pPr>
      <w:r>
        <w:rPr>
          <w:rFonts w:hint="eastAsia" w:ascii="宋体" w:hAnsi="宋体" w:cs="宋体"/>
          <w:b/>
          <w:color w:val="auto"/>
          <w:sz w:val="30"/>
          <w:szCs w:val="30"/>
          <w:highlight w:val="none"/>
        </w:rPr>
        <w:t>二、供应商依法缴纳税收的相关材料</w:t>
      </w:r>
    </w:p>
    <w:p w14:paraId="235AD649">
      <w:pPr>
        <w:spacing w:line="360" w:lineRule="auto"/>
        <w:ind w:firstLine="602" w:firstLineChars="200"/>
        <w:rPr>
          <w:rFonts w:ascii="宋体" w:hAnsi="宋体" w:cs="宋体"/>
          <w:b/>
          <w:color w:val="auto"/>
          <w:sz w:val="30"/>
          <w:szCs w:val="30"/>
          <w:highlight w:val="none"/>
        </w:rPr>
      </w:pPr>
    </w:p>
    <w:p w14:paraId="05A46DC2">
      <w:pPr>
        <w:autoSpaceDE w:val="0"/>
        <w:autoSpaceDN w:val="0"/>
        <w:spacing w:line="360" w:lineRule="auto"/>
        <w:ind w:left="4365" w:leftChars="1850" w:hanging="480" w:hangingChars="200"/>
        <w:rPr>
          <w:rFonts w:ascii="宋体" w:hAnsi="宋体" w:cs="宋体"/>
          <w:color w:val="auto"/>
          <w:sz w:val="24"/>
          <w:highlight w:val="none"/>
        </w:rPr>
      </w:pPr>
      <w:r>
        <w:rPr>
          <w:rFonts w:hint="eastAsia" w:ascii="宋体" w:hAnsi="宋体" w:cs="宋体"/>
          <w:color w:val="auto"/>
          <w:sz w:val="24"/>
          <w:highlight w:val="none"/>
        </w:rPr>
        <w:t>供应商名称（电子签章）：</w:t>
      </w:r>
    </w:p>
    <w:p w14:paraId="63FEFD28">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sz w:val="24"/>
          <w:highlight w:val="none"/>
          <w:lang w:val="zh-CN"/>
        </w:rPr>
        <w:t>日期：  年  月   日</w:t>
      </w:r>
    </w:p>
    <w:p w14:paraId="06CBEE71">
      <w:pPr>
        <w:spacing w:beforeLines="50" w:after="50"/>
        <w:rPr>
          <w:rFonts w:ascii="宋体" w:hAnsi="宋体" w:cs="宋体"/>
          <w:color w:val="auto"/>
          <w:sz w:val="24"/>
          <w:szCs w:val="20"/>
          <w:highlight w:val="none"/>
        </w:rPr>
      </w:pPr>
    </w:p>
    <w:p w14:paraId="51A21D93">
      <w:pPr>
        <w:spacing w:line="360" w:lineRule="auto"/>
        <w:ind w:firstLine="602" w:firstLineChars="200"/>
        <w:rPr>
          <w:rFonts w:ascii="宋体" w:hAnsi="宋体" w:cs="宋体"/>
          <w:b/>
          <w:color w:val="auto"/>
          <w:sz w:val="30"/>
          <w:szCs w:val="30"/>
          <w:highlight w:val="none"/>
        </w:rPr>
      </w:pPr>
    </w:p>
    <w:p w14:paraId="0050183F">
      <w:pPr>
        <w:spacing w:line="300" w:lineRule="auto"/>
        <w:rPr>
          <w:rFonts w:ascii="宋体" w:hAnsi="宋体" w:cs="宋体"/>
          <w:b/>
          <w:color w:val="auto"/>
          <w:sz w:val="30"/>
          <w:szCs w:val="30"/>
          <w:highlight w:val="none"/>
        </w:rPr>
      </w:pPr>
      <w:r>
        <w:rPr>
          <w:rFonts w:hint="eastAsia" w:ascii="宋体" w:hAnsi="宋体" w:cs="宋体"/>
          <w:b/>
          <w:color w:val="auto"/>
          <w:sz w:val="30"/>
          <w:szCs w:val="30"/>
          <w:highlight w:val="none"/>
        </w:rPr>
        <w:t>三、供应商依法缴纳社会保障资金的相关材料</w:t>
      </w:r>
    </w:p>
    <w:p w14:paraId="2AEA9EAF">
      <w:pPr>
        <w:spacing w:line="360" w:lineRule="auto"/>
        <w:ind w:firstLine="602" w:firstLineChars="200"/>
        <w:rPr>
          <w:rFonts w:ascii="宋体" w:hAnsi="宋体" w:cs="宋体"/>
          <w:b/>
          <w:color w:val="auto"/>
          <w:sz w:val="30"/>
          <w:szCs w:val="30"/>
          <w:highlight w:val="none"/>
        </w:rPr>
      </w:pPr>
    </w:p>
    <w:p w14:paraId="1A1AEC71">
      <w:pPr>
        <w:autoSpaceDE w:val="0"/>
        <w:autoSpaceDN w:val="0"/>
        <w:spacing w:line="360" w:lineRule="auto"/>
        <w:ind w:left="4365" w:leftChars="1850" w:hanging="480" w:hangingChars="200"/>
        <w:rPr>
          <w:rFonts w:ascii="宋体" w:hAnsi="宋体" w:cs="宋体"/>
          <w:color w:val="auto"/>
          <w:sz w:val="24"/>
          <w:highlight w:val="none"/>
        </w:rPr>
      </w:pPr>
      <w:r>
        <w:rPr>
          <w:rFonts w:hint="eastAsia" w:ascii="宋体" w:hAnsi="宋体" w:cs="宋体"/>
          <w:color w:val="auto"/>
          <w:sz w:val="24"/>
          <w:highlight w:val="none"/>
        </w:rPr>
        <w:t>供应商名称（电子签章）：</w:t>
      </w:r>
    </w:p>
    <w:p w14:paraId="5806EDEF">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sz w:val="24"/>
          <w:highlight w:val="none"/>
          <w:lang w:val="zh-CN"/>
        </w:rPr>
        <w:t>日期：  年  月   日</w:t>
      </w:r>
    </w:p>
    <w:p w14:paraId="1C2C60D1">
      <w:pPr>
        <w:spacing w:beforeLines="50" w:after="50"/>
        <w:rPr>
          <w:rFonts w:ascii="宋体" w:hAnsi="宋体" w:cs="宋体"/>
          <w:color w:val="auto"/>
          <w:sz w:val="24"/>
          <w:szCs w:val="20"/>
          <w:highlight w:val="none"/>
        </w:rPr>
      </w:pPr>
      <w:r>
        <w:rPr>
          <w:rFonts w:hint="eastAsia" w:ascii="宋体" w:hAnsi="宋体" w:cs="宋体"/>
          <w:color w:val="auto"/>
          <w:szCs w:val="21"/>
          <w:highlight w:val="none"/>
        </w:rPr>
        <w:t xml:space="preserve"> </w:t>
      </w:r>
    </w:p>
    <w:p w14:paraId="4CB4841C">
      <w:pPr>
        <w:spacing w:line="360" w:lineRule="auto"/>
        <w:ind w:firstLine="602" w:firstLineChars="200"/>
        <w:rPr>
          <w:rFonts w:ascii="宋体" w:hAnsi="宋体" w:cs="宋体"/>
          <w:b/>
          <w:color w:val="auto"/>
          <w:sz w:val="30"/>
          <w:szCs w:val="30"/>
          <w:highlight w:val="none"/>
        </w:rPr>
      </w:pPr>
    </w:p>
    <w:p w14:paraId="1A7423E6">
      <w:pPr>
        <w:spacing w:line="300" w:lineRule="auto"/>
        <w:rPr>
          <w:rFonts w:ascii="宋体" w:hAnsi="宋体" w:cs="宋体"/>
          <w:b/>
          <w:color w:val="auto"/>
          <w:sz w:val="30"/>
          <w:szCs w:val="30"/>
          <w:highlight w:val="none"/>
        </w:rPr>
      </w:pPr>
      <w:r>
        <w:rPr>
          <w:rFonts w:hint="eastAsia" w:ascii="宋体" w:hAnsi="宋体" w:cs="宋体"/>
          <w:b/>
          <w:color w:val="auto"/>
          <w:sz w:val="30"/>
          <w:szCs w:val="30"/>
          <w:highlight w:val="none"/>
        </w:rPr>
        <w:t>四、供应商财务状况报告</w:t>
      </w:r>
    </w:p>
    <w:p w14:paraId="2A676B27">
      <w:pPr>
        <w:spacing w:line="360" w:lineRule="auto"/>
        <w:ind w:firstLine="602" w:firstLineChars="200"/>
        <w:rPr>
          <w:rFonts w:ascii="宋体" w:hAnsi="宋体" w:cs="宋体"/>
          <w:b/>
          <w:color w:val="auto"/>
          <w:sz w:val="30"/>
          <w:szCs w:val="30"/>
          <w:highlight w:val="none"/>
        </w:rPr>
      </w:pPr>
    </w:p>
    <w:p w14:paraId="6BC836C6">
      <w:pPr>
        <w:autoSpaceDE w:val="0"/>
        <w:autoSpaceDN w:val="0"/>
        <w:spacing w:line="360" w:lineRule="auto"/>
        <w:ind w:left="4365" w:leftChars="1850" w:hanging="480" w:hangingChars="200"/>
        <w:rPr>
          <w:rFonts w:ascii="宋体" w:hAnsi="宋体" w:cs="宋体"/>
          <w:color w:val="auto"/>
          <w:sz w:val="24"/>
          <w:highlight w:val="none"/>
        </w:rPr>
      </w:pPr>
      <w:r>
        <w:rPr>
          <w:rFonts w:hint="eastAsia" w:ascii="宋体" w:hAnsi="宋体" w:cs="宋体"/>
          <w:color w:val="auto"/>
          <w:sz w:val="24"/>
          <w:highlight w:val="none"/>
        </w:rPr>
        <w:t>供应商名称（电子签章）：</w:t>
      </w:r>
    </w:p>
    <w:p w14:paraId="3F64F573">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sz w:val="24"/>
          <w:highlight w:val="none"/>
          <w:lang w:val="zh-CN"/>
        </w:rPr>
        <w:t>日期：  年  月   日</w:t>
      </w:r>
    </w:p>
    <w:p w14:paraId="567CF844">
      <w:pPr>
        <w:spacing w:line="300" w:lineRule="auto"/>
        <w:ind w:firstLine="596" w:firstLineChars="198"/>
        <w:rPr>
          <w:rFonts w:ascii="宋体" w:hAnsi="宋体" w:cs="宋体"/>
          <w:b/>
          <w:color w:val="auto"/>
          <w:sz w:val="30"/>
          <w:szCs w:val="30"/>
          <w:highlight w:val="none"/>
        </w:rPr>
      </w:pPr>
    </w:p>
    <w:p w14:paraId="46895E02">
      <w:pPr>
        <w:spacing w:line="360" w:lineRule="auto"/>
        <w:contextualSpacing/>
        <w:rPr>
          <w:rFonts w:ascii="宋体" w:hAnsi="宋体" w:cs="宋体"/>
          <w:b/>
          <w:color w:val="auto"/>
          <w:sz w:val="30"/>
          <w:szCs w:val="30"/>
          <w:highlight w:val="none"/>
        </w:rPr>
      </w:pPr>
    </w:p>
    <w:p w14:paraId="510B36B1">
      <w:pPr>
        <w:spacing w:line="360" w:lineRule="auto"/>
        <w:contextualSpacing/>
        <w:rPr>
          <w:rFonts w:ascii="宋体" w:hAnsi="宋体" w:cs="宋体"/>
          <w:b/>
          <w:color w:val="auto"/>
          <w:sz w:val="30"/>
          <w:szCs w:val="30"/>
          <w:highlight w:val="none"/>
        </w:rPr>
      </w:pPr>
    </w:p>
    <w:p w14:paraId="41D9DB17">
      <w:pPr>
        <w:spacing w:line="300" w:lineRule="auto"/>
        <w:rPr>
          <w:rFonts w:ascii="宋体" w:hAnsi="宋体" w:cs="宋体"/>
          <w:b/>
          <w:color w:val="auto"/>
          <w:sz w:val="30"/>
          <w:szCs w:val="30"/>
          <w:highlight w:val="none"/>
        </w:rPr>
      </w:pPr>
      <w:r>
        <w:rPr>
          <w:rFonts w:hint="eastAsia" w:ascii="宋体" w:hAnsi="宋体" w:cs="宋体"/>
          <w:b/>
          <w:color w:val="auto"/>
          <w:sz w:val="30"/>
          <w:szCs w:val="30"/>
          <w:highlight w:val="none"/>
        </w:rPr>
        <w:br w:type="page"/>
      </w:r>
    </w:p>
    <w:p w14:paraId="782C542D">
      <w:pPr>
        <w:spacing w:line="300" w:lineRule="auto"/>
        <w:rPr>
          <w:rFonts w:ascii="宋体" w:hAnsi="宋体" w:cs="宋体"/>
          <w:b/>
          <w:color w:val="auto"/>
          <w:sz w:val="30"/>
          <w:szCs w:val="30"/>
          <w:highlight w:val="none"/>
        </w:rPr>
      </w:pPr>
      <w:r>
        <w:rPr>
          <w:rFonts w:hint="eastAsia" w:ascii="宋体" w:hAnsi="宋体" w:cs="宋体"/>
          <w:b/>
          <w:color w:val="auto"/>
          <w:sz w:val="30"/>
          <w:szCs w:val="30"/>
          <w:highlight w:val="none"/>
        </w:rPr>
        <w:t>五、供应商直接控股、管理关系信息表</w:t>
      </w:r>
    </w:p>
    <w:p w14:paraId="34A83C48">
      <w:pPr>
        <w:spacing w:line="360" w:lineRule="auto"/>
        <w:contextualSpacing/>
        <w:jc w:val="center"/>
        <w:rPr>
          <w:rFonts w:ascii="宋体" w:hAnsi="宋体" w:cs="宋体"/>
          <w:b/>
          <w:color w:val="auto"/>
          <w:sz w:val="30"/>
          <w:szCs w:val="30"/>
          <w:highlight w:val="none"/>
        </w:rPr>
      </w:pPr>
    </w:p>
    <w:p w14:paraId="330905DA">
      <w:pPr>
        <w:spacing w:line="360" w:lineRule="auto"/>
        <w:contextualSpacing/>
        <w:jc w:val="center"/>
        <w:rPr>
          <w:rFonts w:ascii="宋体" w:hAnsi="宋体" w:cs="宋体"/>
          <w:b/>
          <w:color w:val="auto"/>
          <w:sz w:val="24"/>
          <w:highlight w:val="none"/>
        </w:rPr>
      </w:pPr>
      <w:r>
        <w:rPr>
          <w:rFonts w:hint="eastAsia" w:ascii="宋体" w:hAnsi="宋体" w:cs="宋体"/>
          <w:b/>
          <w:color w:val="auto"/>
          <w:sz w:val="30"/>
          <w:szCs w:val="30"/>
          <w:highlight w:val="none"/>
        </w:rPr>
        <w:t>供应商直接控股股东信息</w:t>
      </w:r>
    </w:p>
    <w:tbl>
      <w:tblPr>
        <w:tblStyle w:val="30"/>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776364DB">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64AC27D">
            <w:pPr>
              <w:widowControl/>
              <w:spacing w:line="400" w:lineRule="exact"/>
              <w:contextualSpacing/>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CE85BB9">
            <w:pPr>
              <w:widowControl/>
              <w:spacing w:line="400" w:lineRule="exact"/>
              <w:contextualSpacing/>
              <w:jc w:val="center"/>
              <w:rPr>
                <w:rFonts w:ascii="宋体" w:hAnsi="宋体" w:cs="宋体"/>
                <w:b/>
                <w:bCs/>
                <w:color w:val="auto"/>
                <w:sz w:val="24"/>
                <w:highlight w:val="none"/>
              </w:rPr>
            </w:pPr>
            <w:r>
              <w:rPr>
                <w:rFonts w:hint="eastAsia" w:ascii="宋体" w:hAnsi="宋体" w:cs="宋体"/>
                <w:b/>
                <w:bCs/>
                <w:color w:val="auto"/>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1D15CF7">
            <w:pPr>
              <w:widowControl/>
              <w:spacing w:line="400" w:lineRule="exact"/>
              <w:contextualSpacing/>
              <w:jc w:val="center"/>
              <w:rPr>
                <w:rFonts w:ascii="宋体" w:hAnsi="宋体" w:cs="宋体"/>
                <w:b/>
                <w:bCs/>
                <w:color w:val="auto"/>
                <w:sz w:val="24"/>
                <w:highlight w:val="none"/>
              </w:rPr>
            </w:pPr>
            <w:r>
              <w:rPr>
                <w:rFonts w:hint="eastAsia" w:ascii="宋体" w:hAnsi="宋体" w:cs="宋体"/>
                <w:b/>
                <w:bCs/>
                <w:color w:val="auto"/>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C59E392">
            <w:pPr>
              <w:widowControl/>
              <w:spacing w:line="400" w:lineRule="exact"/>
              <w:contextualSpacing/>
              <w:jc w:val="center"/>
              <w:rPr>
                <w:rFonts w:ascii="宋体" w:hAnsi="宋体" w:cs="宋体"/>
                <w:b/>
                <w:bCs/>
                <w:color w:val="auto"/>
                <w:sz w:val="24"/>
                <w:highlight w:val="none"/>
              </w:rPr>
            </w:pPr>
            <w:r>
              <w:rPr>
                <w:rFonts w:hint="eastAsia" w:ascii="宋体" w:hAnsi="宋体" w:cs="宋体"/>
                <w:b/>
                <w:bCs/>
                <w:color w:val="auto"/>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C5166EF">
            <w:pPr>
              <w:widowControl/>
              <w:spacing w:line="400" w:lineRule="exact"/>
              <w:contextualSpacing/>
              <w:jc w:val="center"/>
              <w:rPr>
                <w:rFonts w:ascii="宋体" w:hAnsi="宋体" w:cs="宋体"/>
                <w:b/>
                <w:bCs/>
                <w:color w:val="auto"/>
                <w:sz w:val="24"/>
                <w:highlight w:val="none"/>
              </w:rPr>
            </w:pPr>
            <w:r>
              <w:rPr>
                <w:rFonts w:hint="eastAsia" w:ascii="宋体" w:hAnsi="宋体" w:cs="宋体"/>
                <w:b/>
                <w:bCs/>
                <w:color w:val="auto"/>
                <w:sz w:val="24"/>
                <w:highlight w:val="none"/>
              </w:rPr>
              <w:t>备注</w:t>
            </w:r>
          </w:p>
        </w:tc>
      </w:tr>
      <w:tr w14:paraId="7CBFAB5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E51E4AD">
            <w:pPr>
              <w:widowControl/>
              <w:spacing w:line="400" w:lineRule="exact"/>
              <w:contextualSpacing/>
              <w:jc w:val="center"/>
              <w:rPr>
                <w:rFonts w:ascii="宋体" w:hAnsi="宋体" w:cs="宋体"/>
                <w:color w:val="auto"/>
                <w:sz w:val="24"/>
                <w:highlight w:val="none"/>
              </w:rPr>
            </w:pPr>
            <w:r>
              <w:rPr>
                <w:rFonts w:hint="eastAsia" w:ascii="宋体" w:hAnsi="宋体" w:cs="宋体"/>
                <w:color w:val="auto"/>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DB4FEE8">
            <w:pPr>
              <w:widowControl/>
              <w:spacing w:line="400" w:lineRule="exact"/>
              <w:contextualSpacing/>
              <w:jc w:val="center"/>
              <w:rPr>
                <w:rFonts w:ascii="宋体" w:hAnsi="宋体" w:cs="宋体"/>
                <w:color w:val="auto"/>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08B6F18">
            <w:pPr>
              <w:widowControl/>
              <w:spacing w:line="400" w:lineRule="exact"/>
              <w:contextualSpacing/>
              <w:jc w:val="center"/>
              <w:rPr>
                <w:rFonts w:ascii="宋体" w:hAnsi="宋体" w:cs="宋体"/>
                <w:color w:val="auto"/>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E6F9E4B">
            <w:pPr>
              <w:widowControl/>
              <w:spacing w:line="400" w:lineRule="exact"/>
              <w:contextualSpacing/>
              <w:jc w:val="center"/>
              <w:rPr>
                <w:rFonts w:ascii="宋体" w:hAnsi="宋体" w:cs="宋体"/>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D790E78">
            <w:pPr>
              <w:widowControl/>
              <w:spacing w:line="400" w:lineRule="exact"/>
              <w:contextualSpacing/>
              <w:jc w:val="center"/>
              <w:rPr>
                <w:rFonts w:ascii="宋体" w:hAnsi="宋体" w:cs="宋体"/>
                <w:color w:val="auto"/>
                <w:sz w:val="24"/>
                <w:highlight w:val="none"/>
              </w:rPr>
            </w:pPr>
          </w:p>
        </w:tc>
      </w:tr>
      <w:tr w14:paraId="3B8478FE">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7080201">
            <w:pPr>
              <w:widowControl/>
              <w:spacing w:line="400" w:lineRule="exact"/>
              <w:contextualSpacing/>
              <w:jc w:val="center"/>
              <w:rPr>
                <w:rFonts w:ascii="宋体" w:hAnsi="宋体" w:cs="宋体"/>
                <w:color w:val="auto"/>
                <w:sz w:val="24"/>
                <w:highlight w:val="none"/>
              </w:rPr>
            </w:pPr>
            <w:r>
              <w:rPr>
                <w:rFonts w:hint="eastAsia" w:ascii="宋体" w:hAnsi="宋体" w:cs="宋体"/>
                <w:color w:val="auto"/>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EEFB76E">
            <w:pPr>
              <w:widowControl/>
              <w:spacing w:line="400" w:lineRule="exact"/>
              <w:contextualSpacing/>
              <w:jc w:val="center"/>
              <w:rPr>
                <w:rFonts w:ascii="宋体" w:hAnsi="宋体" w:cs="宋体"/>
                <w:color w:val="auto"/>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21B8674">
            <w:pPr>
              <w:widowControl/>
              <w:spacing w:line="400" w:lineRule="exact"/>
              <w:contextualSpacing/>
              <w:jc w:val="center"/>
              <w:rPr>
                <w:rFonts w:ascii="宋体" w:hAnsi="宋体" w:cs="宋体"/>
                <w:color w:val="auto"/>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EEF79CB">
            <w:pPr>
              <w:widowControl/>
              <w:spacing w:line="400" w:lineRule="exact"/>
              <w:contextualSpacing/>
              <w:jc w:val="center"/>
              <w:rPr>
                <w:rFonts w:ascii="宋体" w:hAnsi="宋体" w:cs="宋体"/>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743DC7A">
            <w:pPr>
              <w:widowControl/>
              <w:spacing w:line="400" w:lineRule="exact"/>
              <w:contextualSpacing/>
              <w:jc w:val="center"/>
              <w:rPr>
                <w:rFonts w:ascii="宋体" w:hAnsi="宋体" w:cs="宋体"/>
                <w:color w:val="auto"/>
                <w:sz w:val="24"/>
                <w:highlight w:val="none"/>
              </w:rPr>
            </w:pPr>
          </w:p>
        </w:tc>
      </w:tr>
      <w:tr w14:paraId="3AC45ADF">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44133F0">
            <w:pPr>
              <w:widowControl/>
              <w:spacing w:line="400" w:lineRule="exact"/>
              <w:contextualSpacing/>
              <w:jc w:val="center"/>
              <w:rPr>
                <w:rFonts w:ascii="宋体" w:hAnsi="宋体" w:cs="宋体"/>
                <w:color w:val="auto"/>
                <w:sz w:val="24"/>
                <w:highlight w:val="none"/>
              </w:rPr>
            </w:pPr>
            <w:r>
              <w:rPr>
                <w:rFonts w:hint="eastAsia" w:ascii="宋体" w:hAnsi="宋体" w:cs="宋体"/>
                <w:color w:val="auto"/>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3EEB8B5">
            <w:pPr>
              <w:widowControl/>
              <w:spacing w:line="400" w:lineRule="exact"/>
              <w:contextualSpacing/>
              <w:jc w:val="center"/>
              <w:rPr>
                <w:rFonts w:ascii="宋体" w:hAnsi="宋体" w:cs="宋体"/>
                <w:color w:val="auto"/>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9611E35">
            <w:pPr>
              <w:widowControl/>
              <w:spacing w:line="400" w:lineRule="exact"/>
              <w:contextualSpacing/>
              <w:jc w:val="center"/>
              <w:rPr>
                <w:rFonts w:ascii="宋体" w:hAnsi="宋体" w:cs="宋体"/>
                <w:color w:val="auto"/>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D908614">
            <w:pPr>
              <w:widowControl/>
              <w:spacing w:line="400" w:lineRule="exact"/>
              <w:contextualSpacing/>
              <w:jc w:val="center"/>
              <w:rPr>
                <w:rFonts w:ascii="宋体" w:hAnsi="宋体" w:cs="宋体"/>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37E7E0D">
            <w:pPr>
              <w:widowControl/>
              <w:spacing w:line="400" w:lineRule="exact"/>
              <w:contextualSpacing/>
              <w:jc w:val="center"/>
              <w:rPr>
                <w:rFonts w:ascii="宋体" w:hAnsi="宋体" w:cs="宋体"/>
                <w:color w:val="auto"/>
                <w:sz w:val="24"/>
                <w:highlight w:val="none"/>
              </w:rPr>
            </w:pPr>
          </w:p>
        </w:tc>
      </w:tr>
      <w:tr w14:paraId="2DDE941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0E6A553">
            <w:pPr>
              <w:widowControl/>
              <w:spacing w:line="400" w:lineRule="exact"/>
              <w:contextualSpacing/>
              <w:jc w:val="center"/>
              <w:rPr>
                <w:rFonts w:ascii="宋体" w:hAnsi="宋体" w:cs="宋体"/>
                <w:color w:val="auto"/>
                <w:sz w:val="24"/>
                <w:highlight w:val="none"/>
              </w:rPr>
            </w:pPr>
            <w:r>
              <w:rPr>
                <w:rFonts w:hint="eastAsia" w:ascii="宋体" w:hAnsi="宋体" w:cs="宋体"/>
                <w:color w:val="auto"/>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4C76F12">
            <w:pPr>
              <w:widowControl/>
              <w:spacing w:line="400" w:lineRule="exact"/>
              <w:contextualSpacing/>
              <w:jc w:val="center"/>
              <w:rPr>
                <w:rFonts w:ascii="宋体" w:hAnsi="宋体" w:cs="宋体"/>
                <w:color w:val="auto"/>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A01BC8D">
            <w:pPr>
              <w:widowControl/>
              <w:spacing w:line="400" w:lineRule="exact"/>
              <w:contextualSpacing/>
              <w:jc w:val="center"/>
              <w:rPr>
                <w:rFonts w:ascii="宋体" w:hAnsi="宋体" w:cs="宋体"/>
                <w:color w:val="auto"/>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2CF129F">
            <w:pPr>
              <w:widowControl/>
              <w:spacing w:line="400" w:lineRule="exact"/>
              <w:contextualSpacing/>
              <w:jc w:val="center"/>
              <w:rPr>
                <w:rFonts w:ascii="宋体" w:hAnsi="宋体" w:cs="宋体"/>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9FD75CA">
            <w:pPr>
              <w:widowControl/>
              <w:spacing w:line="400" w:lineRule="exact"/>
              <w:contextualSpacing/>
              <w:jc w:val="center"/>
              <w:rPr>
                <w:rFonts w:ascii="宋体" w:hAnsi="宋体" w:cs="宋体"/>
                <w:color w:val="auto"/>
                <w:sz w:val="24"/>
                <w:highlight w:val="none"/>
              </w:rPr>
            </w:pPr>
          </w:p>
        </w:tc>
      </w:tr>
    </w:tbl>
    <w:p w14:paraId="571FB10C">
      <w:pPr>
        <w:spacing w:beforeLines="50"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w:t>
      </w:r>
    </w:p>
    <w:p w14:paraId="26E05E1B">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325E4C7">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1C6892AB">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3.供应商不存在直接控股股东的，则填“无”。</w:t>
      </w:r>
    </w:p>
    <w:p w14:paraId="4195D91C">
      <w:pPr>
        <w:spacing w:line="360" w:lineRule="auto"/>
        <w:jc w:val="left"/>
        <w:rPr>
          <w:rFonts w:ascii="宋体" w:hAnsi="宋体" w:cs="宋体"/>
          <w:color w:val="auto"/>
          <w:sz w:val="24"/>
          <w:highlight w:val="none"/>
        </w:rPr>
      </w:pPr>
    </w:p>
    <w:p w14:paraId="721E0DB0">
      <w:pPr>
        <w:autoSpaceDE w:val="0"/>
        <w:autoSpaceDN w:val="0"/>
        <w:spacing w:line="360" w:lineRule="auto"/>
        <w:ind w:left="4365" w:leftChars="1850" w:hanging="480" w:hangingChars="200"/>
        <w:rPr>
          <w:rFonts w:ascii="宋体" w:hAnsi="宋体" w:cs="宋体"/>
          <w:color w:val="auto"/>
          <w:sz w:val="24"/>
          <w:highlight w:val="none"/>
        </w:rPr>
      </w:pPr>
      <w:r>
        <w:rPr>
          <w:rFonts w:hint="eastAsia" w:ascii="宋体" w:hAnsi="宋体" w:cs="宋体"/>
          <w:color w:val="auto"/>
          <w:sz w:val="24"/>
          <w:highlight w:val="none"/>
        </w:rPr>
        <w:t>供应商名称（电子签章）：</w:t>
      </w:r>
    </w:p>
    <w:p w14:paraId="7C38A537">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sz w:val="24"/>
          <w:highlight w:val="none"/>
          <w:lang w:val="zh-CN"/>
        </w:rPr>
        <w:t>日期：  年  月   日</w:t>
      </w:r>
    </w:p>
    <w:p w14:paraId="46F8790F">
      <w:pPr>
        <w:jc w:val="center"/>
        <w:rPr>
          <w:rFonts w:ascii="宋体" w:hAnsi="宋体" w:cs="宋体"/>
          <w:b/>
          <w:color w:val="auto"/>
          <w:sz w:val="30"/>
          <w:szCs w:val="30"/>
          <w:highlight w:val="none"/>
        </w:rPr>
      </w:pPr>
      <w:r>
        <w:rPr>
          <w:rFonts w:hint="eastAsia" w:ascii="宋体" w:hAnsi="宋体" w:cs="宋体"/>
          <w:b/>
          <w:color w:val="auto"/>
          <w:sz w:val="30"/>
          <w:szCs w:val="30"/>
          <w:highlight w:val="none"/>
        </w:rPr>
        <w:br w:type="page"/>
      </w:r>
    </w:p>
    <w:p w14:paraId="22EBDBB8">
      <w:pPr>
        <w:jc w:val="center"/>
        <w:rPr>
          <w:rFonts w:ascii="宋体" w:hAnsi="宋体" w:cs="宋体"/>
          <w:b/>
          <w:color w:val="auto"/>
          <w:sz w:val="30"/>
          <w:szCs w:val="30"/>
          <w:highlight w:val="none"/>
        </w:rPr>
      </w:pPr>
      <w:r>
        <w:rPr>
          <w:rFonts w:hint="eastAsia" w:ascii="宋体" w:hAnsi="宋体" w:cs="宋体"/>
          <w:b/>
          <w:color w:val="auto"/>
          <w:sz w:val="30"/>
          <w:szCs w:val="30"/>
          <w:highlight w:val="none"/>
        </w:rPr>
        <w:t>供应商直接管理关系信息表</w:t>
      </w:r>
    </w:p>
    <w:p w14:paraId="7544CDBD">
      <w:pPr>
        <w:spacing w:line="360" w:lineRule="auto"/>
        <w:jc w:val="center"/>
        <w:rPr>
          <w:rFonts w:ascii="宋体" w:hAnsi="宋体" w:cs="宋体"/>
          <w:b/>
          <w:color w:val="auto"/>
          <w:sz w:val="24"/>
          <w:highlight w:val="none"/>
        </w:rPr>
      </w:pPr>
    </w:p>
    <w:tbl>
      <w:tblPr>
        <w:tblStyle w:val="30"/>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5D55DC39">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146F5F0">
            <w:pPr>
              <w:widowControl/>
              <w:spacing w:line="400" w:lineRule="exact"/>
              <w:contextualSpacing/>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AF9DCF6">
            <w:pPr>
              <w:widowControl/>
              <w:spacing w:line="400" w:lineRule="exact"/>
              <w:contextualSpacing/>
              <w:jc w:val="center"/>
              <w:rPr>
                <w:rFonts w:ascii="宋体" w:hAnsi="宋体" w:cs="宋体"/>
                <w:b/>
                <w:bCs/>
                <w:color w:val="auto"/>
                <w:sz w:val="24"/>
                <w:highlight w:val="none"/>
              </w:rPr>
            </w:pPr>
            <w:r>
              <w:rPr>
                <w:rFonts w:hint="eastAsia" w:ascii="宋体" w:hAnsi="宋体" w:cs="宋体"/>
                <w:b/>
                <w:bCs/>
                <w:color w:val="auto"/>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84B2E82">
            <w:pPr>
              <w:widowControl/>
              <w:spacing w:line="400" w:lineRule="exact"/>
              <w:contextualSpacing/>
              <w:jc w:val="center"/>
              <w:rPr>
                <w:rFonts w:ascii="宋体" w:hAnsi="宋体" w:cs="宋体"/>
                <w:b/>
                <w:bCs/>
                <w:color w:val="auto"/>
                <w:sz w:val="24"/>
                <w:highlight w:val="none"/>
              </w:rPr>
            </w:pPr>
            <w:r>
              <w:rPr>
                <w:rFonts w:hint="eastAsia" w:ascii="宋体" w:hAnsi="宋体" w:cs="宋体"/>
                <w:b/>
                <w:bCs/>
                <w:color w:val="auto"/>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5C24BDC">
            <w:pPr>
              <w:widowControl/>
              <w:spacing w:line="400" w:lineRule="exact"/>
              <w:contextualSpacing/>
              <w:jc w:val="center"/>
              <w:rPr>
                <w:rFonts w:ascii="宋体" w:hAnsi="宋体" w:cs="宋体"/>
                <w:b/>
                <w:bCs/>
                <w:color w:val="auto"/>
                <w:sz w:val="24"/>
                <w:highlight w:val="none"/>
              </w:rPr>
            </w:pPr>
            <w:r>
              <w:rPr>
                <w:rFonts w:hint="eastAsia" w:ascii="宋体" w:hAnsi="宋体" w:cs="宋体"/>
                <w:b/>
                <w:bCs/>
                <w:color w:val="auto"/>
                <w:sz w:val="24"/>
                <w:highlight w:val="none"/>
              </w:rPr>
              <w:t>备注</w:t>
            </w:r>
          </w:p>
        </w:tc>
      </w:tr>
      <w:tr w14:paraId="0D8BF4C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F239FFA">
            <w:pPr>
              <w:widowControl/>
              <w:spacing w:line="400" w:lineRule="exact"/>
              <w:contextualSpacing/>
              <w:jc w:val="center"/>
              <w:rPr>
                <w:rFonts w:ascii="宋体" w:hAnsi="宋体" w:cs="宋体"/>
                <w:color w:val="auto"/>
                <w:sz w:val="24"/>
                <w:highlight w:val="none"/>
              </w:rPr>
            </w:pPr>
            <w:r>
              <w:rPr>
                <w:rFonts w:hint="eastAsia" w:ascii="宋体" w:hAnsi="宋体" w:cs="宋体"/>
                <w:color w:val="auto"/>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1F729D5">
            <w:pPr>
              <w:widowControl/>
              <w:spacing w:line="400" w:lineRule="exact"/>
              <w:contextualSpacing/>
              <w:jc w:val="center"/>
              <w:rPr>
                <w:rFonts w:ascii="宋体" w:hAnsi="宋体" w:cs="宋体"/>
                <w:color w:val="auto"/>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E2182D9">
            <w:pPr>
              <w:widowControl/>
              <w:spacing w:line="400" w:lineRule="exact"/>
              <w:contextualSpacing/>
              <w:jc w:val="center"/>
              <w:rPr>
                <w:rFonts w:ascii="宋体" w:hAnsi="宋体" w:cs="宋体"/>
                <w:color w:val="auto"/>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6F73646">
            <w:pPr>
              <w:widowControl/>
              <w:spacing w:line="400" w:lineRule="exact"/>
              <w:contextualSpacing/>
              <w:jc w:val="center"/>
              <w:rPr>
                <w:rFonts w:ascii="宋体" w:hAnsi="宋体" w:cs="宋体"/>
                <w:color w:val="auto"/>
                <w:sz w:val="24"/>
                <w:highlight w:val="none"/>
              </w:rPr>
            </w:pPr>
          </w:p>
        </w:tc>
      </w:tr>
      <w:tr w14:paraId="71E3EA8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98094EF">
            <w:pPr>
              <w:widowControl/>
              <w:spacing w:line="400" w:lineRule="exact"/>
              <w:contextualSpacing/>
              <w:jc w:val="center"/>
              <w:rPr>
                <w:rFonts w:ascii="宋体" w:hAnsi="宋体" w:cs="宋体"/>
                <w:color w:val="auto"/>
                <w:sz w:val="24"/>
                <w:highlight w:val="none"/>
              </w:rPr>
            </w:pPr>
            <w:r>
              <w:rPr>
                <w:rFonts w:hint="eastAsia" w:ascii="宋体" w:hAnsi="宋体" w:cs="宋体"/>
                <w:color w:val="auto"/>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5693D7D">
            <w:pPr>
              <w:widowControl/>
              <w:spacing w:line="400" w:lineRule="exact"/>
              <w:contextualSpacing/>
              <w:jc w:val="center"/>
              <w:rPr>
                <w:rFonts w:ascii="宋体" w:hAnsi="宋体" w:cs="宋体"/>
                <w:color w:val="auto"/>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E79614D">
            <w:pPr>
              <w:widowControl/>
              <w:spacing w:line="400" w:lineRule="exact"/>
              <w:contextualSpacing/>
              <w:jc w:val="center"/>
              <w:rPr>
                <w:rFonts w:ascii="宋体" w:hAnsi="宋体" w:cs="宋体"/>
                <w:color w:val="auto"/>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F5F107A">
            <w:pPr>
              <w:widowControl/>
              <w:spacing w:line="400" w:lineRule="exact"/>
              <w:contextualSpacing/>
              <w:jc w:val="center"/>
              <w:rPr>
                <w:rFonts w:ascii="宋体" w:hAnsi="宋体" w:cs="宋体"/>
                <w:color w:val="auto"/>
                <w:sz w:val="24"/>
                <w:highlight w:val="none"/>
              </w:rPr>
            </w:pPr>
          </w:p>
        </w:tc>
      </w:tr>
      <w:tr w14:paraId="475D5CAB">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3BC0AFB">
            <w:pPr>
              <w:widowControl/>
              <w:spacing w:line="400" w:lineRule="exact"/>
              <w:contextualSpacing/>
              <w:jc w:val="center"/>
              <w:rPr>
                <w:rFonts w:ascii="宋体" w:hAnsi="宋体" w:cs="宋体"/>
                <w:color w:val="auto"/>
                <w:sz w:val="24"/>
                <w:highlight w:val="none"/>
              </w:rPr>
            </w:pPr>
            <w:r>
              <w:rPr>
                <w:rFonts w:hint="eastAsia" w:ascii="宋体" w:hAnsi="宋体" w:cs="宋体"/>
                <w:color w:val="auto"/>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BA179C0">
            <w:pPr>
              <w:widowControl/>
              <w:spacing w:line="400" w:lineRule="exact"/>
              <w:contextualSpacing/>
              <w:jc w:val="center"/>
              <w:rPr>
                <w:rFonts w:ascii="宋体" w:hAnsi="宋体" w:cs="宋体"/>
                <w:color w:val="auto"/>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5136833">
            <w:pPr>
              <w:widowControl/>
              <w:spacing w:line="400" w:lineRule="exact"/>
              <w:contextualSpacing/>
              <w:jc w:val="center"/>
              <w:rPr>
                <w:rFonts w:ascii="宋体" w:hAnsi="宋体" w:cs="宋体"/>
                <w:color w:val="auto"/>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63CCD65">
            <w:pPr>
              <w:widowControl/>
              <w:spacing w:line="400" w:lineRule="exact"/>
              <w:contextualSpacing/>
              <w:jc w:val="center"/>
              <w:rPr>
                <w:rFonts w:ascii="宋体" w:hAnsi="宋体" w:cs="宋体"/>
                <w:color w:val="auto"/>
                <w:sz w:val="24"/>
                <w:highlight w:val="none"/>
              </w:rPr>
            </w:pPr>
          </w:p>
        </w:tc>
      </w:tr>
      <w:tr w14:paraId="16DB429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17338A7">
            <w:pPr>
              <w:widowControl/>
              <w:spacing w:line="400" w:lineRule="exact"/>
              <w:contextualSpacing/>
              <w:jc w:val="center"/>
              <w:rPr>
                <w:rFonts w:ascii="宋体" w:hAnsi="宋体" w:cs="宋体"/>
                <w:color w:val="auto"/>
                <w:sz w:val="24"/>
                <w:highlight w:val="none"/>
              </w:rPr>
            </w:pPr>
            <w:r>
              <w:rPr>
                <w:rFonts w:hint="eastAsia" w:ascii="宋体" w:hAnsi="宋体" w:cs="宋体"/>
                <w:color w:val="auto"/>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6B27DF1">
            <w:pPr>
              <w:widowControl/>
              <w:spacing w:line="400" w:lineRule="exact"/>
              <w:contextualSpacing/>
              <w:jc w:val="center"/>
              <w:rPr>
                <w:rFonts w:ascii="宋体" w:hAnsi="宋体" w:cs="宋体"/>
                <w:color w:val="auto"/>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F47D387">
            <w:pPr>
              <w:widowControl/>
              <w:spacing w:line="400" w:lineRule="exact"/>
              <w:contextualSpacing/>
              <w:jc w:val="center"/>
              <w:rPr>
                <w:rFonts w:ascii="宋体" w:hAnsi="宋体" w:cs="宋体"/>
                <w:color w:val="auto"/>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BC6DF5A">
            <w:pPr>
              <w:widowControl/>
              <w:spacing w:line="400" w:lineRule="exact"/>
              <w:contextualSpacing/>
              <w:jc w:val="center"/>
              <w:rPr>
                <w:rFonts w:ascii="宋体" w:hAnsi="宋体" w:cs="宋体"/>
                <w:color w:val="auto"/>
                <w:sz w:val="24"/>
                <w:highlight w:val="none"/>
              </w:rPr>
            </w:pPr>
          </w:p>
        </w:tc>
      </w:tr>
    </w:tbl>
    <w:p w14:paraId="3045D9B0">
      <w:pPr>
        <w:spacing w:beforeLines="50"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注：</w:t>
      </w:r>
    </w:p>
    <w:p w14:paraId="07795141">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1.管理关系：是指不具有出资持股关系的其他单位之间存在的管理与被管理关系，如一些上下级关系的事业单位和团体组织。</w:t>
      </w:r>
    </w:p>
    <w:p w14:paraId="014D77DA">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2.本表所指的管理关系仅限于直接管理关系，不包括间接的管理关系。</w:t>
      </w:r>
    </w:p>
    <w:p w14:paraId="7B4DCC86">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3.供应商不存在直接管理关系的，则填“无”。</w:t>
      </w:r>
    </w:p>
    <w:p w14:paraId="62179D89">
      <w:pPr>
        <w:spacing w:line="360" w:lineRule="auto"/>
        <w:contextualSpacing/>
        <w:jc w:val="left"/>
        <w:rPr>
          <w:rFonts w:ascii="宋体" w:hAnsi="宋体" w:cs="宋体"/>
          <w:color w:val="auto"/>
          <w:sz w:val="24"/>
          <w:highlight w:val="none"/>
        </w:rPr>
      </w:pPr>
    </w:p>
    <w:p w14:paraId="1B70DEA6">
      <w:pPr>
        <w:autoSpaceDE w:val="0"/>
        <w:autoSpaceDN w:val="0"/>
        <w:spacing w:line="360" w:lineRule="auto"/>
        <w:ind w:left="4365" w:leftChars="1850" w:hanging="480" w:hangingChars="200"/>
        <w:rPr>
          <w:rFonts w:ascii="宋体" w:hAnsi="宋体" w:cs="宋体"/>
          <w:color w:val="auto"/>
          <w:sz w:val="24"/>
          <w:highlight w:val="none"/>
        </w:rPr>
      </w:pPr>
      <w:r>
        <w:rPr>
          <w:rFonts w:hint="eastAsia" w:ascii="宋体" w:hAnsi="宋体" w:cs="宋体"/>
          <w:color w:val="auto"/>
          <w:sz w:val="24"/>
          <w:highlight w:val="none"/>
        </w:rPr>
        <w:t>供应商名称（电子签章）：</w:t>
      </w:r>
    </w:p>
    <w:p w14:paraId="781A3495">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sz w:val="24"/>
          <w:highlight w:val="none"/>
          <w:lang w:val="zh-CN"/>
        </w:rPr>
        <w:t>日期：  年  月   日</w:t>
      </w:r>
    </w:p>
    <w:p w14:paraId="0E4CD9DA">
      <w:pPr>
        <w:spacing w:line="360" w:lineRule="auto"/>
        <w:ind w:right="480" w:firstLine="240" w:firstLineChars="100"/>
        <w:contextualSpacing/>
        <w:jc w:val="center"/>
        <w:rPr>
          <w:rFonts w:ascii="宋体" w:hAnsi="宋体" w:cs="宋体"/>
          <w:color w:val="auto"/>
          <w:sz w:val="28"/>
          <w:szCs w:val="28"/>
          <w:highlight w:val="none"/>
        </w:rPr>
      </w:pPr>
      <w:r>
        <w:rPr>
          <w:rFonts w:hint="eastAsia" w:ascii="宋体" w:hAnsi="宋体" w:cs="宋体"/>
          <w:color w:val="auto"/>
          <w:sz w:val="24"/>
          <w:highlight w:val="none"/>
        </w:rPr>
        <w:t xml:space="preserve">                                  </w:t>
      </w:r>
    </w:p>
    <w:p w14:paraId="1957D7EE">
      <w:pPr>
        <w:spacing w:line="320" w:lineRule="exact"/>
        <w:jc w:val="left"/>
        <w:rPr>
          <w:rFonts w:ascii="宋体" w:hAnsi="宋体" w:cs="宋体"/>
          <w:color w:val="auto"/>
          <w:sz w:val="28"/>
          <w:szCs w:val="28"/>
          <w:highlight w:val="none"/>
        </w:rPr>
      </w:pPr>
      <w:r>
        <w:rPr>
          <w:rFonts w:hint="eastAsia" w:ascii="宋体" w:hAnsi="宋体" w:cs="宋体"/>
          <w:color w:val="auto"/>
          <w:sz w:val="28"/>
          <w:szCs w:val="28"/>
          <w:highlight w:val="none"/>
        </w:rPr>
        <w:br w:type="page"/>
      </w:r>
    </w:p>
    <w:p w14:paraId="5368D00D">
      <w:pPr>
        <w:spacing w:line="320" w:lineRule="exact"/>
        <w:jc w:val="left"/>
        <w:rPr>
          <w:rFonts w:ascii="宋体" w:hAnsi="宋体" w:cs="宋体"/>
          <w:color w:val="auto"/>
          <w:sz w:val="28"/>
          <w:szCs w:val="28"/>
          <w:highlight w:val="none"/>
        </w:rPr>
      </w:pPr>
      <w:r>
        <w:rPr>
          <w:rFonts w:hint="eastAsia" w:ascii="宋体" w:hAnsi="宋体" w:cs="宋体"/>
          <w:b/>
          <w:color w:val="auto"/>
          <w:sz w:val="30"/>
          <w:szCs w:val="30"/>
          <w:highlight w:val="none"/>
        </w:rPr>
        <w:t>六、资格声明</w:t>
      </w:r>
    </w:p>
    <w:p w14:paraId="64A34CFA">
      <w:pPr>
        <w:spacing w:line="320" w:lineRule="exact"/>
        <w:jc w:val="center"/>
        <w:rPr>
          <w:rFonts w:ascii="宋体" w:hAnsi="宋体" w:cs="宋体"/>
          <w:b/>
          <w:color w:val="auto"/>
          <w:sz w:val="32"/>
          <w:szCs w:val="32"/>
          <w:highlight w:val="none"/>
        </w:rPr>
      </w:pPr>
    </w:p>
    <w:p w14:paraId="6EDF2D3E">
      <w:pPr>
        <w:spacing w:line="32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资格声明函</w:t>
      </w:r>
    </w:p>
    <w:p w14:paraId="6C4BA5D0">
      <w:pPr>
        <w:spacing w:line="320" w:lineRule="exact"/>
        <w:jc w:val="center"/>
        <w:rPr>
          <w:rFonts w:ascii="宋体" w:hAnsi="宋体" w:cs="宋体"/>
          <w:color w:val="auto"/>
          <w:sz w:val="24"/>
          <w:szCs w:val="20"/>
          <w:highlight w:val="none"/>
        </w:rPr>
      </w:pPr>
    </w:p>
    <w:p w14:paraId="6C6910D8">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（采购代理机构名称）</w:t>
      </w:r>
      <w:r>
        <w:rPr>
          <w:rFonts w:hint="eastAsia" w:ascii="宋体" w:hAnsi="宋体" w:cs="宋体"/>
          <w:color w:val="auto"/>
          <w:sz w:val="24"/>
          <w:highlight w:val="none"/>
        </w:rPr>
        <w:t>：</w:t>
      </w:r>
    </w:p>
    <w:p w14:paraId="241CFCD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u w:val="single"/>
        </w:rPr>
        <w:t xml:space="preserve">           （供应商名称）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159187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 xml:space="preserve">           （项目名称）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08F5862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38AE595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2A0E0EB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3.在此，我方宣布同意如下：</w:t>
      </w:r>
    </w:p>
    <w:p w14:paraId="7F51B15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30FE777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45D6840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（3）同意提供按照贵方可能要求的与谈判有关的一切数据或者资料；</w:t>
      </w:r>
    </w:p>
    <w:p w14:paraId="636F2BE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（4）响应磋商文件规定的磋商有效期。</w:t>
      </w:r>
    </w:p>
    <w:p w14:paraId="07A1BDB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7BBE478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3A8570B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70AF8C6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3566736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49ADFA5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7D96FD7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（6）法律、行政法规规定的其他条件。</w:t>
      </w:r>
    </w:p>
    <w:p w14:paraId="17E3D50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名单、政府采购严重违法失信行为记录名单，完全符合《中华人民共和国政府采购法》第二十二条规定的供应商资格条件，我方对此声明负全部法律责任。</w:t>
      </w:r>
    </w:p>
    <w:p w14:paraId="7B57356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2ABF1CB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□我方本次响应文件内容中未涉及商业秘密；</w:t>
      </w:r>
    </w:p>
    <w:p w14:paraId="5808725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□我方本次响应文件涉及商业秘密的内容有：</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9288CBC">
      <w:pPr>
        <w:spacing w:line="360" w:lineRule="auto"/>
        <w:ind w:firstLine="480" w:firstLineChars="200"/>
        <w:contextualSpacing/>
        <w:rPr>
          <w:rFonts w:ascii="宋体" w:hAnsi="宋体" w:cs="宋体"/>
          <w:color w:val="auto"/>
          <w:sz w:val="24"/>
          <w:highlight w:val="none"/>
          <w:u w:val="single"/>
        </w:rPr>
      </w:pPr>
      <w:r>
        <w:rPr>
          <w:rFonts w:hint="eastAsia" w:ascii="宋体" w:hAnsi="宋体" w:cs="宋体"/>
          <w:color w:val="auto"/>
          <w:sz w:val="24"/>
          <w:highlight w:val="none"/>
        </w:rPr>
        <w:t>7.与本磋商有关的一切正式往来信函请寄：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邮政编号：</w:t>
      </w:r>
      <w:r>
        <w:rPr>
          <w:rFonts w:hint="eastAsia" w:ascii="宋体" w:hAnsi="宋体" w:cs="宋体"/>
          <w:color w:val="auto"/>
          <w:sz w:val="24"/>
          <w:highlight w:val="none"/>
          <w:u w:val="single"/>
        </w:rPr>
        <w:t xml:space="preserve">        </w:t>
      </w:r>
    </w:p>
    <w:p w14:paraId="79BDF8B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电话/传真：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31B0A4BB">
      <w:pPr>
        <w:tabs>
          <w:tab w:val="left" w:pos="939"/>
        </w:tabs>
        <w:spacing w:line="360" w:lineRule="auto"/>
        <w:ind w:left="141" w:leftChars="67" w:firstLine="360" w:firstLineChars="150"/>
        <w:contextualSpacing/>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账号：</w:t>
      </w:r>
      <w:r>
        <w:rPr>
          <w:rFonts w:hint="eastAsia" w:ascii="宋体" w:hAnsi="宋体" w:cs="宋体"/>
          <w:color w:val="auto"/>
          <w:sz w:val="24"/>
          <w:highlight w:val="none"/>
          <w:u w:val="single"/>
        </w:rPr>
        <w:t xml:space="preserve">                               </w:t>
      </w:r>
    </w:p>
    <w:p w14:paraId="3818D013">
      <w:pPr>
        <w:tabs>
          <w:tab w:val="left" w:pos="939"/>
        </w:tabs>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5F0020E1">
      <w:pPr>
        <w:tabs>
          <w:tab w:val="left" w:pos="939"/>
        </w:tabs>
        <w:spacing w:line="360" w:lineRule="auto"/>
        <w:ind w:left="141" w:leftChars="67" w:firstLine="360" w:firstLineChars="150"/>
        <w:contextualSpacing/>
        <w:rPr>
          <w:rFonts w:ascii="宋体" w:hAnsi="宋体" w:cs="宋体"/>
          <w:color w:val="auto"/>
          <w:sz w:val="24"/>
          <w:highlight w:val="none"/>
        </w:rPr>
      </w:pPr>
      <w:r>
        <w:rPr>
          <w:rFonts w:hint="eastAsia" w:ascii="宋体" w:hAnsi="宋体" w:cs="宋体"/>
          <w:color w:val="auto"/>
          <w:sz w:val="24"/>
          <w:highlight w:val="none"/>
        </w:rPr>
        <w:t>特此承诺。</w:t>
      </w:r>
    </w:p>
    <w:p w14:paraId="658ECB3F">
      <w:pPr>
        <w:tabs>
          <w:tab w:val="left" w:pos="939"/>
        </w:tabs>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注：如为联合体竞标，盖章处须加盖联合体各方公章并由联合体各方法定代表人签署，否则其响应文件按无效响应处理。</w:t>
      </w:r>
    </w:p>
    <w:p w14:paraId="17591C9A">
      <w:pPr>
        <w:tabs>
          <w:tab w:val="left" w:pos="939"/>
        </w:tabs>
        <w:spacing w:line="360" w:lineRule="auto"/>
        <w:ind w:firstLine="480" w:firstLineChars="200"/>
        <w:contextualSpacing/>
        <w:rPr>
          <w:rFonts w:ascii="宋体" w:hAnsi="宋体" w:cs="宋体"/>
          <w:color w:val="auto"/>
          <w:sz w:val="24"/>
          <w:highlight w:val="none"/>
        </w:rPr>
      </w:pPr>
    </w:p>
    <w:p w14:paraId="001E51FD">
      <w:pPr>
        <w:autoSpaceDE w:val="0"/>
        <w:autoSpaceDN w:val="0"/>
        <w:spacing w:line="360" w:lineRule="auto"/>
        <w:ind w:left="4365" w:leftChars="1850" w:hanging="480" w:hangingChars="200"/>
        <w:rPr>
          <w:rFonts w:ascii="宋体" w:hAnsi="宋体" w:cs="宋体"/>
          <w:color w:val="auto"/>
          <w:sz w:val="24"/>
          <w:highlight w:val="none"/>
        </w:rPr>
      </w:pPr>
      <w:r>
        <w:rPr>
          <w:rFonts w:hint="eastAsia" w:ascii="宋体" w:hAnsi="宋体" w:cs="宋体"/>
          <w:color w:val="auto"/>
          <w:sz w:val="24"/>
          <w:highlight w:val="none"/>
        </w:rPr>
        <w:t>供应商名称（电子签章）：</w:t>
      </w:r>
    </w:p>
    <w:p w14:paraId="76D4CBA0">
      <w:pPr>
        <w:autoSpaceDE w:val="0"/>
        <w:autoSpaceDN w:val="0"/>
        <w:spacing w:line="360" w:lineRule="auto"/>
        <w:ind w:firstLine="6120" w:firstLineChars="2550"/>
        <w:rPr>
          <w:rFonts w:ascii="宋体" w:hAnsi="宋体" w:cs="宋体"/>
          <w:color w:val="auto"/>
          <w:sz w:val="24"/>
          <w:highlight w:val="none"/>
          <w:lang w:val="zh-CN"/>
        </w:rPr>
      </w:pPr>
      <w:r>
        <w:rPr>
          <w:rFonts w:hint="eastAsia" w:ascii="宋体" w:hAnsi="宋体" w:cs="宋体"/>
          <w:color w:val="auto"/>
          <w:sz w:val="24"/>
          <w:highlight w:val="none"/>
          <w:lang w:val="zh-CN"/>
        </w:rPr>
        <w:t xml:space="preserve">日期：  </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 xml:space="preserve">年  </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月   日</w:t>
      </w:r>
    </w:p>
    <w:p w14:paraId="17CB0DE0">
      <w:pPr>
        <w:autoSpaceDE w:val="0"/>
        <w:autoSpaceDN w:val="0"/>
        <w:spacing w:line="360" w:lineRule="auto"/>
        <w:ind w:firstLine="6120" w:firstLineChars="2550"/>
        <w:rPr>
          <w:rFonts w:ascii="宋体" w:hAnsi="宋体" w:cs="宋体"/>
          <w:color w:val="auto"/>
          <w:sz w:val="24"/>
          <w:highlight w:val="none"/>
          <w:lang w:val="zh-CN"/>
        </w:rPr>
      </w:pPr>
    </w:p>
    <w:p w14:paraId="32262877">
      <w:pPr>
        <w:autoSpaceDE w:val="0"/>
        <w:autoSpaceDN w:val="0"/>
        <w:spacing w:line="360" w:lineRule="auto"/>
        <w:ind w:firstLine="6120" w:firstLineChars="2550"/>
        <w:rPr>
          <w:rFonts w:ascii="宋体" w:hAnsi="宋体" w:cs="宋体"/>
          <w:color w:val="auto"/>
          <w:sz w:val="24"/>
          <w:highlight w:val="none"/>
        </w:rPr>
      </w:pPr>
      <w:r>
        <w:rPr>
          <w:rFonts w:ascii="宋体" w:hAnsi="宋体" w:cs="宋体"/>
          <w:color w:val="auto"/>
          <w:sz w:val="24"/>
          <w:highlight w:val="none"/>
        </w:rPr>
        <w:br w:type="page"/>
      </w:r>
    </w:p>
    <w:p w14:paraId="7D1D24B7">
      <w:pPr>
        <w:autoSpaceDE w:val="0"/>
        <w:autoSpaceDN w:val="0"/>
        <w:spacing w:line="360" w:lineRule="auto"/>
        <w:ind w:firstLine="6120" w:firstLineChars="2550"/>
        <w:rPr>
          <w:rFonts w:ascii="宋体" w:hAnsi="宋体" w:cs="宋体"/>
          <w:color w:val="auto"/>
          <w:sz w:val="24"/>
          <w:highlight w:val="none"/>
          <w:lang w:val="zh-CN"/>
        </w:rPr>
      </w:pPr>
    </w:p>
    <w:p w14:paraId="3685FE65">
      <w:pPr>
        <w:pStyle w:val="99"/>
        <w:spacing w:beforeLines="50" w:line="360" w:lineRule="auto"/>
        <w:ind w:firstLine="0" w:firstLineChars="0"/>
        <w:rPr>
          <w:rFonts w:ascii="宋体" w:hAnsi="宋体" w:eastAsia="宋体" w:cs="宋体"/>
          <w:b/>
          <w:color w:val="auto"/>
          <w:spacing w:val="0"/>
          <w:sz w:val="30"/>
          <w:szCs w:val="30"/>
          <w:highlight w:val="none"/>
        </w:rPr>
      </w:pPr>
      <w:bookmarkStart w:id="76" w:name="_Toc80205940"/>
      <w:r>
        <w:rPr>
          <w:rFonts w:hint="eastAsia" w:ascii="宋体" w:hAnsi="宋体" w:eastAsia="宋体" w:cs="宋体"/>
          <w:b/>
          <w:color w:val="auto"/>
          <w:spacing w:val="0"/>
          <w:sz w:val="30"/>
          <w:szCs w:val="30"/>
          <w:highlight w:val="none"/>
        </w:rPr>
        <w:t>七、建设工程项目管理承诺书</w:t>
      </w:r>
    </w:p>
    <w:p w14:paraId="7BA9A015">
      <w:pPr>
        <w:spacing w:line="360" w:lineRule="auto"/>
        <w:jc w:val="center"/>
        <w:rPr>
          <w:rFonts w:ascii="宋体" w:hAnsi="宋体" w:cs="宋体"/>
          <w:color w:val="auto"/>
          <w:sz w:val="24"/>
          <w:highlight w:val="none"/>
        </w:rPr>
      </w:pPr>
      <w:r>
        <w:rPr>
          <w:rFonts w:hint="eastAsia" w:ascii="宋体" w:hAnsi="宋体" w:cs="宋体"/>
          <w:b/>
          <w:color w:val="auto"/>
          <w:sz w:val="30"/>
          <w:szCs w:val="30"/>
          <w:highlight w:val="none"/>
        </w:rPr>
        <w:t>建设工程项目管理承诺书</w:t>
      </w:r>
    </w:p>
    <w:p w14:paraId="70523DDA">
      <w:pPr>
        <w:spacing w:line="54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（采购人名称）</w:t>
      </w:r>
      <w:r>
        <w:rPr>
          <w:rFonts w:hint="eastAsia" w:ascii="宋体" w:hAnsi="宋体" w:cs="宋体"/>
          <w:color w:val="auto"/>
          <w:sz w:val="24"/>
          <w:highlight w:val="none"/>
        </w:rPr>
        <w:t>：</w:t>
      </w:r>
    </w:p>
    <w:p w14:paraId="3C8050EF">
      <w:pPr>
        <w:spacing w:line="520" w:lineRule="exact"/>
        <w:ind w:left="-10" w:firstLine="520" w:firstLineChars="217"/>
        <w:rPr>
          <w:rFonts w:ascii="宋体" w:hAnsi="宋体" w:cs="宋体"/>
          <w:color w:val="auto"/>
          <w:sz w:val="24"/>
          <w:highlight w:val="none"/>
        </w:rPr>
      </w:pPr>
      <w:r>
        <w:rPr>
          <w:rFonts w:hint="eastAsia" w:ascii="宋体" w:hAnsi="宋体" w:cs="宋体"/>
          <w:color w:val="auto"/>
          <w:sz w:val="24"/>
          <w:highlight w:val="none"/>
        </w:rPr>
        <w:t>作为参与</w:t>
      </w:r>
      <w:r>
        <w:rPr>
          <w:rFonts w:hint="eastAsia" w:ascii="宋体" w:hAnsi="宋体" w:cs="宋体"/>
          <w:color w:val="auto"/>
          <w:sz w:val="24"/>
          <w:highlight w:val="none"/>
          <w:u w:val="single"/>
        </w:rPr>
        <w:t xml:space="preserve">        （项目名称）</w:t>
      </w:r>
      <w:r>
        <w:rPr>
          <w:rFonts w:hint="eastAsia" w:ascii="宋体" w:hAnsi="宋体" w:cs="宋体"/>
          <w:color w:val="auto"/>
          <w:sz w:val="24"/>
          <w:highlight w:val="none"/>
        </w:rPr>
        <w:t>项目的投标方，根据国家、自治区相关文件规定，我方在此向采购人承诺：</w:t>
      </w:r>
    </w:p>
    <w:p w14:paraId="589DBD8E">
      <w:pPr>
        <w:spacing w:line="520" w:lineRule="exact"/>
        <w:ind w:left="-10" w:firstLine="520" w:firstLineChars="217"/>
        <w:rPr>
          <w:rFonts w:ascii="宋体" w:hAnsi="宋体" w:cs="宋体"/>
          <w:color w:val="auto"/>
          <w:sz w:val="24"/>
          <w:highlight w:val="none"/>
        </w:rPr>
      </w:pPr>
      <w:r>
        <w:rPr>
          <w:rFonts w:hint="eastAsia" w:ascii="宋体" w:hAnsi="宋体" w:cs="宋体"/>
          <w:color w:val="auto"/>
          <w:sz w:val="24"/>
          <w:highlight w:val="none"/>
        </w:rPr>
        <w:t>1、一旦中标，我方保证按照政府相关部门的规定，在项目开工前设农民工工资支付专用账户。严格按照《保障农民工工资支付条例》规定，存储工资保证金，专项用于支付本工程提供劳动的农民工被拖欠的工资。按照与农民工依法约定的工资支付周期和具体支付日期支付工资，保证每月至少向农民工足额支付一次工资。</w:t>
      </w:r>
    </w:p>
    <w:p w14:paraId="69062BA2">
      <w:pPr>
        <w:spacing w:line="520" w:lineRule="exact"/>
        <w:ind w:left="-10" w:firstLine="520" w:firstLineChars="217"/>
        <w:rPr>
          <w:rFonts w:ascii="宋体" w:hAnsi="宋体" w:cs="宋体"/>
          <w:color w:val="auto"/>
          <w:sz w:val="24"/>
          <w:highlight w:val="none"/>
        </w:rPr>
      </w:pPr>
      <w:r>
        <w:rPr>
          <w:rFonts w:hint="eastAsia" w:ascii="宋体" w:hAnsi="宋体" w:cs="宋体"/>
          <w:color w:val="auto"/>
          <w:sz w:val="24"/>
          <w:highlight w:val="none"/>
        </w:rPr>
        <w:t>2.一旦中标，我方保证在施工过程中，严格执行《广西壮族自治区建筑工程安全防护、文明施工措施费及使用管理细则》（桂建质【2015】16号）的有关规定，确保建设工程各项安全防护、文明施工措施落实到位。如我方在该项目的承包中出现未按桂建质【2015】16号文规定执行的情形，我方愿意按照相关规定接受建设单位及有关主管部门的处罚。</w:t>
      </w:r>
    </w:p>
    <w:p w14:paraId="59ABCD75">
      <w:pPr>
        <w:spacing w:line="520" w:lineRule="exact"/>
        <w:ind w:left="-2" w:leftChars="-1" w:firstLine="513" w:firstLineChars="214"/>
        <w:rPr>
          <w:rFonts w:ascii="宋体" w:hAnsi="宋体" w:cs="宋体"/>
          <w:color w:val="auto"/>
          <w:sz w:val="24"/>
          <w:highlight w:val="none"/>
        </w:rPr>
      </w:pPr>
      <w:r>
        <w:rPr>
          <w:rFonts w:hint="eastAsia" w:ascii="宋体" w:hAnsi="宋体" w:cs="宋体"/>
          <w:color w:val="auto"/>
          <w:sz w:val="24"/>
          <w:highlight w:val="none"/>
        </w:rPr>
        <w:t>3.一旦中标，我方保证在施工过程中，严格执行散装水泥和预拌混凝土（或商品混凝土）管理的有关规定，确保建设工程按规定使用散装水泥和预拌混凝土。如我方在该项目的承包中出现未按规定执行的情形，我方愿意按照相关规定接受建设单位及有关主管部门的处罚。</w:t>
      </w:r>
    </w:p>
    <w:p w14:paraId="40B3E68D">
      <w:pPr>
        <w:spacing w:line="520" w:lineRule="exact"/>
        <w:ind w:left="-10" w:firstLine="520" w:firstLineChars="217"/>
        <w:rPr>
          <w:rFonts w:ascii="宋体" w:hAnsi="宋体" w:cs="宋体"/>
          <w:color w:val="auto"/>
          <w:highlight w:val="none"/>
        </w:rPr>
      </w:pPr>
      <w:r>
        <w:rPr>
          <w:rFonts w:hint="eastAsia" w:ascii="宋体" w:hAnsi="宋体" w:cs="宋体"/>
          <w:color w:val="auto"/>
          <w:sz w:val="24"/>
          <w:highlight w:val="none"/>
        </w:rPr>
        <w:t>4.一旦中标，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14:paraId="08FF0A5C">
      <w:pPr>
        <w:autoSpaceDE w:val="0"/>
        <w:autoSpaceDN w:val="0"/>
        <w:spacing w:line="360" w:lineRule="auto"/>
        <w:ind w:left="4365" w:leftChars="1850" w:hanging="480" w:hangingChars="200"/>
        <w:rPr>
          <w:rFonts w:ascii="宋体" w:hAnsi="宋体" w:cs="宋体"/>
          <w:color w:val="auto"/>
          <w:sz w:val="24"/>
          <w:highlight w:val="none"/>
        </w:rPr>
      </w:pPr>
    </w:p>
    <w:p w14:paraId="2C325201">
      <w:pPr>
        <w:autoSpaceDE w:val="0"/>
        <w:autoSpaceDN w:val="0"/>
        <w:spacing w:line="360" w:lineRule="auto"/>
        <w:ind w:left="4365" w:leftChars="1850" w:hanging="480" w:hangingChars="200"/>
        <w:rPr>
          <w:rFonts w:ascii="宋体" w:hAnsi="宋体" w:cs="宋体"/>
          <w:color w:val="auto"/>
          <w:sz w:val="24"/>
          <w:highlight w:val="none"/>
        </w:rPr>
      </w:pPr>
      <w:r>
        <w:rPr>
          <w:rFonts w:hint="eastAsia" w:ascii="宋体" w:hAnsi="宋体" w:cs="宋体"/>
          <w:color w:val="auto"/>
          <w:sz w:val="24"/>
          <w:highlight w:val="none"/>
        </w:rPr>
        <w:t>供应商名称（电子签章）：</w:t>
      </w:r>
    </w:p>
    <w:p w14:paraId="1DE9F988">
      <w:pPr>
        <w:autoSpaceDE w:val="0"/>
        <w:autoSpaceDN w:val="0"/>
        <w:spacing w:line="360" w:lineRule="auto"/>
        <w:ind w:firstLine="6120" w:firstLineChars="2550"/>
        <w:rPr>
          <w:rFonts w:hint="eastAsia" w:ascii="宋体" w:hAnsi="宋体" w:cs="宋体"/>
          <w:color w:val="auto"/>
          <w:sz w:val="24"/>
          <w:highlight w:val="none"/>
          <w:lang w:val="zh-CN"/>
        </w:rPr>
      </w:pPr>
      <w:r>
        <w:rPr>
          <w:rFonts w:hint="eastAsia" w:ascii="宋体" w:hAnsi="宋体" w:cs="宋体"/>
          <w:color w:val="auto"/>
          <w:sz w:val="24"/>
          <w:highlight w:val="none"/>
          <w:lang w:val="zh-CN"/>
        </w:rPr>
        <w:t>日期：  年  月   日</w:t>
      </w:r>
    </w:p>
    <w:p w14:paraId="5EA61C75">
      <w:pPr>
        <w:autoSpaceDE w:val="0"/>
        <w:autoSpaceDN w:val="0"/>
        <w:spacing w:line="360" w:lineRule="auto"/>
        <w:ind w:firstLine="6120" w:firstLineChars="2550"/>
        <w:rPr>
          <w:rFonts w:hint="eastAsia" w:ascii="宋体" w:hAnsi="宋体" w:cs="宋体"/>
          <w:color w:val="auto"/>
          <w:sz w:val="24"/>
          <w:highlight w:val="none"/>
          <w:lang w:val="zh-CN"/>
        </w:rPr>
      </w:pPr>
    </w:p>
    <w:p w14:paraId="6AF691C2">
      <w:pPr>
        <w:rPr>
          <w:rFonts w:hint="eastAsia" w:ascii="宋体" w:hAnsi="宋体" w:eastAsia="宋体" w:cs="宋体"/>
          <w:b/>
          <w:color w:val="auto"/>
          <w:spacing w:val="0"/>
          <w:sz w:val="30"/>
          <w:szCs w:val="30"/>
          <w:highlight w:val="none"/>
        </w:rPr>
      </w:pPr>
      <w:r>
        <w:rPr>
          <w:rFonts w:hint="eastAsia" w:ascii="宋体" w:hAnsi="宋体" w:eastAsia="宋体" w:cs="宋体"/>
          <w:b/>
          <w:color w:val="auto"/>
          <w:spacing w:val="0"/>
          <w:sz w:val="30"/>
          <w:szCs w:val="30"/>
          <w:highlight w:val="none"/>
        </w:rPr>
        <w:br w:type="page"/>
      </w:r>
    </w:p>
    <w:p w14:paraId="3DD33286">
      <w:pPr>
        <w:pStyle w:val="99"/>
        <w:spacing w:beforeLines="50" w:line="360" w:lineRule="auto"/>
        <w:ind w:firstLine="0" w:firstLineChars="0"/>
        <w:rPr>
          <w:rFonts w:hint="eastAsia" w:ascii="宋体" w:hAnsi="宋体" w:eastAsia="宋体" w:cs="宋体"/>
          <w:b/>
          <w:color w:val="auto"/>
          <w:spacing w:val="0"/>
          <w:sz w:val="30"/>
          <w:szCs w:val="30"/>
          <w:highlight w:val="none"/>
        </w:rPr>
      </w:pPr>
      <w:r>
        <w:rPr>
          <w:rFonts w:hint="eastAsia" w:ascii="宋体" w:hAnsi="宋体" w:eastAsia="宋体" w:cs="宋体"/>
          <w:b/>
          <w:color w:val="auto"/>
          <w:spacing w:val="0"/>
          <w:sz w:val="30"/>
          <w:szCs w:val="30"/>
          <w:highlight w:val="none"/>
        </w:rPr>
        <w:t>八、本项目为专门面向中小企业项目，供应商应为中型企业或小型企业或微型企业或监狱企业或残疾人福利性单位；</w:t>
      </w:r>
    </w:p>
    <w:p w14:paraId="36FBC697">
      <w:pPr>
        <w:pStyle w:val="99"/>
        <w:spacing w:line="360" w:lineRule="auto"/>
        <w:ind w:firstLine="0" w:firstLineChars="0"/>
        <w:jc w:val="center"/>
        <w:rPr>
          <w:rFonts w:hint="eastAsia" w:ascii="仿宋" w:hAnsi="仿宋" w:eastAsia="仿宋" w:cs="仿宋"/>
          <w:b/>
          <w:kern w:val="0"/>
          <w:sz w:val="30"/>
          <w:szCs w:val="30"/>
          <w:highlight w:val="none"/>
        </w:rPr>
      </w:pPr>
    </w:p>
    <w:p w14:paraId="0B5F809E">
      <w:pPr>
        <w:spacing w:line="300" w:lineRule="auto"/>
        <w:jc w:val="center"/>
        <w:rPr>
          <w:rFonts w:hint="eastAsia" w:ascii="宋体" w:hAnsi="宋体" w:eastAsia="宋体" w:cs="宋体"/>
          <w:b/>
          <w:color w:val="auto"/>
          <w:spacing w:val="0"/>
          <w:kern w:val="2"/>
          <w:sz w:val="30"/>
          <w:szCs w:val="30"/>
          <w:highlight w:val="none"/>
          <w:lang w:val="en-US" w:eastAsia="zh-CN" w:bidi="ar-SA"/>
        </w:rPr>
      </w:pPr>
      <w:r>
        <w:rPr>
          <w:rFonts w:hint="eastAsia" w:ascii="宋体" w:hAnsi="宋体" w:eastAsia="宋体" w:cs="宋体"/>
          <w:b/>
          <w:color w:val="auto"/>
          <w:spacing w:val="0"/>
          <w:kern w:val="2"/>
          <w:sz w:val="30"/>
          <w:szCs w:val="30"/>
          <w:highlight w:val="none"/>
          <w:lang w:val="en-US" w:eastAsia="zh-CN" w:bidi="ar-SA"/>
        </w:rPr>
        <w:t>中小企业声明函（工程）</w:t>
      </w:r>
    </w:p>
    <w:p w14:paraId="7BD95951">
      <w:pPr>
        <w:spacing w:line="520" w:lineRule="exact"/>
        <w:ind w:left="-10" w:firstLine="520" w:firstLineChars="217"/>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本公司（联合体）郑重声明，根据《政府采购促进中小企业发展管理办法》（财库﹝2020﹞46号）的规定，本公司（联合体）参加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（单位名称）的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（项目名称）采购活动，工程全部由符合政策要求的中小企业承接。相关企业（含联合体中的中小企业、签订分包意向协议的中小企业）的具体情况如下：</w:t>
      </w:r>
    </w:p>
    <w:p w14:paraId="2ED0440C">
      <w:pPr>
        <w:spacing w:line="520" w:lineRule="exact"/>
        <w:ind w:left="-10" w:firstLine="520" w:firstLineChars="217"/>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；承接企业为（企业名称），从业人员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0020BEC8">
      <w:pPr>
        <w:spacing w:line="520" w:lineRule="exact"/>
        <w:ind w:left="-10" w:firstLine="520" w:firstLineChars="217"/>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；承接企业为（企业名称），从业人员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6206804D">
      <w:pPr>
        <w:spacing w:line="520" w:lineRule="exact"/>
        <w:ind w:left="-10" w:firstLine="520" w:firstLineChars="217"/>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2043829D">
      <w:pPr>
        <w:spacing w:line="520" w:lineRule="exact"/>
        <w:ind w:left="-10" w:firstLine="520" w:firstLineChars="217"/>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2E1535F2">
      <w:pPr>
        <w:spacing w:line="520" w:lineRule="exact"/>
        <w:ind w:left="-10" w:firstLine="520" w:firstLineChars="217"/>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4C14F68E">
      <w:pPr>
        <w:spacing w:line="520" w:lineRule="exact"/>
        <w:ind w:left="-10" w:firstLine="520" w:firstLineChars="217"/>
        <w:rPr>
          <w:rFonts w:hint="eastAsia" w:ascii="宋体" w:hAnsi="宋体" w:eastAsia="宋体" w:cs="宋体"/>
          <w:color w:val="auto"/>
          <w:sz w:val="24"/>
          <w:highlight w:val="none"/>
        </w:rPr>
      </w:pPr>
    </w:p>
    <w:p w14:paraId="05678CA9">
      <w:pPr>
        <w:spacing w:line="520" w:lineRule="exact"/>
        <w:ind w:left="-10" w:firstLine="520" w:firstLineChars="217"/>
        <w:rPr>
          <w:rFonts w:hint="eastAsia" w:ascii="宋体" w:hAnsi="宋体" w:eastAsia="宋体" w:cs="宋体"/>
          <w:color w:val="auto"/>
          <w:sz w:val="24"/>
          <w:highlight w:val="none"/>
        </w:rPr>
      </w:pPr>
    </w:p>
    <w:p w14:paraId="6A191613">
      <w:pPr>
        <w:spacing w:line="520" w:lineRule="exact"/>
        <w:ind w:left="-10" w:firstLine="520" w:firstLineChars="21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165A5F68">
      <w:pPr>
        <w:spacing w:line="520" w:lineRule="exact"/>
        <w:ind w:left="-10" w:firstLine="520" w:firstLineChars="217"/>
        <w:jc w:val="righ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日期：  年  月   日</w:t>
      </w:r>
    </w:p>
    <w:p w14:paraId="716D0C5C">
      <w:pPr>
        <w:pStyle w:val="13"/>
        <w:spacing w:after="0" w:line="360" w:lineRule="auto"/>
        <w:ind w:left="3960" w:right="1808"/>
        <w:contextualSpacing/>
        <w:rPr>
          <w:rFonts w:hint="eastAsia" w:ascii="仿宋" w:hAnsi="仿宋" w:eastAsia="仿宋" w:cs="仿宋"/>
          <w:highlight w:val="none"/>
        </w:rPr>
      </w:pPr>
    </w:p>
    <w:p w14:paraId="71777347">
      <w:pPr>
        <w:spacing w:line="360" w:lineRule="auto"/>
        <w:ind w:firstLine="480" w:firstLineChars="200"/>
        <w:contextualSpacing/>
        <w:jc w:val="left"/>
        <w:rPr>
          <w:rFonts w:hint="eastAsia" w:ascii="仿宋" w:hAnsi="仿宋" w:eastAsia="仿宋" w:cs="仿宋"/>
          <w:sz w:val="24"/>
          <w:highlight w:val="none"/>
        </w:rPr>
        <w:sectPr>
          <w:footerReference r:id="rId4" w:type="default"/>
          <w:pgSz w:w="11911" w:h="16838"/>
          <w:pgMar w:top="850" w:right="1417" w:bottom="680" w:left="1417" w:header="720" w:footer="720" w:gutter="0"/>
          <w:pgNumType w:fmt="decimal" w:start="1"/>
          <w:cols w:space="720" w:num="1"/>
        </w:sect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486AEC93">
      <w:pPr>
        <w:spacing w:line="300" w:lineRule="auto"/>
        <w:jc w:val="center"/>
        <w:rPr>
          <w:rFonts w:hint="eastAsia" w:ascii="宋体" w:hAnsi="宋体" w:eastAsia="宋体" w:cs="宋体"/>
          <w:b/>
          <w:color w:val="auto"/>
          <w:spacing w:val="0"/>
          <w:kern w:val="2"/>
          <w:sz w:val="30"/>
          <w:szCs w:val="30"/>
          <w:highlight w:val="none"/>
          <w:lang w:val="en-US" w:eastAsia="zh-CN" w:bidi="ar-SA"/>
        </w:rPr>
      </w:pPr>
      <w:r>
        <w:rPr>
          <w:rFonts w:hint="eastAsia" w:ascii="宋体" w:hAnsi="宋体" w:eastAsia="宋体" w:cs="宋体"/>
          <w:b/>
          <w:color w:val="auto"/>
          <w:spacing w:val="0"/>
          <w:kern w:val="2"/>
          <w:sz w:val="30"/>
          <w:szCs w:val="30"/>
          <w:highlight w:val="none"/>
          <w:lang w:val="en-US" w:eastAsia="zh-CN" w:bidi="ar-SA"/>
        </w:rPr>
        <w:t>残疾人福利性单位声明函</w:t>
      </w:r>
    </w:p>
    <w:p w14:paraId="110F2E55">
      <w:pPr>
        <w:spacing w:line="520" w:lineRule="exact"/>
        <w:rPr>
          <w:rFonts w:hint="eastAsia" w:ascii="仿宋" w:hAnsi="仿宋" w:eastAsia="仿宋" w:cs="仿宋"/>
          <w:sz w:val="32"/>
          <w:szCs w:val="32"/>
          <w:highlight w:val="none"/>
        </w:rPr>
      </w:pPr>
    </w:p>
    <w:p w14:paraId="03891256">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仿宋" w:hAnsi="仿宋" w:eastAsia="仿宋" w:cs="仿宋"/>
          <w:sz w:val="24"/>
          <w:highlight w:val="none"/>
        </w:rPr>
        <w:t>本</w:t>
      </w:r>
      <w:r>
        <w:rPr>
          <w:rFonts w:hint="eastAsia" w:ascii="宋体" w:hAnsi="宋体" w:eastAsia="宋体" w:cs="宋体"/>
          <w:color w:val="auto"/>
          <w:sz w:val="24"/>
          <w:highlight w:val="none"/>
        </w:rPr>
        <w:t>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0E34A5F0">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5246B46E">
      <w:pPr>
        <w:spacing w:line="360" w:lineRule="auto"/>
        <w:ind w:firstLine="480" w:firstLineChars="200"/>
        <w:contextualSpacing/>
        <w:jc w:val="left"/>
        <w:rPr>
          <w:rFonts w:hint="eastAsia" w:ascii="宋体" w:hAnsi="宋体" w:eastAsia="宋体" w:cs="宋体"/>
          <w:color w:val="auto"/>
          <w:sz w:val="24"/>
          <w:highlight w:val="none"/>
        </w:rPr>
      </w:pPr>
    </w:p>
    <w:p w14:paraId="53635888">
      <w:pPr>
        <w:spacing w:line="360" w:lineRule="auto"/>
        <w:ind w:firstLine="480" w:firstLineChars="200"/>
        <w:contextualSpacing/>
        <w:jc w:val="left"/>
        <w:rPr>
          <w:rFonts w:hint="eastAsia" w:ascii="宋体" w:hAnsi="宋体" w:eastAsia="宋体" w:cs="宋体"/>
          <w:color w:val="auto"/>
          <w:sz w:val="24"/>
          <w:highlight w:val="none"/>
        </w:rPr>
      </w:pPr>
    </w:p>
    <w:p w14:paraId="4D231982">
      <w:pPr>
        <w:spacing w:line="360" w:lineRule="auto"/>
        <w:ind w:firstLine="480" w:firstLineChars="200"/>
        <w:contextualSpacing/>
        <w:jc w:val="left"/>
        <w:rPr>
          <w:rFonts w:hint="eastAsia" w:ascii="宋体" w:hAnsi="宋体" w:eastAsia="宋体" w:cs="宋体"/>
          <w:color w:val="auto"/>
          <w:sz w:val="24"/>
          <w:highlight w:val="none"/>
        </w:rPr>
      </w:pPr>
    </w:p>
    <w:p w14:paraId="32C2483D">
      <w:pPr>
        <w:spacing w:line="360" w:lineRule="auto"/>
        <w:ind w:firstLine="480" w:firstLineChars="200"/>
        <w:contextualSpacing/>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5D93FD25">
      <w:pPr>
        <w:spacing w:line="360" w:lineRule="auto"/>
        <w:ind w:firstLine="480" w:firstLineChars="200"/>
        <w:contextualSpacing/>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5B6068EC">
      <w:pPr>
        <w:spacing w:line="360" w:lineRule="auto"/>
        <w:ind w:firstLine="480" w:firstLineChars="200"/>
        <w:contextualSpacing/>
        <w:jc w:val="left"/>
        <w:rPr>
          <w:rFonts w:hint="eastAsia" w:ascii="宋体" w:hAnsi="宋体" w:eastAsia="宋体" w:cs="宋体"/>
          <w:color w:val="auto"/>
          <w:sz w:val="24"/>
          <w:highlight w:val="none"/>
        </w:rPr>
      </w:pPr>
    </w:p>
    <w:p w14:paraId="2BEDB0B9">
      <w:pPr>
        <w:spacing w:line="360" w:lineRule="auto"/>
        <w:ind w:firstLine="480" w:firstLineChars="200"/>
        <w:contextualSpacing/>
        <w:jc w:val="left"/>
        <w:rPr>
          <w:rFonts w:hint="eastAsia" w:ascii="宋体" w:hAnsi="宋体" w:eastAsia="宋体" w:cs="宋体"/>
          <w:color w:val="auto"/>
          <w:sz w:val="24"/>
          <w:highlight w:val="none"/>
        </w:rPr>
      </w:pPr>
    </w:p>
    <w:p w14:paraId="715496BF">
      <w:pPr>
        <w:spacing w:line="360" w:lineRule="auto"/>
        <w:ind w:firstLine="480" w:firstLineChars="200"/>
        <w:contextualSpacing/>
        <w:jc w:val="left"/>
        <w:rPr>
          <w:rFonts w:hint="eastAsia" w:ascii="宋体" w:hAnsi="宋体" w:eastAsia="宋体" w:cs="宋体"/>
          <w:color w:val="auto"/>
          <w:sz w:val="24"/>
          <w:highlight w:val="none"/>
        </w:rPr>
      </w:pPr>
    </w:p>
    <w:p w14:paraId="3F2CC12E">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62584BC5">
      <w:pPr>
        <w:spacing w:line="520" w:lineRule="exact"/>
        <w:jc w:val="center"/>
        <w:rPr>
          <w:rFonts w:hint="eastAsia" w:ascii="仿宋" w:hAnsi="仿宋" w:eastAsia="仿宋" w:cs="仿宋"/>
          <w:sz w:val="24"/>
          <w:highlight w:val="none"/>
        </w:rPr>
      </w:pPr>
    </w:p>
    <w:p w14:paraId="2D10EECE">
      <w:pPr>
        <w:spacing w:line="520" w:lineRule="exact"/>
        <w:jc w:val="center"/>
        <w:rPr>
          <w:rFonts w:hint="eastAsia" w:ascii="仿宋" w:hAnsi="仿宋" w:eastAsia="仿宋" w:cs="仿宋"/>
          <w:sz w:val="24"/>
          <w:highlight w:val="none"/>
        </w:rPr>
      </w:pPr>
    </w:p>
    <w:p w14:paraId="5C47A468">
      <w:pPr>
        <w:spacing w:line="520" w:lineRule="exact"/>
        <w:jc w:val="center"/>
        <w:rPr>
          <w:rFonts w:hint="eastAsia" w:ascii="仿宋" w:hAnsi="仿宋" w:eastAsia="仿宋" w:cs="仿宋"/>
          <w:sz w:val="24"/>
          <w:highlight w:val="none"/>
        </w:rPr>
      </w:pPr>
    </w:p>
    <w:p w14:paraId="6140C04C">
      <w:pPr>
        <w:spacing w:line="520" w:lineRule="exact"/>
        <w:jc w:val="center"/>
        <w:rPr>
          <w:rFonts w:hint="eastAsia" w:ascii="仿宋" w:hAnsi="仿宋" w:eastAsia="仿宋" w:cs="仿宋"/>
          <w:sz w:val="24"/>
          <w:highlight w:val="none"/>
        </w:rPr>
      </w:pPr>
    </w:p>
    <w:p w14:paraId="389C01BC">
      <w:pPr>
        <w:spacing w:line="520" w:lineRule="exact"/>
        <w:jc w:val="center"/>
        <w:rPr>
          <w:rFonts w:hint="eastAsia" w:ascii="仿宋" w:hAnsi="仿宋" w:eastAsia="仿宋" w:cs="仿宋"/>
          <w:sz w:val="24"/>
          <w:highlight w:val="none"/>
        </w:rPr>
      </w:pPr>
    </w:p>
    <w:p w14:paraId="489D67EA">
      <w:pPr>
        <w:spacing w:line="520" w:lineRule="exact"/>
        <w:jc w:val="center"/>
        <w:rPr>
          <w:rFonts w:hint="eastAsia" w:ascii="仿宋" w:hAnsi="仿宋" w:eastAsia="仿宋" w:cs="仿宋"/>
          <w:sz w:val="24"/>
          <w:highlight w:val="none"/>
        </w:rPr>
      </w:pPr>
    </w:p>
    <w:p w14:paraId="7FB6E5C9">
      <w:pPr>
        <w:spacing w:line="520" w:lineRule="exact"/>
        <w:jc w:val="center"/>
        <w:rPr>
          <w:rFonts w:hint="eastAsia" w:ascii="仿宋" w:hAnsi="仿宋" w:eastAsia="仿宋" w:cs="仿宋"/>
          <w:sz w:val="24"/>
          <w:highlight w:val="none"/>
        </w:rPr>
      </w:pPr>
    </w:p>
    <w:p w14:paraId="3F5C7664">
      <w:pPr>
        <w:spacing w:line="520" w:lineRule="exact"/>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r>
        <w:rPr>
          <w:rFonts w:hint="eastAsia" w:ascii="宋体" w:hAnsi="宋体" w:eastAsia="宋体" w:cs="宋体"/>
          <w:b/>
          <w:color w:val="auto"/>
          <w:spacing w:val="0"/>
          <w:kern w:val="2"/>
          <w:sz w:val="30"/>
          <w:szCs w:val="30"/>
          <w:highlight w:val="none"/>
          <w:lang w:val="en-US" w:eastAsia="zh-CN" w:bidi="ar-SA"/>
        </w:rPr>
        <w:t>监狱企业证明</w:t>
      </w:r>
    </w:p>
    <w:p w14:paraId="588CD9BB">
      <w:pPr>
        <w:spacing w:line="520" w:lineRule="exact"/>
        <w:ind w:firstLine="480" w:firstLineChars="200"/>
        <w:jc w:val="left"/>
        <w:rPr>
          <w:rFonts w:hint="eastAsia" w:ascii="仿宋" w:hAnsi="仿宋" w:eastAsia="仿宋" w:cs="仿宋"/>
          <w:sz w:val="24"/>
          <w:highlight w:val="none"/>
        </w:rPr>
      </w:pPr>
    </w:p>
    <w:p w14:paraId="07AABC20">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提供由省级以上监狱管理局、戒毒管理局（含新疆生产建设兵团）出具的属于监狱企业的证明文件。</w:t>
      </w:r>
    </w:p>
    <w:p w14:paraId="0EA7677B">
      <w:pPr>
        <w:spacing w:line="360" w:lineRule="auto"/>
        <w:ind w:firstLine="480" w:firstLineChars="200"/>
        <w:contextualSpacing/>
        <w:jc w:val="left"/>
        <w:rPr>
          <w:rFonts w:hint="eastAsia" w:ascii="宋体" w:hAnsi="宋体" w:eastAsia="宋体" w:cs="宋体"/>
          <w:color w:val="auto"/>
          <w:sz w:val="24"/>
          <w:highlight w:val="none"/>
        </w:rPr>
      </w:pPr>
    </w:p>
    <w:p w14:paraId="7640A65C">
      <w:pPr>
        <w:spacing w:line="360" w:lineRule="auto"/>
        <w:ind w:firstLine="480" w:firstLineChars="200"/>
        <w:contextualSpacing/>
        <w:jc w:val="right"/>
        <w:rPr>
          <w:rFonts w:hint="eastAsia" w:ascii="宋体" w:hAnsi="宋体" w:eastAsia="宋体" w:cs="宋体"/>
          <w:color w:val="auto"/>
          <w:sz w:val="24"/>
          <w:highlight w:val="none"/>
        </w:rPr>
      </w:pPr>
    </w:p>
    <w:p w14:paraId="4DDD09B0">
      <w:pPr>
        <w:spacing w:line="360" w:lineRule="auto"/>
        <w:ind w:firstLine="480" w:firstLineChars="200"/>
        <w:contextualSpacing/>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240C7007">
      <w:pPr>
        <w:spacing w:line="360" w:lineRule="auto"/>
        <w:ind w:firstLine="480" w:firstLineChars="200"/>
        <w:contextualSpacing/>
        <w:jc w:val="right"/>
        <w:rPr>
          <w:rFonts w:ascii="宋体" w:hAnsi="宋体" w:cs="宋体"/>
          <w:color w:val="auto"/>
          <w:sz w:val="24"/>
          <w:highlight w:val="none"/>
        </w:rPr>
      </w:pPr>
      <w:r>
        <w:rPr>
          <w:rFonts w:hint="eastAsia" w:ascii="宋体" w:hAnsi="宋体" w:eastAsia="宋体" w:cs="宋体"/>
          <w:color w:val="auto"/>
          <w:sz w:val="24"/>
          <w:highlight w:val="none"/>
        </w:rPr>
        <w:t>日  期：     年   月   日</w:t>
      </w:r>
      <w:r>
        <w:rPr>
          <w:rFonts w:ascii="宋体" w:hAnsi="宋体" w:cs="宋体"/>
          <w:color w:val="auto"/>
          <w:sz w:val="24"/>
          <w:highlight w:val="none"/>
        </w:rPr>
        <w:br w:type="page"/>
      </w:r>
    </w:p>
    <w:p w14:paraId="5A9138AD">
      <w:pPr>
        <w:pStyle w:val="99"/>
        <w:spacing w:line="400" w:lineRule="exact"/>
        <w:ind w:firstLine="0" w:firstLineChars="0"/>
        <w:rPr>
          <w:rFonts w:hint="eastAsia" w:ascii="宋体" w:hAnsi="宋体" w:eastAsia="宋体" w:cs="宋体"/>
          <w:b/>
          <w:color w:val="auto"/>
          <w:spacing w:val="0"/>
          <w:sz w:val="30"/>
          <w:szCs w:val="30"/>
          <w:highlight w:val="none"/>
          <w:lang w:eastAsia="zh-CN"/>
        </w:rPr>
      </w:pPr>
      <w:r>
        <w:rPr>
          <w:rFonts w:hint="eastAsia" w:ascii="宋体" w:hAnsi="宋体" w:eastAsia="宋体" w:cs="宋体"/>
          <w:b/>
          <w:color w:val="auto"/>
          <w:spacing w:val="0"/>
          <w:sz w:val="30"/>
          <w:szCs w:val="30"/>
          <w:highlight w:val="none"/>
          <w:lang w:val="en-US" w:eastAsia="zh-CN"/>
        </w:rPr>
        <w:t>九</w:t>
      </w:r>
      <w:r>
        <w:rPr>
          <w:rFonts w:hint="eastAsia" w:ascii="宋体" w:hAnsi="宋体" w:eastAsia="宋体" w:cs="宋体"/>
          <w:b/>
          <w:color w:val="auto"/>
          <w:spacing w:val="0"/>
          <w:sz w:val="30"/>
          <w:szCs w:val="30"/>
          <w:highlight w:val="none"/>
        </w:rPr>
        <w:t>、</w:t>
      </w:r>
      <w:r>
        <w:rPr>
          <w:rFonts w:hint="eastAsia" w:ascii="宋体" w:hAnsi="宋体" w:eastAsia="宋体" w:cs="宋体"/>
          <w:b/>
          <w:color w:val="auto"/>
          <w:spacing w:val="0"/>
          <w:sz w:val="30"/>
          <w:szCs w:val="30"/>
          <w:highlight w:val="none"/>
          <w:lang w:eastAsia="zh-CN"/>
        </w:rPr>
        <w:t>具备</w:t>
      </w:r>
      <w:r>
        <w:rPr>
          <w:rFonts w:hint="eastAsia" w:ascii="宋体" w:hAnsi="宋体" w:eastAsia="宋体" w:cs="宋体"/>
          <w:b/>
          <w:color w:val="auto"/>
          <w:spacing w:val="0"/>
          <w:sz w:val="30"/>
          <w:szCs w:val="30"/>
          <w:highlight w:val="none"/>
          <w:lang w:val="en-US" w:eastAsia="zh-CN"/>
        </w:rPr>
        <w:t>建筑</w:t>
      </w:r>
      <w:r>
        <w:rPr>
          <w:rFonts w:hint="eastAsia" w:ascii="宋体" w:hAnsi="宋体" w:eastAsia="宋体" w:cs="宋体"/>
          <w:b/>
          <w:color w:val="auto"/>
          <w:spacing w:val="0"/>
          <w:sz w:val="30"/>
          <w:szCs w:val="30"/>
          <w:highlight w:val="none"/>
          <w:lang w:eastAsia="zh-CN"/>
        </w:rPr>
        <w:t>工程</w:t>
      </w:r>
      <w:r>
        <w:rPr>
          <w:rFonts w:hint="eastAsia" w:ascii="宋体" w:hAnsi="宋体" w:eastAsia="宋体" w:cs="宋体"/>
          <w:b/>
          <w:color w:val="auto"/>
          <w:spacing w:val="0"/>
          <w:sz w:val="30"/>
          <w:szCs w:val="30"/>
          <w:highlight w:val="none"/>
          <w:lang w:val="en-US" w:eastAsia="zh-CN"/>
        </w:rPr>
        <w:t>施工总</w:t>
      </w:r>
      <w:r>
        <w:rPr>
          <w:rFonts w:hint="eastAsia" w:ascii="宋体" w:hAnsi="宋体" w:eastAsia="宋体" w:cs="宋体"/>
          <w:b/>
          <w:color w:val="auto"/>
          <w:spacing w:val="0"/>
          <w:sz w:val="30"/>
          <w:szCs w:val="30"/>
          <w:highlight w:val="none"/>
          <w:lang w:eastAsia="zh-CN"/>
        </w:rPr>
        <w:t>承包</w:t>
      </w:r>
      <w:r>
        <w:rPr>
          <w:rFonts w:hint="eastAsia" w:ascii="宋体" w:hAnsi="宋体" w:eastAsia="宋体" w:cs="宋体"/>
          <w:b/>
          <w:color w:val="auto"/>
          <w:spacing w:val="0"/>
          <w:sz w:val="30"/>
          <w:szCs w:val="30"/>
          <w:highlight w:val="none"/>
          <w:lang w:val="en-US" w:eastAsia="zh-CN"/>
        </w:rPr>
        <w:t>三</w:t>
      </w:r>
      <w:r>
        <w:rPr>
          <w:rFonts w:hint="eastAsia" w:ascii="宋体" w:hAnsi="宋体" w:eastAsia="宋体" w:cs="宋体"/>
          <w:b/>
          <w:color w:val="auto"/>
          <w:spacing w:val="0"/>
          <w:sz w:val="30"/>
          <w:szCs w:val="30"/>
          <w:highlight w:val="none"/>
          <w:lang w:eastAsia="zh-CN"/>
        </w:rPr>
        <w:t>级以上（含</w:t>
      </w:r>
      <w:r>
        <w:rPr>
          <w:rFonts w:hint="eastAsia" w:ascii="宋体" w:hAnsi="宋体" w:eastAsia="宋体" w:cs="宋体"/>
          <w:b/>
          <w:color w:val="auto"/>
          <w:spacing w:val="0"/>
          <w:sz w:val="30"/>
          <w:szCs w:val="30"/>
          <w:highlight w:val="none"/>
          <w:lang w:val="en-US" w:eastAsia="zh-CN"/>
        </w:rPr>
        <w:t>三</w:t>
      </w:r>
      <w:r>
        <w:rPr>
          <w:rFonts w:hint="eastAsia" w:ascii="宋体" w:hAnsi="宋体" w:eastAsia="宋体" w:cs="宋体"/>
          <w:b/>
          <w:color w:val="auto"/>
          <w:spacing w:val="0"/>
          <w:sz w:val="30"/>
          <w:szCs w:val="30"/>
          <w:highlight w:val="none"/>
          <w:lang w:eastAsia="zh-CN"/>
        </w:rPr>
        <w:t>级）资质，并在人员、设备、资金等方面具备相应的施工能力</w:t>
      </w:r>
    </w:p>
    <w:p w14:paraId="175D3B10">
      <w:pPr>
        <w:autoSpaceDE w:val="0"/>
        <w:autoSpaceDN w:val="0"/>
        <w:spacing w:line="360" w:lineRule="auto"/>
        <w:rPr>
          <w:rFonts w:ascii="宋体" w:hAnsi="宋体" w:cs="宋体"/>
          <w:color w:val="auto"/>
          <w:sz w:val="24"/>
          <w:highlight w:val="none"/>
        </w:rPr>
      </w:pPr>
    </w:p>
    <w:p w14:paraId="0CEA841B">
      <w:pPr>
        <w:autoSpaceDE w:val="0"/>
        <w:autoSpaceDN w:val="0"/>
        <w:spacing w:line="360" w:lineRule="auto"/>
        <w:ind w:left="4365" w:leftChars="1850" w:hanging="480" w:hangingChars="200"/>
        <w:rPr>
          <w:rFonts w:ascii="宋体" w:hAnsi="宋体" w:cs="宋体"/>
          <w:color w:val="auto"/>
          <w:sz w:val="24"/>
          <w:highlight w:val="none"/>
        </w:rPr>
      </w:pPr>
      <w:r>
        <w:rPr>
          <w:rFonts w:hint="eastAsia" w:ascii="宋体" w:hAnsi="宋体" w:cs="宋体"/>
          <w:color w:val="auto"/>
          <w:sz w:val="24"/>
          <w:highlight w:val="none"/>
        </w:rPr>
        <w:t>供应商名称（电子签章）：</w:t>
      </w:r>
    </w:p>
    <w:p w14:paraId="71AF50F7">
      <w:pPr>
        <w:autoSpaceDE w:val="0"/>
        <w:autoSpaceDN w:val="0"/>
        <w:spacing w:line="360" w:lineRule="auto"/>
        <w:ind w:firstLine="6120" w:firstLineChars="2550"/>
        <w:rPr>
          <w:rFonts w:ascii="宋体" w:hAnsi="宋体" w:eastAsia="宋体" w:cs="宋体"/>
          <w:b/>
          <w:color w:val="auto"/>
          <w:spacing w:val="0"/>
          <w:sz w:val="30"/>
          <w:szCs w:val="30"/>
          <w:highlight w:val="none"/>
        </w:rPr>
      </w:pPr>
      <w:r>
        <w:rPr>
          <w:rFonts w:hint="eastAsia" w:ascii="宋体" w:hAnsi="宋体" w:cs="宋体"/>
          <w:color w:val="auto"/>
          <w:sz w:val="24"/>
          <w:highlight w:val="none"/>
          <w:lang w:val="zh-CN"/>
        </w:rPr>
        <w:t>日期：  年  月   日</w:t>
      </w:r>
    </w:p>
    <w:p w14:paraId="12450DAF">
      <w:pPr>
        <w:pStyle w:val="99"/>
        <w:spacing w:line="400" w:lineRule="exact"/>
        <w:ind w:firstLine="0" w:firstLineChars="0"/>
        <w:rPr>
          <w:rFonts w:ascii="宋体" w:hAnsi="宋体" w:eastAsia="宋体" w:cs="宋体"/>
          <w:b/>
          <w:color w:val="auto"/>
          <w:spacing w:val="0"/>
          <w:sz w:val="30"/>
          <w:szCs w:val="30"/>
          <w:highlight w:val="none"/>
        </w:rPr>
      </w:pPr>
    </w:p>
    <w:p w14:paraId="19DB53C5">
      <w:pPr>
        <w:pStyle w:val="99"/>
        <w:spacing w:line="400" w:lineRule="exact"/>
        <w:ind w:firstLine="0" w:firstLineChars="0"/>
        <w:rPr>
          <w:rFonts w:ascii="宋体" w:hAnsi="宋体" w:eastAsia="宋体" w:cs="宋体"/>
          <w:b/>
          <w:color w:val="auto"/>
          <w:spacing w:val="0"/>
          <w:sz w:val="30"/>
          <w:szCs w:val="30"/>
          <w:highlight w:val="none"/>
          <w:lang w:val="zh-CN"/>
        </w:rPr>
      </w:pPr>
      <w:r>
        <w:rPr>
          <w:rFonts w:hint="eastAsia" w:ascii="宋体" w:hAnsi="宋体" w:eastAsia="宋体" w:cs="宋体"/>
          <w:b/>
          <w:color w:val="auto"/>
          <w:spacing w:val="0"/>
          <w:sz w:val="30"/>
          <w:szCs w:val="30"/>
          <w:highlight w:val="none"/>
          <w:lang w:val="en-US" w:eastAsia="zh-CN"/>
        </w:rPr>
        <w:t>十</w:t>
      </w:r>
      <w:r>
        <w:rPr>
          <w:rFonts w:hint="eastAsia" w:ascii="宋体" w:hAnsi="宋体" w:eastAsia="宋体" w:cs="宋体"/>
          <w:b/>
          <w:color w:val="auto"/>
          <w:spacing w:val="0"/>
          <w:sz w:val="30"/>
          <w:szCs w:val="30"/>
          <w:highlight w:val="none"/>
        </w:rPr>
        <w:t>、拟投入本项目项目经理</w:t>
      </w:r>
      <w:r>
        <w:rPr>
          <w:rFonts w:hint="eastAsia" w:ascii="宋体" w:hAnsi="宋体" w:eastAsia="宋体" w:cs="宋体"/>
          <w:b/>
          <w:color w:val="auto"/>
          <w:spacing w:val="0"/>
          <w:sz w:val="30"/>
          <w:szCs w:val="30"/>
          <w:highlight w:val="none"/>
          <w:lang w:eastAsia="zh-CN"/>
        </w:rPr>
        <w:t>具备建筑工程专业二级以上（含本级）注册建造师执业资格，并具备有效的安全生产考核合格证书（B类）</w:t>
      </w:r>
      <w:r>
        <w:rPr>
          <w:rFonts w:hint="eastAsia" w:ascii="宋体" w:hAnsi="宋体" w:eastAsia="宋体" w:cs="宋体"/>
          <w:b/>
          <w:color w:val="auto"/>
          <w:spacing w:val="0"/>
          <w:sz w:val="30"/>
          <w:szCs w:val="30"/>
          <w:highlight w:val="none"/>
        </w:rPr>
        <w:t>复印件以及供应商单位为该项目经理于响应文件递交截止时间前半年</w:t>
      </w:r>
      <w:r>
        <w:rPr>
          <w:rFonts w:hint="eastAsia" w:ascii="宋体" w:hAnsi="宋体" w:eastAsia="宋体" w:cs="宋体"/>
          <w:b/>
          <w:color w:val="auto"/>
          <w:spacing w:val="0"/>
          <w:sz w:val="30"/>
          <w:szCs w:val="30"/>
          <w:highlight w:val="none"/>
          <w:lang w:val="en-US" w:eastAsia="zh-CN"/>
        </w:rPr>
        <w:t>任意一个</w:t>
      </w:r>
      <w:r>
        <w:rPr>
          <w:rFonts w:hint="eastAsia" w:ascii="宋体" w:hAnsi="宋体" w:eastAsia="宋体" w:cs="宋体"/>
          <w:b/>
          <w:color w:val="auto"/>
          <w:spacing w:val="0"/>
          <w:sz w:val="30"/>
          <w:szCs w:val="30"/>
          <w:highlight w:val="none"/>
        </w:rPr>
        <w:t>月的依法缴纳社会保险的证明材料</w:t>
      </w:r>
      <w:r>
        <w:rPr>
          <w:rStyle w:val="110"/>
          <w:rFonts w:ascii="宋体" w:hAnsi="宋体" w:eastAsia="宋体" w:cs="宋体"/>
          <w:b/>
          <w:bCs/>
          <w:color w:val="4EAD1E"/>
          <w:sz w:val="30"/>
          <w:szCs w:val="30"/>
          <w:highlight w:val="none"/>
        </w:rPr>
        <w:t>（接受电子社保缴费凭证、电子完税证明等新型证明材料）</w:t>
      </w:r>
      <w:r>
        <w:rPr>
          <w:rFonts w:hint="eastAsia" w:ascii="宋体" w:hAnsi="宋体" w:eastAsia="宋体" w:cs="宋体"/>
          <w:b/>
          <w:color w:val="auto"/>
          <w:spacing w:val="0"/>
          <w:sz w:val="30"/>
          <w:szCs w:val="30"/>
          <w:highlight w:val="none"/>
        </w:rPr>
        <w:t>及相关材料的复印件</w:t>
      </w:r>
    </w:p>
    <w:p w14:paraId="53B1AF7D">
      <w:pPr>
        <w:autoSpaceDE w:val="0"/>
        <w:autoSpaceDN w:val="0"/>
        <w:spacing w:line="360" w:lineRule="auto"/>
        <w:ind w:left="4365" w:leftChars="1850" w:hanging="480" w:hangingChars="200"/>
        <w:rPr>
          <w:rFonts w:ascii="宋体" w:hAnsi="宋体" w:cs="宋体"/>
          <w:color w:val="auto"/>
          <w:sz w:val="24"/>
          <w:highlight w:val="none"/>
        </w:rPr>
      </w:pPr>
      <w:r>
        <w:rPr>
          <w:rFonts w:hint="eastAsia" w:ascii="宋体" w:hAnsi="宋体" w:cs="宋体"/>
          <w:color w:val="auto"/>
          <w:sz w:val="24"/>
          <w:highlight w:val="none"/>
        </w:rPr>
        <w:t>供应商名称（电子签章）：</w:t>
      </w:r>
    </w:p>
    <w:p w14:paraId="09A358E5">
      <w:pPr>
        <w:autoSpaceDE w:val="0"/>
        <w:autoSpaceDN w:val="0"/>
        <w:spacing w:line="360" w:lineRule="auto"/>
        <w:ind w:firstLine="6120" w:firstLineChars="2550"/>
        <w:rPr>
          <w:rFonts w:hint="eastAsia" w:ascii="宋体" w:hAnsi="宋体" w:cs="宋体"/>
          <w:color w:val="auto"/>
          <w:sz w:val="24"/>
          <w:highlight w:val="none"/>
          <w:lang w:val="zh-CN"/>
        </w:rPr>
      </w:pPr>
      <w:r>
        <w:rPr>
          <w:rFonts w:hint="eastAsia" w:ascii="宋体" w:hAnsi="宋体" w:cs="宋体"/>
          <w:color w:val="auto"/>
          <w:sz w:val="24"/>
          <w:highlight w:val="none"/>
          <w:lang w:val="zh-CN"/>
        </w:rPr>
        <w:t>日期：  年  月   日</w:t>
      </w:r>
    </w:p>
    <w:p w14:paraId="2303C536">
      <w:pPr>
        <w:pStyle w:val="21"/>
        <w:rPr>
          <w:rFonts w:hint="eastAsia" w:ascii="宋体" w:hAnsi="宋体" w:cs="宋体"/>
          <w:color w:val="auto"/>
          <w:sz w:val="24"/>
          <w:highlight w:val="none"/>
          <w:lang w:val="zh-CN"/>
        </w:rPr>
      </w:pPr>
    </w:p>
    <w:p w14:paraId="2A1542C0">
      <w:pPr>
        <w:rPr>
          <w:highlight w:val="none"/>
        </w:rPr>
      </w:pPr>
    </w:p>
    <w:p w14:paraId="3799ADA3">
      <w:pPr>
        <w:autoSpaceDE w:val="0"/>
        <w:autoSpaceDN w:val="0"/>
        <w:spacing w:line="400" w:lineRule="exact"/>
        <w:jc w:val="left"/>
        <w:rPr>
          <w:rFonts w:ascii="宋体" w:hAnsi="宋体" w:cs="宋体"/>
          <w:b/>
          <w:color w:val="auto"/>
          <w:sz w:val="30"/>
          <w:szCs w:val="30"/>
          <w:highlight w:val="none"/>
        </w:rPr>
      </w:pPr>
      <w:r>
        <w:rPr>
          <w:rFonts w:hint="eastAsia" w:ascii="宋体" w:hAnsi="宋体" w:eastAsia="宋体" w:cs="宋体"/>
          <w:b/>
          <w:color w:val="auto"/>
          <w:spacing w:val="0"/>
          <w:sz w:val="30"/>
          <w:szCs w:val="30"/>
          <w:highlight w:val="none"/>
          <w:lang w:val="en-US" w:eastAsia="zh-CN"/>
        </w:rPr>
        <w:t>十一</w:t>
      </w:r>
      <w:r>
        <w:rPr>
          <w:rFonts w:hint="eastAsia" w:ascii="宋体" w:hAnsi="宋体" w:eastAsia="宋体" w:cs="宋体"/>
          <w:b/>
          <w:color w:val="auto"/>
          <w:spacing w:val="0"/>
          <w:sz w:val="30"/>
          <w:szCs w:val="30"/>
          <w:highlight w:val="none"/>
        </w:rPr>
        <w:t>、拟投入本项目的技术负责人具备建筑工程相关专业中级（含）以上技术职称复印件及供应商单位为该技术负责人于响应文件递交截止时间前半年内</w:t>
      </w:r>
      <w:r>
        <w:rPr>
          <w:rFonts w:hint="eastAsia" w:ascii="宋体" w:hAnsi="宋体" w:cs="宋体"/>
          <w:b/>
          <w:color w:val="auto"/>
          <w:spacing w:val="0"/>
          <w:sz w:val="30"/>
          <w:szCs w:val="30"/>
          <w:highlight w:val="none"/>
          <w:lang w:val="en-US" w:eastAsia="zh-CN"/>
        </w:rPr>
        <w:t>任意一个</w:t>
      </w:r>
      <w:r>
        <w:rPr>
          <w:rFonts w:hint="eastAsia" w:ascii="宋体" w:hAnsi="宋体" w:eastAsia="宋体" w:cs="宋体"/>
          <w:b/>
          <w:color w:val="auto"/>
          <w:spacing w:val="0"/>
          <w:sz w:val="30"/>
          <w:szCs w:val="30"/>
          <w:highlight w:val="none"/>
        </w:rPr>
        <w:t>月的依法缴纳社会保险的证明材料</w:t>
      </w:r>
      <w:r>
        <w:rPr>
          <w:rStyle w:val="110"/>
          <w:rFonts w:ascii="宋体" w:hAnsi="宋体" w:eastAsia="宋体" w:cs="宋体"/>
          <w:b/>
          <w:bCs/>
          <w:color w:val="4EAD1E"/>
          <w:sz w:val="30"/>
          <w:szCs w:val="30"/>
          <w:highlight w:val="none"/>
        </w:rPr>
        <w:t>（接受电子社保缴费凭证、电子完税证明等新型证明材料）</w:t>
      </w:r>
      <w:r>
        <w:rPr>
          <w:rFonts w:hint="eastAsia" w:ascii="宋体" w:hAnsi="宋体" w:eastAsia="宋体" w:cs="宋体"/>
          <w:b/>
          <w:color w:val="auto"/>
          <w:spacing w:val="0"/>
          <w:sz w:val="30"/>
          <w:szCs w:val="30"/>
          <w:highlight w:val="none"/>
        </w:rPr>
        <w:t>及相关材料的复印件</w:t>
      </w:r>
    </w:p>
    <w:p w14:paraId="4F68FC29">
      <w:pPr>
        <w:autoSpaceDE w:val="0"/>
        <w:autoSpaceDN w:val="0"/>
        <w:spacing w:line="360" w:lineRule="auto"/>
        <w:ind w:left="4365" w:leftChars="1850" w:hanging="480" w:hangingChars="200"/>
        <w:rPr>
          <w:rFonts w:ascii="宋体" w:hAnsi="宋体" w:cs="宋体"/>
          <w:color w:val="auto"/>
          <w:sz w:val="24"/>
          <w:highlight w:val="none"/>
        </w:rPr>
      </w:pPr>
      <w:r>
        <w:rPr>
          <w:rFonts w:hint="eastAsia" w:ascii="宋体" w:hAnsi="宋体" w:cs="宋体"/>
          <w:color w:val="auto"/>
          <w:sz w:val="24"/>
          <w:highlight w:val="none"/>
        </w:rPr>
        <w:t>供应商名称（电子签章）：</w:t>
      </w:r>
    </w:p>
    <w:p w14:paraId="4CCEB3C2">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sz w:val="24"/>
          <w:highlight w:val="none"/>
          <w:lang w:val="zh-CN"/>
        </w:rPr>
        <w:t>日期：  年  月   日</w:t>
      </w:r>
    </w:p>
    <w:p w14:paraId="2A3C7960">
      <w:pPr>
        <w:pStyle w:val="21"/>
        <w:rPr>
          <w:highlight w:val="none"/>
        </w:rPr>
      </w:pPr>
    </w:p>
    <w:p w14:paraId="2E4098F2">
      <w:pPr>
        <w:rPr>
          <w:highlight w:val="none"/>
        </w:rPr>
      </w:pPr>
    </w:p>
    <w:p w14:paraId="5848634E">
      <w:pPr>
        <w:pStyle w:val="99"/>
        <w:spacing w:line="400" w:lineRule="exact"/>
        <w:ind w:firstLine="0" w:firstLineChars="0"/>
        <w:rPr>
          <w:rFonts w:ascii="宋体" w:hAnsi="宋体" w:eastAsia="宋体" w:cs="宋体"/>
          <w:b/>
          <w:color w:val="auto"/>
          <w:spacing w:val="0"/>
          <w:sz w:val="30"/>
          <w:szCs w:val="30"/>
          <w:highlight w:val="none"/>
          <w:lang w:val="zh-CN"/>
        </w:rPr>
      </w:pPr>
      <w:r>
        <w:rPr>
          <w:rFonts w:hint="eastAsia" w:ascii="宋体" w:hAnsi="宋体" w:eastAsia="宋体" w:cs="宋体"/>
          <w:b/>
          <w:color w:val="auto"/>
          <w:spacing w:val="0"/>
          <w:sz w:val="30"/>
          <w:szCs w:val="30"/>
          <w:highlight w:val="none"/>
          <w:lang w:val="en-US" w:eastAsia="zh-CN"/>
        </w:rPr>
        <w:t>十二</w:t>
      </w:r>
      <w:r>
        <w:rPr>
          <w:rFonts w:hint="eastAsia" w:ascii="宋体" w:hAnsi="宋体" w:eastAsia="宋体" w:cs="宋体"/>
          <w:b/>
          <w:color w:val="auto"/>
          <w:spacing w:val="0"/>
          <w:sz w:val="30"/>
          <w:szCs w:val="30"/>
          <w:highlight w:val="none"/>
        </w:rPr>
        <w:t>、拟投入本项目的专职安全生产管理人员的安全生产考核合格证书（C类）复印件及供应商单位为该专职安全生产管理人员于响应文件递交截止时间前半年内</w:t>
      </w:r>
      <w:r>
        <w:rPr>
          <w:rFonts w:hint="eastAsia" w:ascii="宋体" w:hAnsi="宋体" w:eastAsia="宋体" w:cs="宋体"/>
          <w:b/>
          <w:color w:val="auto"/>
          <w:spacing w:val="0"/>
          <w:sz w:val="30"/>
          <w:szCs w:val="30"/>
          <w:highlight w:val="none"/>
          <w:lang w:val="en-US" w:eastAsia="zh-CN"/>
        </w:rPr>
        <w:t>任意一</w:t>
      </w:r>
      <w:r>
        <w:rPr>
          <w:rFonts w:hint="eastAsia" w:ascii="宋体" w:hAnsi="宋体" w:eastAsia="宋体" w:cs="宋体"/>
          <w:b/>
          <w:color w:val="auto"/>
          <w:spacing w:val="0"/>
          <w:sz w:val="30"/>
          <w:szCs w:val="30"/>
          <w:highlight w:val="none"/>
        </w:rPr>
        <w:t>个月的依法缴纳社会保险的证明材料</w:t>
      </w:r>
      <w:r>
        <w:rPr>
          <w:rStyle w:val="110"/>
          <w:rFonts w:ascii="宋体" w:hAnsi="宋体" w:eastAsia="宋体" w:cs="宋体"/>
          <w:b/>
          <w:bCs/>
          <w:color w:val="4EAD1E"/>
          <w:sz w:val="30"/>
          <w:szCs w:val="30"/>
          <w:highlight w:val="none"/>
        </w:rPr>
        <w:t>（接受电子社保缴费凭证、电子完税证明等新型证明材料）</w:t>
      </w:r>
      <w:r>
        <w:rPr>
          <w:rFonts w:hint="eastAsia" w:ascii="宋体" w:hAnsi="宋体" w:eastAsia="宋体" w:cs="宋体"/>
          <w:b/>
          <w:color w:val="auto"/>
          <w:spacing w:val="0"/>
          <w:sz w:val="30"/>
          <w:szCs w:val="30"/>
          <w:highlight w:val="none"/>
        </w:rPr>
        <w:t>及相关材料的复印件</w:t>
      </w:r>
    </w:p>
    <w:p w14:paraId="561A52DF">
      <w:pPr>
        <w:autoSpaceDE w:val="0"/>
        <w:autoSpaceDN w:val="0"/>
        <w:spacing w:line="360" w:lineRule="auto"/>
        <w:rPr>
          <w:rFonts w:ascii="宋体" w:hAnsi="宋体" w:cs="宋体"/>
          <w:color w:val="auto"/>
          <w:sz w:val="24"/>
          <w:highlight w:val="none"/>
        </w:rPr>
      </w:pPr>
    </w:p>
    <w:p w14:paraId="10E9EACD">
      <w:pPr>
        <w:autoSpaceDE w:val="0"/>
        <w:autoSpaceDN w:val="0"/>
        <w:spacing w:line="360" w:lineRule="auto"/>
        <w:ind w:left="4365" w:leftChars="1850" w:hanging="480" w:hangingChars="200"/>
        <w:rPr>
          <w:rFonts w:ascii="宋体" w:hAnsi="宋体" w:cs="宋体"/>
          <w:color w:val="auto"/>
          <w:sz w:val="24"/>
          <w:highlight w:val="none"/>
        </w:rPr>
      </w:pPr>
      <w:r>
        <w:rPr>
          <w:rFonts w:hint="eastAsia" w:ascii="宋体" w:hAnsi="宋体" w:cs="宋体"/>
          <w:color w:val="auto"/>
          <w:sz w:val="24"/>
          <w:highlight w:val="none"/>
        </w:rPr>
        <w:t>供应商名称（电子签章）：</w:t>
      </w:r>
    </w:p>
    <w:p w14:paraId="2486D50F">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sz w:val="24"/>
          <w:highlight w:val="none"/>
          <w:lang w:val="zh-CN"/>
        </w:rPr>
        <w:t>日期：  年  月   日</w:t>
      </w:r>
    </w:p>
    <w:p w14:paraId="6ED4CB0F">
      <w:pPr>
        <w:widowControl/>
        <w:jc w:val="left"/>
        <w:rPr>
          <w:rFonts w:ascii="宋体" w:hAnsi="宋体" w:cs="宋体"/>
          <w:color w:val="auto"/>
          <w:sz w:val="24"/>
          <w:szCs w:val="18"/>
          <w:highlight w:val="none"/>
          <w:lang w:val="zh-CN"/>
        </w:rPr>
      </w:pPr>
    </w:p>
    <w:p w14:paraId="6BA3225C">
      <w:pPr>
        <w:pStyle w:val="21"/>
        <w:snapToGrid/>
        <w:rPr>
          <w:rFonts w:ascii="宋体" w:hAnsi="宋体" w:cs="宋体"/>
          <w:color w:val="auto"/>
          <w:kern w:val="2"/>
          <w:sz w:val="24"/>
          <w:highlight w:val="none"/>
          <w:lang w:val="zh-CN"/>
        </w:rPr>
      </w:pPr>
    </w:p>
    <w:p w14:paraId="3EE5848D">
      <w:pPr>
        <w:pStyle w:val="99"/>
        <w:spacing w:line="400" w:lineRule="exact"/>
        <w:ind w:firstLine="0" w:firstLineChars="0"/>
        <w:rPr>
          <w:rFonts w:hint="eastAsia" w:ascii="宋体" w:hAnsi="宋体" w:eastAsia="宋体" w:cs="宋体"/>
          <w:b/>
          <w:color w:val="auto"/>
          <w:spacing w:val="0"/>
          <w:sz w:val="30"/>
          <w:szCs w:val="30"/>
          <w:highlight w:val="none"/>
          <w:lang w:val="en-US" w:eastAsia="zh-CN"/>
        </w:rPr>
      </w:pPr>
    </w:p>
    <w:p w14:paraId="561CE00B">
      <w:pPr>
        <w:pStyle w:val="99"/>
        <w:spacing w:line="400" w:lineRule="exact"/>
        <w:ind w:firstLine="0" w:firstLineChars="0"/>
        <w:rPr>
          <w:rFonts w:ascii="宋体" w:hAnsi="宋体" w:cs="宋体"/>
          <w:color w:val="auto"/>
          <w:highlight w:val="none"/>
        </w:rPr>
      </w:pPr>
      <w:r>
        <w:rPr>
          <w:rFonts w:hint="eastAsia" w:ascii="宋体" w:hAnsi="宋体" w:eastAsia="宋体" w:cs="宋体"/>
          <w:b/>
          <w:color w:val="auto"/>
          <w:spacing w:val="0"/>
          <w:sz w:val="30"/>
          <w:szCs w:val="30"/>
          <w:highlight w:val="none"/>
          <w:lang w:val="en-US" w:eastAsia="zh-CN"/>
        </w:rPr>
        <w:t>十三</w:t>
      </w:r>
      <w:r>
        <w:rPr>
          <w:rFonts w:hint="eastAsia" w:ascii="宋体" w:hAnsi="宋体" w:eastAsia="宋体" w:cs="宋体"/>
          <w:b/>
          <w:color w:val="auto"/>
          <w:spacing w:val="0"/>
          <w:sz w:val="30"/>
          <w:szCs w:val="30"/>
          <w:highlight w:val="none"/>
        </w:rPr>
        <w:t>、除磋商文件规定必须提供以外，供应商认为需要提供的其他证明材料</w:t>
      </w:r>
      <w:r>
        <w:rPr>
          <w:rFonts w:hint="eastAsia" w:ascii="宋体" w:hAnsi="宋体" w:eastAsia="宋体" w:cs="宋体"/>
          <w:b/>
          <w:color w:val="auto"/>
          <w:spacing w:val="0"/>
          <w:sz w:val="30"/>
          <w:szCs w:val="30"/>
          <w:highlight w:val="none"/>
          <w:lang w:eastAsia="zh-CN"/>
        </w:rPr>
        <w:t>。</w:t>
      </w:r>
    </w:p>
    <w:p w14:paraId="684A56E1">
      <w:pPr>
        <w:rPr>
          <w:rFonts w:hint="eastAsia" w:ascii="宋体" w:hAnsi="宋体" w:cs="宋体"/>
          <w:color w:val="auto"/>
          <w:highlight w:val="none"/>
        </w:rPr>
      </w:pPr>
      <w:bookmarkStart w:id="77" w:name="_Toc32504"/>
      <w:r>
        <w:rPr>
          <w:rFonts w:hint="eastAsia" w:ascii="宋体" w:hAnsi="宋体" w:cs="宋体"/>
          <w:color w:val="auto"/>
          <w:highlight w:val="none"/>
        </w:rPr>
        <w:br w:type="page"/>
      </w:r>
    </w:p>
    <w:p w14:paraId="40431FF1">
      <w:pPr>
        <w:pStyle w:val="3"/>
        <w:spacing w:before="0" w:after="0" w:line="360" w:lineRule="auto"/>
        <w:jc w:val="center"/>
        <w:rPr>
          <w:rFonts w:ascii="宋体" w:hAnsi="宋体" w:cs="宋体"/>
          <w:color w:val="auto"/>
          <w:highlight w:val="none"/>
        </w:rPr>
      </w:pPr>
      <w:r>
        <w:rPr>
          <w:rFonts w:hint="eastAsia" w:ascii="宋体" w:hAnsi="宋体" w:cs="宋体"/>
          <w:color w:val="auto"/>
          <w:highlight w:val="none"/>
        </w:rPr>
        <w:t>第三节 商务技术文件格式</w:t>
      </w:r>
      <w:bookmarkEnd w:id="76"/>
      <w:bookmarkEnd w:id="77"/>
    </w:p>
    <w:p w14:paraId="68128A3B">
      <w:pPr>
        <w:spacing w:beforeLines="50" w:after="50"/>
        <w:rPr>
          <w:rFonts w:ascii="宋体" w:hAnsi="宋体" w:cs="宋体"/>
          <w:color w:val="auto"/>
          <w:sz w:val="24"/>
          <w:highlight w:val="none"/>
        </w:rPr>
      </w:pPr>
      <w:r>
        <w:rPr>
          <w:rFonts w:hint="eastAsia" w:ascii="宋体" w:hAnsi="宋体" w:cs="宋体"/>
          <w:color w:val="auto"/>
          <w:sz w:val="24"/>
          <w:highlight w:val="none"/>
        </w:rPr>
        <w:t xml:space="preserve">  </w:t>
      </w:r>
    </w:p>
    <w:p w14:paraId="39490540">
      <w:pPr>
        <w:spacing w:beforeLines="50" w:after="50"/>
        <w:jc w:val="right"/>
        <w:rPr>
          <w:rFonts w:ascii="宋体" w:hAnsi="宋体" w:cs="宋体"/>
          <w:bCs/>
          <w:color w:val="auto"/>
          <w:sz w:val="28"/>
          <w:szCs w:val="28"/>
          <w:highlight w:val="none"/>
        </w:rPr>
      </w:pPr>
      <w:r>
        <w:rPr>
          <w:rFonts w:hint="eastAsia" w:ascii="宋体" w:hAnsi="宋体" w:cs="宋体"/>
          <w:bCs/>
          <w:color w:val="auto"/>
          <w:sz w:val="28"/>
          <w:szCs w:val="28"/>
          <w:highlight w:val="none"/>
        </w:rPr>
        <w:t>全流程电子文件</w:t>
      </w:r>
    </w:p>
    <w:p w14:paraId="05F085F9">
      <w:pPr>
        <w:spacing w:beforeLines="50" w:after="50"/>
        <w:rPr>
          <w:rFonts w:ascii="宋体" w:hAnsi="宋体" w:cs="宋体"/>
          <w:color w:val="auto"/>
          <w:sz w:val="24"/>
          <w:szCs w:val="20"/>
          <w:highlight w:val="none"/>
        </w:rPr>
      </w:pPr>
    </w:p>
    <w:p w14:paraId="5C7C5EDE">
      <w:pPr>
        <w:spacing w:beforeLines="50" w:after="50"/>
        <w:rPr>
          <w:rFonts w:ascii="宋体" w:hAnsi="宋体" w:cs="宋体"/>
          <w:color w:val="auto"/>
          <w:sz w:val="24"/>
          <w:szCs w:val="20"/>
          <w:highlight w:val="none"/>
        </w:rPr>
      </w:pPr>
    </w:p>
    <w:p w14:paraId="43DEB53F">
      <w:pPr>
        <w:spacing w:beforeLines="50" w:after="50"/>
        <w:rPr>
          <w:rFonts w:ascii="宋体" w:hAnsi="宋体" w:cs="宋体"/>
          <w:color w:val="auto"/>
          <w:sz w:val="24"/>
          <w:szCs w:val="20"/>
          <w:highlight w:val="none"/>
        </w:rPr>
      </w:pPr>
    </w:p>
    <w:p w14:paraId="546AC253">
      <w:pPr>
        <w:spacing w:beforeLines="50" w:after="50"/>
        <w:jc w:val="center"/>
        <w:rPr>
          <w:rFonts w:ascii="宋体" w:hAnsi="宋体" w:cs="宋体"/>
          <w:b/>
          <w:color w:val="auto"/>
          <w:sz w:val="48"/>
          <w:szCs w:val="48"/>
          <w:highlight w:val="none"/>
        </w:rPr>
      </w:pPr>
      <w:r>
        <w:rPr>
          <w:rFonts w:hint="eastAsia" w:ascii="宋体" w:hAnsi="宋体" w:cs="宋体"/>
          <w:b/>
          <w:color w:val="auto"/>
          <w:sz w:val="48"/>
          <w:szCs w:val="48"/>
          <w:highlight w:val="none"/>
        </w:rPr>
        <w:t>商 务 技 术 文 件</w:t>
      </w:r>
    </w:p>
    <w:p w14:paraId="079D62E7">
      <w:pPr>
        <w:spacing w:beforeLines="50" w:after="50"/>
        <w:rPr>
          <w:rFonts w:ascii="宋体" w:hAnsi="宋体" w:cs="宋体"/>
          <w:bCs/>
          <w:color w:val="auto"/>
          <w:sz w:val="24"/>
          <w:szCs w:val="20"/>
          <w:highlight w:val="none"/>
        </w:rPr>
      </w:pPr>
    </w:p>
    <w:p w14:paraId="367E5D5D">
      <w:pPr>
        <w:spacing w:beforeLines="50" w:after="50"/>
        <w:rPr>
          <w:rFonts w:ascii="宋体" w:hAnsi="宋体" w:cs="宋体"/>
          <w:bCs/>
          <w:color w:val="auto"/>
          <w:sz w:val="24"/>
          <w:szCs w:val="20"/>
          <w:highlight w:val="none"/>
        </w:rPr>
      </w:pPr>
    </w:p>
    <w:p w14:paraId="1DE3362C">
      <w:pPr>
        <w:spacing w:beforeLines="50" w:after="50"/>
        <w:rPr>
          <w:rFonts w:ascii="宋体" w:hAnsi="宋体" w:cs="宋体"/>
          <w:bCs/>
          <w:color w:val="auto"/>
          <w:sz w:val="24"/>
          <w:szCs w:val="20"/>
          <w:highlight w:val="none"/>
        </w:rPr>
      </w:pPr>
    </w:p>
    <w:p w14:paraId="421AF613">
      <w:pPr>
        <w:spacing w:beforeLines="50" w:after="50"/>
        <w:rPr>
          <w:rFonts w:ascii="宋体" w:hAnsi="宋体" w:cs="宋体"/>
          <w:bCs/>
          <w:color w:val="auto"/>
          <w:sz w:val="24"/>
          <w:szCs w:val="20"/>
          <w:highlight w:val="none"/>
        </w:rPr>
      </w:pPr>
    </w:p>
    <w:p w14:paraId="79DA405F">
      <w:pPr>
        <w:spacing w:beforeLines="50" w:after="50"/>
        <w:rPr>
          <w:rFonts w:ascii="宋体" w:hAnsi="宋体" w:cs="宋体"/>
          <w:bCs/>
          <w:color w:val="auto"/>
          <w:sz w:val="24"/>
          <w:szCs w:val="20"/>
          <w:highlight w:val="none"/>
        </w:rPr>
      </w:pPr>
    </w:p>
    <w:p w14:paraId="346FDD02">
      <w:pPr>
        <w:spacing w:beforeLines="50" w:after="50"/>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项目名称：</w:t>
      </w:r>
    </w:p>
    <w:p w14:paraId="16F4B35F">
      <w:pPr>
        <w:spacing w:beforeLines="50" w:after="50"/>
        <w:ind w:firstLine="420" w:firstLineChars="150"/>
        <w:rPr>
          <w:rFonts w:ascii="宋体" w:hAnsi="宋体" w:cs="宋体"/>
          <w:bCs/>
          <w:color w:val="auto"/>
          <w:sz w:val="28"/>
          <w:szCs w:val="28"/>
          <w:highlight w:val="none"/>
        </w:rPr>
      </w:pPr>
    </w:p>
    <w:p w14:paraId="28B0B890">
      <w:pPr>
        <w:spacing w:beforeLines="50" w:after="50"/>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项目编号：</w:t>
      </w:r>
    </w:p>
    <w:p w14:paraId="2CD70749">
      <w:pPr>
        <w:spacing w:beforeLines="50" w:after="50"/>
        <w:ind w:firstLine="420" w:firstLineChars="150"/>
        <w:rPr>
          <w:rFonts w:ascii="宋体" w:hAnsi="宋体" w:cs="宋体"/>
          <w:bCs/>
          <w:color w:val="auto"/>
          <w:sz w:val="28"/>
          <w:szCs w:val="28"/>
          <w:highlight w:val="none"/>
        </w:rPr>
      </w:pPr>
    </w:p>
    <w:p w14:paraId="52DDB420">
      <w:pPr>
        <w:spacing w:beforeLines="50" w:after="50"/>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所竞分标：</w:t>
      </w:r>
    </w:p>
    <w:p w14:paraId="718FE598">
      <w:pPr>
        <w:spacing w:beforeLines="50" w:after="50"/>
        <w:rPr>
          <w:rFonts w:ascii="宋体" w:hAnsi="宋体" w:cs="宋体"/>
          <w:bCs/>
          <w:color w:val="auto"/>
          <w:sz w:val="28"/>
          <w:szCs w:val="28"/>
          <w:highlight w:val="none"/>
        </w:rPr>
      </w:pPr>
    </w:p>
    <w:p w14:paraId="07E35093">
      <w:pPr>
        <w:spacing w:beforeLines="50" w:after="50"/>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供应商名称：</w:t>
      </w:r>
    </w:p>
    <w:p w14:paraId="7C7606C5">
      <w:pPr>
        <w:pStyle w:val="7"/>
        <w:spacing w:before="50" w:after="50"/>
        <w:ind w:firstLine="720" w:firstLineChars="225"/>
        <w:rPr>
          <w:rFonts w:ascii="宋体" w:hAnsi="宋体" w:cs="宋体"/>
          <w:bCs/>
          <w:color w:val="auto"/>
          <w:sz w:val="32"/>
          <w:szCs w:val="32"/>
          <w:highlight w:val="none"/>
        </w:rPr>
      </w:pPr>
    </w:p>
    <w:p w14:paraId="758449C3">
      <w:pPr>
        <w:pStyle w:val="7"/>
        <w:spacing w:before="50" w:after="50"/>
        <w:ind w:firstLine="720" w:firstLineChars="225"/>
        <w:rPr>
          <w:rFonts w:ascii="宋体" w:hAnsi="宋体" w:cs="宋体"/>
          <w:bCs/>
          <w:color w:val="auto"/>
          <w:sz w:val="32"/>
          <w:szCs w:val="32"/>
          <w:highlight w:val="none"/>
        </w:rPr>
      </w:pPr>
    </w:p>
    <w:p w14:paraId="3C04492B">
      <w:pPr>
        <w:pStyle w:val="7"/>
        <w:spacing w:before="50" w:after="50"/>
        <w:ind w:firstLine="1280" w:firstLineChars="400"/>
        <w:rPr>
          <w:rFonts w:ascii="宋体" w:hAnsi="宋体" w:cs="宋体"/>
          <w:bCs/>
          <w:color w:val="auto"/>
          <w:sz w:val="32"/>
          <w:szCs w:val="32"/>
          <w:highlight w:val="none"/>
        </w:rPr>
      </w:pPr>
    </w:p>
    <w:p w14:paraId="6A214D72">
      <w:pPr>
        <w:spacing w:beforeLines="50" w:after="50"/>
        <w:jc w:val="center"/>
        <w:rPr>
          <w:rFonts w:ascii="宋体" w:hAnsi="宋体" w:cs="宋体"/>
          <w:color w:val="auto"/>
          <w:sz w:val="28"/>
          <w:szCs w:val="28"/>
          <w:highlight w:val="none"/>
        </w:rPr>
      </w:pPr>
      <w:r>
        <w:rPr>
          <w:rFonts w:hint="eastAsia" w:ascii="宋体" w:hAnsi="宋体" w:cs="宋体"/>
          <w:color w:val="auto"/>
          <w:sz w:val="28"/>
          <w:szCs w:val="28"/>
          <w:highlight w:val="none"/>
        </w:rPr>
        <w:t>年    月    日</w:t>
      </w:r>
    </w:p>
    <w:p w14:paraId="18E5EAD7">
      <w:pPr>
        <w:widowControl/>
        <w:jc w:val="left"/>
        <w:rPr>
          <w:rFonts w:ascii="宋体" w:hAnsi="宋体" w:cs="宋体"/>
          <w:b/>
          <w:color w:val="auto"/>
          <w:sz w:val="28"/>
          <w:szCs w:val="28"/>
          <w:highlight w:val="none"/>
        </w:rPr>
      </w:pPr>
      <w:r>
        <w:rPr>
          <w:rFonts w:ascii="宋体" w:hAnsi="宋体" w:cs="宋体"/>
          <w:color w:val="auto"/>
          <w:sz w:val="28"/>
          <w:szCs w:val="28"/>
          <w:highlight w:val="none"/>
        </w:rPr>
        <w:br w:type="page"/>
      </w:r>
    </w:p>
    <w:p w14:paraId="39B7EDD8">
      <w:pPr>
        <w:jc w:val="center"/>
        <w:rPr>
          <w:rFonts w:ascii="宋体" w:hAnsi="宋体" w:cs="宋体"/>
          <w:b/>
          <w:color w:val="auto"/>
          <w:sz w:val="28"/>
          <w:szCs w:val="28"/>
          <w:highlight w:val="none"/>
        </w:rPr>
      </w:pPr>
      <w:r>
        <w:rPr>
          <w:rFonts w:hint="eastAsia" w:ascii="宋体" w:hAnsi="宋体" w:cs="宋体"/>
          <w:b/>
          <w:color w:val="auto"/>
          <w:sz w:val="28"/>
          <w:szCs w:val="28"/>
          <w:highlight w:val="none"/>
        </w:rPr>
        <w:t>商务技术文件目录</w:t>
      </w:r>
    </w:p>
    <w:p w14:paraId="263BB194">
      <w:pPr>
        <w:jc w:val="center"/>
        <w:rPr>
          <w:rFonts w:ascii="宋体" w:hAnsi="宋体" w:cs="宋体"/>
          <w:b/>
          <w:color w:val="auto"/>
          <w:sz w:val="28"/>
          <w:szCs w:val="28"/>
          <w:highlight w:val="none"/>
        </w:rPr>
      </w:pPr>
    </w:p>
    <w:p w14:paraId="34644D72">
      <w:pPr>
        <w:spacing w:beforeLines="50" w:after="50" w:line="360" w:lineRule="auto"/>
        <w:jc w:val="center"/>
        <w:rPr>
          <w:rFonts w:ascii="宋体" w:hAnsi="宋体" w:cs="宋体"/>
          <w:color w:val="auto"/>
          <w:sz w:val="24"/>
          <w:highlight w:val="none"/>
        </w:rPr>
      </w:pPr>
      <w:r>
        <w:rPr>
          <w:rFonts w:hint="eastAsia" w:ascii="宋体" w:hAnsi="宋体" w:cs="宋体"/>
          <w:color w:val="auto"/>
          <w:sz w:val="24"/>
          <w:highlight w:val="none"/>
        </w:rPr>
        <w:t>根据竞争性磋商文件规定及供应商提供的材料自行编写目录（部分格式后附）。</w:t>
      </w:r>
    </w:p>
    <w:p w14:paraId="05EE38F5">
      <w:pPr>
        <w:spacing w:line="400" w:lineRule="exact"/>
        <w:rPr>
          <w:rFonts w:ascii="宋体" w:hAnsi="宋体" w:cs="宋体"/>
          <w:color w:val="auto"/>
          <w:sz w:val="32"/>
          <w:szCs w:val="32"/>
          <w:highlight w:val="none"/>
        </w:rPr>
      </w:pPr>
    </w:p>
    <w:p w14:paraId="4C57891C">
      <w:pPr>
        <w:spacing w:line="520" w:lineRule="exact"/>
        <w:rPr>
          <w:rFonts w:ascii="宋体" w:hAnsi="宋体" w:cs="宋体"/>
          <w:color w:val="auto"/>
          <w:sz w:val="44"/>
          <w:szCs w:val="44"/>
          <w:highlight w:val="none"/>
        </w:rPr>
      </w:pPr>
      <w:r>
        <w:rPr>
          <w:rFonts w:hint="eastAsia" w:ascii="宋体" w:hAnsi="宋体" w:cs="宋体"/>
          <w:color w:val="auto"/>
          <w:sz w:val="32"/>
          <w:szCs w:val="32"/>
          <w:highlight w:val="none"/>
        </w:rPr>
        <w:br w:type="page"/>
      </w:r>
      <w:r>
        <w:rPr>
          <w:rFonts w:hint="eastAsia" w:ascii="宋体" w:hAnsi="宋体" w:cs="宋体"/>
          <w:b/>
          <w:color w:val="auto"/>
          <w:sz w:val="30"/>
          <w:szCs w:val="30"/>
          <w:highlight w:val="none"/>
        </w:rPr>
        <w:t>一、无串通竞标行为的承诺函</w:t>
      </w:r>
    </w:p>
    <w:p w14:paraId="3F296E94">
      <w:pPr>
        <w:spacing w:line="520" w:lineRule="exact"/>
        <w:jc w:val="center"/>
        <w:rPr>
          <w:rFonts w:ascii="宋体" w:hAnsi="宋体" w:cs="宋体"/>
          <w:color w:val="auto"/>
          <w:sz w:val="44"/>
          <w:szCs w:val="44"/>
          <w:highlight w:val="none"/>
        </w:rPr>
      </w:pPr>
    </w:p>
    <w:p w14:paraId="1C57A858">
      <w:pPr>
        <w:spacing w:line="52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无串通竞标行为的承诺函</w:t>
      </w:r>
    </w:p>
    <w:p w14:paraId="0FD889A7">
      <w:pPr>
        <w:spacing w:line="520" w:lineRule="exact"/>
        <w:ind w:firstLine="640" w:firstLineChars="200"/>
        <w:rPr>
          <w:rFonts w:ascii="宋体" w:hAnsi="宋体" w:cs="宋体"/>
          <w:color w:val="auto"/>
          <w:sz w:val="32"/>
          <w:szCs w:val="32"/>
          <w:highlight w:val="none"/>
        </w:rPr>
      </w:pPr>
    </w:p>
    <w:p w14:paraId="1955E8AA">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一、我方承诺无下列相互串通竞标的情形：</w:t>
      </w:r>
    </w:p>
    <w:p w14:paraId="771B48C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 xml:space="preserve">1.不同供应商的响应文件由同一单位或者个人编制； </w:t>
      </w:r>
    </w:p>
    <w:p w14:paraId="4D0C65D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2.不同供应商委托同一单位或者个人办理竞标事宜；</w:t>
      </w:r>
    </w:p>
    <w:p w14:paraId="67226A4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3.不同供应商的响应文件载明的项目管理员为同一个人；</w:t>
      </w:r>
    </w:p>
    <w:p w14:paraId="75F4CCC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4.不同供应商的响应文件异常一致或者响应报价呈规律性差异；</w:t>
      </w:r>
    </w:p>
    <w:p w14:paraId="351E6F3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5.不同供应商的响应文件相互混装；</w:t>
      </w:r>
    </w:p>
    <w:p w14:paraId="1A01A96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6.不同供应商的磋商保证金从同一单位或者个人账户转出。</w:t>
      </w:r>
    </w:p>
    <w:p w14:paraId="72E18D40">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二、我方承诺无下列恶意串通的情形：</w:t>
      </w:r>
    </w:p>
    <w:p w14:paraId="36C6288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14:paraId="78EA86A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14:paraId="76E938F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3.供应商之间协商报价、技术方案等响应文件的实质性内容；</w:t>
      </w:r>
    </w:p>
    <w:p w14:paraId="157BD4C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4.属于同一集团、协会、商会等组织成员的供应商按照该组织要求协同参加政府采购活动；</w:t>
      </w:r>
    </w:p>
    <w:p w14:paraId="3271659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1AF37B2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6.供应商之间商定部分供应商放弃参加政府采购活动或者放弃成交；</w:t>
      </w:r>
    </w:p>
    <w:p w14:paraId="3BD1BBF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7.供应商与采购人或者采购代理机构之间、供应商相互之间，为谋求特定供应商成交或者排斥其他供应商的其他串通行为。</w:t>
      </w:r>
    </w:p>
    <w:p w14:paraId="6FC1F424">
      <w:pPr>
        <w:spacing w:line="360" w:lineRule="auto"/>
        <w:ind w:firstLine="480" w:firstLineChars="200"/>
        <w:contextualSpacing/>
        <w:rPr>
          <w:rFonts w:ascii="宋体" w:hAnsi="宋体" w:cs="宋体"/>
          <w:color w:val="auto"/>
          <w:sz w:val="24"/>
          <w:highlight w:val="none"/>
        </w:rPr>
      </w:pPr>
    </w:p>
    <w:p w14:paraId="25E3DEBF">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以上情形一经核查属实，我方愿意承担一切后果，并不再寻求任何旨在减轻或者免除法律责任的辩解。</w:t>
      </w:r>
    </w:p>
    <w:p w14:paraId="59EFCC46">
      <w:pPr>
        <w:autoSpaceDE w:val="0"/>
        <w:autoSpaceDN w:val="0"/>
        <w:spacing w:line="360" w:lineRule="auto"/>
        <w:ind w:left="4335" w:leftChars="1950" w:hanging="240" w:hangingChars="100"/>
        <w:rPr>
          <w:rFonts w:ascii="宋体" w:hAnsi="宋体" w:cs="宋体"/>
          <w:color w:val="auto"/>
          <w:sz w:val="24"/>
          <w:highlight w:val="none"/>
        </w:rPr>
      </w:pPr>
      <w:r>
        <w:rPr>
          <w:rFonts w:hint="eastAsia" w:ascii="宋体" w:hAnsi="宋体" w:cs="宋体"/>
          <w:color w:val="auto"/>
          <w:sz w:val="24"/>
          <w:highlight w:val="none"/>
        </w:rPr>
        <w:t>供应商名称（电子签章）：</w:t>
      </w:r>
    </w:p>
    <w:p w14:paraId="511F3405">
      <w:pPr>
        <w:spacing w:line="520" w:lineRule="exact"/>
        <w:jc w:val="right"/>
        <w:rPr>
          <w:rFonts w:ascii="宋体" w:hAnsi="宋体" w:cs="宋体"/>
          <w:color w:val="auto"/>
          <w:sz w:val="24"/>
          <w:highlight w:val="none"/>
          <w:lang w:val="zh-CN"/>
        </w:rPr>
      </w:pPr>
      <w:r>
        <w:rPr>
          <w:rFonts w:hint="eastAsia" w:ascii="宋体" w:hAnsi="宋体" w:cs="宋体"/>
          <w:color w:val="auto"/>
          <w:sz w:val="24"/>
          <w:highlight w:val="none"/>
          <w:lang w:val="zh-CN"/>
        </w:rPr>
        <w:t>日期：  年  月   日</w:t>
      </w:r>
    </w:p>
    <w:p w14:paraId="36A786D2">
      <w:pPr>
        <w:spacing w:line="520" w:lineRule="exact"/>
        <w:jc w:val="left"/>
        <w:rPr>
          <w:rFonts w:ascii="宋体" w:hAnsi="宋体" w:cs="宋体"/>
          <w:bCs/>
          <w:color w:val="auto"/>
          <w:sz w:val="44"/>
          <w:szCs w:val="44"/>
          <w:highlight w:val="none"/>
        </w:rPr>
      </w:pPr>
      <w:r>
        <w:rPr>
          <w:rFonts w:hint="eastAsia" w:ascii="宋体" w:hAnsi="宋体" w:cs="宋体"/>
          <w:color w:val="auto"/>
          <w:sz w:val="24"/>
          <w:highlight w:val="none"/>
          <w:lang w:val="zh-CN"/>
        </w:rPr>
        <w:br w:type="page"/>
      </w:r>
      <w:r>
        <w:rPr>
          <w:rFonts w:hint="eastAsia" w:ascii="宋体" w:hAnsi="宋体" w:cs="宋体"/>
          <w:b/>
          <w:color w:val="auto"/>
          <w:sz w:val="30"/>
          <w:szCs w:val="30"/>
          <w:highlight w:val="none"/>
        </w:rPr>
        <w:t>二、法定代表人身份证明书及法定代表人有效身份证正反面复印件</w:t>
      </w:r>
    </w:p>
    <w:p w14:paraId="4054775F">
      <w:pPr>
        <w:spacing w:line="520" w:lineRule="exact"/>
        <w:jc w:val="center"/>
        <w:rPr>
          <w:rFonts w:ascii="宋体" w:hAnsi="宋体" w:cs="宋体"/>
          <w:bCs/>
          <w:color w:val="auto"/>
          <w:sz w:val="44"/>
          <w:szCs w:val="44"/>
          <w:highlight w:val="none"/>
        </w:rPr>
      </w:pPr>
    </w:p>
    <w:p w14:paraId="148F31F4">
      <w:pPr>
        <w:spacing w:line="52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法定代表人</w:t>
      </w:r>
      <w:r>
        <w:rPr>
          <w:rFonts w:hint="eastAsia" w:ascii="宋体" w:hAnsi="宋体" w:cs="宋体"/>
          <w:b/>
          <w:bCs/>
          <w:color w:val="auto"/>
          <w:sz w:val="32"/>
          <w:szCs w:val="32"/>
          <w:highlight w:val="none"/>
          <w:lang w:val="en-US" w:eastAsia="zh-CN"/>
        </w:rPr>
        <w:t>身份</w:t>
      </w:r>
      <w:r>
        <w:rPr>
          <w:rFonts w:hint="eastAsia" w:ascii="宋体" w:hAnsi="宋体" w:cs="宋体"/>
          <w:b/>
          <w:bCs/>
          <w:color w:val="auto"/>
          <w:sz w:val="32"/>
          <w:szCs w:val="32"/>
          <w:highlight w:val="none"/>
        </w:rPr>
        <w:t>证明书</w:t>
      </w:r>
    </w:p>
    <w:p w14:paraId="42CF282E">
      <w:pPr>
        <w:spacing w:line="360" w:lineRule="auto"/>
        <w:ind w:left="540"/>
        <w:contextualSpacing/>
        <w:rPr>
          <w:rFonts w:ascii="宋体" w:hAnsi="宋体" w:cs="宋体"/>
          <w:color w:val="auto"/>
          <w:sz w:val="32"/>
          <w:szCs w:val="32"/>
          <w:highlight w:val="none"/>
        </w:rPr>
      </w:pPr>
    </w:p>
    <w:p w14:paraId="7B1F7467">
      <w:pPr>
        <w:spacing w:line="7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2F8EDA6E">
      <w:pPr>
        <w:spacing w:line="7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08747BDC">
      <w:pPr>
        <w:spacing w:line="7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4E33DE30">
      <w:pPr>
        <w:spacing w:line="700" w:lineRule="exact"/>
        <w:ind w:firstLine="480" w:firstLineChars="200"/>
        <w:contextualSpacing/>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0B4A7556">
      <w:pPr>
        <w:spacing w:line="7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725A69F6">
      <w:pPr>
        <w:spacing w:line="7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w:t>
      </w:r>
      <w:r>
        <w:rPr>
          <w:rFonts w:hint="eastAsia" w:ascii="宋体" w:hAnsi="宋体" w:cs="宋体"/>
          <w:color w:val="auto"/>
          <w:sz w:val="24"/>
          <w:highlight w:val="none"/>
        </w:rPr>
        <w:t>的法定代表人。</w:t>
      </w:r>
    </w:p>
    <w:p w14:paraId="6DA97127">
      <w:pPr>
        <w:spacing w:line="7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特此证明。</w:t>
      </w:r>
    </w:p>
    <w:p w14:paraId="2740D9E5">
      <w:pPr>
        <w:spacing w:line="360" w:lineRule="auto"/>
        <w:ind w:left="540"/>
        <w:contextualSpacing/>
        <w:rPr>
          <w:rFonts w:ascii="宋体" w:hAnsi="宋体" w:cs="宋体"/>
          <w:color w:val="auto"/>
          <w:sz w:val="24"/>
          <w:highlight w:val="none"/>
        </w:rPr>
      </w:pPr>
    </w:p>
    <w:p w14:paraId="093B8515">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29798579">
      <w:pPr>
        <w:spacing w:line="360" w:lineRule="auto"/>
        <w:ind w:left="540"/>
        <w:contextualSpacing/>
        <w:rPr>
          <w:rFonts w:ascii="宋体" w:hAnsi="宋体" w:cs="宋体"/>
          <w:color w:val="auto"/>
          <w:sz w:val="24"/>
          <w:highlight w:val="none"/>
        </w:rPr>
      </w:pPr>
    </w:p>
    <w:p w14:paraId="51075630">
      <w:pPr>
        <w:spacing w:line="360" w:lineRule="auto"/>
        <w:ind w:left="540"/>
        <w:contextualSpacing/>
        <w:rPr>
          <w:rFonts w:ascii="宋体" w:hAnsi="宋体" w:cs="宋体"/>
          <w:color w:val="auto"/>
          <w:highlight w:val="none"/>
        </w:rPr>
      </w:pPr>
    </w:p>
    <w:p w14:paraId="21545C7A">
      <w:pPr>
        <w:autoSpaceDE w:val="0"/>
        <w:autoSpaceDN w:val="0"/>
        <w:spacing w:line="360" w:lineRule="auto"/>
        <w:ind w:left="4335" w:leftChars="1950" w:hanging="240" w:hangingChars="100"/>
        <w:rPr>
          <w:rFonts w:ascii="宋体" w:hAnsi="宋体" w:cs="宋体"/>
          <w:color w:val="auto"/>
          <w:sz w:val="24"/>
          <w:highlight w:val="none"/>
        </w:rPr>
      </w:pPr>
      <w:r>
        <w:rPr>
          <w:rFonts w:hint="eastAsia" w:ascii="宋体" w:hAnsi="宋体" w:cs="宋体"/>
          <w:color w:val="auto"/>
          <w:sz w:val="24"/>
          <w:highlight w:val="none"/>
        </w:rPr>
        <w:t>供应商名称（电子签章）：</w:t>
      </w:r>
    </w:p>
    <w:p w14:paraId="2C215DF7">
      <w:pPr>
        <w:spacing w:line="360" w:lineRule="auto"/>
        <w:contextualSpacing/>
        <w:jc w:val="center"/>
        <w:rPr>
          <w:rFonts w:ascii="宋体" w:hAnsi="宋体" w:cs="宋体"/>
          <w:b/>
          <w:color w:val="auto"/>
          <w:sz w:val="24"/>
          <w:highlight w:val="none"/>
        </w:rPr>
      </w:pPr>
      <w:r>
        <w:rPr>
          <w:rFonts w:hint="eastAsia" w:ascii="宋体" w:hAnsi="宋体" w:cs="宋体"/>
          <w:color w:val="auto"/>
          <w:sz w:val="24"/>
          <w:highlight w:val="none"/>
          <w:lang w:val="zh-CN"/>
        </w:rPr>
        <w:t xml:space="preserve">                                                   日期：  年  月   日</w:t>
      </w:r>
    </w:p>
    <w:p w14:paraId="0D0AF95D">
      <w:pPr>
        <w:spacing w:line="360" w:lineRule="auto"/>
        <w:contextualSpacing/>
        <w:jc w:val="left"/>
        <w:rPr>
          <w:rFonts w:ascii="宋体" w:hAnsi="宋体" w:cs="宋体"/>
          <w:color w:val="auto"/>
          <w:sz w:val="24"/>
          <w:highlight w:val="none"/>
        </w:rPr>
      </w:pPr>
    </w:p>
    <w:p w14:paraId="13D85E41">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注：1.自然人竞标的无需提供，联合体竞标的只需牵头人出具。</w:t>
      </w:r>
    </w:p>
    <w:p w14:paraId="12DE92E6">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051D4A0">
      <w:pPr>
        <w:spacing w:line="360" w:lineRule="auto"/>
        <w:ind w:firstLine="480" w:firstLineChars="200"/>
        <w:contextualSpacing/>
        <w:jc w:val="left"/>
        <w:rPr>
          <w:rFonts w:ascii="宋体" w:hAnsi="宋体" w:cs="宋体"/>
          <w:color w:val="auto"/>
          <w:sz w:val="24"/>
          <w:highlight w:val="none"/>
        </w:rPr>
      </w:pPr>
      <w:r>
        <w:rPr>
          <w:rFonts w:ascii="宋体" w:hAnsi="宋体" w:cs="宋体"/>
          <w:color w:val="auto"/>
          <w:sz w:val="24"/>
          <w:highlight w:val="none"/>
        </w:rPr>
        <w:br w:type="page"/>
      </w:r>
    </w:p>
    <w:tbl>
      <w:tblPr>
        <w:tblStyle w:val="30"/>
        <w:tblpPr w:leftFromText="180" w:rightFromText="180" w:vertAnchor="text" w:horzAnchor="margin" w:tblpXSpec="center" w:tblpY="116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8"/>
      </w:tblGrid>
      <w:tr w14:paraId="2F41E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628" w:type="dxa"/>
          </w:tcPr>
          <w:p w14:paraId="1AFE27E7">
            <w:pPr>
              <w:spacing w:line="360" w:lineRule="auto"/>
              <w:rPr>
                <w:rFonts w:ascii="宋体" w:hAnsi="宋体" w:cs="宋体"/>
                <w:b/>
                <w:color w:val="auto"/>
                <w:sz w:val="24"/>
                <w:highlight w:val="none"/>
              </w:rPr>
            </w:pPr>
          </w:p>
          <w:p w14:paraId="6E07CBC3">
            <w:pPr>
              <w:spacing w:line="360" w:lineRule="auto"/>
              <w:rPr>
                <w:rFonts w:ascii="宋体" w:hAnsi="宋体" w:cs="宋体"/>
                <w:b/>
                <w:color w:val="auto"/>
                <w:sz w:val="24"/>
                <w:highlight w:val="none"/>
              </w:rPr>
            </w:pPr>
            <w:r>
              <w:rPr>
                <w:rFonts w:hint="eastAsia" w:ascii="宋体" w:hAnsi="宋体" w:cs="宋体"/>
                <w:b/>
                <w:color w:val="auto"/>
                <w:sz w:val="24"/>
                <w:highlight w:val="none"/>
              </w:rPr>
              <w:t>法定代表</w:t>
            </w:r>
            <w:r>
              <w:rPr>
                <w:rFonts w:hint="eastAsia" w:ascii="宋体" w:hAnsi="宋体" w:cs="宋体"/>
                <w:b/>
                <w:color w:val="auto"/>
                <w:sz w:val="24"/>
                <w:highlight w:val="none"/>
                <w:lang w:val="en-US" w:eastAsia="zh-CN"/>
              </w:rPr>
              <w:t>人</w:t>
            </w:r>
            <w:r>
              <w:rPr>
                <w:rFonts w:hint="eastAsia" w:ascii="宋体" w:hAnsi="宋体" w:cs="宋体"/>
                <w:b/>
                <w:color w:val="auto"/>
                <w:sz w:val="24"/>
                <w:highlight w:val="none"/>
              </w:rPr>
              <w:t>身份证复印件粘贴处（正、反面）</w:t>
            </w:r>
          </w:p>
        </w:tc>
      </w:tr>
    </w:tbl>
    <w:p w14:paraId="65FA7030">
      <w:pPr>
        <w:spacing w:line="360" w:lineRule="auto"/>
        <w:contextualSpacing/>
        <w:jc w:val="left"/>
        <w:rPr>
          <w:rFonts w:ascii="宋体" w:hAnsi="宋体" w:cs="宋体"/>
          <w:b/>
          <w:color w:val="auto"/>
          <w:sz w:val="24"/>
          <w:highlight w:val="none"/>
        </w:rPr>
      </w:pPr>
    </w:p>
    <w:p w14:paraId="474476F4">
      <w:pPr>
        <w:spacing w:beforeLines="50" w:line="360" w:lineRule="auto"/>
        <w:ind w:firstLine="482" w:firstLineChars="200"/>
        <w:contextualSpacing/>
        <w:jc w:val="left"/>
        <w:rPr>
          <w:rFonts w:ascii="宋体" w:hAnsi="宋体" w:cs="宋体"/>
          <w:b/>
          <w:color w:val="auto"/>
          <w:sz w:val="24"/>
          <w:highlight w:val="none"/>
        </w:rPr>
      </w:pPr>
      <w:r>
        <w:rPr>
          <w:rFonts w:hint="eastAsia" w:ascii="宋体" w:hAnsi="宋体" w:cs="宋体"/>
          <w:b/>
          <w:color w:val="auto"/>
          <w:sz w:val="24"/>
          <w:highlight w:val="none"/>
        </w:rPr>
        <w:t>附件：</w:t>
      </w:r>
    </w:p>
    <w:p w14:paraId="409B5262">
      <w:pPr>
        <w:spacing w:beforeLines="50" w:line="360" w:lineRule="auto"/>
        <w:ind w:firstLine="482" w:firstLineChars="200"/>
        <w:contextualSpacing/>
        <w:jc w:val="left"/>
        <w:rPr>
          <w:rFonts w:ascii="宋体" w:hAnsi="宋体" w:cs="宋体"/>
          <w:b/>
          <w:color w:val="auto"/>
          <w:sz w:val="24"/>
          <w:highlight w:val="none"/>
        </w:rPr>
      </w:pPr>
    </w:p>
    <w:p w14:paraId="2D849022">
      <w:pPr>
        <w:spacing w:beforeLines="50" w:line="360" w:lineRule="auto"/>
        <w:ind w:firstLine="880" w:firstLineChars="200"/>
        <w:contextualSpacing/>
        <w:jc w:val="left"/>
        <w:rPr>
          <w:rFonts w:ascii="宋体" w:hAnsi="宋体" w:cs="宋体"/>
          <w:bCs/>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b/>
          <w:color w:val="auto"/>
          <w:sz w:val="30"/>
          <w:szCs w:val="30"/>
          <w:highlight w:val="none"/>
        </w:rPr>
        <w:t>三、法定代表人授权委托书及委托代理人有效身份证正反面复印件</w:t>
      </w:r>
    </w:p>
    <w:p w14:paraId="329C21C0">
      <w:pPr>
        <w:spacing w:line="500" w:lineRule="exact"/>
        <w:jc w:val="center"/>
        <w:rPr>
          <w:rFonts w:ascii="宋体" w:hAnsi="宋体" w:cs="宋体"/>
          <w:color w:val="auto"/>
          <w:sz w:val="44"/>
          <w:szCs w:val="44"/>
          <w:highlight w:val="none"/>
        </w:rPr>
      </w:pPr>
    </w:p>
    <w:p w14:paraId="1EDE7196">
      <w:pPr>
        <w:spacing w:line="52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授权委托书（非联合体竞标格式）</w:t>
      </w:r>
    </w:p>
    <w:p w14:paraId="19FFC369">
      <w:pPr>
        <w:spacing w:line="52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（如有委托时）</w:t>
      </w:r>
    </w:p>
    <w:p w14:paraId="39EC6025">
      <w:pPr>
        <w:spacing w:line="520" w:lineRule="exact"/>
        <w:rPr>
          <w:rFonts w:ascii="宋体" w:hAnsi="宋体" w:cs="宋体"/>
          <w:color w:val="auto"/>
          <w:sz w:val="32"/>
          <w:szCs w:val="32"/>
          <w:highlight w:val="none"/>
        </w:rPr>
      </w:pPr>
    </w:p>
    <w:p w14:paraId="42673CDB">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3F617A1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项目的竞标活动，并代表我方全权办理针对上述项目的所有采购程序和环节的具体事务和签署相关文件。</w:t>
      </w:r>
    </w:p>
    <w:p w14:paraId="7E01A3A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我方对委托代理人的签字事项负全部责任。</w:t>
      </w:r>
    </w:p>
    <w:p w14:paraId="5F958FF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57E5A5D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7B8C7FE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附：法定代表人身份证明书及委托代理人有效身份证正反面复印件</w:t>
      </w:r>
    </w:p>
    <w:p w14:paraId="6B1A2C93">
      <w:pPr>
        <w:spacing w:line="360" w:lineRule="auto"/>
        <w:rPr>
          <w:rFonts w:ascii="宋体" w:hAnsi="宋体" w:cs="宋体"/>
          <w:color w:val="auto"/>
          <w:sz w:val="24"/>
          <w:highlight w:val="none"/>
        </w:rPr>
      </w:pPr>
    </w:p>
    <w:p w14:paraId="74D93BD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委托代理人（签字）：         法定代表人（签字或盖章）：                    </w:t>
      </w:r>
    </w:p>
    <w:p w14:paraId="592417E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委托代理人身份证号码：                              </w:t>
      </w:r>
    </w:p>
    <w:p w14:paraId="3F399E2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348FFC18">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供应商名称（电子签章）：</w:t>
      </w:r>
    </w:p>
    <w:p w14:paraId="63846F96">
      <w:pPr>
        <w:spacing w:line="360" w:lineRule="auto"/>
        <w:contextualSpacing/>
        <w:jc w:val="center"/>
        <w:rPr>
          <w:rFonts w:ascii="宋体" w:hAnsi="宋体" w:cs="宋体"/>
          <w:b/>
          <w:color w:val="auto"/>
          <w:sz w:val="24"/>
          <w:highlight w:val="none"/>
        </w:rPr>
      </w:pPr>
      <w:r>
        <w:rPr>
          <w:rFonts w:hint="eastAsia" w:ascii="宋体" w:hAnsi="宋体" w:cs="宋体"/>
          <w:color w:val="auto"/>
          <w:sz w:val="24"/>
          <w:highlight w:val="none"/>
          <w:lang w:val="zh-CN"/>
        </w:rPr>
        <w:t xml:space="preserve">                                                   日期：  </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 xml:space="preserve">年 </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 xml:space="preserve"> 月   日</w:t>
      </w:r>
    </w:p>
    <w:p w14:paraId="7C92157C">
      <w:pPr>
        <w:spacing w:line="360" w:lineRule="auto"/>
        <w:rPr>
          <w:rFonts w:ascii="宋体" w:hAnsi="宋体" w:cs="宋体"/>
          <w:color w:val="auto"/>
          <w:sz w:val="24"/>
          <w:highlight w:val="none"/>
        </w:rPr>
      </w:pPr>
    </w:p>
    <w:p w14:paraId="223FC65C">
      <w:pPr>
        <w:rPr>
          <w:rFonts w:ascii="宋体" w:hAnsi="宋体" w:cs="宋体"/>
          <w:color w:val="auto"/>
          <w:szCs w:val="21"/>
          <w:highlight w:val="none"/>
        </w:rPr>
      </w:pPr>
      <w:r>
        <w:rPr>
          <w:rFonts w:hint="eastAsia" w:ascii="宋体" w:hAnsi="宋体" w:cs="宋体"/>
          <w:color w:val="auto"/>
          <w:szCs w:val="21"/>
          <w:highlight w:val="none"/>
        </w:rPr>
        <w:t>注：1.法定代表人必须在授权委托书上亲笔签字或盖章，委托代理人必须在授权委托书上亲笔签字，</w:t>
      </w:r>
      <w:r>
        <w:rPr>
          <w:rFonts w:hint="eastAsia" w:ascii="宋体" w:hAnsi="宋体" w:cs="宋体"/>
          <w:b/>
          <w:color w:val="auto"/>
          <w:szCs w:val="21"/>
          <w:highlight w:val="none"/>
        </w:rPr>
        <w:t>否则其响应文件按无效响应处理。</w:t>
      </w:r>
    </w:p>
    <w:p w14:paraId="03430A43">
      <w:pPr>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95ACB4D">
      <w:pPr>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3.法人、其他组织竞标时“我方”是指“我单位”，自然人竞标时“我方”是指“本人”。</w:t>
      </w:r>
    </w:p>
    <w:p w14:paraId="275B097A">
      <w:pPr>
        <w:jc w:val="center"/>
        <w:rPr>
          <w:rFonts w:ascii="宋体" w:hAnsi="宋体" w:cs="宋体"/>
          <w:b/>
          <w:bCs/>
          <w:color w:val="auto"/>
          <w:sz w:val="32"/>
          <w:szCs w:val="32"/>
          <w:highlight w:val="none"/>
        </w:rPr>
      </w:pPr>
      <w:r>
        <w:rPr>
          <w:rFonts w:hint="eastAsia" w:ascii="宋体" w:hAnsi="宋体" w:cs="宋体"/>
          <w:color w:val="auto"/>
          <w:szCs w:val="21"/>
          <w:highlight w:val="none"/>
        </w:rPr>
        <w:br w:type="page"/>
      </w:r>
      <w:r>
        <w:rPr>
          <w:rFonts w:hint="eastAsia" w:ascii="宋体" w:hAnsi="宋体" w:cs="宋体"/>
          <w:b/>
          <w:bCs/>
          <w:color w:val="auto"/>
          <w:sz w:val="32"/>
          <w:szCs w:val="32"/>
          <w:highlight w:val="none"/>
        </w:rPr>
        <w:t>授权委托书（联合体竞标格式）</w:t>
      </w:r>
    </w:p>
    <w:p w14:paraId="5F5250D6">
      <w:pPr>
        <w:spacing w:line="52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（如有委托时）</w:t>
      </w:r>
    </w:p>
    <w:p w14:paraId="020370F8">
      <w:pPr>
        <w:spacing w:line="500" w:lineRule="exact"/>
        <w:jc w:val="center"/>
        <w:rPr>
          <w:rFonts w:ascii="宋体" w:hAnsi="宋体" w:cs="宋体"/>
          <w:color w:val="auto"/>
          <w:sz w:val="44"/>
          <w:szCs w:val="44"/>
          <w:highlight w:val="none"/>
        </w:rPr>
      </w:pPr>
    </w:p>
    <w:p w14:paraId="1CF9A4BE">
      <w:pPr>
        <w:spacing w:line="500" w:lineRule="exact"/>
        <w:jc w:val="center"/>
        <w:rPr>
          <w:rFonts w:ascii="宋体" w:hAnsi="宋体" w:cs="宋体"/>
          <w:color w:val="auto"/>
          <w:sz w:val="32"/>
          <w:szCs w:val="32"/>
          <w:highlight w:val="none"/>
        </w:rPr>
      </w:pPr>
    </w:p>
    <w:p w14:paraId="193E0FEC">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本授权委托书声明：根据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（联合体其他成员名称）签订的《联合体竞标协议书》的内容，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（牵头人名称）的法定代表人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（姓名）现授权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（姓名）为联合委托代理人，并代表我方全权办理针对上述项目的所有采购程序和环节的具体事务和签署相关文件。</w:t>
      </w:r>
    </w:p>
    <w:p w14:paraId="6259180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我方对委托代理人的签字事项负全部责任。</w:t>
      </w:r>
    </w:p>
    <w:p w14:paraId="7E5EEB4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40A50A3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2182A1AC">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4845E91C">
      <w:pPr>
        <w:spacing w:line="360" w:lineRule="auto"/>
        <w:ind w:firstLine="1560" w:firstLineChars="650"/>
        <w:rPr>
          <w:rFonts w:ascii="宋体" w:hAnsi="宋体" w:cs="宋体"/>
          <w:color w:val="auto"/>
          <w:sz w:val="24"/>
          <w:highlight w:val="none"/>
        </w:rPr>
      </w:pPr>
      <w:r>
        <w:rPr>
          <w:rFonts w:hint="eastAsia" w:ascii="宋体" w:hAnsi="宋体" w:cs="宋体"/>
          <w:color w:val="auto"/>
          <w:sz w:val="24"/>
          <w:highlight w:val="none"/>
        </w:rPr>
        <w:t>牵头人法定代表人（签字或盖章）：</w:t>
      </w:r>
    </w:p>
    <w:p w14:paraId="1F0EEE45">
      <w:pPr>
        <w:spacing w:line="360" w:lineRule="auto"/>
        <w:ind w:firstLine="3120" w:firstLineChars="1300"/>
        <w:rPr>
          <w:rFonts w:ascii="宋体" w:hAnsi="宋体" w:cs="宋体"/>
          <w:color w:val="auto"/>
          <w:sz w:val="24"/>
          <w:highlight w:val="none"/>
        </w:rPr>
      </w:pPr>
      <w:r>
        <w:rPr>
          <w:rFonts w:hint="eastAsia" w:ascii="宋体" w:hAnsi="宋体" w:cs="宋体"/>
          <w:color w:val="auto"/>
          <w:sz w:val="24"/>
          <w:highlight w:val="none"/>
        </w:rPr>
        <w:t>牵头人（电子签章）：</w:t>
      </w:r>
    </w:p>
    <w:p w14:paraId="5CAA4D0A">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日期：    年   月   日</w:t>
      </w:r>
    </w:p>
    <w:p w14:paraId="5E365FD4">
      <w:pPr>
        <w:spacing w:line="360" w:lineRule="auto"/>
        <w:rPr>
          <w:rFonts w:ascii="宋体" w:hAnsi="宋体" w:cs="宋体"/>
          <w:color w:val="auto"/>
          <w:sz w:val="24"/>
          <w:highlight w:val="none"/>
        </w:rPr>
      </w:pPr>
    </w:p>
    <w:p w14:paraId="0C2B5E20">
      <w:pPr>
        <w:spacing w:line="360" w:lineRule="auto"/>
        <w:ind w:firstLine="3120" w:firstLineChars="1300"/>
        <w:rPr>
          <w:rFonts w:ascii="宋体" w:hAnsi="宋体" w:cs="宋体"/>
          <w:color w:val="auto"/>
          <w:sz w:val="24"/>
          <w:highlight w:val="none"/>
        </w:rPr>
      </w:pPr>
      <w:r>
        <w:rPr>
          <w:rFonts w:hint="eastAsia" w:ascii="宋体" w:hAnsi="宋体" w:cs="宋体"/>
          <w:color w:val="auto"/>
          <w:sz w:val="24"/>
          <w:highlight w:val="none"/>
        </w:rPr>
        <w:t>被授权人（签字）：</w:t>
      </w:r>
    </w:p>
    <w:p w14:paraId="5CA1D641">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日期：    年   月   日</w:t>
      </w:r>
    </w:p>
    <w:p w14:paraId="09099CF5">
      <w:pPr>
        <w:spacing w:line="360" w:lineRule="auto"/>
        <w:rPr>
          <w:rFonts w:ascii="宋体" w:hAnsi="宋体" w:cs="宋体"/>
          <w:color w:val="auto"/>
          <w:sz w:val="24"/>
          <w:highlight w:val="none"/>
        </w:rPr>
      </w:pPr>
    </w:p>
    <w:p w14:paraId="10482DAC">
      <w:pPr>
        <w:spacing w:line="360" w:lineRule="auto"/>
        <w:rPr>
          <w:rFonts w:ascii="宋体" w:hAnsi="宋体" w:cs="宋体"/>
          <w:color w:val="auto"/>
          <w:sz w:val="24"/>
          <w:highlight w:val="none"/>
        </w:rPr>
      </w:pPr>
      <w:r>
        <w:rPr>
          <w:rFonts w:hint="eastAsia" w:ascii="宋体" w:hAnsi="宋体" w:cs="宋体"/>
          <w:color w:val="auto"/>
          <w:sz w:val="24"/>
          <w:highlight w:val="none"/>
        </w:rPr>
        <w:t>注：1. 法定代表人必须在授权委托书上亲笔签字或盖章，委托代理人必须在授权委托书上亲笔签字，</w:t>
      </w:r>
      <w:r>
        <w:rPr>
          <w:rFonts w:hint="eastAsia" w:ascii="宋体" w:hAnsi="宋体" w:cs="宋体"/>
          <w:b/>
          <w:color w:val="auto"/>
          <w:sz w:val="24"/>
          <w:highlight w:val="none"/>
        </w:rPr>
        <w:t>否则其响应文件按无效响应处理。</w:t>
      </w:r>
    </w:p>
    <w:p w14:paraId="638B8D85">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2.本授权委托书应由联合体牵头人的法定代表人按上述规定签署。</w:t>
      </w:r>
    </w:p>
    <w:p w14:paraId="5F4A0F7C">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613306D">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4.法人、其他组织竞标时“我方”是指“我单位”，自然人竞标时“我方”是指“本人”。</w:t>
      </w:r>
    </w:p>
    <w:p w14:paraId="7B18D255">
      <w:pPr>
        <w:spacing w:line="360" w:lineRule="auto"/>
        <w:ind w:firstLine="420" w:firstLineChars="200"/>
        <w:jc w:val="left"/>
        <w:rPr>
          <w:rFonts w:ascii="宋体" w:hAnsi="宋体" w:cs="宋体"/>
          <w:b/>
          <w:color w:val="auto"/>
          <w:sz w:val="30"/>
          <w:szCs w:val="30"/>
          <w:highlight w:val="none"/>
        </w:rPr>
      </w:pPr>
      <w:r>
        <w:rPr>
          <w:rFonts w:ascii="宋体" w:hAnsi="宋体" w:cs="宋体"/>
          <w:color w:val="auto"/>
          <w:szCs w:val="21"/>
          <w:highlight w:val="none"/>
        </w:rPr>
        <w:br w:type="page"/>
      </w:r>
    </w:p>
    <w:p w14:paraId="0B77DDDD">
      <w:pPr>
        <w:spacing w:beforeLines="50" w:line="360" w:lineRule="auto"/>
        <w:rPr>
          <w:rFonts w:ascii="宋体" w:hAnsi="宋体" w:cs="宋体"/>
          <w:b/>
          <w:color w:val="auto"/>
          <w:sz w:val="30"/>
          <w:szCs w:val="30"/>
          <w:highlight w:val="none"/>
        </w:rPr>
      </w:pPr>
      <w:r>
        <w:rPr>
          <w:rFonts w:hint="eastAsia" w:ascii="宋体" w:hAnsi="宋体" w:cs="宋体"/>
          <w:b/>
          <w:color w:val="auto"/>
          <w:sz w:val="30"/>
          <w:szCs w:val="30"/>
          <w:highlight w:val="none"/>
        </w:rPr>
        <w:t>四、磋商保证金提交凭证</w:t>
      </w:r>
    </w:p>
    <w:p w14:paraId="30138D43">
      <w:pPr>
        <w:autoSpaceDE w:val="0"/>
        <w:autoSpaceDN w:val="0"/>
        <w:spacing w:line="360" w:lineRule="auto"/>
        <w:ind w:left="4335" w:leftChars="1950" w:hanging="240" w:hangingChars="100"/>
        <w:rPr>
          <w:rFonts w:hint="eastAsia" w:ascii="宋体" w:hAnsi="宋体" w:cs="宋体"/>
          <w:color w:val="auto"/>
          <w:sz w:val="24"/>
          <w:highlight w:val="none"/>
        </w:rPr>
      </w:pPr>
    </w:p>
    <w:p w14:paraId="7EE0DCA0">
      <w:pPr>
        <w:autoSpaceDE w:val="0"/>
        <w:autoSpaceDN w:val="0"/>
        <w:spacing w:line="360" w:lineRule="auto"/>
        <w:ind w:left="4335" w:leftChars="1950" w:hanging="240" w:hangingChars="100"/>
        <w:rPr>
          <w:rFonts w:ascii="宋体" w:hAnsi="宋体" w:cs="宋体"/>
          <w:color w:val="auto"/>
          <w:sz w:val="24"/>
          <w:highlight w:val="none"/>
        </w:rPr>
      </w:pPr>
      <w:r>
        <w:rPr>
          <w:rFonts w:hint="eastAsia" w:ascii="宋体" w:hAnsi="宋体" w:cs="宋体"/>
          <w:color w:val="auto"/>
          <w:sz w:val="24"/>
          <w:highlight w:val="none"/>
        </w:rPr>
        <w:t>供应商名称（电子签章）：</w:t>
      </w:r>
    </w:p>
    <w:p w14:paraId="47CC432F">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val="zh-CN"/>
        </w:rPr>
        <w:t xml:space="preserve">                                                   日期：  年  月   日</w:t>
      </w:r>
      <w:r>
        <w:rPr>
          <w:rFonts w:ascii="宋体" w:hAnsi="宋体" w:cs="宋体"/>
          <w:color w:val="auto"/>
          <w:sz w:val="24"/>
          <w:highlight w:val="none"/>
        </w:rPr>
        <w:br w:type="page"/>
      </w:r>
    </w:p>
    <w:p w14:paraId="2558F2D0">
      <w:pPr>
        <w:spacing w:beforeLines="50" w:line="360" w:lineRule="auto"/>
        <w:rPr>
          <w:rFonts w:ascii="宋体" w:hAnsi="宋体" w:cs="宋体"/>
          <w:color w:val="auto"/>
          <w:sz w:val="24"/>
          <w:highlight w:val="none"/>
        </w:rPr>
      </w:pPr>
      <w:r>
        <w:rPr>
          <w:rFonts w:hint="eastAsia" w:ascii="宋体" w:hAnsi="宋体" w:cs="宋体"/>
          <w:b/>
          <w:color w:val="auto"/>
          <w:sz w:val="30"/>
          <w:szCs w:val="30"/>
          <w:highlight w:val="none"/>
        </w:rPr>
        <w:t>五、供应商基本情况表</w:t>
      </w:r>
    </w:p>
    <w:p w14:paraId="08FD9FA8">
      <w:pPr>
        <w:spacing w:line="480" w:lineRule="auto"/>
        <w:jc w:val="center"/>
        <w:rPr>
          <w:rFonts w:ascii="宋体" w:hAnsi="宋体" w:cs="宋体"/>
          <w:color w:val="auto"/>
          <w:sz w:val="24"/>
          <w:highlight w:val="none"/>
        </w:rPr>
      </w:pPr>
      <w:r>
        <w:rPr>
          <w:rFonts w:hint="eastAsia" w:ascii="宋体" w:hAnsi="宋体" w:cs="宋体"/>
          <w:b/>
          <w:bCs/>
          <w:color w:val="auto"/>
          <w:sz w:val="28"/>
          <w:szCs w:val="28"/>
          <w:highlight w:val="none"/>
        </w:rPr>
        <w:t>供应商基本情况表</w:t>
      </w:r>
    </w:p>
    <w:tbl>
      <w:tblPr>
        <w:tblStyle w:val="30"/>
        <w:tblW w:w="8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1012"/>
        <w:gridCol w:w="1081"/>
        <w:gridCol w:w="1184"/>
        <w:gridCol w:w="112"/>
        <w:gridCol w:w="1246"/>
        <w:gridCol w:w="322"/>
        <w:gridCol w:w="765"/>
        <w:gridCol w:w="1619"/>
      </w:tblGrid>
      <w:tr w14:paraId="2D9DC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0696122E">
            <w:pPr>
              <w:jc w:val="center"/>
              <w:rPr>
                <w:rFonts w:ascii="宋体" w:hAnsi="宋体" w:cs="宋体"/>
                <w:color w:val="auto"/>
                <w:sz w:val="24"/>
                <w:highlight w:val="none"/>
              </w:rPr>
            </w:pPr>
            <w:r>
              <w:rPr>
                <w:rFonts w:hint="eastAsia" w:ascii="宋体" w:hAnsi="宋体" w:cs="宋体"/>
                <w:color w:val="auto"/>
                <w:sz w:val="24"/>
                <w:highlight w:val="none"/>
              </w:rPr>
              <w:t>供应商名称</w:t>
            </w:r>
          </w:p>
        </w:tc>
        <w:tc>
          <w:tcPr>
            <w:tcW w:w="7341" w:type="dxa"/>
            <w:gridSpan w:val="8"/>
            <w:vAlign w:val="center"/>
          </w:tcPr>
          <w:p w14:paraId="0C99AE36">
            <w:pPr>
              <w:jc w:val="center"/>
              <w:rPr>
                <w:rFonts w:ascii="宋体" w:hAnsi="宋体" w:cs="宋体"/>
                <w:color w:val="auto"/>
                <w:sz w:val="24"/>
                <w:highlight w:val="none"/>
              </w:rPr>
            </w:pPr>
          </w:p>
        </w:tc>
      </w:tr>
      <w:tr w14:paraId="3D6CD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045CE5A6">
            <w:pPr>
              <w:jc w:val="center"/>
              <w:rPr>
                <w:rFonts w:ascii="宋体" w:hAnsi="宋体" w:cs="宋体"/>
                <w:color w:val="auto"/>
                <w:sz w:val="24"/>
                <w:highlight w:val="none"/>
              </w:rPr>
            </w:pPr>
            <w:r>
              <w:rPr>
                <w:rFonts w:hint="eastAsia" w:ascii="宋体" w:hAnsi="宋体" w:cs="宋体"/>
                <w:color w:val="auto"/>
                <w:sz w:val="24"/>
                <w:highlight w:val="none"/>
              </w:rPr>
              <w:t>注册地址</w:t>
            </w:r>
          </w:p>
        </w:tc>
        <w:tc>
          <w:tcPr>
            <w:tcW w:w="3389" w:type="dxa"/>
            <w:gridSpan w:val="4"/>
            <w:vAlign w:val="center"/>
          </w:tcPr>
          <w:p w14:paraId="6AA97E96">
            <w:pPr>
              <w:jc w:val="center"/>
              <w:rPr>
                <w:rFonts w:ascii="宋体" w:hAnsi="宋体" w:cs="宋体"/>
                <w:color w:val="auto"/>
                <w:sz w:val="24"/>
                <w:highlight w:val="none"/>
              </w:rPr>
            </w:pPr>
          </w:p>
        </w:tc>
        <w:tc>
          <w:tcPr>
            <w:tcW w:w="1246" w:type="dxa"/>
            <w:vAlign w:val="center"/>
          </w:tcPr>
          <w:p w14:paraId="1F356B59">
            <w:pPr>
              <w:jc w:val="center"/>
              <w:rPr>
                <w:rFonts w:ascii="宋体" w:hAnsi="宋体" w:cs="宋体"/>
                <w:color w:val="auto"/>
                <w:sz w:val="24"/>
                <w:highlight w:val="none"/>
              </w:rPr>
            </w:pPr>
            <w:r>
              <w:rPr>
                <w:rFonts w:hint="eastAsia" w:ascii="宋体" w:hAnsi="宋体" w:cs="宋体"/>
                <w:color w:val="auto"/>
                <w:sz w:val="24"/>
                <w:highlight w:val="none"/>
              </w:rPr>
              <w:t>邮政编码</w:t>
            </w:r>
          </w:p>
        </w:tc>
        <w:tc>
          <w:tcPr>
            <w:tcW w:w="2706" w:type="dxa"/>
            <w:gridSpan w:val="3"/>
            <w:vAlign w:val="center"/>
          </w:tcPr>
          <w:p w14:paraId="6668E173">
            <w:pPr>
              <w:jc w:val="center"/>
              <w:rPr>
                <w:rFonts w:ascii="宋体" w:hAnsi="宋体" w:cs="宋体"/>
                <w:color w:val="auto"/>
                <w:sz w:val="24"/>
                <w:highlight w:val="none"/>
              </w:rPr>
            </w:pPr>
          </w:p>
        </w:tc>
      </w:tr>
      <w:tr w14:paraId="53322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Merge w:val="restart"/>
            <w:vAlign w:val="center"/>
          </w:tcPr>
          <w:p w14:paraId="7E976098">
            <w:pPr>
              <w:jc w:val="center"/>
              <w:rPr>
                <w:rFonts w:ascii="宋体" w:hAnsi="宋体" w:cs="宋体"/>
                <w:color w:val="auto"/>
                <w:sz w:val="24"/>
                <w:highlight w:val="none"/>
              </w:rPr>
            </w:pPr>
            <w:r>
              <w:rPr>
                <w:rFonts w:hint="eastAsia" w:ascii="宋体" w:hAnsi="宋体" w:cs="宋体"/>
                <w:color w:val="auto"/>
                <w:sz w:val="24"/>
                <w:highlight w:val="none"/>
              </w:rPr>
              <w:t>联系方式</w:t>
            </w:r>
          </w:p>
        </w:tc>
        <w:tc>
          <w:tcPr>
            <w:tcW w:w="1012" w:type="dxa"/>
            <w:vAlign w:val="center"/>
          </w:tcPr>
          <w:p w14:paraId="723E94C6">
            <w:pPr>
              <w:jc w:val="center"/>
              <w:rPr>
                <w:rFonts w:ascii="宋体" w:hAnsi="宋体" w:cs="宋体"/>
                <w:color w:val="auto"/>
                <w:sz w:val="24"/>
                <w:highlight w:val="none"/>
              </w:rPr>
            </w:pPr>
            <w:r>
              <w:rPr>
                <w:rFonts w:hint="eastAsia" w:ascii="宋体" w:hAnsi="宋体" w:cs="宋体"/>
                <w:color w:val="auto"/>
                <w:sz w:val="24"/>
                <w:highlight w:val="none"/>
              </w:rPr>
              <w:t>联系人</w:t>
            </w:r>
          </w:p>
        </w:tc>
        <w:tc>
          <w:tcPr>
            <w:tcW w:w="2377" w:type="dxa"/>
            <w:gridSpan w:val="3"/>
            <w:vAlign w:val="center"/>
          </w:tcPr>
          <w:p w14:paraId="3EAED2C7">
            <w:pPr>
              <w:jc w:val="center"/>
              <w:rPr>
                <w:rFonts w:ascii="宋体" w:hAnsi="宋体" w:cs="宋体"/>
                <w:color w:val="auto"/>
                <w:sz w:val="24"/>
                <w:highlight w:val="none"/>
              </w:rPr>
            </w:pPr>
          </w:p>
        </w:tc>
        <w:tc>
          <w:tcPr>
            <w:tcW w:w="1246" w:type="dxa"/>
            <w:vAlign w:val="center"/>
          </w:tcPr>
          <w:p w14:paraId="0BDD8F8C">
            <w:pPr>
              <w:jc w:val="center"/>
              <w:rPr>
                <w:rFonts w:ascii="宋体" w:hAnsi="宋体" w:cs="宋体"/>
                <w:color w:val="auto"/>
                <w:sz w:val="24"/>
                <w:highlight w:val="none"/>
              </w:rPr>
            </w:pPr>
            <w:r>
              <w:rPr>
                <w:rFonts w:hint="eastAsia" w:ascii="宋体" w:hAnsi="宋体" w:cs="宋体"/>
                <w:color w:val="auto"/>
                <w:sz w:val="24"/>
                <w:highlight w:val="none"/>
              </w:rPr>
              <w:t>电  话</w:t>
            </w:r>
          </w:p>
        </w:tc>
        <w:tc>
          <w:tcPr>
            <w:tcW w:w="2706" w:type="dxa"/>
            <w:gridSpan w:val="3"/>
            <w:vAlign w:val="center"/>
          </w:tcPr>
          <w:p w14:paraId="0D815E30">
            <w:pPr>
              <w:jc w:val="center"/>
              <w:rPr>
                <w:rFonts w:ascii="宋体" w:hAnsi="宋体" w:cs="宋体"/>
                <w:color w:val="auto"/>
                <w:sz w:val="24"/>
                <w:highlight w:val="none"/>
              </w:rPr>
            </w:pPr>
          </w:p>
        </w:tc>
      </w:tr>
      <w:tr w14:paraId="41DA9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Merge w:val="continue"/>
            <w:vAlign w:val="center"/>
          </w:tcPr>
          <w:p w14:paraId="1C6948D5">
            <w:pPr>
              <w:jc w:val="center"/>
              <w:rPr>
                <w:rFonts w:ascii="宋体" w:hAnsi="宋体" w:cs="宋体"/>
                <w:color w:val="auto"/>
                <w:sz w:val="24"/>
                <w:highlight w:val="none"/>
              </w:rPr>
            </w:pPr>
          </w:p>
        </w:tc>
        <w:tc>
          <w:tcPr>
            <w:tcW w:w="1012" w:type="dxa"/>
            <w:vAlign w:val="center"/>
          </w:tcPr>
          <w:p w14:paraId="2D1EB03C">
            <w:pPr>
              <w:jc w:val="center"/>
              <w:rPr>
                <w:rFonts w:ascii="宋体" w:hAnsi="宋体" w:cs="宋体"/>
                <w:color w:val="auto"/>
                <w:sz w:val="24"/>
                <w:highlight w:val="none"/>
              </w:rPr>
            </w:pPr>
            <w:r>
              <w:rPr>
                <w:rFonts w:hint="eastAsia" w:ascii="宋体" w:hAnsi="宋体" w:cs="宋体"/>
                <w:color w:val="auto"/>
                <w:sz w:val="24"/>
                <w:highlight w:val="none"/>
              </w:rPr>
              <w:t>传  真</w:t>
            </w:r>
          </w:p>
        </w:tc>
        <w:tc>
          <w:tcPr>
            <w:tcW w:w="2377" w:type="dxa"/>
            <w:gridSpan w:val="3"/>
            <w:vAlign w:val="center"/>
          </w:tcPr>
          <w:p w14:paraId="73597129">
            <w:pPr>
              <w:jc w:val="center"/>
              <w:rPr>
                <w:rFonts w:ascii="宋体" w:hAnsi="宋体" w:cs="宋体"/>
                <w:color w:val="auto"/>
                <w:sz w:val="24"/>
                <w:highlight w:val="none"/>
              </w:rPr>
            </w:pPr>
          </w:p>
        </w:tc>
        <w:tc>
          <w:tcPr>
            <w:tcW w:w="1246" w:type="dxa"/>
            <w:vAlign w:val="center"/>
          </w:tcPr>
          <w:p w14:paraId="37A6EFEA">
            <w:pPr>
              <w:jc w:val="center"/>
              <w:rPr>
                <w:rFonts w:ascii="宋体" w:hAnsi="宋体" w:cs="宋体"/>
                <w:color w:val="auto"/>
                <w:sz w:val="24"/>
                <w:highlight w:val="none"/>
              </w:rPr>
            </w:pPr>
            <w:r>
              <w:rPr>
                <w:rFonts w:hint="eastAsia" w:ascii="宋体" w:hAnsi="宋体" w:cs="宋体"/>
                <w:color w:val="auto"/>
                <w:sz w:val="24"/>
                <w:highlight w:val="none"/>
              </w:rPr>
              <w:t>网  址</w:t>
            </w:r>
          </w:p>
        </w:tc>
        <w:tc>
          <w:tcPr>
            <w:tcW w:w="2706" w:type="dxa"/>
            <w:gridSpan w:val="3"/>
            <w:vAlign w:val="center"/>
          </w:tcPr>
          <w:p w14:paraId="79B39DE9">
            <w:pPr>
              <w:jc w:val="center"/>
              <w:rPr>
                <w:rFonts w:ascii="宋体" w:hAnsi="宋体" w:cs="宋体"/>
                <w:color w:val="auto"/>
                <w:sz w:val="24"/>
                <w:highlight w:val="none"/>
              </w:rPr>
            </w:pPr>
          </w:p>
        </w:tc>
      </w:tr>
      <w:tr w14:paraId="66171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701F071E">
            <w:pPr>
              <w:jc w:val="center"/>
              <w:rPr>
                <w:rFonts w:ascii="宋体" w:hAnsi="宋体" w:cs="宋体"/>
                <w:color w:val="auto"/>
                <w:sz w:val="24"/>
                <w:highlight w:val="none"/>
              </w:rPr>
            </w:pPr>
            <w:r>
              <w:rPr>
                <w:rFonts w:hint="eastAsia" w:ascii="宋体" w:hAnsi="宋体" w:cs="宋体"/>
                <w:color w:val="auto"/>
                <w:sz w:val="24"/>
                <w:highlight w:val="none"/>
              </w:rPr>
              <w:t>统一社会信用代码</w:t>
            </w:r>
          </w:p>
        </w:tc>
        <w:tc>
          <w:tcPr>
            <w:tcW w:w="7341" w:type="dxa"/>
            <w:gridSpan w:val="8"/>
            <w:vAlign w:val="center"/>
          </w:tcPr>
          <w:p w14:paraId="7B46528E">
            <w:pPr>
              <w:jc w:val="center"/>
              <w:rPr>
                <w:rFonts w:ascii="宋体" w:hAnsi="宋体" w:cs="宋体"/>
                <w:color w:val="auto"/>
                <w:sz w:val="24"/>
                <w:highlight w:val="none"/>
              </w:rPr>
            </w:pPr>
          </w:p>
        </w:tc>
      </w:tr>
      <w:tr w14:paraId="698AF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02E31607">
            <w:pPr>
              <w:jc w:val="center"/>
              <w:rPr>
                <w:rFonts w:ascii="宋体" w:hAnsi="宋体" w:cs="宋体"/>
                <w:color w:val="auto"/>
                <w:sz w:val="24"/>
                <w:highlight w:val="none"/>
              </w:rPr>
            </w:pPr>
            <w:r>
              <w:rPr>
                <w:rFonts w:hint="eastAsia" w:ascii="宋体" w:hAnsi="宋体" w:cs="宋体"/>
                <w:color w:val="auto"/>
                <w:sz w:val="24"/>
                <w:highlight w:val="none"/>
              </w:rPr>
              <w:t>法定代表人</w:t>
            </w:r>
          </w:p>
        </w:tc>
        <w:tc>
          <w:tcPr>
            <w:tcW w:w="1012" w:type="dxa"/>
            <w:vAlign w:val="center"/>
          </w:tcPr>
          <w:p w14:paraId="27284CF0">
            <w:pPr>
              <w:jc w:val="center"/>
              <w:rPr>
                <w:rFonts w:ascii="宋体" w:hAnsi="宋体" w:cs="宋体"/>
                <w:color w:val="auto"/>
                <w:sz w:val="24"/>
                <w:highlight w:val="none"/>
              </w:rPr>
            </w:pPr>
            <w:r>
              <w:rPr>
                <w:rFonts w:hint="eastAsia" w:ascii="宋体" w:hAnsi="宋体" w:cs="宋体"/>
                <w:color w:val="auto"/>
                <w:sz w:val="24"/>
                <w:highlight w:val="none"/>
              </w:rPr>
              <w:t>姓名</w:t>
            </w:r>
          </w:p>
        </w:tc>
        <w:tc>
          <w:tcPr>
            <w:tcW w:w="3945" w:type="dxa"/>
            <w:gridSpan w:val="5"/>
            <w:vAlign w:val="center"/>
          </w:tcPr>
          <w:p w14:paraId="4239358A">
            <w:pPr>
              <w:jc w:val="center"/>
              <w:rPr>
                <w:rFonts w:ascii="宋体" w:hAnsi="宋体" w:cs="宋体"/>
                <w:color w:val="auto"/>
                <w:sz w:val="24"/>
                <w:highlight w:val="none"/>
              </w:rPr>
            </w:pPr>
          </w:p>
        </w:tc>
        <w:tc>
          <w:tcPr>
            <w:tcW w:w="765" w:type="dxa"/>
            <w:vAlign w:val="center"/>
          </w:tcPr>
          <w:p w14:paraId="38E154FE">
            <w:pPr>
              <w:jc w:val="center"/>
              <w:rPr>
                <w:rFonts w:ascii="宋体" w:hAnsi="宋体" w:cs="宋体"/>
                <w:color w:val="auto"/>
                <w:sz w:val="24"/>
                <w:highlight w:val="none"/>
              </w:rPr>
            </w:pPr>
            <w:r>
              <w:rPr>
                <w:rFonts w:hint="eastAsia" w:ascii="宋体" w:hAnsi="宋体" w:cs="宋体"/>
                <w:color w:val="auto"/>
                <w:sz w:val="24"/>
                <w:highlight w:val="none"/>
              </w:rPr>
              <w:t>电话</w:t>
            </w:r>
          </w:p>
        </w:tc>
        <w:tc>
          <w:tcPr>
            <w:tcW w:w="1619" w:type="dxa"/>
            <w:vAlign w:val="center"/>
          </w:tcPr>
          <w:p w14:paraId="551E3F7B">
            <w:pPr>
              <w:jc w:val="center"/>
              <w:rPr>
                <w:rFonts w:ascii="宋体" w:hAnsi="宋体" w:cs="宋体"/>
                <w:color w:val="auto"/>
                <w:sz w:val="24"/>
                <w:highlight w:val="none"/>
              </w:rPr>
            </w:pPr>
          </w:p>
        </w:tc>
      </w:tr>
      <w:tr w14:paraId="6F60B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43C20986">
            <w:pPr>
              <w:jc w:val="center"/>
              <w:rPr>
                <w:rFonts w:ascii="宋体" w:hAnsi="宋体" w:cs="宋体"/>
                <w:color w:val="auto"/>
                <w:sz w:val="24"/>
                <w:highlight w:val="none"/>
              </w:rPr>
            </w:pPr>
            <w:r>
              <w:rPr>
                <w:rFonts w:hint="eastAsia" w:ascii="宋体" w:hAnsi="宋体" w:cs="宋体"/>
                <w:color w:val="auto"/>
                <w:sz w:val="24"/>
                <w:highlight w:val="none"/>
              </w:rPr>
              <w:t>技术负责人</w:t>
            </w:r>
          </w:p>
        </w:tc>
        <w:tc>
          <w:tcPr>
            <w:tcW w:w="1012" w:type="dxa"/>
            <w:vAlign w:val="center"/>
          </w:tcPr>
          <w:p w14:paraId="6915E55A">
            <w:pPr>
              <w:jc w:val="center"/>
              <w:rPr>
                <w:rFonts w:ascii="宋体" w:hAnsi="宋体" w:cs="宋体"/>
                <w:color w:val="auto"/>
                <w:sz w:val="24"/>
                <w:highlight w:val="none"/>
              </w:rPr>
            </w:pPr>
            <w:r>
              <w:rPr>
                <w:rFonts w:hint="eastAsia" w:ascii="宋体" w:hAnsi="宋体" w:cs="宋体"/>
                <w:color w:val="auto"/>
                <w:sz w:val="24"/>
                <w:highlight w:val="none"/>
              </w:rPr>
              <w:t>姓名</w:t>
            </w:r>
          </w:p>
        </w:tc>
        <w:tc>
          <w:tcPr>
            <w:tcW w:w="1081" w:type="dxa"/>
            <w:vAlign w:val="center"/>
          </w:tcPr>
          <w:p w14:paraId="3A12B176">
            <w:pPr>
              <w:jc w:val="center"/>
              <w:rPr>
                <w:rFonts w:ascii="宋体" w:hAnsi="宋体" w:cs="宋体"/>
                <w:color w:val="auto"/>
                <w:sz w:val="24"/>
                <w:highlight w:val="none"/>
              </w:rPr>
            </w:pPr>
          </w:p>
        </w:tc>
        <w:tc>
          <w:tcPr>
            <w:tcW w:w="1184" w:type="dxa"/>
            <w:vAlign w:val="center"/>
          </w:tcPr>
          <w:p w14:paraId="6E772DE3">
            <w:pPr>
              <w:jc w:val="center"/>
              <w:rPr>
                <w:rFonts w:ascii="宋体" w:hAnsi="宋体" w:cs="宋体"/>
                <w:color w:val="auto"/>
                <w:sz w:val="24"/>
                <w:highlight w:val="none"/>
              </w:rPr>
            </w:pPr>
            <w:r>
              <w:rPr>
                <w:rFonts w:hint="eastAsia" w:ascii="宋体" w:hAnsi="宋体" w:cs="宋体"/>
                <w:color w:val="auto"/>
                <w:sz w:val="24"/>
                <w:highlight w:val="none"/>
              </w:rPr>
              <w:t>技术职称</w:t>
            </w:r>
          </w:p>
        </w:tc>
        <w:tc>
          <w:tcPr>
            <w:tcW w:w="1680" w:type="dxa"/>
            <w:gridSpan w:val="3"/>
            <w:vAlign w:val="center"/>
          </w:tcPr>
          <w:p w14:paraId="1BA18DDE">
            <w:pPr>
              <w:jc w:val="center"/>
              <w:rPr>
                <w:rFonts w:ascii="宋体" w:hAnsi="宋体" w:cs="宋体"/>
                <w:color w:val="auto"/>
                <w:sz w:val="24"/>
                <w:highlight w:val="none"/>
              </w:rPr>
            </w:pPr>
          </w:p>
        </w:tc>
        <w:tc>
          <w:tcPr>
            <w:tcW w:w="765" w:type="dxa"/>
            <w:vAlign w:val="center"/>
          </w:tcPr>
          <w:p w14:paraId="70DA8116">
            <w:pPr>
              <w:jc w:val="center"/>
              <w:rPr>
                <w:rFonts w:ascii="宋体" w:hAnsi="宋体" w:cs="宋体"/>
                <w:color w:val="auto"/>
                <w:sz w:val="24"/>
                <w:highlight w:val="none"/>
              </w:rPr>
            </w:pPr>
            <w:r>
              <w:rPr>
                <w:rFonts w:hint="eastAsia" w:ascii="宋体" w:hAnsi="宋体" w:cs="宋体"/>
                <w:color w:val="auto"/>
                <w:sz w:val="24"/>
                <w:highlight w:val="none"/>
              </w:rPr>
              <w:t>电话</w:t>
            </w:r>
          </w:p>
        </w:tc>
        <w:tc>
          <w:tcPr>
            <w:tcW w:w="1619" w:type="dxa"/>
            <w:vAlign w:val="center"/>
          </w:tcPr>
          <w:p w14:paraId="7A233236">
            <w:pPr>
              <w:jc w:val="center"/>
              <w:rPr>
                <w:rFonts w:ascii="宋体" w:hAnsi="宋体" w:cs="宋体"/>
                <w:color w:val="auto"/>
                <w:sz w:val="24"/>
                <w:highlight w:val="none"/>
              </w:rPr>
            </w:pPr>
          </w:p>
        </w:tc>
      </w:tr>
      <w:tr w14:paraId="46242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34D55FB1">
            <w:pPr>
              <w:jc w:val="center"/>
              <w:rPr>
                <w:rFonts w:ascii="宋体" w:hAnsi="宋体" w:cs="宋体"/>
                <w:color w:val="auto"/>
                <w:sz w:val="24"/>
                <w:highlight w:val="none"/>
              </w:rPr>
            </w:pPr>
            <w:r>
              <w:rPr>
                <w:rFonts w:hint="eastAsia" w:ascii="宋体" w:hAnsi="宋体" w:cs="宋体"/>
                <w:color w:val="auto"/>
                <w:sz w:val="24"/>
                <w:highlight w:val="none"/>
              </w:rPr>
              <w:t>成立时间</w:t>
            </w:r>
          </w:p>
        </w:tc>
        <w:tc>
          <w:tcPr>
            <w:tcW w:w="2093" w:type="dxa"/>
            <w:gridSpan w:val="2"/>
            <w:vAlign w:val="center"/>
          </w:tcPr>
          <w:p w14:paraId="648C6ADE">
            <w:pPr>
              <w:jc w:val="center"/>
              <w:rPr>
                <w:rFonts w:ascii="宋体" w:hAnsi="宋体" w:cs="宋体"/>
                <w:color w:val="auto"/>
                <w:sz w:val="24"/>
                <w:highlight w:val="none"/>
              </w:rPr>
            </w:pPr>
          </w:p>
        </w:tc>
        <w:tc>
          <w:tcPr>
            <w:tcW w:w="5248" w:type="dxa"/>
            <w:gridSpan w:val="6"/>
            <w:vAlign w:val="center"/>
          </w:tcPr>
          <w:p w14:paraId="3DFD0A49">
            <w:pPr>
              <w:jc w:val="center"/>
              <w:rPr>
                <w:rFonts w:ascii="宋体" w:hAnsi="宋体" w:cs="宋体"/>
                <w:color w:val="auto"/>
                <w:sz w:val="24"/>
                <w:highlight w:val="none"/>
              </w:rPr>
            </w:pPr>
            <w:r>
              <w:rPr>
                <w:rFonts w:hint="eastAsia" w:ascii="宋体" w:hAnsi="宋体" w:cs="宋体"/>
                <w:color w:val="auto"/>
                <w:sz w:val="24"/>
                <w:highlight w:val="none"/>
              </w:rPr>
              <w:t>员工总人数：</w:t>
            </w:r>
          </w:p>
        </w:tc>
      </w:tr>
      <w:tr w14:paraId="299D9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1C865660">
            <w:pPr>
              <w:jc w:val="center"/>
              <w:rPr>
                <w:rFonts w:ascii="宋体" w:hAnsi="宋体" w:cs="宋体"/>
                <w:color w:val="auto"/>
                <w:sz w:val="24"/>
                <w:highlight w:val="none"/>
              </w:rPr>
            </w:pPr>
            <w:r>
              <w:rPr>
                <w:rFonts w:hint="eastAsia" w:ascii="宋体" w:hAnsi="宋体" w:cs="宋体"/>
                <w:color w:val="auto"/>
                <w:sz w:val="24"/>
                <w:highlight w:val="none"/>
              </w:rPr>
              <w:t>资质等级</w:t>
            </w:r>
          </w:p>
        </w:tc>
        <w:tc>
          <w:tcPr>
            <w:tcW w:w="2093" w:type="dxa"/>
            <w:gridSpan w:val="2"/>
            <w:vAlign w:val="center"/>
          </w:tcPr>
          <w:p w14:paraId="67855CE1">
            <w:pPr>
              <w:jc w:val="center"/>
              <w:rPr>
                <w:rFonts w:ascii="宋体" w:hAnsi="宋体" w:cs="宋体"/>
                <w:color w:val="auto"/>
                <w:sz w:val="24"/>
                <w:highlight w:val="none"/>
              </w:rPr>
            </w:pPr>
          </w:p>
        </w:tc>
        <w:tc>
          <w:tcPr>
            <w:tcW w:w="1184" w:type="dxa"/>
            <w:vMerge w:val="restart"/>
            <w:vAlign w:val="center"/>
          </w:tcPr>
          <w:p w14:paraId="430A1576">
            <w:pPr>
              <w:jc w:val="center"/>
              <w:rPr>
                <w:rFonts w:ascii="宋体" w:hAnsi="宋体" w:cs="宋体"/>
                <w:color w:val="auto"/>
                <w:sz w:val="24"/>
                <w:highlight w:val="none"/>
              </w:rPr>
            </w:pPr>
            <w:r>
              <w:rPr>
                <w:rFonts w:hint="eastAsia" w:ascii="宋体" w:hAnsi="宋体" w:cs="宋体"/>
                <w:color w:val="auto"/>
                <w:sz w:val="24"/>
                <w:highlight w:val="none"/>
              </w:rPr>
              <w:t>其中</w:t>
            </w:r>
          </w:p>
        </w:tc>
        <w:tc>
          <w:tcPr>
            <w:tcW w:w="1680" w:type="dxa"/>
            <w:gridSpan w:val="3"/>
            <w:vAlign w:val="center"/>
          </w:tcPr>
          <w:p w14:paraId="08DC7D56">
            <w:pPr>
              <w:jc w:val="center"/>
              <w:rPr>
                <w:rFonts w:ascii="宋体" w:hAnsi="宋体" w:cs="宋体"/>
                <w:color w:val="auto"/>
                <w:sz w:val="24"/>
                <w:highlight w:val="none"/>
              </w:rPr>
            </w:pPr>
            <w:r>
              <w:rPr>
                <w:rFonts w:hint="eastAsia" w:ascii="宋体" w:hAnsi="宋体" w:cs="宋体"/>
                <w:color w:val="auto"/>
                <w:sz w:val="24"/>
                <w:highlight w:val="none"/>
              </w:rPr>
              <w:t>项目经理</w:t>
            </w:r>
          </w:p>
        </w:tc>
        <w:tc>
          <w:tcPr>
            <w:tcW w:w="2384" w:type="dxa"/>
            <w:gridSpan w:val="2"/>
            <w:vAlign w:val="center"/>
          </w:tcPr>
          <w:p w14:paraId="2F507022">
            <w:pPr>
              <w:jc w:val="center"/>
              <w:rPr>
                <w:rFonts w:ascii="宋体" w:hAnsi="宋体" w:cs="宋体"/>
                <w:color w:val="auto"/>
                <w:sz w:val="24"/>
                <w:highlight w:val="none"/>
              </w:rPr>
            </w:pPr>
          </w:p>
        </w:tc>
      </w:tr>
      <w:tr w14:paraId="37085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3D1FB94D">
            <w:pPr>
              <w:jc w:val="center"/>
              <w:rPr>
                <w:rFonts w:ascii="宋体" w:hAnsi="宋体" w:cs="宋体"/>
                <w:color w:val="auto"/>
                <w:sz w:val="24"/>
                <w:highlight w:val="none"/>
              </w:rPr>
            </w:pPr>
            <w:r>
              <w:rPr>
                <w:rFonts w:hint="eastAsia" w:ascii="宋体" w:hAnsi="宋体" w:cs="宋体"/>
                <w:color w:val="auto"/>
                <w:sz w:val="24"/>
                <w:highlight w:val="none"/>
              </w:rPr>
              <w:t>安全生产许可证号</w:t>
            </w:r>
          </w:p>
        </w:tc>
        <w:tc>
          <w:tcPr>
            <w:tcW w:w="2093" w:type="dxa"/>
            <w:gridSpan w:val="2"/>
            <w:vAlign w:val="center"/>
          </w:tcPr>
          <w:p w14:paraId="54BBD838">
            <w:pPr>
              <w:jc w:val="center"/>
              <w:rPr>
                <w:rFonts w:ascii="宋体" w:hAnsi="宋体" w:cs="宋体"/>
                <w:color w:val="auto"/>
                <w:sz w:val="24"/>
                <w:highlight w:val="none"/>
              </w:rPr>
            </w:pPr>
          </w:p>
        </w:tc>
        <w:tc>
          <w:tcPr>
            <w:tcW w:w="1184" w:type="dxa"/>
            <w:vMerge w:val="continue"/>
            <w:vAlign w:val="center"/>
          </w:tcPr>
          <w:p w14:paraId="667E8295">
            <w:pPr>
              <w:jc w:val="center"/>
              <w:rPr>
                <w:rFonts w:ascii="宋体" w:hAnsi="宋体" w:cs="宋体"/>
                <w:color w:val="auto"/>
                <w:sz w:val="24"/>
                <w:highlight w:val="none"/>
              </w:rPr>
            </w:pPr>
          </w:p>
        </w:tc>
        <w:tc>
          <w:tcPr>
            <w:tcW w:w="1680" w:type="dxa"/>
            <w:gridSpan w:val="3"/>
            <w:vAlign w:val="center"/>
          </w:tcPr>
          <w:p w14:paraId="53FE434A">
            <w:pPr>
              <w:jc w:val="center"/>
              <w:rPr>
                <w:rFonts w:ascii="宋体" w:hAnsi="宋体" w:cs="宋体"/>
                <w:color w:val="auto"/>
                <w:sz w:val="24"/>
                <w:highlight w:val="none"/>
              </w:rPr>
            </w:pPr>
            <w:r>
              <w:rPr>
                <w:rFonts w:hint="eastAsia" w:ascii="宋体" w:hAnsi="宋体" w:cs="宋体"/>
                <w:color w:val="auto"/>
                <w:sz w:val="24"/>
                <w:highlight w:val="none"/>
              </w:rPr>
              <w:t>高级职称人员</w:t>
            </w:r>
          </w:p>
        </w:tc>
        <w:tc>
          <w:tcPr>
            <w:tcW w:w="2384" w:type="dxa"/>
            <w:gridSpan w:val="2"/>
            <w:vAlign w:val="center"/>
          </w:tcPr>
          <w:p w14:paraId="66201934">
            <w:pPr>
              <w:jc w:val="center"/>
              <w:rPr>
                <w:rFonts w:ascii="宋体" w:hAnsi="宋体" w:cs="宋体"/>
                <w:color w:val="auto"/>
                <w:sz w:val="24"/>
                <w:highlight w:val="none"/>
              </w:rPr>
            </w:pPr>
          </w:p>
        </w:tc>
      </w:tr>
      <w:tr w14:paraId="17D2F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228555E6">
            <w:pPr>
              <w:jc w:val="center"/>
              <w:rPr>
                <w:rFonts w:ascii="宋体" w:hAnsi="宋体" w:cs="宋体"/>
                <w:color w:val="auto"/>
                <w:sz w:val="24"/>
                <w:highlight w:val="none"/>
              </w:rPr>
            </w:pPr>
            <w:r>
              <w:rPr>
                <w:rFonts w:hint="eastAsia" w:ascii="宋体" w:hAnsi="宋体" w:cs="宋体"/>
                <w:color w:val="auto"/>
                <w:sz w:val="24"/>
                <w:highlight w:val="none"/>
              </w:rPr>
              <w:t>注册资金</w:t>
            </w:r>
          </w:p>
        </w:tc>
        <w:tc>
          <w:tcPr>
            <w:tcW w:w="2093" w:type="dxa"/>
            <w:gridSpan w:val="2"/>
            <w:vAlign w:val="center"/>
          </w:tcPr>
          <w:p w14:paraId="68FEDACE">
            <w:pPr>
              <w:jc w:val="center"/>
              <w:rPr>
                <w:rFonts w:ascii="宋体" w:hAnsi="宋体" w:cs="宋体"/>
                <w:color w:val="auto"/>
                <w:sz w:val="24"/>
                <w:highlight w:val="none"/>
              </w:rPr>
            </w:pPr>
          </w:p>
        </w:tc>
        <w:tc>
          <w:tcPr>
            <w:tcW w:w="1184" w:type="dxa"/>
            <w:vMerge w:val="continue"/>
            <w:vAlign w:val="center"/>
          </w:tcPr>
          <w:p w14:paraId="47057FE0">
            <w:pPr>
              <w:jc w:val="center"/>
              <w:rPr>
                <w:rFonts w:ascii="宋体" w:hAnsi="宋体" w:cs="宋体"/>
                <w:color w:val="auto"/>
                <w:sz w:val="24"/>
                <w:highlight w:val="none"/>
              </w:rPr>
            </w:pPr>
          </w:p>
        </w:tc>
        <w:tc>
          <w:tcPr>
            <w:tcW w:w="1680" w:type="dxa"/>
            <w:gridSpan w:val="3"/>
            <w:vAlign w:val="center"/>
          </w:tcPr>
          <w:p w14:paraId="4A84F005">
            <w:pPr>
              <w:jc w:val="center"/>
              <w:rPr>
                <w:rFonts w:ascii="宋体" w:hAnsi="宋体" w:cs="宋体"/>
                <w:color w:val="auto"/>
                <w:sz w:val="24"/>
                <w:highlight w:val="none"/>
              </w:rPr>
            </w:pPr>
            <w:r>
              <w:rPr>
                <w:rFonts w:hint="eastAsia" w:ascii="宋体" w:hAnsi="宋体" w:cs="宋体"/>
                <w:color w:val="auto"/>
                <w:sz w:val="24"/>
                <w:highlight w:val="none"/>
              </w:rPr>
              <w:t>中级职称人员</w:t>
            </w:r>
          </w:p>
        </w:tc>
        <w:tc>
          <w:tcPr>
            <w:tcW w:w="2384" w:type="dxa"/>
            <w:gridSpan w:val="2"/>
            <w:vAlign w:val="center"/>
          </w:tcPr>
          <w:p w14:paraId="04BB83A7">
            <w:pPr>
              <w:jc w:val="center"/>
              <w:rPr>
                <w:rFonts w:ascii="宋体" w:hAnsi="宋体" w:cs="宋体"/>
                <w:color w:val="auto"/>
                <w:sz w:val="24"/>
                <w:highlight w:val="none"/>
              </w:rPr>
            </w:pPr>
          </w:p>
        </w:tc>
      </w:tr>
      <w:tr w14:paraId="0CC49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58A7BACF">
            <w:pPr>
              <w:jc w:val="center"/>
              <w:rPr>
                <w:rFonts w:ascii="宋体" w:hAnsi="宋体" w:cs="宋体"/>
                <w:color w:val="auto"/>
                <w:sz w:val="24"/>
                <w:highlight w:val="none"/>
              </w:rPr>
            </w:pPr>
            <w:r>
              <w:rPr>
                <w:rFonts w:hint="eastAsia" w:ascii="宋体" w:hAnsi="宋体" w:cs="宋体"/>
                <w:color w:val="auto"/>
                <w:sz w:val="24"/>
                <w:highlight w:val="none"/>
              </w:rPr>
              <w:t>开户银行</w:t>
            </w:r>
          </w:p>
        </w:tc>
        <w:tc>
          <w:tcPr>
            <w:tcW w:w="2093" w:type="dxa"/>
            <w:gridSpan w:val="2"/>
            <w:vAlign w:val="center"/>
          </w:tcPr>
          <w:p w14:paraId="779FA7FA">
            <w:pPr>
              <w:jc w:val="center"/>
              <w:rPr>
                <w:rFonts w:ascii="宋体" w:hAnsi="宋体" w:cs="宋体"/>
                <w:color w:val="auto"/>
                <w:sz w:val="24"/>
                <w:highlight w:val="none"/>
              </w:rPr>
            </w:pPr>
          </w:p>
        </w:tc>
        <w:tc>
          <w:tcPr>
            <w:tcW w:w="1184" w:type="dxa"/>
            <w:vMerge w:val="continue"/>
            <w:vAlign w:val="center"/>
          </w:tcPr>
          <w:p w14:paraId="025A737D">
            <w:pPr>
              <w:jc w:val="center"/>
              <w:rPr>
                <w:rFonts w:ascii="宋体" w:hAnsi="宋体" w:cs="宋体"/>
                <w:color w:val="auto"/>
                <w:sz w:val="24"/>
                <w:highlight w:val="none"/>
              </w:rPr>
            </w:pPr>
          </w:p>
        </w:tc>
        <w:tc>
          <w:tcPr>
            <w:tcW w:w="1680" w:type="dxa"/>
            <w:gridSpan w:val="3"/>
            <w:vAlign w:val="center"/>
          </w:tcPr>
          <w:p w14:paraId="771FF60E">
            <w:pPr>
              <w:jc w:val="center"/>
              <w:rPr>
                <w:rFonts w:ascii="宋体" w:hAnsi="宋体" w:cs="宋体"/>
                <w:color w:val="auto"/>
                <w:sz w:val="24"/>
                <w:highlight w:val="none"/>
              </w:rPr>
            </w:pPr>
            <w:r>
              <w:rPr>
                <w:rFonts w:hint="eastAsia" w:ascii="宋体" w:hAnsi="宋体" w:cs="宋体"/>
                <w:color w:val="auto"/>
                <w:sz w:val="24"/>
                <w:highlight w:val="none"/>
              </w:rPr>
              <w:t>初级职称人员</w:t>
            </w:r>
          </w:p>
        </w:tc>
        <w:tc>
          <w:tcPr>
            <w:tcW w:w="2384" w:type="dxa"/>
            <w:gridSpan w:val="2"/>
            <w:vAlign w:val="center"/>
          </w:tcPr>
          <w:p w14:paraId="3DAF0211">
            <w:pPr>
              <w:jc w:val="center"/>
              <w:rPr>
                <w:rFonts w:ascii="宋体" w:hAnsi="宋体" w:cs="宋体"/>
                <w:color w:val="auto"/>
                <w:sz w:val="24"/>
                <w:highlight w:val="none"/>
              </w:rPr>
            </w:pPr>
          </w:p>
        </w:tc>
      </w:tr>
      <w:tr w14:paraId="6D79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0D385F1A">
            <w:pPr>
              <w:jc w:val="center"/>
              <w:rPr>
                <w:rFonts w:ascii="宋体" w:hAnsi="宋体" w:cs="宋体"/>
                <w:color w:val="auto"/>
                <w:sz w:val="24"/>
                <w:highlight w:val="none"/>
              </w:rPr>
            </w:pPr>
            <w:r>
              <w:rPr>
                <w:rFonts w:hint="eastAsia" w:ascii="宋体" w:hAnsi="宋体" w:cs="宋体"/>
                <w:color w:val="auto"/>
                <w:sz w:val="24"/>
                <w:highlight w:val="none"/>
              </w:rPr>
              <w:t>账号</w:t>
            </w:r>
          </w:p>
        </w:tc>
        <w:tc>
          <w:tcPr>
            <w:tcW w:w="2093" w:type="dxa"/>
            <w:gridSpan w:val="2"/>
            <w:vAlign w:val="center"/>
          </w:tcPr>
          <w:p w14:paraId="305ED9EB">
            <w:pPr>
              <w:jc w:val="center"/>
              <w:rPr>
                <w:rFonts w:ascii="宋体" w:hAnsi="宋体" w:cs="宋体"/>
                <w:color w:val="auto"/>
                <w:sz w:val="24"/>
                <w:highlight w:val="none"/>
              </w:rPr>
            </w:pPr>
          </w:p>
        </w:tc>
        <w:tc>
          <w:tcPr>
            <w:tcW w:w="1184" w:type="dxa"/>
            <w:vMerge w:val="continue"/>
            <w:vAlign w:val="center"/>
          </w:tcPr>
          <w:p w14:paraId="2FC47357">
            <w:pPr>
              <w:jc w:val="center"/>
              <w:rPr>
                <w:rFonts w:ascii="宋体" w:hAnsi="宋体" w:cs="宋体"/>
                <w:color w:val="auto"/>
                <w:sz w:val="24"/>
                <w:highlight w:val="none"/>
              </w:rPr>
            </w:pPr>
          </w:p>
        </w:tc>
        <w:tc>
          <w:tcPr>
            <w:tcW w:w="1680" w:type="dxa"/>
            <w:gridSpan w:val="3"/>
            <w:vAlign w:val="center"/>
          </w:tcPr>
          <w:p w14:paraId="342A5572">
            <w:pPr>
              <w:jc w:val="center"/>
              <w:rPr>
                <w:rFonts w:ascii="宋体" w:hAnsi="宋体" w:cs="宋体"/>
                <w:color w:val="auto"/>
                <w:sz w:val="24"/>
                <w:highlight w:val="none"/>
              </w:rPr>
            </w:pPr>
            <w:r>
              <w:rPr>
                <w:rFonts w:hint="eastAsia" w:ascii="宋体" w:hAnsi="宋体" w:cs="宋体"/>
                <w:color w:val="auto"/>
                <w:sz w:val="24"/>
                <w:highlight w:val="none"/>
              </w:rPr>
              <w:t>技  工</w:t>
            </w:r>
          </w:p>
        </w:tc>
        <w:tc>
          <w:tcPr>
            <w:tcW w:w="2384" w:type="dxa"/>
            <w:gridSpan w:val="2"/>
            <w:vAlign w:val="center"/>
          </w:tcPr>
          <w:p w14:paraId="3750B499">
            <w:pPr>
              <w:jc w:val="center"/>
              <w:rPr>
                <w:rFonts w:ascii="宋体" w:hAnsi="宋体" w:cs="宋体"/>
                <w:color w:val="auto"/>
                <w:sz w:val="24"/>
                <w:highlight w:val="none"/>
              </w:rPr>
            </w:pPr>
          </w:p>
        </w:tc>
      </w:tr>
      <w:tr w14:paraId="4D8A7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jc w:val="center"/>
        </w:trPr>
        <w:tc>
          <w:tcPr>
            <w:tcW w:w="1626" w:type="dxa"/>
            <w:vAlign w:val="center"/>
          </w:tcPr>
          <w:p w14:paraId="112FF2A9">
            <w:pPr>
              <w:jc w:val="center"/>
              <w:rPr>
                <w:rFonts w:ascii="宋体" w:hAnsi="宋体" w:cs="宋体"/>
                <w:color w:val="auto"/>
                <w:sz w:val="24"/>
                <w:highlight w:val="none"/>
              </w:rPr>
            </w:pPr>
            <w:r>
              <w:rPr>
                <w:rFonts w:hint="eastAsia" w:ascii="宋体" w:hAnsi="宋体" w:cs="宋体"/>
                <w:color w:val="auto"/>
                <w:sz w:val="24"/>
                <w:highlight w:val="none"/>
              </w:rPr>
              <w:t>经营范围</w:t>
            </w:r>
          </w:p>
        </w:tc>
        <w:tc>
          <w:tcPr>
            <w:tcW w:w="7341" w:type="dxa"/>
            <w:gridSpan w:val="8"/>
            <w:vAlign w:val="center"/>
          </w:tcPr>
          <w:p w14:paraId="08425BDA">
            <w:pPr>
              <w:jc w:val="center"/>
              <w:rPr>
                <w:rFonts w:ascii="宋体" w:hAnsi="宋体" w:cs="宋体"/>
                <w:color w:val="auto"/>
                <w:sz w:val="24"/>
                <w:highlight w:val="none"/>
              </w:rPr>
            </w:pPr>
          </w:p>
        </w:tc>
      </w:tr>
      <w:tr w14:paraId="14DB4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534E3484">
            <w:pPr>
              <w:jc w:val="center"/>
              <w:rPr>
                <w:rFonts w:ascii="宋体" w:hAnsi="宋体" w:cs="宋体"/>
                <w:color w:val="auto"/>
                <w:sz w:val="24"/>
                <w:highlight w:val="none"/>
              </w:rPr>
            </w:pPr>
            <w:r>
              <w:rPr>
                <w:rFonts w:hint="eastAsia" w:ascii="宋体" w:hAnsi="宋体" w:cs="宋体"/>
                <w:color w:val="auto"/>
                <w:sz w:val="24"/>
                <w:highlight w:val="none"/>
              </w:rPr>
              <w:t>备注</w:t>
            </w:r>
          </w:p>
        </w:tc>
        <w:tc>
          <w:tcPr>
            <w:tcW w:w="7341" w:type="dxa"/>
            <w:gridSpan w:val="8"/>
            <w:vAlign w:val="center"/>
          </w:tcPr>
          <w:p w14:paraId="3A94E930">
            <w:pPr>
              <w:jc w:val="center"/>
              <w:rPr>
                <w:rFonts w:ascii="宋体" w:hAnsi="宋体" w:cs="宋体"/>
                <w:color w:val="auto"/>
                <w:sz w:val="24"/>
                <w:highlight w:val="none"/>
              </w:rPr>
            </w:pPr>
          </w:p>
        </w:tc>
      </w:tr>
    </w:tbl>
    <w:p w14:paraId="27B2DFAF">
      <w:pPr>
        <w:spacing w:line="360" w:lineRule="auto"/>
        <w:contextualSpacing/>
        <w:rPr>
          <w:rFonts w:ascii="宋体" w:hAnsi="宋体" w:cs="宋体"/>
          <w:color w:val="auto"/>
          <w:highlight w:val="none"/>
        </w:rPr>
      </w:pPr>
    </w:p>
    <w:p w14:paraId="28E08DDA">
      <w:pPr>
        <w:pStyle w:val="21"/>
        <w:snapToGrid/>
        <w:rPr>
          <w:rFonts w:ascii="宋体" w:hAnsi="宋体" w:cs="宋体"/>
          <w:color w:val="auto"/>
          <w:kern w:val="2"/>
          <w:highlight w:val="none"/>
        </w:rPr>
      </w:pPr>
    </w:p>
    <w:p w14:paraId="58940281">
      <w:pPr>
        <w:autoSpaceDE w:val="0"/>
        <w:autoSpaceDN w:val="0"/>
        <w:spacing w:line="360" w:lineRule="auto"/>
        <w:ind w:left="4365" w:leftChars="1850" w:hanging="480" w:hangingChars="200"/>
        <w:rPr>
          <w:rFonts w:ascii="宋体" w:hAnsi="宋体" w:cs="宋体"/>
          <w:color w:val="auto"/>
          <w:sz w:val="24"/>
          <w:highlight w:val="none"/>
          <w:lang w:val="zh-CN"/>
        </w:rPr>
      </w:pPr>
      <w:r>
        <w:rPr>
          <w:rFonts w:hint="eastAsia" w:ascii="宋体" w:hAnsi="宋体" w:cs="宋体"/>
          <w:color w:val="auto"/>
          <w:sz w:val="24"/>
          <w:highlight w:val="none"/>
          <w:lang w:val="zh-CN"/>
        </w:rPr>
        <w:t>供应商名称（电子签章）：</w:t>
      </w:r>
    </w:p>
    <w:p w14:paraId="68485F28">
      <w:pPr>
        <w:spacing w:line="50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日期</w:t>
      </w:r>
      <w:r>
        <w:rPr>
          <w:rFonts w:hint="eastAsia" w:ascii="宋体" w:hAnsi="宋体" w:cs="宋体"/>
          <w:color w:val="auto"/>
          <w:sz w:val="24"/>
          <w:highlight w:val="none"/>
        </w:rPr>
        <w:t xml:space="preserve">：  年  </w:t>
      </w:r>
      <w:r>
        <w:rPr>
          <w:rFonts w:hint="eastAsia" w:ascii="宋体" w:hAnsi="宋体" w:cs="宋体"/>
          <w:color w:val="auto"/>
          <w:sz w:val="24"/>
          <w:highlight w:val="none"/>
          <w:lang w:val="zh-CN"/>
        </w:rPr>
        <w:t>月</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日</w:t>
      </w:r>
    </w:p>
    <w:p w14:paraId="4A3046F9">
      <w:pPr>
        <w:spacing w:line="500" w:lineRule="exact"/>
        <w:jc w:val="center"/>
        <w:rPr>
          <w:rFonts w:ascii="宋体" w:hAnsi="宋体" w:cs="宋体"/>
          <w:color w:val="auto"/>
          <w:sz w:val="24"/>
          <w:highlight w:val="none"/>
        </w:rPr>
      </w:pPr>
      <w:r>
        <w:rPr>
          <w:rFonts w:ascii="宋体" w:hAnsi="宋体" w:cs="宋体"/>
          <w:color w:val="auto"/>
          <w:sz w:val="24"/>
          <w:highlight w:val="none"/>
        </w:rPr>
        <w:br w:type="page"/>
      </w:r>
    </w:p>
    <w:p w14:paraId="05CDBACC">
      <w:pPr>
        <w:spacing w:line="500" w:lineRule="exact"/>
        <w:jc w:val="center"/>
        <w:rPr>
          <w:rFonts w:ascii="宋体" w:hAnsi="宋体" w:cs="宋体"/>
          <w:b/>
          <w:color w:val="auto"/>
          <w:sz w:val="30"/>
          <w:szCs w:val="30"/>
          <w:highlight w:val="none"/>
        </w:rPr>
      </w:pPr>
      <w:bookmarkStart w:id="78" w:name="_Toc13089"/>
      <w:r>
        <w:rPr>
          <w:rFonts w:hint="eastAsia" w:ascii="宋体" w:hAnsi="宋体" w:cs="宋体"/>
          <w:b/>
          <w:color w:val="auto"/>
          <w:sz w:val="30"/>
          <w:szCs w:val="30"/>
          <w:highlight w:val="none"/>
        </w:rPr>
        <w:t>六、施工组织设计</w:t>
      </w:r>
      <w:bookmarkEnd w:id="78"/>
    </w:p>
    <w:p w14:paraId="4ADCF11A">
      <w:pPr>
        <w:rPr>
          <w:rFonts w:ascii="宋体" w:hAnsi="宋体" w:cs="宋体"/>
          <w:color w:val="auto"/>
          <w:highlight w:val="none"/>
        </w:rPr>
      </w:pPr>
    </w:p>
    <w:p w14:paraId="52DB6E7E">
      <w:pPr>
        <w:spacing w:line="460" w:lineRule="exact"/>
        <w:jc w:val="center"/>
        <w:rPr>
          <w:rFonts w:ascii="宋体" w:hAnsi="宋体" w:cs="宋体"/>
          <w:b/>
          <w:color w:val="auto"/>
          <w:sz w:val="30"/>
          <w:szCs w:val="30"/>
          <w:highlight w:val="none"/>
        </w:rPr>
      </w:pPr>
      <w:r>
        <w:rPr>
          <w:rFonts w:hint="eastAsia" w:ascii="宋体" w:hAnsi="宋体" w:cs="宋体"/>
          <w:b/>
          <w:color w:val="auto"/>
          <w:sz w:val="30"/>
          <w:szCs w:val="30"/>
          <w:highlight w:val="none"/>
        </w:rPr>
        <w:t>施工组织设计</w:t>
      </w:r>
    </w:p>
    <w:p w14:paraId="2AACCA41">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供应商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02033947">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2.施工组织设计除采用文字表述外可附下列图表，图表及格式要求附后。</w:t>
      </w:r>
    </w:p>
    <w:p w14:paraId="5E4784ED">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附表一  拟投入本工程的主要施工设备表</w:t>
      </w:r>
    </w:p>
    <w:p w14:paraId="6E69DBB1">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附表二  拟配备本工程的试验和检测仪器设备表</w:t>
      </w:r>
    </w:p>
    <w:p w14:paraId="5DB69702">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附表三  劳动力计划表</w:t>
      </w:r>
    </w:p>
    <w:p w14:paraId="46D4F780">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附表四  计划开、竣工日期和施工进度网络图</w:t>
      </w:r>
    </w:p>
    <w:p w14:paraId="23811958">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附表五  施工总平面图</w:t>
      </w:r>
    </w:p>
    <w:p w14:paraId="69B6296C">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附表六  临时用地表</w:t>
      </w:r>
    </w:p>
    <w:p w14:paraId="6903D79F">
      <w:pPr>
        <w:spacing w:line="460" w:lineRule="exact"/>
        <w:ind w:firstLine="480" w:firstLineChars="200"/>
        <w:rPr>
          <w:rFonts w:ascii="宋体" w:hAnsi="宋体" w:cs="宋体"/>
          <w:color w:val="auto"/>
          <w:sz w:val="24"/>
          <w:highlight w:val="none"/>
        </w:rPr>
      </w:pPr>
    </w:p>
    <w:p w14:paraId="25AE4F0C">
      <w:pPr>
        <w:ind w:firstLine="482" w:firstLineChars="200"/>
        <w:rPr>
          <w:rFonts w:ascii="宋体" w:hAnsi="宋体" w:cs="宋体"/>
          <w:b/>
          <w:bCs/>
          <w:color w:val="auto"/>
          <w:szCs w:val="21"/>
          <w:highlight w:val="none"/>
        </w:rPr>
      </w:pPr>
      <w:r>
        <w:rPr>
          <w:rFonts w:hint="eastAsia" w:ascii="宋体" w:hAnsi="宋体" w:cs="宋体"/>
          <w:b/>
          <w:bCs/>
          <w:color w:val="auto"/>
          <w:sz w:val="24"/>
          <w:highlight w:val="none"/>
        </w:rPr>
        <w:t>附表一：拟投入本工程的主要施工设备表</w:t>
      </w:r>
    </w:p>
    <w:tbl>
      <w:tblPr>
        <w:tblStyle w:val="30"/>
        <w:tblW w:w="9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286"/>
        <w:gridCol w:w="893"/>
        <w:gridCol w:w="743"/>
        <w:gridCol w:w="744"/>
        <w:gridCol w:w="893"/>
        <w:gridCol w:w="1190"/>
        <w:gridCol w:w="1041"/>
        <w:gridCol w:w="1190"/>
        <w:gridCol w:w="1041"/>
      </w:tblGrid>
      <w:tr w14:paraId="5622C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95" w:type="dxa"/>
            <w:vAlign w:val="center"/>
          </w:tcPr>
          <w:p w14:paraId="353C5587">
            <w:pPr>
              <w:jc w:val="center"/>
              <w:rPr>
                <w:rFonts w:ascii="宋体" w:hAnsi="宋体" w:cs="宋体"/>
                <w:color w:val="auto"/>
                <w:sz w:val="24"/>
                <w:highlight w:val="none"/>
              </w:rPr>
            </w:pPr>
            <w:r>
              <w:rPr>
                <w:rFonts w:hint="eastAsia" w:ascii="宋体" w:hAnsi="宋体" w:cs="宋体"/>
                <w:color w:val="auto"/>
                <w:sz w:val="24"/>
                <w:highlight w:val="none"/>
              </w:rPr>
              <w:t>序号</w:t>
            </w:r>
          </w:p>
        </w:tc>
        <w:tc>
          <w:tcPr>
            <w:tcW w:w="1286" w:type="dxa"/>
            <w:vAlign w:val="center"/>
          </w:tcPr>
          <w:p w14:paraId="2E44A049">
            <w:pPr>
              <w:jc w:val="center"/>
              <w:rPr>
                <w:rFonts w:ascii="宋体" w:hAnsi="宋体" w:cs="宋体"/>
                <w:color w:val="auto"/>
                <w:sz w:val="24"/>
                <w:highlight w:val="none"/>
              </w:rPr>
            </w:pPr>
            <w:r>
              <w:rPr>
                <w:rFonts w:hint="eastAsia" w:ascii="宋体" w:hAnsi="宋体" w:cs="宋体"/>
                <w:color w:val="auto"/>
                <w:sz w:val="24"/>
                <w:highlight w:val="none"/>
              </w:rPr>
              <w:t>设备名称</w:t>
            </w:r>
          </w:p>
        </w:tc>
        <w:tc>
          <w:tcPr>
            <w:tcW w:w="893" w:type="dxa"/>
            <w:vAlign w:val="center"/>
          </w:tcPr>
          <w:p w14:paraId="029A2A04">
            <w:pPr>
              <w:jc w:val="center"/>
              <w:rPr>
                <w:rFonts w:ascii="宋体" w:hAnsi="宋体" w:cs="宋体"/>
                <w:color w:val="auto"/>
                <w:sz w:val="24"/>
                <w:highlight w:val="none"/>
              </w:rPr>
            </w:pPr>
            <w:r>
              <w:rPr>
                <w:rFonts w:hint="eastAsia" w:ascii="宋体" w:hAnsi="宋体" w:cs="宋体"/>
                <w:color w:val="auto"/>
                <w:sz w:val="24"/>
                <w:highlight w:val="none"/>
              </w:rPr>
              <w:t>型号</w:t>
            </w:r>
          </w:p>
          <w:p w14:paraId="44135EBB">
            <w:pPr>
              <w:jc w:val="center"/>
              <w:rPr>
                <w:rFonts w:ascii="宋体" w:hAnsi="宋体" w:cs="宋体"/>
                <w:color w:val="auto"/>
                <w:sz w:val="24"/>
                <w:highlight w:val="none"/>
              </w:rPr>
            </w:pPr>
            <w:r>
              <w:rPr>
                <w:rFonts w:hint="eastAsia" w:ascii="宋体" w:hAnsi="宋体" w:cs="宋体"/>
                <w:color w:val="auto"/>
                <w:sz w:val="24"/>
                <w:highlight w:val="none"/>
              </w:rPr>
              <w:t>规格</w:t>
            </w:r>
          </w:p>
        </w:tc>
        <w:tc>
          <w:tcPr>
            <w:tcW w:w="743" w:type="dxa"/>
            <w:vAlign w:val="center"/>
          </w:tcPr>
          <w:p w14:paraId="2F116C4C">
            <w:pPr>
              <w:jc w:val="center"/>
              <w:rPr>
                <w:rFonts w:ascii="宋体" w:hAnsi="宋体" w:cs="宋体"/>
                <w:color w:val="auto"/>
                <w:sz w:val="24"/>
                <w:highlight w:val="none"/>
              </w:rPr>
            </w:pPr>
            <w:r>
              <w:rPr>
                <w:rFonts w:hint="eastAsia" w:ascii="宋体" w:hAnsi="宋体" w:cs="宋体"/>
                <w:color w:val="auto"/>
                <w:sz w:val="24"/>
                <w:highlight w:val="none"/>
              </w:rPr>
              <w:t>数量</w:t>
            </w:r>
          </w:p>
        </w:tc>
        <w:tc>
          <w:tcPr>
            <w:tcW w:w="744" w:type="dxa"/>
            <w:vAlign w:val="center"/>
          </w:tcPr>
          <w:p w14:paraId="50DDABE9">
            <w:pPr>
              <w:jc w:val="center"/>
              <w:rPr>
                <w:rFonts w:ascii="宋体" w:hAnsi="宋体" w:cs="宋体"/>
                <w:color w:val="auto"/>
                <w:sz w:val="24"/>
                <w:highlight w:val="none"/>
              </w:rPr>
            </w:pPr>
            <w:r>
              <w:rPr>
                <w:rFonts w:hint="eastAsia" w:ascii="宋体" w:hAnsi="宋体" w:cs="宋体"/>
                <w:color w:val="auto"/>
                <w:sz w:val="24"/>
                <w:highlight w:val="none"/>
              </w:rPr>
              <w:t>国别</w:t>
            </w:r>
          </w:p>
          <w:p w14:paraId="79B42DD1">
            <w:pPr>
              <w:jc w:val="center"/>
              <w:rPr>
                <w:rFonts w:ascii="宋体" w:hAnsi="宋体" w:cs="宋体"/>
                <w:color w:val="auto"/>
                <w:sz w:val="24"/>
                <w:highlight w:val="none"/>
              </w:rPr>
            </w:pPr>
            <w:r>
              <w:rPr>
                <w:rFonts w:hint="eastAsia" w:ascii="宋体" w:hAnsi="宋体" w:cs="宋体"/>
                <w:color w:val="auto"/>
                <w:sz w:val="24"/>
                <w:highlight w:val="none"/>
              </w:rPr>
              <w:t>产地</w:t>
            </w:r>
          </w:p>
        </w:tc>
        <w:tc>
          <w:tcPr>
            <w:tcW w:w="893" w:type="dxa"/>
            <w:vAlign w:val="center"/>
          </w:tcPr>
          <w:p w14:paraId="01EB716A">
            <w:pPr>
              <w:jc w:val="center"/>
              <w:rPr>
                <w:rFonts w:ascii="宋体" w:hAnsi="宋体" w:cs="宋体"/>
                <w:color w:val="auto"/>
                <w:sz w:val="24"/>
                <w:highlight w:val="none"/>
              </w:rPr>
            </w:pPr>
            <w:r>
              <w:rPr>
                <w:rFonts w:hint="eastAsia" w:ascii="宋体" w:hAnsi="宋体" w:cs="宋体"/>
                <w:color w:val="auto"/>
                <w:sz w:val="24"/>
                <w:highlight w:val="none"/>
              </w:rPr>
              <w:t>制造</w:t>
            </w:r>
          </w:p>
          <w:p w14:paraId="4393E3C8">
            <w:pPr>
              <w:jc w:val="center"/>
              <w:rPr>
                <w:rFonts w:ascii="宋体" w:hAnsi="宋体" w:cs="宋体"/>
                <w:color w:val="auto"/>
                <w:sz w:val="24"/>
                <w:highlight w:val="none"/>
              </w:rPr>
            </w:pPr>
            <w:r>
              <w:rPr>
                <w:rFonts w:hint="eastAsia" w:ascii="宋体" w:hAnsi="宋体" w:cs="宋体"/>
                <w:color w:val="auto"/>
                <w:sz w:val="24"/>
                <w:highlight w:val="none"/>
              </w:rPr>
              <w:t>年份</w:t>
            </w:r>
          </w:p>
        </w:tc>
        <w:tc>
          <w:tcPr>
            <w:tcW w:w="1190" w:type="dxa"/>
            <w:vAlign w:val="center"/>
          </w:tcPr>
          <w:p w14:paraId="13F20B85">
            <w:pPr>
              <w:jc w:val="center"/>
              <w:rPr>
                <w:rFonts w:ascii="宋体" w:hAnsi="宋体" w:cs="宋体"/>
                <w:color w:val="auto"/>
                <w:sz w:val="24"/>
                <w:highlight w:val="none"/>
              </w:rPr>
            </w:pPr>
            <w:r>
              <w:rPr>
                <w:rFonts w:hint="eastAsia" w:ascii="宋体" w:hAnsi="宋体" w:cs="宋体"/>
                <w:color w:val="auto"/>
                <w:sz w:val="24"/>
                <w:highlight w:val="none"/>
              </w:rPr>
              <w:t>额定功率</w:t>
            </w:r>
          </w:p>
          <w:p w14:paraId="42CBC474">
            <w:pPr>
              <w:jc w:val="center"/>
              <w:rPr>
                <w:rFonts w:ascii="宋体" w:hAnsi="宋体" w:cs="宋体"/>
                <w:color w:val="auto"/>
                <w:sz w:val="24"/>
                <w:highlight w:val="none"/>
              </w:rPr>
            </w:pPr>
            <w:r>
              <w:rPr>
                <w:rFonts w:hint="eastAsia" w:ascii="宋体" w:hAnsi="宋体" w:cs="宋体"/>
                <w:color w:val="auto"/>
                <w:sz w:val="24"/>
                <w:highlight w:val="none"/>
              </w:rPr>
              <w:t>（KW）</w:t>
            </w:r>
          </w:p>
        </w:tc>
        <w:tc>
          <w:tcPr>
            <w:tcW w:w="1041" w:type="dxa"/>
            <w:vAlign w:val="center"/>
          </w:tcPr>
          <w:p w14:paraId="429D25FA">
            <w:pPr>
              <w:jc w:val="center"/>
              <w:rPr>
                <w:rFonts w:ascii="宋体" w:hAnsi="宋体" w:cs="宋体"/>
                <w:color w:val="auto"/>
                <w:sz w:val="24"/>
                <w:highlight w:val="none"/>
              </w:rPr>
            </w:pPr>
            <w:r>
              <w:rPr>
                <w:rFonts w:hint="eastAsia" w:ascii="宋体" w:hAnsi="宋体" w:cs="宋体"/>
                <w:color w:val="auto"/>
                <w:sz w:val="24"/>
                <w:highlight w:val="none"/>
              </w:rPr>
              <w:t>生产</w:t>
            </w:r>
          </w:p>
          <w:p w14:paraId="5EAEF730">
            <w:pPr>
              <w:jc w:val="center"/>
              <w:rPr>
                <w:rFonts w:ascii="宋体" w:hAnsi="宋体" w:cs="宋体"/>
                <w:color w:val="auto"/>
                <w:sz w:val="24"/>
                <w:highlight w:val="none"/>
              </w:rPr>
            </w:pPr>
            <w:r>
              <w:rPr>
                <w:rFonts w:hint="eastAsia" w:ascii="宋体" w:hAnsi="宋体" w:cs="宋体"/>
                <w:color w:val="auto"/>
                <w:sz w:val="24"/>
                <w:highlight w:val="none"/>
              </w:rPr>
              <w:t>能力</w:t>
            </w:r>
          </w:p>
        </w:tc>
        <w:tc>
          <w:tcPr>
            <w:tcW w:w="1190" w:type="dxa"/>
            <w:vAlign w:val="center"/>
          </w:tcPr>
          <w:p w14:paraId="2DD0766B">
            <w:pPr>
              <w:jc w:val="center"/>
              <w:rPr>
                <w:rFonts w:ascii="宋体" w:hAnsi="宋体" w:cs="宋体"/>
                <w:color w:val="auto"/>
                <w:sz w:val="24"/>
                <w:highlight w:val="none"/>
              </w:rPr>
            </w:pPr>
            <w:r>
              <w:rPr>
                <w:rFonts w:hint="eastAsia" w:ascii="宋体" w:hAnsi="宋体" w:cs="宋体"/>
                <w:color w:val="auto"/>
                <w:sz w:val="24"/>
                <w:highlight w:val="none"/>
              </w:rPr>
              <w:t>用于施</w:t>
            </w:r>
          </w:p>
          <w:p w14:paraId="698AA198">
            <w:pPr>
              <w:jc w:val="center"/>
              <w:rPr>
                <w:rFonts w:ascii="宋体" w:hAnsi="宋体" w:cs="宋体"/>
                <w:color w:val="auto"/>
                <w:sz w:val="24"/>
                <w:highlight w:val="none"/>
              </w:rPr>
            </w:pPr>
            <w:r>
              <w:rPr>
                <w:rFonts w:hint="eastAsia" w:ascii="宋体" w:hAnsi="宋体" w:cs="宋体"/>
                <w:color w:val="auto"/>
                <w:sz w:val="24"/>
                <w:highlight w:val="none"/>
              </w:rPr>
              <w:t>工部位</w:t>
            </w:r>
          </w:p>
        </w:tc>
        <w:tc>
          <w:tcPr>
            <w:tcW w:w="1041" w:type="dxa"/>
            <w:vAlign w:val="center"/>
          </w:tcPr>
          <w:p w14:paraId="6955413F">
            <w:pPr>
              <w:jc w:val="center"/>
              <w:rPr>
                <w:rFonts w:ascii="宋体" w:hAnsi="宋体" w:cs="宋体"/>
                <w:color w:val="auto"/>
                <w:sz w:val="24"/>
                <w:highlight w:val="none"/>
              </w:rPr>
            </w:pPr>
            <w:r>
              <w:rPr>
                <w:rFonts w:hint="eastAsia" w:ascii="宋体" w:hAnsi="宋体" w:cs="宋体"/>
                <w:color w:val="auto"/>
                <w:sz w:val="24"/>
                <w:highlight w:val="none"/>
              </w:rPr>
              <w:t>备注</w:t>
            </w:r>
          </w:p>
        </w:tc>
      </w:tr>
      <w:tr w14:paraId="62146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5" w:type="dxa"/>
          </w:tcPr>
          <w:p w14:paraId="3533A05F">
            <w:pPr>
              <w:spacing w:line="360" w:lineRule="auto"/>
              <w:rPr>
                <w:rFonts w:ascii="宋体" w:hAnsi="宋体" w:cs="宋体"/>
                <w:color w:val="auto"/>
                <w:sz w:val="24"/>
                <w:highlight w:val="none"/>
              </w:rPr>
            </w:pPr>
          </w:p>
        </w:tc>
        <w:tc>
          <w:tcPr>
            <w:tcW w:w="1286" w:type="dxa"/>
          </w:tcPr>
          <w:p w14:paraId="15D8DF08">
            <w:pPr>
              <w:spacing w:line="360" w:lineRule="auto"/>
              <w:ind w:firstLine="480" w:firstLineChars="200"/>
              <w:rPr>
                <w:rFonts w:ascii="宋体" w:hAnsi="宋体" w:cs="宋体"/>
                <w:color w:val="auto"/>
                <w:sz w:val="24"/>
                <w:highlight w:val="none"/>
              </w:rPr>
            </w:pPr>
          </w:p>
        </w:tc>
        <w:tc>
          <w:tcPr>
            <w:tcW w:w="893" w:type="dxa"/>
          </w:tcPr>
          <w:p w14:paraId="2A4FD8BD">
            <w:pPr>
              <w:spacing w:line="360" w:lineRule="auto"/>
              <w:rPr>
                <w:rFonts w:ascii="宋体" w:hAnsi="宋体" w:cs="宋体"/>
                <w:color w:val="auto"/>
                <w:sz w:val="24"/>
                <w:highlight w:val="none"/>
              </w:rPr>
            </w:pPr>
          </w:p>
        </w:tc>
        <w:tc>
          <w:tcPr>
            <w:tcW w:w="743" w:type="dxa"/>
          </w:tcPr>
          <w:p w14:paraId="55B7B429">
            <w:pPr>
              <w:spacing w:line="360" w:lineRule="auto"/>
              <w:rPr>
                <w:rFonts w:ascii="宋体" w:hAnsi="宋体" w:cs="宋体"/>
                <w:color w:val="auto"/>
                <w:sz w:val="24"/>
                <w:highlight w:val="none"/>
              </w:rPr>
            </w:pPr>
          </w:p>
        </w:tc>
        <w:tc>
          <w:tcPr>
            <w:tcW w:w="744" w:type="dxa"/>
          </w:tcPr>
          <w:p w14:paraId="722667EB">
            <w:pPr>
              <w:spacing w:line="360" w:lineRule="auto"/>
              <w:rPr>
                <w:rFonts w:ascii="宋体" w:hAnsi="宋体" w:cs="宋体"/>
                <w:color w:val="auto"/>
                <w:sz w:val="24"/>
                <w:highlight w:val="none"/>
              </w:rPr>
            </w:pPr>
          </w:p>
        </w:tc>
        <w:tc>
          <w:tcPr>
            <w:tcW w:w="893" w:type="dxa"/>
          </w:tcPr>
          <w:p w14:paraId="4198A556">
            <w:pPr>
              <w:spacing w:line="360" w:lineRule="auto"/>
              <w:rPr>
                <w:rFonts w:ascii="宋体" w:hAnsi="宋体" w:cs="宋体"/>
                <w:color w:val="auto"/>
                <w:sz w:val="24"/>
                <w:highlight w:val="none"/>
              </w:rPr>
            </w:pPr>
          </w:p>
        </w:tc>
        <w:tc>
          <w:tcPr>
            <w:tcW w:w="1190" w:type="dxa"/>
          </w:tcPr>
          <w:p w14:paraId="37ABF4D6">
            <w:pPr>
              <w:spacing w:line="360" w:lineRule="auto"/>
              <w:rPr>
                <w:rFonts w:ascii="宋体" w:hAnsi="宋体" w:cs="宋体"/>
                <w:color w:val="auto"/>
                <w:sz w:val="24"/>
                <w:highlight w:val="none"/>
              </w:rPr>
            </w:pPr>
          </w:p>
        </w:tc>
        <w:tc>
          <w:tcPr>
            <w:tcW w:w="1041" w:type="dxa"/>
          </w:tcPr>
          <w:p w14:paraId="65445C5F">
            <w:pPr>
              <w:spacing w:line="360" w:lineRule="auto"/>
              <w:rPr>
                <w:rFonts w:ascii="宋体" w:hAnsi="宋体" w:cs="宋体"/>
                <w:color w:val="auto"/>
                <w:sz w:val="24"/>
                <w:highlight w:val="none"/>
              </w:rPr>
            </w:pPr>
          </w:p>
        </w:tc>
        <w:tc>
          <w:tcPr>
            <w:tcW w:w="1190" w:type="dxa"/>
          </w:tcPr>
          <w:p w14:paraId="6F66F575">
            <w:pPr>
              <w:spacing w:line="360" w:lineRule="auto"/>
              <w:rPr>
                <w:rFonts w:ascii="宋体" w:hAnsi="宋体" w:cs="宋体"/>
                <w:color w:val="auto"/>
                <w:sz w:val="24"/>
                <w:highlight w:val="none"/>
              </w:rPr>
            </w:pPr>
          </w:p>
        </w:tc>
        <w:tc>
          <w:tcPr>
            <w:tcW w:w="1041" w:type="dxa"/>
          </w:tcPr>
          <w:p w14:paraId="6BD389A8">
            <w:pPr>
              <w:spacing w:line="360" w:lineRule="auto"/>
              <w:rPr>
                <w:rFonts w:ascii="宋体" w:hAnsi="宋体" w:cs="宋体"/>
                <w:color w:val="auto"/>
                <w:sz w:val="24"/>
                <w:highlight w:val="none"/>
              </w:rPr>
            </w:pPr>
          </w:p>
        </w:tc>
      </w:tr>
      <w:tr w14:paraId="5930D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5" w:type="dxa"/>
          </w:tcPr>
          <w:p w14:paraId="1DF1AA9C">
            <w:pPr>
              <w:spacing w:line="360" w:lineRule="auto"/>
              <w:rPr>
                <w:rFonts w:ascii="宋体" w:hAnsi="宋体" w:cs="宋体"/>
                <w:color w:val="auto"/>
                <w:sz w:val="24"/>
                <w:highlight w:val="none"/>
              </w:rPr>
            </w:pPr>
          </w:p>
        </w:tc>
        <w:tc>
          <w:tcPr>
            <w:tcW w:w="1286" w:type="dxa"/>
          </w:tcPr>
          <w:p w14:paraId="56B9AEAD">
            <w:pPr>
              <w:spacing w:line="360" w:lineRule="auto"/>
              <w:rPr>
                <w:rFonts w:ascii="宋体" w:hAnsi="宋体" w:cs="宋体"/>
                <w:color w:val="auto"/>
                <w:sz w:val="24"/>
                <w:highlight w:val="none"/>
              </w:rPr>
            </w:pPr>
          </w:p>
        </w:tc>
        <w:tc>
          <w:tcPr>
            <w:tcW w:w="893" w:type="dxa"/>
          </w:tcPr>
          <w:p w14:paraId="7BC54B1D">
            <w:pPr>
              <w:spacing w:line="360" w:lineRule="auto"/>
              <w:rPr>
                <w:rFonts w:ascii="宋体" w:hAnsi="宋体" w:cs="宋体"/>
                <w:color w:val="auto"/>
                <w:sz w:val="24"/>
                <w:highlight w:val="none"/>
              </w:rPr>
            </w:pPr>
          </w:p>
        </w:tc>
        <w:tc>
          <w:tcPr>
            <w:tcW w:w="743" w:type="dxa"/>
          </w:tcPr>
          <w:p w14:paraId="245EE7AE">
            <w:pPr>
              <w:spacing w:line="360" w:lineRule="auto"/>
              <w:rPr>
                <w:rFonts w:ascii="宋体" w:hAnsi="宋体" w:cs="宋体"/>
                <w:color w:val="auto"/>
                <w:sz w:val="24"/>
                <w:highlight w:val="none"/>
              </w:rPr>
            </w:pPr>
          </w:p>
        </w:tc>
        <w:tc>
          <w:tcPr>
            <w:tcW w:w="744" w:type="dxa"/>
          </w:tcPr>
          <w:p w14:paraId="29A335F6">
            <w:pPr>
              <w:spacing w:line="360" w:lineRule="auto"/>
              <w:rPr>
                <w:rFonts w:ascii="宋体" w:hAnsi="宋体" w:cs="宋体"/>
                <w:color w:val="auto"/>
                <w:sz w:val="24"/>
                <w:highlight w:val="none"/>
              </w:rPr>
            </w:pPr>
          </w:p>
        </w:tc>
        <w:tc>
          <w:tcPr>
            <w:tcW w:w="893" w:type="dxa"/>
          </w:tcPr>
          <w:p w14:paraId="3DA9E0D3">
            <w:pPr>
              <w:spacing w:line="360" w:lineRule="auto"/>
              <w:rPr>
                <w:rFonts w:ascii="宋体" w:hAnsi="宋体" w:cs="宋体"/>
                <w:color w:val="auto"/>
                <w:sz w:val="24"/>
                <w:highlight w:val="none"/>
              </w:rPr>
            </w:pPr>
          </w:p>
        </w:tc>
        <w:tc>
          <w:tcPr>
            <w:tcW w:w="1190" w:type="dxa"/>
          </w:tcPr>
          <w:p w14:paraId="16A87A24">
            <w:pPr>
              <w:spacing w:line="360" w:lineRule="auto"/>
              <w:rPr>
                <w:rFonts w:ascii="宋体" w:hAnsi="宋体" w:cs="宋体"/>
                <w:color w:val="auto"/>
                <w:sz w:val="24"/>
                <w:highlight w:val="none"/>
              </w:rPr>
            </w:pPr>
          </w:p>
        </w:tc>
        <w:tc>
          <w:tcPr>
            <w:tcW w:w="1041" w:type="dxa"/>
          </w:tcPr>
          <w:p w14:paraId="6CABBBD8">
            <w:pPr>
              <w:spacing w:line="360" w:lineRule="auto"/>
              <w:rPr>
                <w:rFonts w:ascii="宋体" w:hAnsi="宋体" w:cs="宋体"/>
                <w:color w:val="auto"/>
                <w:sz w:val="24"/>
                <w:highlight w:val="none"/>
              </w:rPr>
            </w:pPr>
          </w:p>
        </w:tc>
        <w:tc>
          <w:tcPr>
            <w:tcW w:w="1190" w:type="dxa"/>
          </w:tcPr>
          <w:p w14:paraId="1FEE52B1">
            <w:pPr>
              <w:spacing w:line="360" w:lineRule="auto"/>
              <w:rPr>
                <w:rFonts w:ascii="宋体" w:hAnsi="宋体" w:cs="宋体"/>
                <w:color w:val="auto"/>
                <w:sz w:val="24"/>
                <w:highlight w:val="none"/>
              </w:rPr>
            </w:pPr>
          </w:p>
        </w:tc>
        <w:tc>
          <w:tcPr>
            <w:tcW w:w="1041" w:type="dxa"/>
          </w:tcPr>
          <w:p w14:paraId="17125514">
            <w:pPr>
              <w:spacing w:line="360" w:lineRule="auto"/>
              <w:rPr>
                <w:rFonts w:ascii="宋体" w:hAnsi="宋体" w:cs="宋体"/>
                <w:color w:val="auto"/>
                <w:sz w:val="24"/>
                <w:highlight w:val="none"/>
              </w:rPr>
            </w:pPr>
          </w:p>
        </w:tc>
      </w:tr>
      <w:tr w14:paraId="4BCEC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5" w:type="dxa"/>
          </w:tcPr>
          <w:p w14:paraId="452A1924">
            <w:pPr>
              <w:spacing w:line="360" w:lineRule="auto"/>
              <w:rPr>
                <w:rFonts w:ascii="宋体" w:hAnsi="宋体" w:cs="宋体"/>
                <w:color w:val="auto"/>
                <w:sz w:val="24"/>
                <w:highlight w:val="none"/>
              </w:rPr>
            </w:pPr>
          </w:p>
        </w:tc>
        <w:tc>
          <w:tcPr>
            <w:tcW w:w="1286" w:type="dxa"/>
          </w:tcPr>
          <w:p w14:paraId="572E5FF6">
            <w:pPr>
              <w:spacing w:line="360" w:lineRule="auto"/>
              <w:rPr>
                <w:rFonts w:ascii="宋体" w:hAnsi="宋体" w:cs="宋体"/>
                <w:color w:val="auto"/>
                <w:sz w:val="24"/>
                <w:highlight w:val="none"/>
              </w:rPr>
            </w:pPr>
          </w:p>
        </w:tc>
        <w:tc>
          <w:tcPr>
            <w:tcW w:w="893" w:type="dxa"/>
          </w:tcPr>
          <w:p w14:paraId="6B4C8772">
            <w:pPr>
              <w:spacing w:line="360" w:lineRule="auto"/>
              <w:rPr>
                <w:rFonts w:ascii="宋体" w:hAnsi="宋体" w:cs="宋体"/>
                <w:color w:val="auto"/>
                <w:sz w:val="24"/>
                <w:highlight w:val="none"/>
              </w:rPr>
            </w:pPr>
          </w:p>
        </w:tc>
        <w:tc>
          <w:tcPr>
            <w:tcW w:w="743" w:type="dxa"/>
          </w:tcPr>
          <w:p w14:paraId="156A0D90">
            <w:pPr>
              <w:spacing w:line="360" w:lineRule="auto"/>
              <w:rPr>
                <w:rFonts w:ascii="宋体" w:hAnsi="宋体" w:cs="宋体"/>
                <w:color w:val="auto"/>
                <w:sz w:val="24"/>
                <w:highlight w:val="none"/>
              </w:rPr>
            </w:pPr>
          </w:p>
        </w:tc>
        <w:tc>
          <w:tcPr>
            <w:tcW w:w="744" w:type="dxa"/>
          </w:tcPr>
          <w:p w14:paraId="58B9ADE6">
            <w:pPr>
              <w:spacing w:line="360" w:lineRule="auto"/>
              <w:rPr>
                <w:rFonts w:ascii="宋体" w:hAnsi="宋体" w:cs="宋体"/>
                <w:color w:val="auto"/>
                <w:sz w:val="24"/>
                <w:highlight w:val="none"/>
              </w:rPr>
            </w:pPr>
          </w:p>
        </w:tc>
        <w:tc>
          <w:tcPr>
            <w:tcW w:w="893" w:type="dxa"/>
          </w:tcPr>
          <w:p w14:paraId="6CF7D95B">
            <w:pPr>
              <w:spacing w:line="360" w:lineRule="auto"/>
              <w:rPr>
                <w:rFonts w:ascii="宋体" w:hAnsi="宋体" w:cs="宋体"/>
                <w:color w:val="auto"/>
                <w:sz w:val="24"/>
                <w:highlight w:val="none"/>
              </w:rPr>
            </w:pPr>
          </w:p>
        </w:tc>
        <w:tc>
          <w:tcPr>
            <w:tcW w:w="1190" w:type="dxa"/>
          </w:tcPr>
          <w:p w14:paraId="35E215FF">
            <w:pPr>
              <w:spacing w:line="360" w:lineRule="auto"/>
              <w:rPr>
                <w:rFonts w:ascii="宋体" w:hAnsi="宋体" w:cs="宋体"/>
                <w:color w:val="auto"/>
                <w:sz w:val="24"/>
                <w:highlight w:val="none"/>
              </w:rPr>
            </w:pPr>
          </w:p>
        </w:tc>
        <w:tc>
          <w:tcPr>
            <w:tcW w:w="1041" w:type="dxa"/>
          </w:tcPr>
          <w:p w14:paraId="1850BFAC">
            <w:pPr>
              <w:spacing w:line="360" w:lineRule="auto"/>
              <w:rPr>
                <w:rFonts w:ascii="宋体" w:hAnsi="宋体" w:cs="宋体"/>
                <w:color w:val="auto"/>
                <w:sz w:val="24"/>
                <w:highlight w:val="none"/>
              </w:rPr>
            </w:pPr>
          </w:p>
        </w:tc>
        <w:tc>
          <w:tcPr>
            <w:tcW w:w="1190" w:type="dxa"/>
          </w:tcPr>
          <w:p w14:paraId="6F22665F">
            <w:pPr>
              <w:spacing w:line="360" w:lineRule="auto"/>
              <w:rPr>
                <w:rFonts w:ascii="宋体" w:hAnsi="宋体" w:cs="宋体"/>
                <w:color w:val="auto"/>
                <w:sz w:val="24"/>
                <w:highlight w:val="none"/>
              </w:rPr>
            </w:pPr>
          </w:p>
        </w:tc>
        <w:tc>
          <w:tcPr>
            <w:tcW w:w="1041" w:type="dxa"/>
          </w:tcPr>
          <w:p w14:paraId="1C432C13">
            <w:pPr>
              <w:spacing w:line="360" w:lineRule="auto"/>
              <w:rPr>
                <w:rFonts w:ascii="宋体" w:hAnsi="宋体" w:cs="宋体"/>
                <w:color w:val="auto"/>
                <w:sz w:val="24"/>
                <w:highlight w:val="none"/>
              </w:rPr>
            </w:pPr>
          </w:p>
        </w:tc>
      </w:tr>
      <w:tr w14:paraId="0087C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5" w:type="dxa"/>
          </w:tcPr>
          <w:p w14:paraId="259F4F5F">
            <w:pPr>
              <w:spacing w:line="360" w:lineRule="auto"/>
              <w:rPr>
                <w:rFonts w:ascii="宋体" w:hAnsi="宋体" w:cs="宋体"/>
                <w:color w:val="auto"/>
                <w:sz w:val="24"/>
                <w:highlight w:val="none"/>
              </w:rPr>
            </w:pPr>
          </w:p>
        </w:tc>
        <w:tc>
          <w:tcPr>
            <w:tcW w:w="1286" w:type="dxa"/>
          </w:tcPr>
          <w:p w14:paraId="0D5D75F2">
            <w:pPr>
              <w:spacing w:line="360" w:lineRule="auto"/>
              <w:rPr>
                <w:rFonts w:ascii="宋体" w:hAnsi="宋体" w:cs="宋体"/>
                <w:color w:val="auto"/>
                <w:sz w:val="24"/>
                <w:highlight w:val="none"/>
              </w:rPr>
            </w:pPr>
          </w:p>
        </w:tc>
        <w:tc>
          <w:tcPr>
            <w:tcW w:w="893" w:type="dxa"/>
          </w:tcPr>
          <w:p w14:paraId="271EC616">
            <w:pPr>
              <w:spacing w:line="360" w:lineRule="auto"/>
              <w:rPr>
                <w:rFonts w:ascii="宋体" w:hAnsi="宋体" w:cs="宋体"/>
                <w:color w:val="auto"/>
                <w:sz w:val="24"/>
                <w:highlight w:val="none"/>
              </w:rPr>
            </w:pPr>
          </w:p>
        </w:tc>
        <w:tc>
          <w:tcPr>
            <w:tcW w:w="743" w:type="dxa"/>
          </w:tcPr>
          <w:p w14:paraId="34FF4C6F">
            <w:pPr>
              <w:spacing w:line="360" w:lineRule="auto"/>
              <w:rPr>
                <w:rFonts w:ascii="宋体" w:hAnsi="宋体" w:cs="宋体"/>
                <w:color w:val="auto"/>
                <w:sz w:val="24"/>
                <w:highlight w:val="none"/>
              </w:rPr>
            </w:pPr>
          </w:p>
        </w:tc>
        <w:tc>
          <w:tcPr>
            <w:tcW w:w="744" w:type="dxa"/>
          </w:tcPr>
          <w:p w14:paraId="6F5955A8">
            <w:pPr>
              <w:spacing w:line="360" w:lineRule="auto"/>
              <w:rPr>
                <w:rFonts w:ascii="宋体" w:hAnsi="宋体" w:cs="宋体"/>
                <w:color w:val="auto"/>
                <w:sz w:val="24"/>
                <w:highlight w:val="none"/>
              </w:rPr>
            </w:pPr>
          </w:p>
        </w:tc>
        <w:tc>
          <w:tcPr>
            <w:tcW w:w="893" w:type="dxa"/>
          </w:tcPr>
          <w:p w14:paraId="2D87A193">
            <w:pPr>
              <w:spacing w:line="360" w:lineRule="auto"/>
              <w:rPr>
                <w:rFonts w:ascii="宋体" w:hAnsi="宋体" w:cs="宋体"/>
                <w:color w:val="auto"/>
                <w:sz w:val="24"/>
                <w:highlight w:val="none"/>
              </w:rPr>
            </w:pPr>
          </w:p>
        </w:tc>
        <w:tc>
          <w:tcPr>
            <w:tcW w:w="1190" w:type="dxa"/>
          </w:tcPr>
          <w:p w14:paraId="1AE0ACE8">
            <w:pPr>
              <w:spacing w:line="360" w:lineRule="auto"/>
              <w:rPr>
                <w:rFonts w:ascii="宋体" w:hAnsi="宋体" w:cs="宋体"/>
                <w:color w:val="auto"/>
                <w:sz w:val="24"/>
                <w:highlight w:val="none"/>
              </w:rPr>
            </w:pPr>
          </w:p>
        </w:tc>
        <w:tc>
          <w:tcPr>
            <w:tcW w:w="1041" w:type="dxa"/>
          </w:tcPr>
          <w:p w14:paraId="728FB6CA">
            <w:pPr>
              <w:spacing w:line="360" w:lineRule="auto"/>
              <w:rPr>
                <w:rFonts w:ascii="宋体" w:hAnsi="宋体" w:cs="宋体"/>
                <w:color w:val="auto"/>
                <w:sz w:val="24"/>
                <w:highlight w:val="none"/>
              </w:rPr>
            </w:pPr>
          </w:p>
        </w:tc>
        <w:tc>
          <w:tcPr>
            <w:tcW w:w="1190" w:type="dxa"/>
          </w:tcPr>
          <w:p w14:paraId="1743D449">
            <w:pPr>
              <w:spacing w:line="360" w:lineRule="auto"/>
              <w:rPr>
                <w:rFonts w:ascii="宋体" w:hAnsi="宋体" w:cs="宋体"/>
                <w:color w:val="auto"/>
                <w:sz w:val="24"/>
                <w:highlight w:val="none"/>
              </w:rPr>
            </w:pPr>
          </w:p>
        </w:tc>
        <w:tc>
          <w:tcPr>
            <w:tcW w:w="1041" w:type="dxa"/>
          </w:tcPr>
          <w:p w14:paraId="5EA2C559">
            <w:pPr>
              <w:spacing w:line="360" w:lineRule="auto"/>
              <w:rPr>
                <w:rFonts w:ascii="宋体" w:hAnsi="宋体" w:cs="宋体"/>
                <w:color w:val="auto"/>
                <w:sz w:val="24"/>
                <w:highlight w:val="none"/>
              </w:rPr>
            </w:pPr>
          </w:p>
        </w:tc>
      </w:tr>
      <w:tr w14:paraId="4E4BF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5" w:type="dxa"/>
          </w:tcPr>
          <w:p w14:paraId="20FF7A97">
            <w:pPr>
              <w:spacing w:line="360" w:lineRule="auto"/>
              <w:rPr>
                <w:rFonts w:ascii="宋体" w:hAnsi="宋体" w:cs="宋体"/>
                <w:color w:val="auto"/>
                <w:sz w:val="24"/>
                <w:highlight w:val="none"/>
              </w:rPr>
            </w:pPr>
          </w:p>
        </w:tc>
        <w:tc>
          <w:tcPr>
            <w:tcW w:w="1286" w:type="dxa"/>
          </w:tcPr>
          <w:p w14:paraId="74353EFF">
            <w:pPr>
              <w:spacing w:line="360" w:lineRule="auto"/>
              <w:rPr>
                <w:rFonts w:ascii="宋体" w:hAnsi="宋体" w:cs="宋体"/>
                <w:color w:val="auto"/>
                <w:sz w:val="24"/>
                <w:highlight w:val="none"/>
              </w:rPr>
            </w:pPr>
          </w:p>
        </w:tc>
        <w:tc>
          <w:tcPr>
            <w:tcW w:w="893" w:type="dxa"/>
          </w:tcPr>
          <w:p w14:paraId="1A1E5AD9">
            <w:pPr>
              <w:spacing w:line="360" w:lineRule="auto"/>
              <w:rPr>
                <w:rFonts w:ascii="宋体" w:hAnsi="宋体" w:cs="宋体"/>
                <w:color w:val="auto"/>
                <w:sz w:val="24"/>
                <w:highlight w:val="none"/>
              </w:rPr>
            </w:pPr>
          </w:p>
        </w:tc>
        <w:tc>
          <w:tcPr>
            <w:tcW w:w="743" w:type="dxa"/>
          </w:tcPr>
          <w:p w14:paraId="43C759F4">
            <w:pPr>
              <w:spacing w:line="360" w:lineRule="auto"/>
              <w:rPr>
                <w:rFonts w:ascii="宋体" w:hAnsi="宋体" w:cs="宋体"/>
                <w:color w:val="auto"/>
                <w:sz w:val="24"/>
                <w:highlight w:val="none"/>
              </w:rPr>
            </w:pPr>
          </w:p>
        </w:tc>
        <w:tc>
          <w:tcPr>
            <w:tcW w:w="744" w:type="dxa"/>
          </w:tcPr>
          <w:p w14:paraId="36C47A6C">
            <w:pPr>
              <w:spacing w:line="360" w:lineRule="auto"/>
              <w:rPr>
                <w:rFonts w:ascii="宋体" w:hAnsi="宋体" w:cs="宋体"/>
                <w:color w:val="auto"/>
                <w:sz w:val="24"/>
                <w:highlight w:val="none"/>
              </w:rPr>
            </w:pPr>
          </w:p>
        </w:tc>
        <w:tc>
          <w:tcPr>
            <w:tcW w:w="893" w:type="dxa"/>
          </w:tcPr>
          <w:p w14:paraId="04096940">
            <w:pPr>
              <w:spacing w:line="360" w:lineRule="auto"/>
              <w:rPr>
                <w:rFonts w:ascii="宋体" w:hAnsi="宋体" w:cs="宋体"/>
                <w:color w:val="auto"/>
                <w:sz w:val="24"/>
                <w:highlight w:val="none"/>
              </w:rPr>
            </w:pPr>
          </w:p>
        </w:tc>
        <w:tc>
          <w:tcPr>
            <w:tcW w:w="1190" w:type="dxa"/>
          </w:tcPr>
          <w:p w14:paraId="3EDEE9A9">
            <w:pPr>
              <w:spacing w:line="360" w:lineRule="auto"/>
              <w:rPr>
                <w:rFonts w:ascii="宋体" w:hAnsi="宋体" w:cs="宋体"/>
                <w:color w:val="auto"/>
                <w:sz w:val="24"/>
                <w:highlight w:val="none"/>
              </w:rPr>
            </w:pPr>
          </w:p>
        </w:tc>
        <w:tc>
          <w:tcPr>
            <w:tcW w:w="1041" w:type="dxa"/>
          </w:tcPr>
          <w:p w14:paraId="76BAA46F">
            <w:pPr>
              <w:spacing w:line="360" w:lineRule="auto"/>
              <w:rPr>
                <w:rFonts w:ascii="宋体" w:hAnsi="宋体" w:cs="宋体"/>
                <w:color w:val="auto"/>
                <w:sz w:val="24"/>
                <w:highlight w:val="none"/>
              </w:rPr>
            </w:pPr>
          </w:p>
        </w:tc>
        <w:tc>
          <w:tcPr>
            <w:tcW w:w="1190" w:type="dxa"/>
          </w:tcPr>
          <w:p w14:paraId="052BD17E">
            <w:pPr>
              <w:spacing w:line="360" w:lineRule="auto"/>
              <w:rPr>
                <w:rFonts w:ascii="宋体" w:hAnsi="宋体" w:cs="宋体"/>
                <w:color w:val="auto"/>
                <w:sz w:val="24"/>
                <w:highlight w:val="none"/>
              </w:rPr>
            </w:pPr>
          </w:p>
        </w:tc>
        <w:tc>
          <w:tcPr>
            <w:tcW w:w="1041" w:type="dxa"/>
          </w:tcPr>
          <w:p w14:paraId="364ED8D9">
            <w:pPr>
              <w:spacing w:line="360" w:lineRule="auto"/>
              <w:rPr>
                <w:rFonts w:ascii="宋体" w:hAnsi="宋体" w:cs="宋体"/>
                <w:color w:val="auto"/>
                <w:sz w:val="24"/>
                <w:highlight w:val="none"/>
              </w:rPr>
            </w:pPr>
          </w:p>
        </w:tc>
      </w:tr>
    </w:tbl>
    <w:p w14:paraId="2F6B9912">
      <w:pPr>
        <w:rPr>
          <w:rFonts w:ascii="宋体" w:hAnsi="宋体" w:cs="宋体"/>
          <w:color w:val="auto"/>
          <w:szCs w:val="21"/>
          <w:highlight w:val="none"/>
        </w:rPr>
      </w:pPr>
    </w:p>
    <w:p w14:paraId="515FEBB7">
      <w:pPr>
        <w:ind w:firstLine="420" w:firstLineChars="200"/>
        <w:rPr>
          <w:rFonts w:ascii="宋体" w:hAnsi="宋体" w:cs="宋体"/>
          <w:color w:val="auto"/>
          <w:szCs w:val="21"/>
          <w:highlight w:val="none"/>
        </w:rPr>
      </w:pPr>
    </w:p>
    <w:p w14:paraId="602A932F">
      <w:pPr>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附表二：拟配备本工程的试验和检测仪器设备表</w:t>
      </w:r>
    </w:p>
    <w:tbl>
      <w:tblPr>
        <w:tblStyle w:val="30"/>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755"/>
        <w:gridCol w:w="750"/>
        <w:gridCol w:w="705"/>
        <w:gridCol w:w="855"/>
        <w:gridCol w:w="1185"/>
        <w:gridCol w:w="1530"/>
        <w:gridCol w:w="1094"/>
        <w:gridCol w:w="1095"/>
      </w:tblGrid>
      <w:tr w14:paraId="2E69E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5DE9C729">
            <w:pPr>
              <w:jc w:val="center"/>
              <w:rPr>
                <w:rFonts w:ascii="宋体" w:hAnsi="宋体" w:cs="宋体"/>
                <w:color w:val="auto"/>
                <w:sz w:val="24"/>
                <w:highlight w:val="none"/>
              </w:rPr>
            </w:pPr>
            <w:r>
              <w:rPr>
                <w:rFonts w:hint="eastAsia" w:ascii="宋体" w:hAnsi="宋体" w:cs="宋体"/>
                <w:color w:val="auto"/>
                <w:sz w:val="24"/>
                <w:highlight w:val="none"/>
              </w:rPr>
              <w:t>序号</w:t>
            </w:r>
          </w:p>
        </w:tc>
        <w:tc>
          <w:tcPr>
            <w:tcW w:w="1755" w:type="dxa"/>
            <w:vAlign w:val="center"/>
          </w:tcPr>
          <w:p w14:paraId="53A2A5B6">
            <w:pPr>
              <w:jc w:val="center"/>
              <w:rPr>
                <w:rFonts w:ascii="宋体" w:hAnsi="宋体" w:cs="宋体"/>
                <w:color w:val="auto"/>
                <w:sz w:val="24"/>
                <w:highlight w:val="none"/>
              </w:rPr>
            </w:pPr>
            <w:r>
              <w:rPr>
                <w:rFonts w:hint="eastAsia" w:ascii="宋体" w:hAnsi="宋体" w:cs="宋体"/>
                <w:color w:val="auto"/>
                <w:sz w:val="24"/>
                <w:highlight w:val="none"/>
              </w:rPr>
              <w:t>仪器设备名称</w:t>
            </w:r>
          </w:p>
        </w:tc>
        <w:tc>
          <w:tcPr>
            <w:tcW w:w="750" w:type="dxa"/>
            <w:vAlign w:val="center"/>
          </w:tcPr>
          <w:p w14:paraId="6897CA3B">
            <w:pPr>
              <w:jc w:val="center"/>
              <w:rPr>
                <w:rFonts w:ascii="宋体" w:hAnsi="宋体" w:cs="宋体"/>
                <w:color w:val="auto"/>
                <w:sz w:val="24"/>
                <w:highlight w:val="none"/>
              </w:rPr>
            </w:pPr>
            <w:r>
              <w:rPr>
                <w:rFonts w:hint="eastAsia" w:ascii="宋体" w:hAnsi="宋体" w:cs="宋体"/>
                <w:color w:val="auto"/>
                <w:sz w:val="24"/>
                <w:highlight w:val="none"/>
              </w:rPr>
              <w:t>型号</w:t>
            </w:r>
          </w:p>
          <w:p w14:paraId="6247586E">
            <w:pPr>
              <w:jc w:val="center"/>
              <w:rPr>
                <w:rFonts w:ascii="宋体" w:hAnsi="宋体" w:cs="宋体"/>
                <w:color w:val="auto"/>
                <w:sz w:val="24"/>
                <w:highlight w:val="none"/>
              </w:rPr>
            </w:pPr>
            <w:r>
              <w:rPr>
                <w:rFonts w:hint="eastAsia" w:ascii="宋体" w:hAnsi="宋体" w:cs="宋体"/>
                <w:color w:val="auto"/>
                <w:sz w:val="24"/>
                <w:highlight w:val="none"/>
              </w:rPr>
              <w:t>规格</w:t>
            </w:r>
          </w:p>
        </w:tc>
        <w:tc>
          <w:tcPr>
            <w:tcW w:w="705" w:type="dxa"/>
            <w:vAlign w:val="center"/>
          </w:tcPr>
          <w:p w14:paraId="251FFD12">
            <w:pPr>
              <w:jc w:val="center"/>
              <w:rPr>
                <w:rFonts w:ascii="宋体" w:hAnsi="宋体" w:cs="宋体"/>
                <w:color w:val="auto"/>
                <w:sz w:val="24"/>
                <w:highlight w:val="none"/>
              </w:rPr>
            </w:pPr>
            <w:r>
              <w:rPr>
                <w:rFonts w:hint="eastAsia" w:ascii="宋体" w:hAnsi="宋体" w:cs="宋体"/>
                <w:color w:val="auto"/>
                <w:sz w:val="24"/>
                <w:highlight w:val="none"/>
              </w:rPr>
              <w:t>数量</w:t>
            </w:r>
          </w:p>
        </w:tc>
        <w:tc>
          <w:tcPr>
            <w:tcW w:w="855" w:type="dxa"/>
            <w:vAlign w:val="center"/>
          </w:tcPr>
          <w:p w14:paraId="5F6A259E">
            <w:pPr>
              <w:jc w:val="center"/>
              <w:rPr>
                <w:rFonts w:ascii="宋体" w:hAnsi="宋体" w:cs="宋体"/>
                <w:color w:val="auto"/>
                <w:sz w:val="24"/>
                <w:highlight w:val="none"/>
              </w:rPr>
            </w:pPr>
            <w:r>
              <w:rPr>
                <w:rFonts w:hint="eastAsia" w:ascii="宋体" w:hAnsi="宋体" w:cs="宋体"/>
                <w:color w:val="auto"/>
                <w:sz w:val="24"/>
                <w:highlight w:val="none"/>
              </w:rPr>
              <w:t>国别</w:t>
            </w:r>
          </w:p>
          <w:p w14:paraId="561CEAE5">
            <w:pPr>
              <w:jc w:val="center"/>
              <w:rPr>
                <w:rFonts w:ascii="宋体" w:hAnsi="宋体" w:cs="宋体"/>
                <w:color w:val="auto"/>
                <w:sz w:val="24"/>
                <w:highlight w:val="none"/>
              </w:rPr>
            </w:pPr>
            <w:r>
              <w:rPr>
                <w:rFonts w:hint="eastAsia" w:ascii="宋体" w:hAnsi="宋体" w:cs="宋体"/>
                <w:color w:val="auto"/>
                <w:sz w:val="24"/>
                <w:highlight w:val="none"/>
              </w:rPr>
              <w:t>产地</w:t>
            </w:r>
          </w:p>
        </w:tc>
        <w:tc>
          <w:tcPr>
            <w:tcW w:w="1185" w:type="dxa"/>
            <w:vAlign w:val="center"/>
          </w:tcPr>
          <w:p w14:paraId="259B3679">
            <w:pPr>
              <w:jc w:val="center"/>
              <w:rPr>
                <w:rFonts w:ascii="宋体" w:hAnsi="宋体" w:cs="宋体"/>
                <w:color w:val="auto"/>
                <w:sz w:val="24"/>
                <w:highlight w:val="none"/>
              </w:rPr>
            </w:pPr>
            <w:r>
              <w:rPr>
                <w:rFonts w:hint="eastAsia" w:ascii="宋体" w:hAnsi="宋体" w:cs="宋体"/>
                <w:color w:val="auto"/>
                <w:sz w:val="24"/>
                <w:highlight w:val="none"/>
              </w:rPr>
              <w:t>制造年份</w:t>
            </w:r>
          </w:p>
        </w:tc>
        <w:tc>
          <w:tcPr>
            <w:tcW w:w="1530" w:type="dxa"/>
            <w:vAlign w:val="center"/>
          </w:tcPr>
          <w:p w14:paraId="55D713E3">
            <w:pPr>
              <w:jc w:val="center"/>
              <w:rPr>
                <w:rFonts w:ascii="宋体" w:hAnsi="宋体" w:cs="宋体"/>
                <w:color w:val="auto"/>
                <w:sz w:val="24"/>
                <w:highlight w:val="none"/>
              </w:rPr>
            </w:pPr>
            <w:r>
              <w:rPr>
                <w:rFonts w:hint="eastAsia" w:ascii="宋体" w:hAnsi="宋体" w:cs="宋体"/>
                <w:color w:val="auto"/>
                <w:sz w:val="24"/>
                <w:highlight w:val="none"/>
              </w:rPr>
              <w:t>已使用</w:t>
            </w:r>
          </w:p>
          <w:p w14:paraId="484CE4CC">
            <w:pPr>
              <w:jc w:val="center"/>
              <w:rPr>
                <w:rFonts w:ascii="宋体" w:hAnsi="宋体" w:cs="宋体"/>
                <w:color w:val="auto"/>
                <w:sz w:val="24"/>
                <w:highlight w:val="none"/>
              </w:rPr>
            </w:pPr>
            <w:r>
              <w:rPr>
                <w:rFonts w:hint="eastAsia" w:ascii="宋体" w:hAnsi="宋体" w:cs="宋体"/>
                <w:color w:val="auto"/>
                <w:sz w:val="24"/>
                <w:highlight w:val="none"/>
              </w:rPr>
              <w:t>台时数</w:t>
            </w:r>
          </w:p>
        </w:tc>
        <w:tc>
          <w:tcPr>
            <w:tcW w:w="1094" w:type="dxa"/>
            <w:vAlign w:val="center"/>
          </w:tcPr>
          <w:p w14:paraId="712825F7">
            <w:pPr>
              <w:jc w:val="center"/>
              <w:rPr>
                <w:rFonts w:ascii="宋体" w:hAnsi="宋体" w:cs="宋体"/>
                <w:color w:val="auto"/>
                <w:sz w:val="24"/>
                <w:highlight w:val="none"/>
              </w:rPr>
            </w:pPr>
            <w:r>
              <w:rPr>
                <w:rFonts w:hint="eastAsia" w:ascii="宋体" w:hAnsi="宋体" w:cs="宋体"/>
                <w:color w:val="auto"/>
                <w:sz w:val="24"/>
                <w:highlight w:val="none"/>
              </w:rPr>
              <w:t>用途</w:t>
            </w:r>
          </w:p>
        </w:tc>
        <w:tc>
          <w:tcPr>
            <w:tcW w:w="1095" w:type="dxa"/>
            <w:vAlign w:val="center"/>
          </w:tcPr>
          <w:p w14:paraId="75F07D55">
            <w:pPr>
              <w:jc w:val="center"/>
              <w:rPr>
                <w:rFonts w:ascii="宋体" w:hAnsi="宋体" w:cs="宋体"/>
                <w:color w:val="auto"/>
                <w:sz w:val="24"/>
                <w:highlight w:val="none"/>
              </w:rPr>
            </w:pPr>
            <w:r>
              <w:rPr>
                <w:rFonts w:hint="eastAsia" w:ascii="宋体" w:hAnsi="宋体" w:cs="宋体"/>
                <w:color w:val="auto"/>
                <w:sz w:val="24"/>
                <w:highlight w:val="none"/>
              </w:rPr>
              <w:t>备注</w:t>
            </w:r>
          </w:p>
        </w:tc>
      </w:tr>
      <w:tr w14:paraId="3DE46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28C057EB">
            <w:pPr>
              <w:spacing w:line="360" w:lineRule="auto"/>
              <w:ind w:firstLine="480" w:firstLineChars="200"/>
              <w:rPr>
                <w:rFonts w:ascii="宋体" w:hAnsi="宋体" w:cs="宋体"/>
                <w:color w:val="auto"/>
                <w:sz w:val="24"/>
                <w:highlight w:val="none"/>
              </w:rPr>
            </w:pPr>
          </w:p>
        </w:tc>
        <w:tc>
          <w:tcPr>
            <w:tcW w:w="1755" w:type="dxa"/>
            <w:vAlign w:val="center"/>
          </w:tcPr>
          <w:p w14:paraId="17518F97">
            <w:pPr>
              <w:spacing w:line="360" w:lineRule="auto"/>
              <w:ind w:firstLine="480" w:firstLineChars="200"/>
              <w:rPr>
                <w:rFonts w:ascii="宋体" w:hAnsi="宋体" w:cs="宋体"/>
                <w:color w:val="auto"/>
                <w:sz w:val="24"/>
                <w:highlight w:val="none"/>
              </w:rPr>
            </w:pPr>
          </w:p>
        </w:tc>
        <w:tc>
          <w:tcPr>
            <w:tcW w:w="750" w:type="dxa"/>
            <w:vAlign w:val="center"/>
          </w:tcPr>
          <w:p w14:paraId="043F986D">
            <w:pPr>
              <w:spacing w:line="360" w:lineRule="auto"/>
              <w:ind w:firstLine="480" w:firstLineChars="200"/>
              <w:rPr>
                <w:rFonts w:ascii="宋体" w:hAnsi="宋体" w:cs="宋体"/>
                <w:color w:val="auto"/>
                <w:sz w:val="24"/>
                <w:highlight w:val="none"/>
              </w:rPr>
            </w:pPr>
          </w:p>
        </w:tc>
        <w:tc>
          <w:tcPr>
            <w:tcW w:w="705" w:type="dxa"/>
            <w:vAlign w:val="center"/>
          </w:tcPr>
          <w:p w14:paraId="705E1CCE">
            <w:pPr>
              <w:spacing w:line="360" w:lineRule="auto"/>
              <w:ind w:firstLine="480" w:firstLineChars="200"/>
              <w:rPr>
                <w:rFonts w:ascii="宋体" w:hAnsi="宋体" w:cs="宋体"/>
                <w:color w:val="auto"/>
                <w:sz w:val="24"/>
                <w:highlight w:val="none"/>
              </w:rPr>
            </w:pPr>
          </w:p>
        </w:tc>
        <w:tc>
          <w:tcPr>
            <w:tcW w:w="855" w:type="dxa"/>
            <w:vAlign w:val="center"/>
          </w:tcPr>
          <w:p w14:paraId="25B20B1B">
            <w:pPr>
              <w:spacing w:line="360" w:lineRule="auto"/>
              <w:ind w:firstLine="480" w:firstLineChars="200"/>
              <w:rPr>
                <w:rFonts w:ascii="宋体" w:hAnsi="宋体" w:cs="宋体"/>
                <w:color w:val="auto"/>
                <w:sz w:val="24"/>
                <w:highlight w:val="none"/>
              </w:rPr>
            </w:pPr>
          </w:p>
        </w:tc>
        <w:tc>
          <w:tcPr>
            <w:tcW w:w="1185" w:type="dxa"/>
            <w:vAlign w:val="center"/>
          </w:tcPr>
          <w:p w14:paraId="33996C92">
            <w:pPr>
              <w:spacing w:line="360" w:lineRule="auto"/>
              <w:ind w:firstLine="480" w:firstLineChars="200"/>
              <w:rPr>
                <w:rFonts w:ascii="宋体" w:hAnsi="宋体" w:cs="宋体"/>
                <w:color w:val="auto"/>
                <w:sz w:val="24"/>
                <w:highlight w:val="none"/>
              </w:rPr>
            </w:pPr>
          </w:p>
        </w:tc>
        <w:tc>
          <w:tcPr>
            <w:tcW w:w="1530" w:type="dxa"/>
            <w:vAlign w:val="center"/>
          </w:tcPr>
          <w:p w14:paraId="3673F6EB">
            <w:pPr>
              <w:spacing w:line="360" w:lineRule="auto"/>
              <w:ind w:firstLine="480" w:firstLineChars="200"/>
              <w:rPr>
                <w:rFonts w:ascii="宋体" w:hAnsi="宋体" w:cs="宋体"/>
                <w:color w:val="auto"/>
                <w:sz w:val="24"/>
                <w:highlight w:val="none"/>
              </w:rPr>
            </w:pPr>
          </w:p>
        </w:tc>
        <w:tc>
          <w:tcPr>
            <w:tcW w:w="1094" w:type="dxa"/>
            <w:vAlign w:val="center"/>
          </w:tcPr>
          <w:p w14:paraId="098CA1D4">
            <w:pPr>
              <w:spacing w:line="360" w:lineRule="auto"/>
              <w:ind w:firstLine="480" w:firstLineChars="200"/>
              <w:rPr>
                <w:rFonts w:ascii="宋体" w:hAnsi="宋体" w:cs="宋体"/>
                <w:color w:val="auto"/>
                <w:sz w:val="24"/>
                <w:highlight w:val="none"/>
              </w:rPr>
            </w:pPr>
          </w:p>
        </w:tc>
        <w:tc>
          <w:tcPr>
            <w:tcW w:w="1095" w:type="dxa"/>
            <w:vAlign w:val="center"/>
          </w:tcPr>
          <w:p w14:paraId="7B0A0E48">
            <w:pPr>
              <w:spacing w:line="360" w:lineRule="auto"/>
              <w:ind w:firstLine="480" w:firstLineChars="200"/>
              <w:rPr>
                <w:rFonts w:ascii="宋体" w:hAnsi="宋体" w:cs="宋体"/>
                <w:color w:val="auto"/>
                <w:sz w:val="24"/>
                <w:highlight w:val="none"/>
              </w:rPr>
            </w:pPr>
          </w:p>
        </w:tc>
      </w:tr>
      <w:tr w14:paraId="218CF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706D982C">
            <w:pPr>
              <w:spacing w:line="360" w:lineRule="auto"/>
              <w:ind w:firstLine="480" w:firstLineChars="200"/>
              <w:rPr>
                <w:rFonts w:ascii="宋体" w:hAnsi="宋体" w:cs="宋体"/>
                <w:color w:val="auto"/>
                <w:sz w:val="24"/>
                <w:highlight w:val="none"/>
              </w:rPr>
            </w:pPr>
          </w:p>
        </w:tc>
        <w:tc>
          <w:tcPr>
            <w:tcW w:w="1755" w:type="dxa"/>
            <w:vAlign w:val="center"/>
          </w:tcPr>
          <w:p w14:paraId="1B570F3E">
            <w:pPr>
              <w:spacing w:line="360" w:lineRule="auto"/>
              <w:ind w:firstLine="480" w:firstLineChars="200"/>
              <w:rPr>
                <w:rFonts w:ascii="宋体" w:hAnsi="宋体" w:cs="宋体"/>
                <w:color w:val="auto"/>
                <w:sz w:val="24"/>
                <w:highlight w:val="none"/>
              </w:rPr>
            </w:pPr>
          </w:p>
        </w:tc>
        <w:tc>
          <w:tcPr>
            <w:tcW w:w="750" w:type="dxa"/>
            <w:vAlign w:val="center"/>
          </w:tcPr>
          <w:p w14:paraId="1AA630F1">
            <w:pPr>
              <w:spacing w:line="360" w:lineRule="auto"/>
              <w:ind w:firstLine="480" w:firstLineChars="200"/>
              <w:rPr>
                <w:rFonts w:ascii="宋体" w:hAnsi="宋体" w:cs="宋体"/>
                <w:color w:val="auto"/>
                <w:sz w:val="24"/>
                <w:highlight w:val="none"/>
              </w:rPr>
            </w:pPr>
          </w:p>
        </w:tc>
        <w:tc>
          <w:tcPr>
            <w:tcW w:w="705" w:type="dxa"/>
            <w:vAlign w:val="center"/>
          </w:tcPr>
          <w:p w14:paraId="1F837B86">
            <w:pPr>
              <w:spacing w:line="360" w:lineRule="auto"/>
              <w:ind w:firstLine="480" w:firstLineChars="200"/>
              <w:rPr>
                <w:rFonts w:ascii="宋体" w:hAnsi="宋体" w:cs="宋体"/>
                <w:color w:val="auto"/>
                <w:sz w:val="24"/>
                <w:highlight w:val="none"/>
              </w:rPr>
            </w:pPr>
          </w:p>
        </w:tc>
        <w:tc>
          <w:tcPr>
            <w:tcW w:w="855" w:type="dxa"/>
            <w:vAlign w:val="center"/>
          </w:tcPr>
          <w:p w14:paraId="6EF679D4">
            <w:pPr>
              <w:spacing w:line="360" w:lineRule="auto"/>
              <w:ind w:firstLine="480" w:firstLineChars="200"/>
              <w:rPr>
                <w:rFonts w:ascii="宋体" w:hAnsi="宋体" w:cs="宋体"/>
                <w:color w:val="auto"/>
                <w:sz w:val="24"/>
                <w:highlight w:val="none"/>
              </w:rPr>
            </w:pPr>
          </w:p>
        </w:tc>
        <w:tc>
          <w:tcPr>
            <w:tcW w:w="1185" w:type="dxa"/>
            <w:vAlign w:val="center"/>
          </w:tcPr>
          <w:p w14:paraId="50AC9EBE">
            <w:pPr>
              <w:spacing w:line="360" w:lineRule="auto"/>
              <w:ind w:firstLine="480" w:firstLineChars="200"/>
              <w:rPr>
                <w:rFonts w:ascii="宋体" w:hAnsi="宋体" w:cs="宋体"/>
                <w:color w:val="auto"/>
                <w:sz w:val="24"/>
                <w:highlight w:val="none"/>
              </w:rPr>
            </w:pPr>
          </w:p>
        </w:tc>
        <w:tc>
          <w:tcPr>
            <w:tcW w:w="1530" w:type="dxa"/>
            <w:vAlign w:val="center"/>
          </w:tcPr>
          <w:p w14:paraId="0164520A">
            <w:pPr>
              <w:spacing w:line="360" w:lineRule="auto"/>
              <w:ind w:firstLine="480" w:firstLineChars="200"/>
              <w:rPr>
                <w:rFonts w:ascii="宋体" w:hAnsi="宋体" w:cs="宋体"/>
                <w:color w:val="auto"/>
                <w:sz w:val="24"/>
                <w:highlight w:val="none"/>
              </w:rPr>
            </w:pPr>
          </w:p>
        </w:tc>
        <w:tc>
          <w:tcPr>
            <w:tcW w:w="1094" w:type="dxa"/>
            <w:vAlign w:val="center"/>
          </w:tcPr>
          <w:p w14:paraId="1A49FDEE">
            <w:pPr>
              <w:spacing w:line="360" w:lineRule="auto"/>
              <w:ind w:firstLine="480" w:firstLineChars="200"/>
              <w:rPr>
                <w:rFonts w:ascii="宋体" w:hAnsi="宋体" w:cs="宋体"/>
                <w:color w:val="auto"/>
                <w:sz w:val="24"/>
                <w:highlight w:val="none"/>
              </w:rPr>
            </w:pPr>
          </w:p>
        </w:tc>
        <w:tc>
          <w:tcPr>
            <w:tcW w:w="1095" w:type="dxa"/>
            <w:vAlign w:val="center"/>
          </w:tcPr>
          <w:p w14:paraId="628CC1DC">
            <w:pPr>
              <w:spacing w:line="360" w:lineRule="auto"/>
              <w:ind w:firstLine="480" w:firstLineChars="200"/>
              <w:rPr>
                <w:rFonts w:ascii="宋体" w:hAnsi="宋体" w:cs="宋体"/>
                <w:color w:val="auto"/>
                <w:sz w:val="24"/>
                <w:highlight w:val="none"/>
              </w:rPr>
            </w:pPr>
          </w:p>
        </w:tc>
      </w:tr>
      <w:tr w14:paraId="04EB8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6A4BA300">
            <w:pPr>
              <w:spacing w:line="360" w:lineRule="auto"/>
              <w:ind w:firstLine="480" w:firstLineChars="200"/>
              <w:rPr>
                <w:rFonts w:ascii="宋体" w:hAnsi="宋体" w:cs="宋体"/>
                <w:color w:val="auto"/>
                <w:sz w:val="24"/>
                <w:highlight w:val="none"/>
              </w:rPr>
            </w:pPr>
          </w:p>
        </w:tc>
        <w:tc>
          <w:tcPr>
            <w:tcW w:w="1755" w:type="dxa"/>
            <w:vAlign w:val="center"/>
          </w:tcPr>
          <w:p w14:paraId="53272645">
            <w:pPr>
              <w:spacing w:line="360" w:lineRule="auto"/>
              <w:ind w:firstLine="480" w:firstLineChars="200"/>
              <w:rPr>
                <w:rFonts w:ascii="宋体" w:hAnsi="宋体" w:cs="宋体"/>
                <w:color w:val="auto"/>
                <w:sz w:val="24"/>
                <w:highlight w:val="none"/>
              </w:rPr>
            </w:pPr>
          </w:p>
        </w:tc>
        <w:tc>
          <w:tcPr>
            <w:tcW w:w="750" w:type="dxa"/>
            <w:vAlign w:val="center"/>
          </w:tcPr>
          <w:p w14:paraId="2AA0D744">
            <w:pPr>
              <w:spacing w:line="360" w:lineRule="auto"/>
              <w:ind w:firstLine="480" w:firstLineChars="200"/>
              <w:rPr>
                <w:rFonts w:ascii="宋体" w:hAnsi="宋体" w:cs="宋体"/>
                <w:color w:val="auto"/>
                <w:sz w:val="24"/>
                <w:highlight w:val="none"/>
              </w:rPr>
            </w:pPr>
          </w:p>
        </w:tc>
        <w:tc>
          <w:tcPr>
            <w:tcW w:w="705" w:type="dxa"/>
            <w:vAlign w:val="center"/>
          </w:tcPr>
          <w:p w14:paraId="27751941">
            <w:pPr>
              <w:spacing w:line="360" w:lineRule="auto"/>
              <w:ind w:firstLine="480" w:firstLineChars="200"/>
              <w:rPr>
                <w:rFonts w:ascii="宋体" w:hAnsi="宋体" w:cs="宋体"/>
                <w:color w:val="auto"/>
                <w:sz w:val="24"/>
                <w:highlight w:val="none"/>
              </w:rPr>
            </w:pPr>
          </w:p>
        </w:tc>
        <w:tc>
          <w:tcPr>
            <w:tcW w:w="855" w:type="dxa"/>
            <w:vAlign w:val="center"/>
          </w:tcPr>
          <w:p w14:paraId="7B2209E5">
            <w:pPr>
              <w:spacing w:line="360" w:lineRule="auto"/>
              <w:ind w:firstLine="480" w:firstLineChars="200"/>
              <w:rPr>
                <w:rFonts w:ascii="宋体" w:hAnsi="宋体" w:cs="宋体"/>
                <w:color w:val="auto"/>
                <w:sz w:val="24"/>
                <w:highlight w:val="none"/>
              </w:rPr>
            </w:pPr>
          </w:p>
        </w:tc>
        <w:tc>
          <w:tcPr>
            <w:tcW w:w="1185" w:type="dxa"/>
            <w:vAlign w:val="center"/>
          </w:tcPr>
          <w:p w14:paraId="3EB71BFE">
            <w:pPr>
              <w:spacing w:line="360" w:lineRule="auto"/>
              <w:ind w:firstLine="480" w:firstLineChars="200"/>
              <w:rPr>
                <w:rFonts w:ascii="宋体" w:hAnsi="宋体" w:cs="宋体"/>
                <w:color w:val="auto"/>
                <w:sz w:val="24"/>
                <w:highlight w:val="none"/>
              </w:rPr>
            </w:pPr>
          </w:p>
        </w:tc>
        <w:tc>
          <w:tcPr>
            <w:tcW w:w="1530" w:type="dxa"/>
            <w:vAlign w:val="center"/>
          </w:tcPr>
          <w:p w14:paraId="7E6A0C95">
            <w:pPr>
              <w:spacing w:line="360" w:lineRule="auto"/>
              <w:ind w:firstLine="480" w:firstLineChars="200"/>
              <w:rPr>
                <w:rFonts w:ascii="宋体" w:hAnsi="宋体" w:cs="宋体"/>
                <w:color w:val="auto"/>
                <w:sz w:val="24"/>
                <w:highlight w:val="none"/>
              </w:rPr>
            </w:pPr>
          </w:p>
        </w:tc>
        <w:tc>
          <w:tcPr>
            <w:tcW w:w="1094" w:type="dxa"/>
            <w:vAlign w:val="center"/>
          </w:tcPr>
          <w:p w14:paraId="2C097F36">
            <w:pPr>
              <w:spacing w:line="360" w:lineRule="auto"/>
              <w:ind w:firstLine="480" w:firstLineChars="200"/>
              <w:rPr>
                <w:rFonts w:ascii="宋体" w:hAnsi="宋体" w:cs="宋体"/>
                <w:color w:val="auto"/>
                <w:sz w:val="24"/>
                <w:highlight w:val="none"/>
              </w:rPr>
            </w:pPr>
          </w:p>
        </w:tc>
        <w:tc>
          <w:tcPr>
            <w:tcW w:w="1095" w:type="dxa"/>
            <w:vAlign w:val="center"/>
          </w:tcPr>
          <w:p w14:paraId="278D55D4">
            <w:pPr>
              <w:spacing w:line="360" w:lineRule="auto"/>
              <w:ind w:firstLine="480" w:firstLineChars="200"/>
              <w:rPr>
                <w:rFonts w:ascii="宋体" w:hAnsi="宋体" w:cs="宋体"/>
                <w:color w:val="auto"/>
                <w:sz w:val="24"/>
                <w:highlight w:val="none"/>
              </w:rPr>
            </w:pPr>
          </w:p>
        </w:tc>
      </w:tr>
    </w:tbl>
    <w:p w14:paraId="2D773D45">
      <w:pPr>
        <w:ind w:firstLine="480" w:firstLineChars="200"/>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24"/>
          <w:highlight w:val="none"/>
        </w:rPr>
        <w:t>附表三：劳动力计划表</w:t>
      </w:r>
    </w:p>
    <w:p w14:paraId="3B6551E9">
      <w:pPr>
        <w:ind w:firstLine="480" w:firstLineChars="200"/>
        <w:rPr>
          <w:rFonts w:ascii="宋体" w:hAnsi="宋体" w:cs="宋体"/>
          <w:color w:val="auto"/>
          <w:sz w:val="24"/>
          <w:highlight w:val="none"/>
        </w:rPr>
      </w:pPr>
    </w:p>
    <w:p w14:paraId="443665E6">
      <w:pPr>
        <w:ind w:firstLine="480" w:firstLineChars="200"/>
        <w:rPr>
          <w:rFonts w:ascii="宋体" w:hAnsi="宋体" w:cs="宋体"/>
          <w:color w:val="auto"/>
          <w:sz w:val="24"/>
          <w:highlight w:val="none"/>
        </w:rPr>
      </w:pPr>
      <w:r>
        <w:rPr>
          <w:rFonts w:hint="eastAsia" w:ascii="宋体" w:hAnsi="宋体" w:cs="宋体"/>
          <w:color w:val="auto"/>
          <w:sz w:val="24"/>
          <w:highlight w:val="none"/>
        </w:rPr>
        <w:t>单位：人</w:t>
      </w:r>
    </w:p>
    <w:tbl>
      <w:tblPr>
        <w:tblStyle w:val="30"/>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1258"/>
      </w:tblGrid>
      <w:tr w14:paraId="2EBA9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tcPr>
          <w:p w14:paraId="57F19683">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工种</w:t>
            </w:r>
          </w:p>
        </w:tc>
        <w:tc>
          <w:tcPr>
            <w:tcW w:w="8506" w:type="dxa"/>
            <w:gridSpan w:val="7"/>
          </w:tcPr>
          <w:p w14:paraId="00CEEB47">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按工程施工阶段投入劳动力情况</w:t>
            </w:r>
          </w:p>
        </w:tc>
      </w:tr>
      <w:tr w14:paraId="71796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658C37E7">
            <w:pPr>
              <w:spacing w:line="400" w:lineRule="exact"/>
              <w:jc w:val="center"/>
              <w:rPr>
                <w:rFonts w:ascii="宋体" w:hAnsi="宋体" w:cs="宋体"/>
                <w:color w:val="auto"/>
                <w:sz w:val="24"/>
                <w:highlight w:val="none"/>
              </w:rPr>
            </w:pPr>
          </w:p>
        </w:tc>
        <w:tc>
          <w:tcPr>
            <w:tcW w:w="961" w:type="dxa"/>
            <w:vAlign w:val="center"/>
          </w:tcPr>
          <w:p w14:paraId="5B7A20BB">
            <w:pPr>
              <w:spacing w:line="400" w:lineRule="exact"/>
              <w:jc w:val="center"/>
              <w:rPr>
                <w:rFonts w:ascii="宋体" w:hAnsi="宋体" w:cs="宋体"/>
                <w:color w:val="auto"/>
                <w:sz w:val="24"/>
                <w:highlight w:val="none"/>
              </w:rPr>
            </w:pPr>
          </w:p>
        </w:tc>
        <w:tc>
          <w:tcPr>
            <w:tcW w:w="1257" w:type="dxa"/>
            <w:vAlign w:val="center"/>
          </w:tcPr>
          <w:p w14:paraId="6BFAA0F4">
            <w:pPr>
              <w:spacing w:line="400" w:lineRule="exact"/>
              <w:jc w:val="center"/>
              <w:rPr>
                <w:rFonts w:ascii="宋体" w:hAnsi="宋体" w:cs="宋体"/>
                <w:color w:val="auto"/>
                <w:sz w:val="24"/>
                <w:highlight w:val="none"/>
              </w:rPr>
            </w:pPr>
          </w:p>
        </w:tc>
        <w:tc>
          <w:tcPr>
            <w:tcW w:w="1258" w:type="dxa"/>
            <w:vAlign w:val="center"/>
          </w:tcPr>
          <w:p w14:paraId="57CDC759">
            <w:pPr>
              <w:spacing w:line="400" w:lineRule="exact"/>
              <w:jc w:val="center"/>
              <w:rPr>
                <w:rFonts w:ascii="宋体" w:hAnsi="宋体" w:cs="宋体"/>
                <w:color w:val="auto"/>
                <w:sz w:val="24"/>
                <w:highlight w:val="none"/>
              </w:rPr>
            </w:pPr>
          </w:p>
        </w:tc>
        <w:tc>
          <w:tcPr>
            <w:tcW w:w="1257" w:type="dxa"/>
            <w:vAlign w:val="center"/>
          </w:tcPr>
          <w:p w14:paraId="47B5EA95">
            <w:pPr>
              <w:spacing w:line="400" w:lineRule="exact"/>
              <w:jc w:val="center"/>
              <w:rPr>
                <w:rFonts w:ascii="宋体" w:hAnsi="宋体" w:cs="宋体"/>
                <w:color w:val="auto"/>
                <w:sz w:val="24"/>
                <w:highlight w:val="none"/>
              </w:rPr>
            </w:pPr>
          </w:p>
        </w:tc>
        <w:tc>
          <w:tcPr>
            <w:tcW w:w="1258" w:type="dxa"/>
            <w:vAlign w:val="center"/>
          </w:tcPr>
          <w:p w14:paraId="3C82D5E5">
            <w:pPr>
              <w:spacing w:line="400" w:lineRule="exact"/>
              <w:jc w:val="center"/>
              <w:rPr>
                <w:rFonts w:ascii="宋体" w:hAnsi="宋体" w:cs="宋体"/>
                <w:color w:val="auto"/>
                <w:sz w:val="24"/>
                <w:highlight w:val="none"/>
              </w:rPr>
            </w:pPr>
          </w:p>
        </w:tc>
        <w:tc>
          <w:tcPr>
            <w:tcW w:w="1257" w:type="dxa"/>
            <w:vAlign w:val="center"/>
          </w:tcPr>
          <w:p w14:paraId="54324AC5">
            <w:pPr>
              <w:spacing w:line="400" w:lineRule="exact"/>
              <w:jc w:val="center"/>
              <w:rPr>
                <w:rFonts w:ascii="宋体" w:hAnsi="宋体" w:cs="宋体"/>
                <w:color w:val="auto"/>
                <w:sz w:val="24"/>
                <w:highlight w:val="none"/>
              </w:rPr>
            </w:pPr>
          </w:p>
        </w:tc>
        <w:tc>
          <w:tcPr>
            <w:tcW w:w="1258" w:type="dxa"/>
            <w:vAlign w:val="center"/>
          </w:tcPr>
          <w:p w14:paraId="1103D6ED">
            <w:pPr>
              <w:spacing w:line="400" w:lineRule="exact"/>
              <w:jc w:val="center"/>
              <w:rPr>
                <w:rFonts w:ascii="宋体" w:hAnsi="宋体" w:cs="宋体"/>
                <w:color w:val="auto"/>
                <w:sz w:val="24"/>
                <w:highlight w:val="none"/>
              </w:rPr>
            </w:pPr>
          </w:p>
        </w:tc>
      </w:tr>
      <w:tr w14:paraId="6EEEE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4D63D441">
            <w:pPr>
              <w:spacing w:line="400" w:lineRule="exact"/>
              <w:jc w:val="center"/>
              <w:rPr>
                <w:rFonts w:ascii="宋体" w:hAnsi="宋体" w:cs="宋体"/>
                <w:color w:val="auto"/>
                <w:sz w:val="24"/>
                <w:highlight w:val="none"/>
              </w:rPr>
            </w:pPr>
          </w:p>
        </w:tc>
        <w:tc>
          <w:tcPr>
            <w:tcW w:w="961" w:type="dxa"/>
            <w:vAlign w:val="center"/>
          </w:tcPr>
          <w:p w14:paraId="4E31E807">
            <w:pPr>
              <w:spacing w:line="400" w:lineRule="exact"/>
              <w:jc w:val="center"/>
              <w:rPr>
                <w:rFonts w:ascii="宋体" w:hAnsi="宋体" w:cs="宋体"/>
                <w:color w:val="auto"/>
                <w:sz w:val="24"/>
                <w:highlight w:val="none"/>
              </w:rPr>
            </w:pPr>
          </w:p>
        </w:tc>
        <w:tc>
          <w:tcPr>
            <w:tcW w:w="1257" w:type="dxa"/>
            <w:vAlign w:val="center"/>
          </w:tcPr>
          <w:p w14:paraId="69A5EF53">
            <w:pPr>
              <w:spacing w:line="400" w:lineRule="exact"/>
              <w:jc w:val="center"/>
              <w:rPr>
                <w:rFonts w:ascii="宋体" w:hAnsi="宋体" w:cs="宋体"/>
                <w:color w:val="auto"/>
                <w:sz w:val="24"/>
                <w:highlight w:val="none"/>
              </w:rPr>
            </w:pPr>
          </w:p>
        </w:tc>
        <w:tc>
          <w:tcPr>
            <w:tcW w:w="1258" w:type="dxa"/>
            <w:vAlign w:val="center"/>
          </w:tcPr>
          <w:p w14:paraId="17B80409">
            <w:pPr>
              <w:spacing w:line="400" w:lineRule="exact"/>
              <w:jc w:val="center"/>
              <w:rPr>
                <w:rFonts w:ascii="宋体" w:hAnsi="宋体" w:cs="宋体"/>
                <w:color w:val="auto"/>
                <w:sz w:val="24"/>
                <w:highlight w:val="none"/>
              </w:rPr>
            </w:pPr>
          </w:p>
        </w:tc>
        <w:tc>
          <w:tcPr>
            <w:tcW w:w="1257" w:type="dxa"/>
            <w:vAlign w:val="center"/>
          </w:tcPr>
          <w:p w14:paraId="4C1B5904">
            <w:pPr>
              <w:spacing w:line="400" w:lineRule="exact"/>
              <w:jc w:val="center"/>
              <w:rPr>
                <w:rFonts w:ascii="宋体" w:hAnsi="宋体" w:cs="宋体"/>
                <w:color w:val="auto"/>
                <w:sz w:val="24"/>
                <w:highlight w:val="none"/>
              </w:rPr>
            </w:pPr>
          </w:p>
        </w:tc>
        <w:tc>
          <w:tcPr>
            <w:tcW w:w="1258" w:type="dxa"/>
            <w:vAlign w:val="center"/>
          </w:tcPr>
          <w:p w14:paraId="0060BBD5">
            <w:pPr>
              <w:spacing w:line="400" w:lineRule="exact"/>
              <w:jc w:val="center"/>
              <w:rPr>
                <w:rFonts w:ascii="宋体" w:hAnsi="宋体" w:cs="宋体"/>
                <w:color w:val="auto"/>
                <w:sz w:val="24"/>
                <w:highlight w:val="none"/>
              </w:rPr>
            </w:pPr>
          </w:p>
        </w:tc>
        <w:tc>
          <w:tcPr>
            <w:tcW w:w="1257" w:type="dxa"/>
            <w:vAlign w:val="center"/>
          </w:tcPr>
          <w:p w14:paraId="0AFA9C92">
            <w:pPr>
              <w:spacing w:line="400" w:lineRule="exact"/>
              <w:jc w:val="center"/>
              <w:rPr>
                <w:rFonts w:ascii="宋体" w:hAnsi="宋体" w:cs="宋体"/>
                <w:color w:val="auto"/>
                <w:sz w:val="24"/>
                <w:highlight w:val="none"/>
              </w:rPr>
            </w:pPr>
          </w:p>
        </w:tc>
        <w:tc>
          <w:tcPr>
            <w:tcW w:w="1258" w:type="dxa"/>
            <w:vAlign w:val="center"/>
          </w:tcPr>
          <w:p w14:paraId="023E4985">
            <w:pPr>
              <w:spacing w:line="400" w:lineRule="exact"/>
              <w:jc w:val="center"/>
              <w:rPr>
                <w:rFonts w:ascii="宋体" w:hAnsi="宋体" w:cs="宋体"/>
                <w:color w:val="auto"/>
                <w:sz w:val="24"/>
                <w:highlight w:val="none"/>
              </w:rPr>
            </w:pPr>
          </w:p>
        </w:tc>
      </w:tr>
      <w:tr w14:paraId="0BBA4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32260D2F">
            <w:pPr>
              <w:spacing w:line="400" w:lineRule="exact"/>
              <w:jc w:val="center"/>
              <w:rPr>
                <w:rFonts w:ascii="宋体" w:hAnsi="宋体" w:cs="宋体"/>
                <w:color w:val="auto"/>
                <w:sz w:val="24"/>
                <w:highlight w:val="none"/>
              </w:rPr>
            </w:pPr>
          </w:p>
        </w:tc>
        <w:tc>
          <w:tcPr>
            <w:tcW w:w="961" w:type="dxa"/>
            <w:vAlign w:val="center"/>
          </w:tcPr>
          <w:p w14:paraId="13D95BF3">
            <w:pPr>
              <w:spacing w:line="400" w:lineRule="exact"/>
              <w:jc w:val="center"/>
              <w:rPr>
                <w:rFonts w:ascii="宋体" w:hAnsi="宋体" w:cs="宋体"/>
                <w:color w:val="auto"/>
                <w:sz w:val="24"/>
                <w:highlight w:val="none"/>
              </w:rPr>
            </w:pPr>
          </w:p>
        </w:tc>
        <w:tc>
          <w:tcPr>
            <w:tcW w:w="1257" w:type="dxa"/>
            <w:vAlign w:val="center"/>
          </w:tcPr>
          <w:p w14:paraId="3A6E33EA">
            <w:pPr>
              <w:spacing w:line="400" w:lineRule="exact"/>
              <w:jc w:val="center"/>
              <w:rPr>
                <w:rFonts w:ascii="宋体" w:hAnsi="宋体" w:cs="宋体"/>
                <w:color w:val="auto"/>
                <w:sz w:val="24"/>
                <w:highlight w:val="none"/>
              </w:rPr>
            </w:pPr>
          </w:p>
        </w:tc>
        <w:tc>
          <w:tcPr>
            <w:tcW w:w="1258" w:type="dxa"/>
            <w:vAlign w:val="center"/>
          </w:tcPr>
          <w:p w14:paraId="23C5F443">
            <w:pPr>
              <w:spacing w:line="400" w:lineRule="exact"/>
              <w:jc w:val="center"/>
              <w:rPr>
                <w:rFonts w:ascii="宋体" w:hAnsi="宋体" w:cs="宋体"/>
                <w:color w:val="auto"/>
                <w:sz w:val="24"/>
                <w:highlight w:val="none"/>
              </w:rPr>
            </w:pPr>
          </w:p>
        </w:tc>
        <w:tc>
          <w:tcPr>
            <w:tcW w:w="1257" w:type="dxa"/>
            <w:vAlign w:val="center"/>
          </w:tcPr>
          <w:p w14:paraId="564D529B">
            <w:pPr>
              <w:spacing w:line="400" w:lineRule="exact"/>
              <w:jc w:val="center"/>
              <w:rPr>
                <w:rFonts w:ascii="宋体" w:hAnsi="宋体" w:cs="宋体"/>
                <w:color w:val="auto"/>
                <w:sz w:val="24"/>
                <w:highlight w:val="none"/>
              </w:rPr>
            </w:pPr>
          </w:p>
        </w:tc>
        <w:tc>
          <w:tcPr>
            <w:tcW w:w="1258" w:type="dxa"/>
            <w:vAlign w:val="center"/>
          </w:tcPr>
          <w:p w14:paraId="1E2C7344">
            <w:pPr>
              <w:spacing w:line="400" w:lineRule="exact"/>
              <w:jc w:val="center"/>
              <w:rPr>
                <w:rFonts w:ascii="宋体" w:hAnsi="宋体" w:cs="宋体"/>
                <w:color w:val="auto"/>
                <w:sz w:val="24"/>
                <w:highlight w:val="none"/>
              </w:rPr>
            </w:pPr>
          </w:p>
        </w:tc>
        <w:tc>
          <w:tcPr>
            <w:tcW w:w="1257" w:type="dxa"/>
            <w:vAlign w:val="center"/>
          </w:tcPr>
          <w:p w14:paraId="008F4619">
            <w:pPr>
              <w:spacing w:line="400" w:lineRule="exact"/>
              <w:jc w:val="center"/>
              <w:rPr>
                <w:rFonts w:ascii="宋体" w:hAnsi="宋体" w:cs="宋体"/>
                <w:color w:val="auto"/>
                <w:sz w:val="24"/>
                <w:highlight w:val="none"/>
              </w:rPr>
            </w:pPr>
          </w:p>
        </w:tc>
        <w:tc>
          <w:tcPr>
            <w:tcW w:w="1258" w:type="dxa"/>
            <w:vAlign w:val="center"/>
          </w:tcPr>
          <w:p w14:paraId="4ECAEB5D">
            <w:pPr>
              <w:spacing w:line="400" w:lineRule="exact"/>
              <w:jc w:val="center"/>
              <w:rPr>
                <w:rFonts w:ascii="宋体" w:hAnsi="宋体" w:cs="宋体"/>
                <w:color w:val="auto"/>
                <w:sz w:val="24"/>
                <w:highlight w:val="none"/>
              </w:rPr>
            </w:pPr>
          </w:p>
        </w:tc>
      </w:tr>
      <w:tr w14:paraId="7B9E9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4FA429E8">
            <w:pPr>
              <w:spacing w:line="400" w:lineRule="exact"/>
              <w:jc w:val="center"/>
              <w:rPr>
                <w:rFonts w:ascii="宋体" w:hAnsi="宋体" w:cs="宋体"/>
                <w:color w:val="auto"/>
                <w:sz w:val="24"/>
                <w:highlight w:val="none"/>
              </w:rPr>
            </w:pPr>
          </w:p>
        </w:tc>
        <w:tc>
          <w:tcPr>
            <w:tcW w:w="961" w:type="dxa"/>
            <w:vAlign w:val="center"/>
          </w:tcPr>
          <w:p w14:paraId="71116E1A">
            <w:pPr>
              <w:spacing w:line="400" w:lineRule="exact"/>
              <w:jc w:val="center"/>
              <w:rPr>
                <w:rFonts w:ascii="宋体" w:hAnsi="宋体" w:cs="宋体"/>
                <w:color w:val="auto"/>
                <w:sz w:val="24"/>
                <w:highlight w:val="none"/>
              </w:rPr>
            </w:pPr>
          </w:p>
        </w:tc>
        <w:tc>
          <w:tcPr>
            <w:tcW w:w="1257" w:type="dxa"/>
            <w:vAlign w:val="center"/>
          </w:tcPr>
          <w:p w14:paraId="415744A8">
            <w:pPr>
              <w:spacing w:line="400" w:lineRule="exact"/>
              <w:jc w:val="center"/>
              <w:rPr>
                <w:rFonts w:ascii="宋体" w:hAnsi="宋体" w:cs="宋体"/>
                <w:color w:val="auto"/>
                <w:sz w:val="24"/>
                <w:highlight w:val="none"/>
              </w:rPr>
            </w:pPr>
          </w:p>
        </w:tc>
        <w:tc>
          <w:tcPr>
            <w:tcW w:w="1258" w:type="dxa"/>
            <w:vAlign w:val="center"/>
          </w:tcPr>
          <w:p w14:paraId="6754E286">
            <w:pPr>
              <w:spacing w:line="400" w:lineRule="exact"/>
              <w:jc w:val="center"/>
              <w:rPr>
                <w:rFonts w:ascii="宋体" w:hAnsi="宋体" w:cs="宋体"/>
                <w:color w:val="auto"/>
                <w:sz w:val="24"/>
                <w:highlight w:val="none"/>
              </w:rPr>
            </w:pPr>
          </w:p>
        </w:tc>
        <w:tc>
          <w:tcPr>
            <w:tcW w:w="1257" w:type="dxa"/>
            <w:vAlign w:val="center"/>
          </w:tcPr>
          <w:p w14:paraId="09BBF067">
            <w:pPr>
              <w:spacing w:line="400" w:lineRule="exact"/>
              <w:jc w:val="center"/>
              <w:rPr>
                <w:rFonts w:ascii="宋体" w:hAnsi="宋体" w:cs="宋体"/>
                <w:color w:val="auto"/>
                <w:sz w:val="24"/>
                <w:highlight w:val="none"/>
              </w:rPr>
            </w:pPr>
          </w:p>
        </w:tc>
        <w:tc>
          <w:tcPr>
            <w:tcW w:w="1258" w:type="dxa"/>
            <w:vAlign w:val="center"/>
          </w:tcPr>
          <w:p w14:paraId="0DE3B1BB">
            <w:pPr>
              <w:spacing w:line="400" w:lineRule="exact"/>
              <w:jc w:val="center"/>
              <w:rPr>
                <w:rFonts w:ascii="宋体" w:hAnsi="宋体" w:cs="宋体"/>
                <w:color w:val="auto"/>
                <w:sz w:val="24"/>
                <w:highlight w:val="none"/>
              </w:rPr>
            </w:pPr>
          </w:p>
        </w:tc>
        <w:tc>
          <w:tcPr>
            <w:tcW w:w="1257" w:type="dxa"/>
            <w:vAlign w:val="center"/>
          </w:tcPr>
          <w:p w14:paraId="561DE33B">
            <w:pPr>
              <w:spacing w:line="400" w:lineRule="exact"/>
              <w:jc w:val="center"/>
              <w:rPr>
                <w:rFonts w:ascii="宋体" w:hAnsi="宋体" w:cs="宋体"/>
                <w:color w:val="auto"/>
                <w:sz w:val="24"/>
                <w:highlight w:val="none"/>
              </w:rPr>
            </w:pPr>
          </w:p>
        </w:tc>
        <w:tc>
          <w:tcPr>
            <w:tcW w:w="1258" w:type="dxa"/>
            <w:vAlign w:val="center"/>
          </w:tcPr>
          <w:p w14:paraId="6EF4C593">
            <w:pPr>
              <w:spacing w:line="400" w:lineRule="exact"/>
              <w:jc w:val="center"/>
              <w:rPr>
                <w:rFonts w:ascii="宋体" w:hAnsi="宋体" w:cs="宋体"/>
                <w:color w:val="auto"/>
                <w:sz w:val="24"/>
                <w:highlight w:val="none"/>
              </w:rPr>
            </w:pPr>
          </w:p>
        </w:tc>
      </w:tr>
      <w:tr w14:paraId="0B891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0DE5918E">
            <w:pPr>
              <w:spacing w:line="400" w:lineRule="exact"/>
              <w:jc w:val="center"/>
              <w:rPr>
                <w:rFonts w:ascii="宋体" w:hAnsi="宋体" w:cs="宋体"/>
                <w:color w:val="auto"/>
                <w:sz w:val="24"/>
                <w:highlight w:val="none"/>
              </w:rPr>
            </w:pPr>
          </w:p>
        </w:tc>
        <w:tc>
          <w:tcPr>
            <w:tcW w:w="961" w:type="dxa"/>
            <w:vAlign w:val="center"/>
          </w:tcPr>
          <w:p w14:paraId="2288BB35">
            <w:pPr>
              <w:spacing w:line="400" w:lineRule="exact"/>
              <w:jc w:val="center"/>
              <w:rPr>
                <w:rFonts w:ascii="宋体" w:hAnsi="宋体" w:cs="宋体"/>
                <w:color w:val="auto"/>
                <w:sz w:val="24"/>
                <w:highlight w:val="none"/>
              </w:rPr>
            </w:pPr>
          </w:p>
        </w:tc>
        <w:tc>
          <w:tcPr>
            <w:tcW w:w="1257" w:type="dxa"/>
            <w:vAlign w:val="center"/>
          </w:tcPr>
          <w:p w14:paraId="1FCCCB29">
            <w:pPr>
              <w:spacing w:line="400" w:lineRule="exact"/>
              <w:jc w:val="center"/>
              <w:rPr>
                <w:rFonts w:ascii="宋体" w:hAnsi="宋体" w:cs="宋体"/>
                <w:color w:val="auto"/>
                <w:sz w:val="24"/>
                <w:highlight w:val="none"/>
              </w:rPr>
            </w:pPr>
          </w:p>
        </w:tc>
        <w:tc>
          <w:tcPr>
            <w:tcW w:w="1258" w:type="dxa"/>
            <w:vAlign w:val="center"/>
          </w:tcPr>
          <w:p w14:paraId="084261D2">
            <w:pPr>
              <w:spacing w:line="400" w:lineRule="exact"/>
              <w:jc w:val="center"/>
              <w:rPr>
                <w:rFonts w:ascii="宋体" w:hAnsi="宋体" w:cs="宋体"/>
                <w:color w:val="auto"/>
                <w:sz w:val="24"/>
                <w:highlight w:val="none"/>
              </w:rPr>
            </w:pPr>
          </w:p>
        </w:tc>
        <w:tc>
          <w:tcPr>
            <w:tcW w:w="1257" w:type="dxa"/>
            <w:vAlign w:val="center"/>
          </w:tcPr>
          <w:p w14:paraId="18AE2274">
            <w:pPr>
              <w:spacing w:line="400" w:lineRule="exact"/>
              <w:jc w:val="center"/>
              <w:rPr>
                <w:rFonts w:ascii="宋体" w:hAnsi="宋体" w:cs="宋体"/>
                <w:color w:val="auto"/>
                <w:sz w:val="24"/>
                <w:highlight w:val="none"/>
              </w:rPr>
            </w:pPr>
          </w:p>
        </w:tc>
        <w:tc>
          <w:tcPr>
            <w:tcW w:w="1258" w:type="dxa"/>
            <w:vAlign w:val="center"/>
          </w:tcPr>
          <w:p w14:paraId="1AA2A626">
            <w:pPr>
              <w:spacing w:line="400" w:lineRule="exact"/>
              <w:jc w:val="center"/>
              <w:rPr>
                <w:rFonts w:ascii="宋体" w:hAnsi="宋体" w:cs="宋体"/>
                <w:color w:val="auto"/>
                <w:sz w:val="24"/>
                <w:highlight w:val="none"/>
              </w:rPr>
            </w:pPr>
          </w:p>
        </w:tc>
        <w:tc>
          <w:tcPr>
            <w:tcW w:w="1257" w:type="dxa"/>
            <w:vAlign w:val="center"/>
          </w:tcPr>
          <w:p w14:paraId="25ABE8F7">
            <w:pPr>
              <w:spacing w:line="400" w:lineRule="exact"/>
              <w:jc w:val="center"/>
              <w:rPr>
                <w:rFonts w:ascii="宋体" w:hAnsi="宋体" w:cs="宋体"/>
                <w:color w:val="auto"/>
                <w:sz w:val="24"/>
                <w:highlight w:val="none"/>
              </w:rPr>
            </w:pPr>
          </w:p>
        </w:tc>
        <w:tc>
          <w:tcPr>
            <w:tcW w:w="1258" w:type="dxa"/>
            <w:vAlign w:val="center"/>
          </w:tcPr>
          <w:p w14:paraId="36EF7937">
            <w:pPr>
              <w:spacing w:line="400" w:lineRule="exact"/>
              <w:jc w:val="center"/>
              <w:rPr>
                <w:rFonts w:ascii="宋体" w:hAnsi="宋体" w:cs="宋体"/>
                <w:color w:val="auto"/>
                <w:sz w:val="24"/>
                <w:highlight w:val="none"/>
              </w:rPr>
            </w:pPr>
          </w:p>
        </w:tc>
      </w:tr>
      <w:tr w14:paraId="41049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6ECBB45D">
            <w:pPr>
              <w:spacing w:line="400" w:lineRule="exact"/>
              <w:jc w:val="center"/>
              <w:rPr>
                <w:rFonts w:ascii="宋体" w:hAnsi="宋体" w:cs="宋体"/>
                <w:color w:val="auto"/>
                <w:sz w:val="24"/>
                <w:highlight w:val="none"/>
              </w:rPr>
            </w:pPr>
          </w:p>
        </w:tc>
        <w:tc>
          <w:tcPr>
            <w:tcW w:w="961" w:type="dxa"/>
            <w:vAlign w:val="center"/>
          </w:tcPr>
          <w:p w14:paraId="1FB02B37">
            <w:pPr>
              <w:spacing w:line="400" w:lineRule="exact"/>
              <w:jc w:val="center"/>
              <w:rPr>
                <w:rFonts w:ascii="宋体" w:hAnsi="宋体" w:cs="宋体"/>
                <w:color w:val="auto"/>
                <w:sz w:val="24"/>
                <w:highlight w:val="none"/>
              </w:rPr>
            </w:pPr>
          </w:p>
        </w:tc>
        <w:tc>
          <w:tcPr>
            <w:tcW w:w="1257" w:type="dxa"/>
            <w:vAlign w:val="center"/>
          </w:tcPr>
          <w:p w14:paraId="76AF362A">
            <w:pPr>
              <w:spacing w:line="400" w:lineRule="exact"/>
              <w:jc w:val="center"/>
              <w:rPr>
                <w:rFonts w:ascii="宋体" w:hAnsi="宋体" w:cs="宋体"/>
                <w:color w:val="auto"/>
                <w:sz w:val="24"/>
                <w:highlight w:val="none"/>
              </w:rPr>
            </w:pPr>
          </w:p>
        </w:tc>
        <w:tc>
          <w:tcPr>
            <w:tcW w:w="1258" w:type="dxa"/>
            <w:vAlign w:val="center"/>
          </w:tcPr>
          <w:p w14:paraId="0CFF0255">
            <w:pPr>
              <w:spacing w:line="400" w:lineRule="exact"/>
              <w:jc w:val="center"/>
              <w:rPr>
                <w:rFonts w:ascii="宋体" w:hAnsi="宋体" w:cs="宋体"/>
                <w:color w:val="auto"/>
                <w:sz w:val="24"/>
                <w:highlight w:val="none"/>
              </w:rPr>
            </w:pPr>
          </w:p>
        </w:tc>
        <w:tc>
          <w:tcPr>
            <w:tcW w:w="1257" w:type="dxa"/>
            <w:vAlign w:val="center"/>
          </w:tcPr>
          <w:p w14:paraId="3FF0EFC4">
            <w:pPr>
              <w:spacing w:line="400" w:lineRule="exact"/>
              <w:jc w:val="center"/>
              <w:rPr>
                <w:rFonts w:ascii="宋体" w:hAnsi="宋体" w:cs="宋体"/>
                <w:color w:val="auto"/>
                <w:sz w:val="24"/>
                <w:highlight w:val="none"/>
              </w:rPr>
            </w:pPr>
          </w:p>
        </w:tc>
        <w:tc>
          <w:tcPr>
            <w:tcW w:w="1258" w:type="dxa"/>
            <w:vAlign w:val="center"/>
          </w:tcPr>
          <w:p w14:paraId="35E8CFBD">
            <w:pPr>
              <w:spacing w:line="400" w:lineRule="exact"/>
              <w:jc w:val="center"/>
              <w:rPr>
                <w:rFonts w:ascii="宋体" w:hAnsi="宋体" w:cs="宋体"/>
                <w:color w:val="auto"/>
                <w:sz w:val="24"/>
                <w:highlight w:val="none"/>
              </w:rPr>
            </w:pPr>
          </w:p>
        </w:tc>
        <w:tc>
          <w:tcPr>
            <w:tcW w:w="1257" w:type="dxa"/>
            <w:vAlign w:val="center"/>
          </w:tcPr>
          <w:p w14:paraId="60AA3BE9">
            <w:pPr>
              <w:spacing w:line="400" w:lineRule="exact"/>
              <w:jc w:val="center"/>
              <w:rPr>
                <w:rFonts w:ascii="宋体" w:hAnsi="宋体" w:cs="宋体"/>
                <w:color w:val="auto"/>
                <w:sz w:val="24"/>
                <w:highlight w:val="none"/>
              </w:rPr>
            </w:pPr>
          </w:p>
        </w:tc>
        <w:tc>
          <w:tcPr>
            <w:tcW w:w="1258" w:type="dxa"/>
            <w:vAlign w:val="center"/>
          </w:tcPr>
          <w:p w14:paraId="023097E8">
            <w:pPr>
              <w:spacing w:line="400" w:lineRule="exact"/>
              <w:jc w:val="center"/>
              <w:rPr>
                <w:rFonts w:ascii="宋体" w:hAnsi="宋体" w:cs="宋体"/>
                <w:color w:val="auto"/>
                <w:sz w:val="24"/>
                <w:highlight w:val="none"/>
              </w:rPr>
            </w:pPr>
          </w:p>
        </w:tc>
      </w:tr>
      <w:tr w14:paraId="38423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10694966">
            <w:pPr>
              <w:spacing w:line="400" w:lineRule="exact"/>
              <w:jc w:val="center"/>
              <w:rPr>
                <w:rFonts w:ascii="宋体" w:hAnsi="宋体" w:cs="宋体"/>
                <w:color w:val="auto"/>
                <w:sz w:val="24"/>
                <w:highlight w:val="none"/>
              </w:rPr>
            </w:pPr>
          </w:p>
        </w:tc>
        <w:tc>
          <w:tcPr>
            <w:tcW w:w="961" w:type="dxa"/>
            <w:vAlign w:val="center"/>
          </w:tcPr>
          <w:p w14:paraId="707398E5">
            <w:pPr>
              <w:spacing w:line="400" w:lineRule="exact"/>
              <w:jc w:val="center"/>
              <w:rPr>
                <w:rFonts w:ascii="宋体" w:hAnsi="宋体" w:cs="宋体"/>
                <w:color w:val="auto"/>
                <w:sz w:val="24"/>
                <w:highlight w:val="none"/>
              </w:rPr>
            </w:pPr>
          </w:p>
        </w:tc>
        <w:tc>
          <w:tcPr>
            <w:tcW w:w="1257" w:type="dxa"/>
            <w:vAlign w:val="center"/>
          </w:tcPr>
          <w:p w14:paraId="0F0495A2">
            <w:pPr>
              <w:spacing w:line="400" w:lineRule="exact"/>
              <w:jc w:val="center"/>
              <w:rPr>
                <w:rFonts w:ascii="宋体" w:hAnsi="宋体" w:cs="宋体"/>
                <w:color w:val="auto"/>
                <w:sz w:val="24"/>
                <w:highlight w:val="none"/>
              </w:rPr>
            </w:pPr>
          </w:p>
        </w:tc>
        <w:tc>
          <w:tcPr>
            <w:tcW w:w="1258" w:type="dxa"/>
            <w:vAlign w:val="center"/>
          </w:tcPr>
          <w:p w14:paraId="44FAEA7D">
            <w:pPr>
              <w:spacing w:line="400" w:lineRule="exact"/>
              <w:jc w:val="center"/>
              <w:rPr>
                <w:rFonts w:ascii="宋体" w:hAnsi="宋体" w:cs="宋体"/>
                <w:color w:val="auto"/>
                <w:sz w:val="24"/>
                <w:highlight w:val="none"/>
              </w:rPr>
            </w:pPr>
          </w:p>
        </w:tc>
        <w:tc>
          <w:tcPr>
            <w:tcW w:w="1257" w:type="dxa"/>
            <w:vAlign w:val="center"/>
          </w:tcPr>
          <w:p w14:paraId="1D1CEEA6">
            <w:pPr>
              <w:spacing w:line="400" w:lineRule="exact"/>
              <w:jc w:val="center"/>
              <w:rPr>
                <w:rFonts w:ascii="宋体" w:hAnsi="宋体" w:cs="宋体"/>
                <w:color w:val="auto"/>
                <w:sz w:val="24"/>
                <w:highlight w:val="none"/>
              </w:rPr>
            </w:pPr>
          </w:p>
        </w:tc>
        <w:tc>
          <w:tcPr>
            <w:tcW w:w="1258" w:type="dxa"/>
            <w:vAlign w:val="center"/>
          </w:tcPr>
          <w:p w14:paraId="506F856B">
            <w:pPr>
              <w:spacing w:line="400" w:lineRule="exact"/>
              <w:jc w:val="center"/>
              <w:rPr>
                <w:rFonts w:ascii="宋体" w:hAnsi="宋体" w:cs="宋体"/>
                <w:color w:val="auto"/>
                <w:sz w:val="24"/>
                <w:highlight w:val="none"/>
              </w:rPr>
            </w:pPr>
          </w:p>
        </w:tc>
        <w:tc>
          <w:tcPr>
            <w:tcW w:w="1257" w:type="dxa"/>
            <w:vAlign w:val="center"/>
          </w:tcPr>
          <w:p w14:paraId="6D713CA1">
            <w:pPr>
              <w:spacing w:line="400" w:lineRule="exact"/>
              <w:jc w:val="center"/>
              <w:rPr>
                <w:rFonts w:ascii="宋体" w:hAnsi="宋体" w:cs="宋体"/>
                <w:color w:val="auto"/>
                <w:sz w:val="24"/>
                <w:highlight w:val="none"/>
              </w:rPr>
            </w:pPr>
          </w:p>
        </w:tc>
        <w:tc>
          <w:tcPr>
            <w:tcW w:w="1258" w:type="dxa"/>
            <w:vAlign w:val="center"/>
          </w:tcPr>
          <w:p w14:paraId="06765FC3">
            <w:pPr>
              <w:spacing w:line="400" w:lineRule="exact"/>
              <w:jc w:val="center"/>
              <w:rPr>
                <w:rFonts w:ascii="宋体" w:hAnsi="宋体" w:cs="宋体"/>
                <w:color w:val="auto"/>
                <w:sz w:val="24"/>
                <w:highlight w:val="none"/>
              </w:rPr>
            </w:pPr>
          </w:p>
        </w:tc>
      </w:tr>
    </w:tbl>
    <w:p w14:paraId="516831D9">
      <w:pPr>
        <w:rPr>
          <w:rFonts w:ascii="宋体" w:hAnsi="宋体" w:cs="宋体"/>
          <w:color w:val="auto"/>
          <w:sz w:val="24"/>
          <w:highlight w:val="none"/>
        </w:rPr>
      </w:pPr>
    </w:p>
    <w:p w14:paraId="122B5EC8">
      <w:pPr>
        <w:spacing w:line="46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附表四：计划开、竣工日期和施工进度计划（网络图或横道图）</w:t>
      </w:r>
    </w:p>
    <w:p w14:paraId="153E5358">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1.供应商应提交施工进度计划，说明按采购文件要求的工期进行施工的各个关键日期。中标的供应商还应按合同条件有关条款的要求提交详细的施工进度计划。</w:t>
      </w:r>
    </w:p>
    <w:p w14:paraId="12A700FB">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2.施工进度计划可采用网络图（或横道图）表示，说明计划开工日期和各分项工程各阶段的完工日期和分包合同签订的日期。</w:t>
      </w:r>
    </w:p>
    <w:p w14:paraId="65ABF60E">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3.施工进度计划应与施工组织设计相适应。</w:t>
      </w:r>
    </w:p>
    <w:p w14:paraId="6761DA2E">
      <w:pPr>
        <w:spacing w:line="460" w:lineRule="exact"/>
        <w:ind w:firstLine="480" w:firstLineChars="200"/>
        <w:rPr>
          <w:rFonts w:ascii="宋体" w:hAnsi="宋体" w:cs="宋体"/>
          <w:color w:val="auto"/>
          <w:sz w:val="24"/>
          <w:highlight w:val="none"/>
        </w:rPr>
      </w:pPr>
    </w:p>
    <w:p w14:paraId="47EF3039">
      <w:pPr>
        <w:spacing w:line="46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附表五：施工总平面图</w:t>
      </w:r>
    </w:p>
    <w:p w14:paraId="0C1F4B23">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供应商应递交一份施工总平面图，绘出现场临时设施布置图表并附文字说明，说明临时设施、加工车间、现场办公、设备及仓储、供电、供水、卫生、生活、道路、消防等设施的情况和布置。</w:t>
      </w:r>
    </w:p>
    <w:p w14:paraId="24181233">
      <w:pPr>
        <w:rPr>
          <w:rFonts w:ascii="宋体" w:hAnsi="宋体" w:cs="宋体"/>
          <w:color w:val="auto"/>
          <w:sz w:val="24"/>
          <w:highlight w:val="none"/>
        </w:rPr>
      </w:pPr>
    </w:p>
    <w:p w14:paraId="110B39ED">
      <w:pPr>
        <w:rPr>
          <w:rFonts w:ascii="宋体" w:hAnsi="宋体" w:cs="宋体"/>
          <w:color w:val="auto"/>
          <w:sz w:val="24"/>
          <w:highlight w:val="none"/>
        </w:rPr>
      </w:pPr>
    </w:p>
    <w:p w14:paraId="678E1D41">
      <w:pPr>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附表六：临时用地表</w:t>
      </w:r>
    </w:p>
    <w:tbl>
      <w:tblPr>
        <w:tblStyle w:val="30"/>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357"/>
      </w:tblGrid>
      <w:tr w14:paraId="31AF1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vAlign w:val="center"/>
          </w:tcPr>
          <w:p w14:paraId="30BC11C0">
            <w:pPr>
              <w:jc w:val="center"/>
              <w:rPr>
                <w:rFonts w:ascii="宋体" w:hAnsi="宋体" w:cs="宋体"/>
                <w:color w:val="auto"/>
                <w:sz w:val="24"/>
                <w:highlight w:val="none"/>
              </w:rPr>
            </w:pPr>
            <w:r>
              <w:rPr>
                <w:rFonts w:hint="eastAsia" w:ascii="宋体" w:hAnsi="宋体" w:cs="宋体"/>
                <w:color w:val="auto"/>
                <w:sz w:val="24"/>
                <w:highlight w:val="none"/>
              </w:rPr>
              <w:t>用途</w:t>
            </w:r>
          </w:p>
        </w:tc>
        <w:tc>
          <w:tcPr>
            <w:tcW w:w="2357" w:type="dxa"/>
            <w:vAlign w:val="center"/>
          </w:tcPr>
          <w:p w14:paraId="7D00A597">
            <w:pPr>
              <w:jc w:val="center"/>
              <w:rPr>
                <w:rFonts w:ascii="宋体" w:hAnsi="宋体" w:cs="宋体"/>
                <w:color w:val="auto"/>
                <w:sz w:val="24"/>
                <w:highlight w:val="none"/>
              </w:rPr>
            </w:pPr>
            <w:r>
              <w:rPr>
                <w:rFonts w:hint="eastAsia" w:ascii="宋体" w:hAnsi="宋体" w:cs="宋体"/>
                <w:color w:val="auto"/>
                <w:sz w:val="24"/>
                <w:highlight w:val="none"/>
              </w:rPr>
              <w:t>面积（平方米）</w:t>
            </w:r>
          </w:p>
        </w:tc>
        <w:tc>
          <w:tcPr>
            <w:tcW w:w="2356" w:type="dxa"/>
            <w:vAlign w:val="center"/>
          </w:tcPr>
          <w:p w14:paraId="16F3BF99">
            <w:pPr>
              <w:jc w:val="center"/>
              <w:rPr>
                <w:rFonts w:ascii="宋体" w:hAnsi="宋体" w:cs="宋体"/>
                <w:color w:val="auto"/>
                <w:sz w:val="24"/>
                <w:highlight w:val="none"/>
              </w:rPr>
            </w:pPr>
            <w:r>
              <w:rPr>
                <w:rFonts w:hint="eastAsia" w:ascii="宋体" w:hAnsi="宋体" w:cs="宋体"/>
                <w:color w:val="auto"/>
                <w:sz w:val="24"/>
                <w:highlight w:val="none"/>
              </w:rPr>
              <w:t>位置</w:t>
            </w:r>
          </w:p>
        </w:tc>
        <w:tc>
          <w:tcPr>
            <w:tcW w:w="2357" w:type="dxa"/>
            <w:vAlign w:val="center"/>
          </w:tcPr>
          <w:p w14:paraId="6115ED67">
            <w:pPr>
              <w:jc w:val="center"/>
              <w:rPr>
                <w:rFonts w:ascii="宋体" w:hAnsi="宋体" w:cs="宋体"/>
                <w:color w:val="auto"/>
                <w:sz w:val="24"/>
                <w:highlight w:val="none"/>
              </w:rPr>
            </w:pPr>
            <w:r>
              <w:rPr>
                <w:rFonts w:hint="eastAsia" w:ascii="宋体" w:hAnsi="宋体" w:cs="宋体"/>
                <w:color w:val="auto"/>
                <w:sz w:val="24"/>
                <w:highlight w:val="none"/>
              </w:rPr>
              <w:t>需用时间</w:t>
            </w:r>
          </w:p>
        </w:tc>
      </w:tr>
      <w:tr w14:paraId="0D9EB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0D1EF7E6">
            <w:pPr>
              <w:rPr>
                <w:rFonts w:ascii="宋体" w:hAnsi="宋体" w:cs="宋体"/>
                <w:color w:val="auto"/>
                <w:sz w:val="24"/>
                <w:highlight w:val="none"/>
              </w:rPr>
            </w:pPr>
          </w:p>
        </w:tc>
        <w:tc>
          <w:tcPr>
            <w:tcW w:w="2357" w:type="dxa"/>
          </w:tcPr>
          <w:p w14:paraId="35F8C465">
            <w:pPr>
              <w:rPr>
                <w:rFonts w:ascii="宋体" w:hAnsi="宋体" w:cs="宋体"/>
                <w:color w:val="auto"/>
                <w:sz w:val="24"/>
                <w:highlight w:val="none"/>
              </w:rPr>
            </w:pPr>
          </w:p>
        </w:tc>
        <w:tc>
          <w:tcPr>
            <w:tcW w:w="2356" w:type="dxa"/>
          </w:tcPr>
          <w:p w14:paraId="4B023069">
            <w:pPr>
              <w:rPr>
                <w:rFonts w:ascii="宋体" w:hAnsi="宋体" w:cs="宋体"/>
                <w:color w:val="auto"/>
                <w:sz w:val="24"/>
                <w:highlight w:val="none"/>
              </w:rPr>
            </w:pPr>
          </w:p>
        </w:tc>
        <w:tc>
          <w:tcPr>
            <w:tcW w:w="2357" w:type="dxa"/>
          </w:tcPr>
          <w:p w14:paraId="6F173DFF">
            <w:pPr>
              <w:rPr>
                <w:rFonts w:ascii="宋体" w:hAnsi="宋体" w:cs="宋体"/>
                <w:color w:val="auto"/>
                <w:sz w:val="24"/>
                <w:highlight w:val="none"/>
              </w:rPr>
            </w:pPr>
          </w:p>
        </w:tc>
      </w:tr>
      <w:tr w14:paraId="21BEC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2B46BF97">
            <w:pPr>
              <w:rPr>
                <w:rFonts w:ascii="宋体" w:hAnsi="宋体" w:cs="宋体"/>
                <w:color w:val="auto"/>
                <w:sz w:val="24"/>
                <w:highlight w:val="none"/>
              </w:rPr>
            </w:pPr>
          </w:p>
        </w:tc>
        <w:tc>
          <w:tcPr>
            <w:tcW w:w="2357" w:type="dxa"/>
          </w:tcPr>
          <w:p w14:paraId="3BCC5761">
            <w:pPr>
              <w:rPr>
                <w:rFonts w:ascii="宋体" w:hAnsi="宋体" w:cs="宋体"/>
                <w:color w:val="auto"/>
                <w:sz w:val="24"/>
                <w:highlight w:val="none"/>
              </w:rPr>
            </w:pPr>
          </w:p>
        </w:tc>
        <w:tc>
          <w:tcPr>
            <w:tcW w:w="2356" w:type="dxa"/>
          </w:tcPr>
          <w:p w14:paraId="3EAB062A">
            <w:pPr>
              <w:rPr>
                <w:rFonts w:ascii="宋体" w:hAnsi="宋体" w:cs="宋体"/>
                <w:color w:val="auto"/>
                <w:sz w:val="24"/>
                <w:highlight w:val="none"/>
              </w:rPr>
            </w:pPr>
          </w:p>
        </w:tc>
        <w:tc>
          <w:tcPr>
            <w:tcW w:w="2357" w:type="dxa"/>
          </w:tcPr>
          <w:p w14:paraId="5F4E7460">
            <w:pPr>
              <w:rPr>
                <w:rFonts w:ascii="宋体" w:hAnsi="宋体" w:cs="宋体"/>
                <w:color w:val="auto"/>
                <w:sz w:val="24"/>
                <w:highlight w:val="none"/>
              </w:rPr>
            </w:pPr>
          </w:p>
        </w:tc>
      </w:tr>
      <w:tr w14:paraId="69C16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tcPr>
          <w:p w14:paraId="6822F26A">
            <w:pPr>
              <w:rPr>
                <w:rFonts w:ascii="宋体" w:hAnsi="宋体" w:cs="宋体"/>
                <w:color w:val="auto"/>
                <w:sz w:val="24"/>
                <w:highlight w:val="none"/>
              </w:rPr>
            </w:pPr>
          </w:p>
        </w:tc>
        <w:tc>
          <w:tcPr>
            <w:tcW w:w="2357" w:type="dxa"/>
          </w:tcPr>
          <w:p w14:paraId="088C1BE4">
            <w:pPr>
              <w:rPr>
                <w:rFonts w:ascii="宋体" w:hAnsi="宋体" w:cs="宋体"/>
                <w:color w:val="auto"/>
                <w:sz w:val="24"/>
                <w:highlight w:val="none"/>
              </w:rPr>
            </w:pPr>
          </w:p>
        </w:tc>
        <w:tc>
          <w:tcPr>
            <w:tcW w:w="2356" w:type="dxa"/>
          </w:tcPr>
          <w:p w14:paraId="4D5BB3A4">
            <w:pPr>
              <w:rPr>
                <w:rFonts w:ascii="宋体" w:hAnsi="宋体" w:cs="宋体"/>
                <w:color w:val="auto"/>
                <w:sz w:val="24"/>
                <w:highlight w:val="none"/>
              </w:rPr>
            </w:pPr>
          </w:p>
        </w:tc>
        <w:tc>
          <w:tcPr>
            <w:tcW w:w="2357" w:type="dxa"/>
          </w:tcPr>
          <w:p w14:paraId="77E5D050">
            <w:pPr>
              <w:rPr>
                <w:rFonts w:ascii="宋体" w:hAnsi="宋体" w:cs="宋体"/>
                <w:color w:val="auto"/>
                <w:sz w:val="24"/>
                <w:highlight w:val="none"/>
              </w:rPr>
            </w:pPr>
          </w:p>
        </w:tc>
      </w:tr>
      <w:tr w14:paraId="115FC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2386D63F">
            <w:pPr>
              <w:rPr>
                <w:rFonts w:ascii="宋体" w:hAnsi="宋体" w:cs="宋体"/>
                <w:color w:val="auto"/>
                <w:sz w:val="24"/>
                <w:highlight w:val="none"/>
              </w:rPr>
            </w:pPr>
          </w:p>
        </w:tc>
        <w:tc>
          <w:tcPr>
            <w:tcW w:w="2357" w:type="dxa"/>
          </w:tcPr>
          <w:p w14:paraId="15D9E4D0">
            <w:pPr>
              <w:rPr>
                <w:rFonts w:ascii="宋体" w:hAnsi="宋体" w:cs="宋体"/>
                <w:color w:val="auto"/>
                <w:sz w:val="24"/>
                <w:highlight w:val="none"/>
              </w:rPr>
            </w:pPr>
          </w:p>
        </w:tc>
        <w:tc>
          <w:tcPr>
            <w:tcW w:w="2356" w:type="dxa"/>
          </w:tcPr>
          <w:p w14:paraId="7B913E27">
            <w:pPr>
              <w:rPr>
                <w:rFonts w:ascii="宋体" w:hAnsi="宋体" w:cs="宋体"/>
                <w:color w:val="auto"/>
                <w:sz w:val="24"/>
                <w:highlight w:val="none"/>
              </w:rPr>
            </w:pPr>
          </w:p>
        </w:tc>
        <w:tc>
          <w:tcPr>
            <w:tcW w:w="2357" w:type="dxa"/>
          </w:tcPr>
          <w:p w14:paraId="66225EB5">
            <w:pPr>
              <w:rPr>
                <w:rFonts w:ascii="宋体" w:hAnsi="宋体" w:cs="宋体"/>
                <w:color w:val="auto"/>
                <w:sz w:val="24"/>
                <w:highlight w:val="none"/>
              </w:rPr>
            </w:pPr>
          </w:p>
        </w:tc>
      </w:tr>
    </w:tbl>
    <w:p w14:paraId="07CCA355">
      <w:pPr>
        <w:spacing w:line="500" w:lineRule="exact"/>
        <w:jc w:val="center"/>
        <w:rPr>
          <w:rFonts w:ascii="宋体" w:hAnsi="宋体" w:cs="宋体"/>
          <w:color w:val="auto"/>
          <w:sz w:val="24"/>
          <w:highlight w:val="none"/>
        </w:rPr>
      </w:pPr>
      <w:r>
        <w:rPr>
          <w:rFonts w:ascii="宋体" w:hAnsi="宋体" w:cs="宋体"/>
          <w:color w:val="auto"/>
          <w:sz w:val="24"/>
          <w:highlight w:val="none"/>
        </w:rPr>
        <w:br w:type="page"/>
      </w:r>
    </w:p>
    <w:p w14:paraId="5E2B2787">
      <w:pPr>
        <w:keepNext/>
        <w:keepLines/>
        <w:rPr>
          <w:rFonts w:ascii="宋体" w:hAnsi="宋体" w:cs="宋体"/>
          <w:b/>
          <w:color w:val="auto"/>
          <w:sz w:val="30"/>
          <w:szCs w:val="30"/>
          <w:highlight w:val="none"/>
        </w:rPr>
      </w:pPr>
      <w:bookmarkStart w:id="79" w:name="_Toc192305147"/>
      <w:bookmarkStart w:id="80" w:name="_Toc202756562"/>
      <w:bookmarkStart w:id="81" w:name="_Toc205197563"/>
      <w:bookmarkStart w:id="82" w:name="_Toc202756645"/>
      <w:r>
        <w:rPr>
          <w:rFonts w:hint="eastAsia" w:ascii="宋体" w:hAnsi="宋体" w:cs="宋体"/>
          <w:b/>
          <w:color w:val="auto"/>
          <w:sz w:val="30"/>
          <w:szCs w:val="30"/>
          <w:highlight w:val="none"/>
        </w:rPr>
        <w:t>七</w:t>
      </w:r>
      <w:r>
        <w:rPr>
          <w:rFonts w:hint="eastAsia" w:ascii="宋体" w:hAnsi="宋体" w:cs="宋体"/>
          <w:b/>
          <w:color w:val="auto"/>
          <w:sz w:val="30"/>
          <w:szCs w:val="30"/>
          <w:highlight w:val="none"/>
          <w:lang w:val="zh-CN"/>
        </w:rPr>
        <w:t>、</w:t>
      </w:r>
      <w:r>
        <w:rPr>
          <w:rFonts w:hint="eastAsia" w:ascii="宋体" w:hAnsi="宋体" w:cs="宋体"/>
          <w:b/>
          <w:color w:val="auto"/>
          <w:sz w:val="30"/>
          <w:szCs w:val="30"/>
          <w:highlight w:val="none"/>
        </w:rPr>
        <w:t>项目管理机构</w:t>
      </w:r>
      <w:bookmarkEnd w:id="79"/>
      <w:bookmarkEnd w:id="80"/>
      <w:bookmarkEnd w:id="81"/>
      <w:bookmarkEnd w:id="82"/>
    </w:p>
    <w:p w14:paraId="74956E30">
      <w:pPr>
        <w:jc w:val="center"/>
        <w:rPr>
          <w:rFonts w:ascii="宋体" w:hAnsi="宋体" w:cs="宋体"/>
          <w:b/>
          <w:bCs/>
          <w:color w:val="auto"/>
          <w:sz w:val="24"/>
          <w:highlight w:val="none"/>
        </w:rPr>
      </w:pPr>
    </w:p>
    <w:p w14:paraId="784B0CDC">
      <w:pPr>
        <w:spacing w:afterLines="50"/>
        <w:jc w:val="center"/>
        <w:rPr>
          <w:rFonts w:ascii="宋体" w:hAnsi="宋体" w:cs="宋体"/>
          <w:bCs/>
          <w:color w:val="auto"/>
          <w:sz w:val="24"/>
          <w:highlight w:val="none"/>
        </w:rPr>
      </w:pPr>
      <w:r>
        <w:rPr>
          <w:rFonts w:hint="eastAsia" w:ascii="宋体" w:hAnsi="宋体" w:cs="宋体"/>
          <w:b/>
          <w:bCs/>
          <w:color w:val="auto"/>
          <w:sz w:val="24"/>
          <w:highlight w:val="none"/>
        </w:rPr>
        <w:t>拟投入本合同工程施工的项目管理机构组成表</w:t>
      </w:r>
    </w:p>
    <w:tbl>
      <w:tblPr>
        <w:tblStyle w:val="30"/>
        <w:tblW w:w="9690" w:type="dxa"/>
        <w:tblInd w:w="-375" w:type="dxa"/>
        <w:tblLayout w:type="fixed"/>
        <w:tblCellMar>
          <w:top w:w="0" w:type="dxa"/>
          <w:left w:w="0" w:type="dxa"/>
          <w:bottom w:w="0" w:type="dxa"/>
          <w:right w:w="0" w:type="dxa"/>
        </w:tblCellMar>
      </w:tblPr>
      <w:tblGrid>
        <w:gridCol w:w="675"/>
        <w:gridCol w:w="1335"/>
        <w:gridCol w:w="840"/>
        <w:gridCol w:w="795"/>
        <w:gridCol w:w="1107"/>
        <w:gridCol w:w="768"/>
        <w:gridCol w:w="750"/>
        <w:gridCol w:w="1440"/>
        <w:gridCol w:w="900"/>
        <w:gridCol w:w="1080"/>
      </w:tblGrid>
      <w:tr w14:paraId="640F30D4">
        <w:tblPrEx>
          <w:tblCellMar>
            <w:top w:w="0" w:type="dxa"/>
            <w:left w:w="0" w:type="dxa"/>
            <w:bottom w:w="0" w:type="dxa"/>
            <w:right w:w="0" w:type="dxa"/>
          </w:tblCellMar>
        </w:tblPrEx>
        <w:trPr>
          <w:trHeight w:val="601" w:hRule="atLeast"/>
        </w:trPr>
        <w:tc>
          <w:tcPr>
            <w:tcW w:w="6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E657D38">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序号</w:t>
            </w:r>
          </w:p>
        </w:tc>
        <w:tc>
          <w:tcPr>
            <w:tcW w:w="13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646EC98">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岗位名称</w:t>
            </w:r>
          </w:p>
        </w:tc>
        <w:tc>
          <w:tcPr>
            <w:tcW w:w="84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1316EED6">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姓名</w:t>
            </w:r>
          </w:p>
        </w:tc>
        <w:tc>
          <w:tcPr>
            <w:tcW w:w="79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1EE33C6D">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性别</w:t>
            </w:r>
          </w:p>
        </w:tc>
        <w:tc>
          <w:tcPr>
            <w:tcW w:w="110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6E3D2C83">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工作职责</w:t>
            </w:r>
          </w:p>
        </w:tc>
        <w:tc>
          <w:tcPr>
            <w:tcW w:w="76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1E401F31">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职称</w:t>
            </w:r>
          </w:p>
        </w:tc>
        <w:tc>
          <w:tcPr>
            <w:tcW w:w="7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1CB401C0">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专业</w:t>
            </w:r>
          </w:p>
        </w:tc>
        <w:tc>
          <w:tcPr>
            <w:tcW w:w="144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6234FCA5">
            <w:pPr>
              <w:spacing w:line="300" w:lineRule="exact"/>
              <w:jc w:val="center"/>
              <w:rPr>
                <w:rFonts w:ascii="宋体" w:hAnsi="宋体" w:cs="宋体"/>
                <w:color w:val="auto"/>
                <w:sz w:val="24"/>
                <w:highlight w:val="none"/>
              </w:rPr>
            </w:pPr>
            <w:r>
              <w:rPr>
                <w:rFonts w:hint="eastAsia" w:ascii="宋体" w:hAnsi="宋体" w:cs="宋体"/>
                <w:bCs/>
                <w:color w:val="auto"/>
                <w:sz w:val="24"/>
                <w:highlight w:val="none"/>
              </w:rPr>
              <w:t>相关证书名称及编号</w:t>
            </w:r>
          </w:p>
        </w:tc>
        <w:tc>
          <w:tcPr>
            <w:tcW w:w="90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57AF4ACD">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相关工作年限</w:t>
            </w:r>
          </w:p>
        </w:tc>
        <w:tc>
          <w:tcPr>
            <w:tcW w:w="10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8D0ED13">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工作简历</w:t>
            </w:r>
          </w:p>
        </w:tc>
      </w:tr>
      <w:tr w14:paraId="7802B222">
        <w:tblPrEx>
          <w:tblCellMar>
            <w:top w:w="0" w:type="dxa"/>
            <w:left w:w="0" w:type="dxa"/>
            <w:bottom w:w="0" w:type="dxa"/>
            <w:right w:w="0" w:type="dxa"/>
          </w:tblCellMar>
        </w:tblPrEx>
        <w:trPr>
          <w:trHeight w:val="601" w:hRule="atLeast"/>
        </w:trPr>
        <w:tc>
          <w:tcPr>
            <w:tcW w:w="67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420AE0BE">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33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47B96618">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项目经理</w:t>
            </w:r>
          </w:p>
        </w:tc>
        <w:tc>
          <w:tcPr>
            <w:tcW w:w="840" w:type="dxa"/>
            <w:tcBorders>
              <w:top w:val="nil"/>
              <w:left w:val="nil"/>
              <w:bottom w:val="single" w:color="auto" w:sz="4" w:space="0"/>
              <w:right w:val="single" w:color="auto" w:sz="4" w:space="0"/>
            </w:tcBorders>
            <w:tcMar>
              <w:top w:w="15" w:type="dxa"/>
              <w:left w:w="15" w:type="dxa"/>
              <w:bottom w:w="0" w:type="dxa"/>
              <w:right w:w="15" w:type="dxa"/>
            </w:tcMar>
            <w:vAlign w:val="center"/>
          </w:tcPr>
          <w:p w14:paraId="6D05CE63">
            <w:pPr>
              <w:spacing w:line="240" w:lineRule="exact"/>
              <w:jc w:val="center"/>
              <w:rPr>
                <w:rFonts w:ascii="宋体" w:hAnsi="宋体" w:cs="宋体"/>
                <w:color w:val="auto"/>
                <w:sz w:val="24"/>
                <w:highlight w:val="none"/>
              </w:rPr>
            </w:pPr>
          </w:p>
        </w:tc>
        <w:tc>
          <w:tcPr>
            <w:tcW w:w="795" w:type="dxa"/>
            <w:tcBorders>
              <w:top w:val="nil"/>
              <w:left w:val="nil"/>
              <w:bottom w:val="single" w:color="auto" w:sz="4" w:space="0"/>
              <w:right w:val="single" w:color="auto" w:sz="4" w:space="0"/>
            </w:tcBorders>
            <w:tcMar>
              <w:top w:w="15" w:type="dxa"/>
              <w:left w:w="15" w:type="dxa"/>
              <w:bottom w:w="0" w:type="dxa"/>
              <w:right w:w="15" w:type="dxa"/>
            </w:tcMar>
            <w:vAlign w:val="center"/>
          </w:tcPr>
          <w:p w14:paraId="49265573">
            <w:pPr>
              <w:spacing w:line="240" w:lineRule="exact"/>
              <w:jc w:val="center"/>
              <w:rPr>
                <w:rFonts w:ascii="宋体" w:hAnsi="宋体" w:cs="宋体"/>
                <w:color w:val="auto"/>
                <w:sz w:val="24"/>
                <w:highlight w:val="none"/>
              </w:rPr>
            </w:pPr>
          </w:p>
        </w:tc>
        <w:tc>
          <w:tcPr>
            <w:tcW w:w="1107" w:type="dxa"/>
            <w:tcBorders>
              <w:top w:val="nil"/>
              <w:left w:val="nil"/>
              <w:bottom w:val="single" w:color="auto" w:sz="4" w:space="0"/>
              <w:right w:val="single" w:color="auto" w:sz="4" w:space="0"/>
            </w:tcBorders>
            <w:tcMar>
              <w:top w:w="15" w:type="dxa"/>
              <w:left w:w="15" w:type="dxa"/>
              <w:bottom w:w="0" w:type="dxa"/>
              <w:right w:w="15" w:type="dxa"/>
            </w:tcMar>
            <w:vAlign w:val="center"/>
          </w:tcPr>
          <w:p w14:paraId="18592576">
            <w:pPr>
              <w:spacing w:line="240" w:lineRule="exact"/>
              <w:jc w:val="center"/>
              <w:rPr>
                <w:rFonts w:ascii="宋体" w:hAnsi="宋体" w:cs="宋体"/>
                <w:color w:val="auto"/>
                <w:sz w:val="24"/>
                <w:highlight w:val="none"/>
              </w:rPr>
            </w:pPr>
          </w:p>
        </w:tc>
        <w:tc>
          <w:tcPr>
            <w:tcW w:w="768" w:type="dxa"/>
            <w:tcBorders>
              <w:top w:val="nil"/>
              <w:left w:val="nil"/>
              <w:bottom w:val="single" w:color="auto" w:sz="4" w:space="0"/>
              <w:right w:val="single" w:color="auto" w:sz="4" w:space="0"/>
            </w:tcBorders>
            <w:tcMar>
              <w:top w:w="15" w:type="dxa"/>
              <w:left w:w="15" w:type="dxa"/>
              <w:bottom w:w="0" w:type="dxa"/>
              <w:right w:w="15" w:type="dxa"/>
            </w:tcMar>
            <w:vAlign w:val="center"/>
          </w:tcPr>
          <w:p w14:paraId="79D281C6">
            <w:pPr>
              <w:spacing w:line="240" w:lineRule="exact"/>
              <w:jc w:val="center"/>
              <w:rPr>
                <w:rFonts w:ascii="宋体" w:hAnsi="宋体" w:cs="宋体"/>
                <w:color w:val="auto"/>
                <w:sz w:val="24"/>
                <w:highlight w:val="none"/>
              </w:rPr>
            </w:pPr>
          </w:p>
        </w:tc>
        <w:tc>
          <w:tcPr>
            <w:tcW w:w="750" w:type="dxa"/>
            <w:tcBorders>
              <w:top w:val="nil"/>
              <w:left w:val="nil"/>
              <w:bottom w:val="single" w:color="auto" w:sz="4" w:space="0"/>
              <w:right w:val="single" w:color="auto" w:sz="4" w:space="0"/>
            </w:tcBorders>
            <w:tcMar>
              <w:top w:w="15" w:type="dxa"/>
              <w:left w:w="15" w:type="dxa"/>
              <w:bottom w:w="0" w:type="dxa"/>
              <w:right w:w="15" w:type="dxa"/>
            </w:tcMar>
            <w:vAlign w:val="center"/>
          </w:tcPr>
          <w:p w14:paraId="05CB86FE">
            <w:pPr>
              <w:spacing w:line="240" w:lineRule="exact"/>
              <w:jc w:val="center"/>
              <w:rPr>
                <w:rFonts w:ascii="宋体" w:hAnsi="宋体" w:cs="宋体"/>
                <w:color w:val="auto"/>
                <w:sz w:val="24"/>
                <w:highlight w:val="none"/>
              </w:rPr>
            </w:pPr>
          </w:p>
        </w:tc>
        <w:tc>
          <w:tcPr>
            <w:tcW w:w="1440" w:type="dxa"/>
            <w:tcBorders>
              <w:top w:val="nil"/>
              <w:left w:val="nil"/>
              <w:bottom w:val="single" w:color="auto" w:sz="4" w:space="0"/>
              <w:right w:val="single" w:color="auto" w:sz="4" w:space="0"/>
            </w:tcBorders>
            <w:tcMar>
              <w:top w:w="15" w:type="dxa"/>
              <w:left w:w="15" w:type="dxa"/>
              <w:bottom w:w="0" w:type="dxa"/>
              <w:right w:w="15" w:type="dxa"/>
            </w:tcMar>
            <w:vAlign w:val="center"/>
          </w:tcPr>
          <w:p w14:paraId="05BC831F">
            <w:pPr>
              <w:spacing w:line="240" w:lineRule="exact"/>
              <w:jc w:val="center"/>
              <w:rPr>
                <w:rFonts w:ascii="宋体" w:hAnsi="宋体" w:cs="宋体"/>
                <w:color w:val="auto"/>
                <w:sz w:val="24"/>
                <w:highlight w:val="none"/>
              </w:rPr>
            </w:pPr>
          </w:p>
        </w:tc>
        <w:tc>
          <w:tcPr>
            <w:tcW w:w="900" w:type="dxa"/>
            <w:tcBorders>
              <w:top w:val="nil"/>
              <w:left w:val="nil"/>
              <w:bottom w:val="single" w:color="auto" w:sz="4" w:space="0"/>
              <w:right w:val="single" w:color="auto" w:sz="4" w:space="0"/>
            </w:tcBorders>
            <w:tcMar>
              <w:top w:w="15" w:type="dxa"/>
              <w:left w:w="15" w:type="dxa"/>
              <w:bottom w:w="0" w:type="dxa"/>
              <w:right w:w="15" w:type="dxa"/>
            </w:tcMar>
            <w:vAlign w:val="center"/>
          </w:tcPr>
          <w:p w14:paraId="69862CB2">
            <w:pPr>
              <w:spacing w:line="240" w:lineRule="exact"/>
              <w:jc w:val="center"/>
              <w:rPr>
                <w:rFonts w:ascii="宋体" w:hAnsi="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9EE20B3">
            <w:pPr>
              <w:spacing w:line="240" w:lineRule="exact"/>
              <w:jc w:val="center"/>
              <w:rPr>
                <w:rFonts w:ascii="宋体" w:hAnsi="宋体" w:cs="宋体"/>
                <w:color w:val="auto"/>
                <w:sz w:val="24"/>
                <w:highlight w:val="none"/>
              </w:rPr>
            </w:pPr>
          </w:p>
        </w:tc>
      </w:tr>
      <w:tr w14:paraId="3A843A0A">
        <w:tblPrEx>
          <w:tblCellMar>
            <w:top w:w="0" w:type="dxa"/>
            <w:left w:w="0" w:type="dxa"/>
            <w:bottom w:w="0" w:type="dxa"/>
            <w:right w:w="0" w:type="dxa"/>
          </w:tblCellMar>
        </w:tblPrEx>
        <w:trPr>
          <w:trHeight w:val="601" w:hRule="atLeast"/>
        </w:trPr>
        <w:tc>
          <w:tcPr>
            <w:tcW w:w="67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3B480815">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33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2A02ACCB">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w:t>
            </w:r>
          </w:p>
        </w:tc>
        <w:tc>
          <w:tcPr>
            <w:tcW w:w="840" w:type="dxa"/>
            <w:tcBorders>
              <w:top w:val="nil"/>
              <w:left w:val="nil"/>
              <w:bottom w:val="single" w:color="auto" w:sz="4" w:space="0"/>
              <w:right w:val="single" w:color="auto" w:sz="4" w:space="0"/>
            </w:tcBorders>
            <w:tcMar>
              <w:top w:w="15" w:type="dxa"/>
              <w:left w:w="15" w:type="dxa"/>
              <w:bottom w:w="0" w:type="dxa"/>
              <w:right w:w="15" w:type="dxa"/>
            </w:tcMar>
            <w:vAlign w:val="center"/>
          </w:tcPr>
          <w:p w14:paraId="0CA82648">
            <w:pPr>
              <w:spacing w:line="240" w:lineRule="exact"/>
              <w:jc w:val="center"/>
              <w:rPr>
                <w:rFonts w:ascii="宋体" w:hAnsi="宋体" w:cs="宋体"/>
                <w:color w:val="auto"/>
                <w:sz w:val="24"/>
                <w:highlight w:val="none"/>
              </w:rPr>
            </w:pPr>
          </w:p>
        </w:tc>
        <w:tc>
          <w:tcPr>
            <w:tcW w:w="795" w:type="dxa"/>
            <w:tcBorders>
              <w:top w:val="nil"/>
              <w:left w:val="nil"/>
              <w:bottom w:val="single" w:color="auto" w:sz="4" w:space="0"/>
              <w:right w:val="single" w:color="auto" w:sz="4" w:space="0"/>
            </w:tcBorders>
            <w:tcMar>
              <w:top w:w="15" w:type="dxa"/>
              <w:left w:w="15" w:type="dxa"/>
              <w:bottom w:w="0" w:type="dxa"/>
              <w:right w:w="15" w:type="dxa"/>
            </w:tcMar>
            <w:vAlign w:val="center"/>
          </w:tcPr>
          <w:p w14:paraId="376E4BB9">
            <w:pPr>
              <w:spacing w:line="240" w:lineRule="exact"/>
              <w:jc w:val="center"/>
              <w:rPr>
                <w:rFonts w:ascii="宋体" w:hAnsi="宋体" w:cs="宋体"/>
                <w:color w:val="auto"/>
                <w:sz w:val="24"/>
                <w:highlight w:val="none"/>
              </w:rPr>
            </w:pPr>
          </w:p>
        </w:tc>
        <w:tc>
          <w:tcPr>
            <w:tcW w:w="1107" w:type="dxa"/>
            <w:tcBorders>
              <w:top w:val="nil"/>
              <w:left w:val="nil"/>
              <w:bottom w:val="single" w:color="auto" w:sz="4" w:space="0"/>
              <w:right w:val="single" w:color="auto" w:sz="4" w:space="0"/>
            </w:tcBorders>
            <w:tcMar>
              <w:top w:w="15" w:type="dxa"/>
              <w:left w:w="15" w:type="dxa"/>
              <w:bottom w:w="0" w:type="dxa"/>
              <w:right w:w="15" w:type="dxa"/>
            </w:tcMar>
            <w:vAlign w:val="center"/>
          </w:tcPr>
          <w:p w14:paraId="1DFD9450">
            <w:pPr>
              <w:spacing w:line="240" w:lineRule="exact"/>
              <w:jc w:val="center"/>
              <w:rPr>
                <w:rFonts w:ascii="宋体" w:hAnsi="宋体" w:cs="宋体"/>
                <w:color w:val="auto"/>
                <w:sz w:val="24"/>
                <w:highlight w:val="none"/>
              </w:rPr>
            </w:pPr>
          </w:p>
        </w:tc>
        <w:tc>
          <w:tcPr>
            <w:tcW w:w="768" w:type="dxa"/>
            <w:tcBorders>
              <w:top w:val="nil"/>
              <w:left w:val="nil"/>
              <w:bottom w:val="single" w:color="auto" w:sz="4" w:space="0"/>
              <w:right w:val="single" w:color="auto" w:sz="4" w:space="0"/>
            </w:tcBorders>
            <w:tcMar>
              <w:top w:w="15" w:type="dxa"/>
              <w:left w:w="15" w:type="dxa"/>
              <w:bottom w:w="0" w:type="dxa"/>
              <w:right w:w="15" w:type="dxa"/>
            </w:tcMar>
            <w:vAlign w:val="center"/>
          </w:tcPr>
          <w:p w14:paraId="6017B4E2">
            <w:pPr>
              <w:spacing w:line="240" w:lineRule="exact"/>
              <w:jc w:val="center"/>
              <w:rPr>
                <w:rFonts w:ascii="宋体" w:hAnsi="宋体" w:cs="宋体"/>
                <w:color w:val="auto"/>
                <w:sz w:val="24"/>
                <w:highlight w:val="none"/>
              </w:rPr>
            </w:pPr>
          </w:p>
        </w:tc>
        <w:tc>
          <w:tcPr>
            <w:tcW w:w="750" w:type="dxa"/>
            <w:tcBorders>
              <w:top w:val="nil"/>
              <w:left w:val="nil"/>
              <w:bottom w:val="single" w:color="auto" w:sz="4" w:space="0"/>
              <w:right w:val="single" w:color="auto" w:sz="4" w:space="0"/>
            </w:tcBorders>
            <w:tcMar>
              <w:top w:w="15" w:type="dxa"/>
              <w:left w:w="15" w:type="dxa"/>
              <w:bottom w:w="0" w:type="dxa"/>
              <w:right w:w="15" w:type="dxa"/>
            </w:tcMar>
            <w:vAlign w:val="center"/>
          </w:tcPr>
          <w:p w14:paraId="2A07536B">
            <w:pPr>
              <w:spacing w:line="240" w:lineRule="exact"/>
              <w:jc w:val="center"/>
              <w:rPr>
                <w:rFonts w:ascii="宋体" w:hAnsi="宋体" w:cs="宋体"/>
                <w:color w:val="auto"/>
                <w:sz w:val="24"/>
                <w:highlight w:val="none"/>
              </w:rPr>
            </w:pPr>
          </w:p>
        </w:tc>
        <w:tc>
          <w:tcPr>
            <w:tcW w:w="1440" w:type="dxa"/>
            <w:tcBorders>
              <w:top w:val="nil"/>
              <w:left w:val="nil"/>
              <w:bottom w:val="single" w:color="auto" w:sz="4" w:space="0"/>
              <w:right w:val="single" w:color="auto" w:sz="4" w:space="0"/>
            </w:tcBorders>
            <w:tcMar>
              <w:top w:w="15" w:type="dxa"/>
              <w:left w:w="15" w:type="dxa"/>
              <w:bottom w:w="0" w:type="dxa"/>
              <w:right w:w="15" w:type="dxa"/>
            </w:tcMar>
            <w:vAlign w:val="center"/>
          </w:tcPr>
          <w:p w14:paraId="228E1DF2">
            <w:pPr>
              <w:spacing w:line="240" w:lineRule="exact"/>
              <w:jc w:val="center"/>
              <w:rPr>
                <w:rFonts w:ascii="宋体" w:hAnsi="宋体" w:cs="宋体"/>
                <w:color w:val="auto"/>
                <w:sz w:val="24"/>
                <w:highlight w:val="none"/>
              </w:rPr>
            </w:pPr>
          </w:p>
        </w:tc>
        <w:tc>
          <w:tcPr>
            <w:tcW w:w="900" w:type="dxa"/>
            <w:tcBorders>
              <w:top w:val="nil"/>
              <w:left w:val="nil"/>
              <w:bottom w:val="single" w:color="auto" w:sz="4" w:space="0"/>
              <w:right w:val="single" w:color="auto" w:sz="4" w:space="0"/>
            </w:tcBorders>
            <w:tcMar>
              <w:top w:w="15" w:type="dxa"/>
              <w:left w:w="15" w:type="dxa"/>
              <w:bottom w:w="0" w:type="dxa"/>
              <w:right w:w="15" w:type="dxa"/>
            </w:tcMar>
            <w:vAlign w:val="center"/>
          </w:tcPr>
          <w:p w14:paraId="13B8D6E3">
            <w:pPr>
              <w:spacing w:line="240" w:lineRule="exact"/>
              <w:jc w:val="center"/>
              <w:rPr>
                <w:rFonts w:ascii="宋体" w:hAnsi="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643DD21">
            <w:pPr>
              <w:spacing w:line="240" w:lineRule="exact"/>
              <w:jc w:val="center"/>
              <w:rPr>
                <w:rFonts w:ascii="宋体" w:hAnsi="宋体" w:cs="宋体"/>
                <w:color w:val="auto"/>
                <w:sz w:val="24"/>
                <w:highlight w:val="none"/>
              </w:rPr>
            </w:pPr>
          </w:p>
        </w:tc>
      </w:tr>
      <w:tr w14:paraId="1B7E0A75">
        <w:tblPrEx>
          <w:tblCellMar>
            <w:top w:w="0" w:type="dxa"/>
            <w:left w:w="0" w:type="dxa"/>
            <w:bottom w:w="0" w:type="dxa"/>
            <w:right w:w="0" w:type="dxa"/>
          </w:tblCellMar>
        </w:tblPrEx>
        <w:trPr>
          <w:trHeight w:val="601" w:hRule="atLeast"/>
        </w:trPr>
        <w:tc>
          <w:tcPr>
            <w:tcW w:w="67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4F0A7CFD">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33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40B4380E">
            <w:pPr>
              <w:spacing w:line="300" w:lineRule="exact"/>
              <w:jc w:val="center"/>
              <w:rPr>
                <w:rFonts w:ascii="宋体" w:hAnsi="宋体" w:cs="宋体"/>
                <w:color w:val="auto"/>
                <w:sz w:val="24"/>
                <w:highlight w:val="none"/>
              </w:rPr>
            </w:pPr>
          </w:p>
        </w:tc>
        <w:tc>
          <w:tcPr>
            <w:tcW w:w="840" w:type="dxa"/>
            <w:tcBorders>
              <w:top w:val="nil"/>
              <w:left w:val="nil"/>
              <w:bottom w:val="single" w:color="auto" w:sz="4" w:space="0"/>
              <w:right w:val="single" w:color="auto" w:sz="4" w:space="0"/>
            </w:tcBorders>
            <w:tcMar>
              <w:top w:w="15" w:type="dxa"/>
              <w:left w:w="15" w:type="dxa"/>
              <w:bottom w:w="0" w:type="dxa"/>
              <w:right w:w="15" w:type="dxa"/>
            </w:tcMar>
            <w:vAlign w:val="center"/>
          </w:tcPr>
          <w:p w14:paraId="7AA2A651">
            <w:pPr>
              <w:spacing w:line="240" w:lineRule="exact"/>
              <w:jc w:val="center"/>
              <w:rPr>
                <w:rFonts w:ascii="宋体" w:hAnsi="宋体" w:cs="宋体"/>
                <w:color w:val="auto"/>
                <w:sz w:val="24"/>
                <w:highlight w:val="none"/>
              </w:rPr>
            </w:pPr>
          </w:p>
        </w:tc>
        <w:tc>
          <w:tcPr>
            <w:tcW w:w="795" w:type="dxa"/>
            <w:tcBorders>
              <w:top w:val="nil"/>
              <w:left w:val="nil"/>
              <w:bottom w:val="single" w:color="auto" w:sz="4" w:space="0"/>
              <w:right w:val="single" w:color="auto" w:sz="4" w:space="0"/>
            </w:tcBorders>
            <w:tcMar>
              <w:top w:w="15" w:type="dxa"/>
              <w:left w:w="15" w:type="dxa"/>
              <w:bottom w:w="0" w:type="dxa"/>
              <w:right w:w="15" w:type="dxa"/>
            </w:tcMar>
            <w:vAlign w:val="center"/>
          </w:tcPr>
          <w:p w14:paraId="328DB628">
            <w:pPr>
              <w:spacing w:line="240" w:lineRule="exact"/>
              <w:jc w:val="center"/>
              <w:rPr>
                <w:rFonts w:ascii="宋体" w:hAnsi="宋体" w:cs="宋体"/>
                <w:color w:val="auto"/>
                <w:sz w:val="24"/>
                <w:highlight w:val="none"/>
              </w:rPr>
            </w:pPr>
          </w:p>
        </w:tc>
        <w:tc>
          <w:tcPr>
            <w:tcW w:w="1107" w:type="dxa"/>
            <w:tcBorders>
              <w:top w:val="nil"/>
              <w:left w:val="nil"/>
              <w:bottom w:val="single" w:color="auto" w:sz="4" w:space="0"/>
              <w:right w:val="single" w:color="auto" w:sz="4" w:space="0"/>
            </w:tcBorders>
            <w:tcMar>
              <w:top w:w="15" w:type="dxa"/>
              <w:left w:w="15" w:type="dxa"/>
              <w:bottom w:w="0" w:type="dxa"/>
              <w:right w:w="15" w:type="dxa"/>
            </w:tcMar>
            <w:vAlign w:val="center"/>
          </w:tcPr>
          <w:p w14:paraId="4E62F883">
            <w:pPr>
              <w:spacing w:line="240" w:lineRule="exact"/>
              <w:jc w:val="center"/>
              <w:rPr>
                <w:rFonts w:ascii="宋体" w:hAnsi="宋体" w:cs="宋体"/>
                <w:color w:val="auto"/>
                <w:sz w:val="24"/>
                <w:highlight w:val="none"/>
              </w:rPr>
            </w:pPr>
          </w:p>
        </w:tc>
        <w:tc>
          <w:tcPr>
            <w:tcW w:w="768" w:type="dxa"/>
            <w:tcBorders>
              <w:top w:val="nil"/>
              <w:left w:val="nil"/>
              <w:bottom w:val="single" w:color="auto" w:sz="4" w:space="0"/>
              <w:right w:val="single" w:color="auto" w:sz="4" w:space="0"/>
            </w:tcBorders>
            <w:tcMar>
              <w:top w:w="15" w:type="dxa"/>
              <w:left w:w="15" w:type="dxa"/>
              <w:bottom w:w="0" w:type="dxa"/>
              <w:right w:w="15" w:type="dxa"/>
            </w:tcMar>
            <w:vAlign w:val="center"/>
          </w:tcPr>
          <w:p w14:paraId="261BB933">
            <w:pPr>
              <w:pStyle w:val="106"/>
              <w:widowControl w:val="0"/>
              <w:overflowPunct/>
              <w:autoSpaceDE/>
              <w:autoSpaceDN/>
              <w:adjustRightInd/>
              <w:spacing w:before="0" w:line="240" w:lineRule="exact"/>
              <w:jc w:val="center"/>
              <w:textAlignment w:val="auto"/>
              <w:rPr>
                <w:rFonts w:ascii="宋体" w:hAnsi="宋体" w:cs="宋体"/>
                <w:color w:val="auto"/>
                <w:kern w:val="2"/>
                <w:szCs w:val="21"/>
                <w:highlight w:val="none"/>
              </w:rPr>
            </w:pPr>
          </w:p>
        </w:tc>
        <w:tc>
          <w:tcPr>
            <w:tcW w:w="750" w:type="dxa"/>
            <w:tcBorders>
              <w:top w:val="nil"/>
              <w:left w:val="nil"/>
              <w:bottom w:val="single" w:color="auto" w:sz="4" w:space="0"/>
              <w:right w:val="single" w:color="auto" w:sz="4" w:space="0"/>
            </w:tcBorders>
            <w:tcMar>
              <w:top w:w="15" w:type="dxa"/>
              <w:left w:w="15" w:type="dxa"/>
              <w:bottom w:w="0" w:type="dxa"/>
              <w:right w:w="15" w:type="dxa"/>
            </w:tcMar>
            <w:vAlign w:val="center"/>
          </w:tcPr>
          <w:p w14:paraId="4C04DCB1">
            <w:pPr>
              <w:spacing w:line="240" w:lineRule="exact"/>
              <w:jc w:val="center"/>
              <w:rPr>
                <w:rFonts w:ascii="宋体" w:hAnsi="宋体" w:cs="宋体"/>
                <w:color w:val="auto"/>
                <w:sz w:val="24"/>
                <w:highlight w:val="none"/>
              </w:rPr>
            </w:pPr>
          </w:p>
        </w:tc>
        <w:tc>
          <w:tcPr>
            <w:tcW w:w="1440" w:type="dxa"/>
            <w:tcBorders>
              <w:top w:val="nil"/>
              <w:left w:val="nil"/>
              <w:bottom w:val="single" w:color="auto" w:sz="4" w:space="0"/>
              <w:right w:val="single" w:color="auto" w:sz="4" w:space="0"/>
            </w:tcBorders>
            <w:tcMar>
              <w:top w:w="15" w:type="dxa"/>
              <w:left w:w="15" w:type="dxa"/>
              <w:bottom w:w="0" w:type="dxa"/>
              <w:right w:w="15" w:type="dxa"/>
            </w:tcMar>
            <w:vAlign w:val="center"/>
          </w:tcPr>
          <w:p w14:paraId="5E6A4369">
            <w:pPr>
              <w:spacing w:line="240" w:lineRule="exact"/>
              <w:jc w:val="center"/>
              <w:rPr>
                <w:rFonts w:ascii="宋体" w:hAnsi="宋体" w:cs="宋体"/>
                <w:color w:val="auto"/>
                <w:sz w:val="24"/>
                <w:highlight w:val="none"/>
              </w:rPr>
            </w:pPr>
          </w:p>
        </w:tc>
        <w:tc>
          <w:tcPr>
            <w:tcW w:w="900" w:type="dxa"/>
            <w:tcBorders>
              <w:top w:val="nil"/>
              <w:left w:val="nil"/>
              <w:bottom w:val="single" w:color="auto" w:sz="4" w:space="0"/>
              <w:right w:val="single" w:color="auto" w:sz="4" w:space="0"/>
            </w:tcBorders>
            <w:tcMar>
              <w:top w:w="15" w:type="dxa"/>
              <w:left w:w="15" w:type="dxa"/>
              <w:bottom w:w="0" w:type="dxa"/>
              <w:right w:w="15" w:type="dxa"/>
            </w:tcMar>
            <w:vAlign w:val="center"/>
          </w:tcPr>
          <w:p w14:paraId="3617DF05">
            <w:pPr>
              <w:spacing w:line="240" w:lineRule="exact"/>
              <w:jc w:val="center"/>
              <w:rPr>
                <w:rFonts w:ascii="宋体" w:hAnsi="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1048436">
            <w:pPr>
              <w:spacing w:line="240" w:lineRule="exact"/>
              <w:jc w:val="center"/>
              <w:rPr>
                <w:rFonts w:ascii="宋体" w:hAnsi="宋体" w:cs="宋体"/>
                <w:color w:val="auto"/>
                <w:sz w:val="24"/>
                <w:highlight w:val="none"/>
              </w:rPr>
            </w:pPr>
          </w:p>
        </w:tc>
      </w:tr>
      <w:tr w14:paraId="238A4709">
        <w:tblPrEx>
          <w:tblCellMar>
            <w:top w:w="0" w:type="dxa"/>
            <w:left w:w="0" w:type="dxa"/>
            <w:bottom w:w="0" w:type="dxa"/>
            <w:right w:w="0" w:type="dxa"/>
          </w:tblCellMar>
        </w:tblPrEx>
        <w:trPr>
          <w:trHeight w:val="601" w:hRule="atLeast"/>
        </w:trPr>
        <w:tc>
          <w:tcPr>
            <w:tcW w:w="67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1247D061">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133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263FFBFD">
            <w:pPr>
              <w:spacing w:line="300" w:lineRule="exact"/>
              <w:jc w:val="center"/>
              <w:rPr>
                <w:rFonts w:ascii="宋体" w:hAnsi="宋体" w:cs="宋体"/>
                <w:color w:val="auto"/>
                <w:sz w:val="24"/>
                <w:highlight w:val="none"/>
              </w:rPr>
            </w:pPr>
          </w:p>
        </w:tc>
        <w:tc>
          <w:tcPr>
            <w:tcW w:w="840" w:type="dxa"/>
            <w:tcBorders>
              <w:top w:val="nil"/>
              <w:left w:val="nil"/>
              <w:bottom w:val="single" w:color="auto" w:sz="4" w:space="0"/>
              <w:right w:val="single" w:color="auto" w:sz="4" w:space="0"/>
            </w:tcBorders>
            <w:tcMar>
              <w:top w:w="15" w:type="dxa"/>
              <w:left w:w="15" w:type="dxa"/>
              <w:bottom w:w="0" w:type="dxa"/>
              <w:right w:w="15" w:type="dxa"/>
            </w:tcMar>
            <w:vAlign w:val="center"/>
          </w:tcPr>
          <w:p w14:paraId="4A8FB075">
            <w:pPr>
              <w:spacing w:line="240" w:lineRule="exact"/>
              <w:jc w:val="center"/>
              <w:rPr>
                <w:rFonts w:ascii="宋体" w:hAnsi="宋体" w:cs="宋体"/>
                <w:color w:val="auto"/>
                <w:sz w:val="24"/>
                <w:highlight w:val="none"/>
              </w:rPr>
            </w:pPr>
          </w:p>
        </w:tc>
        <w:tc>
          <w:tcPr>
            <w:tcW w:w="795" w:type="dxa"/>
            <w:tcBorders>
              <w:top w:val="nil"/>
              <w:left w:val="nil"/>
              <w:bottom w:val="single" w:color="auto" w:sz="4" w:space="0"/>
              <w:right w:val="single" w:color="auto" w:sz="4" w:space="0"/>
            </w:tcBorders>
            <w:tcMar>
              <w:top w:w="15" w:type="dxa"/>
              <w:left w:w="15" w:type="dxa"/>
              <w:bottom w:w="0" w:type="dxa"/>
              <w:right w:w="15" w:type="dxa"/>
            </w:tcMar>
            <w:vAlign w:val="center"/>
          </w:tcPr>
          <w:p w14:paraId="655B5968">
            <w:pPr>
              <w:spacing w:line="240" w:lineRule="exact"/>
              <w:jc w:val="center"/>
              <w:rPr>
                <w:rFonts w:ascii="宋体" w:hAnsi="宋体" w:cs="宋体"/>
                <w:color w:val="auto"/>
                <w:sz w:val="24"/>
                <w:highlight w:val="none"/>
              </w:rPr>
            </w:pPr>
          </w:p>
        </w:tc>
        <w:tc>
          <w:tcPr>
            <w:tcW w:w="1107" w:type="dxa"/>
            <w:tcBorders>
              <w:top w:val="nil"/>
              <w:left w:val="nil"/>
              <w:bottom w:val="single" w:color="auto" w:sz="4" w:space="0"/>
              <w:right w:val="single" w:color="auto" w:sz="4" w:space="0"/>
            </w:tcBorders>
            <w:tcMar>
              <w:top w:w="15" w:type="dxa"/>
              <w:left w:w="15" w:type="dxa"/>
              <w:bottom w:w="0" w:type="dxa"/>
              <w:right w:w="15" w:type="dxa"/>
            </w:tcMar>
            <w:vAlign w:val="center"/>
          </w:tcPr>
          <w:p w14:paraId="7B33947E">
            <w:pPr>
              <w:spacing w:line="240" w:lineRule="exact"/>
              <w:jc w:val="center"/>
              <w:rPr>
                <w:rFonts w:ascii="宋体" w:hAnsi="宋体" w:cs="宋体"/>
                <w:color w:val="auto"/>
                <w:sz w:val="24"/>
                <w:highlight w:val="none"/>
              </w:rPr>
            </w:pPr>
          </w:p>
        </w:tc>
        <w:tc>
          <w:tcPr>
            <w:tcW w:w="768" w:type="dxa"/>
            <w:tcBorders>
              <w:top w:val="nil"/>
              <w:left w:val="nil"/>
              <w:bottom w:val="single" w:color="auto" w:sz="4" w:space="0"/>
              <w:right w:val="single" w:color="auto" w:sz="4" w:space="0"/>
            </w:tcBorders>
            <w:tcMar>
              <w:top w:w="15" w:type="dxa"/>
              <w:left w:w="15" w:type="dxa"/>
              <w:bottom w:w="0" w:type="dxa"/>
              <w:right w:w="15" w:type="dxa"/>
            </w:tcMar>
            <w:vAlign w:val="center"/>
          </w:tcPr>
          <w:p w14:paraId="3A15C8CD">
            <w:pPr>
              <w:spacing w:line="240" w:lineRule="exact"/>
              <w:jc w:val="center"/>
              <w:rPr>
                <w:rFonts w:ascii="宋体" w:hAnsi="宋体" w:cs="宋体"/>
                <w:color w:val="auto"/>
                <w:sz w:val="24"/>
                <w:highlight w:val="none"/>
              </w:rPr>
            </w:pPr>
          </w:p>
        </w:tc>
        <w:tc>
          <w:tcPr>
            <w:tcW w:w="750" w:type="dxa"/>
            <w:tcBorders>
              <w:top w:val="nil"/>
              <w:left w:val="nil"/>
              <w:bottom w:val="single" w:color="auto" w:sz="4" w:space="0"/>
              <w:right w:val="single" w:color="auto" w:sz="4" w:space="0"/>
            </w:tcBorders>
            <w:tcMar>
              <w:top w:w="15" w:type="dxa"/>
              <w:left w:w="15" w:type="dxa"/>
              <w:bottom w:w="0" w:type="dxa"/>
              <w:right w:w="15" w:type="dxa"/>
            </w:tcMar>
            <w:vAlign w:val="center"/>
          </w:tcPr>
          <w:p w14:paraId="70134238">
            <w:pPr>
              <w:spacing w:line="240" w:lineRule="exact"/>
              <w:jc w:val="center"/>
              <w:rPr>
                <w:rFonts w:ascii="宋体" w:hAnsi="宋体" w:cs="宋体"/>
                <w:color w:val="auto"/>
                <w:sz w:val="24"/>
                <w:highlight w:val="none"/>
              </w:rPr>
            </w:pPr>
          </w:p>
        </w:tc>
        <w:tc>
          <w:tcPr>
            <w:tcW w:w="1440" w:type="dxa"/>
            <w:tcBorders>
              <w:top w:val="nil"/>
              <w:left w:val="nil"/>
              <w:bottom w:val="single" w:color="auto" w:sz="4" w:space="0"/>
              <w:right w:val="single" w:color="auto" w:sz="4" w:space="0"/>
            </w:tcBorders>
            <w:tcMar>
              <w:top w:w="15" w:type="dxa"/>
              <w:left w:w="15" w:type="dxa"/>
              <w:bottom w:w="0" w:type="dxa"/>
              <w:right w:w="15" w:type="dxa"/>
            </w:tcMar>
            <w:vAlign w:val="center"/>
          </w:tcPr>
          <w:p w14:paraId="65FAEF5E">
            <w:pPr>
              <w:spacing w:line="240" w:lineRule="exact"/>
              <w:jc w:val="center"/>
              <w:rPr>
                <w:rFonts w:ascii="宋体" w:hAnsi="宋体" w:cs="宋体"/>
                <w:color w:val="auto"/>
                <w:sz w:val="24"/>
                <w:highlight w:val="none"/>
              </w:rPr>
            </w:pPr>
          </w:p>
        </w:tc>
        <w:tc>
          <w:tcPr>
            <w:tcW w:w="900" w:type="dxa"/>
            <w:tcBorders>
              <w:top w:val="nil"/>
              <w:left w:val="nil"/>
              <w:bottom w:val="single" w:color="auto" w:sz="4" w:space="0"/>
              <w:right w:val="single" w:color="auto" w:sz="4" w:space="0"/>
            </w:tcBorders>
            <w:tcMar>
              <w:top w:w="15" w:type="dxa"/>
              <w:left w:w="15" w:type="dxa"/>
              <w:bottom w:w="0" w:type="dxa"/>
              <w:right w:w="15" w:type="dxa"/>
            </w:tcMar>
            <w:vAlign w:val="center"/>
          </w:tcPr>
          <w:p w14:paraId="527560B1">
            <w:pPr>
              <w:spacing w:line="240" w:lineRule="exact"/>
              <w:jc w:val="center"/>
              <w:rPr>
                <w:rFonts w:ascii="宋体" w:hAnsi="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5787A7E">
            <w:pPr>
              <w:spacing w:line="240" w:lineRule="exact"/>
              <w:jc w:val="center"/>
              <w:rPr>
                <w:rFonts w:ascii="宋体" w:hAnsi="宋体" w:cs="宋体"/>
                <w:color w:val="auto"/>
                <w:sz w:val="24"/>
                <w:highlight w:val="none"/>
              </w:rPr>
            </w:pPr>
          </w:p>
        </w:tc>
      </w:tr>
      <w:tr w14:paraId="6865A252">
        <w:tblPrEx>
          <w:tblCellMar>
            <w:top w:w="0" w:type="dxa"/>
            <w:left w:w="0" w:type="dxa"/>
            <w:bottom w:w="0" w:type="dxa"/>
            <w:right w:w="0" w:type="dxa"/>
          </w:tblCellMar>
        </w:tblPrEx>
        <w:trPr>
          <w:trHeight w:val="601" w:hRule="atLeast"/>
        </w:trPr>
        <w:tc>
          <w:tcPr>
            <w:tcW w:w="67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64E24220">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133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33E0B505">
            <w:pPr>
              <w:spacing w:line="300" w:lineRule="exact"/>
              <w:jc w:val="center"/>
              <w:rPr>
                <w:rFonts w:ascii="宋体" w:hAnsi="宋体" w:cs="宋体"/>
                <w:color w:val="auto"/>
                <w:sz w:val="24"/>
                <w:highlight w:val="none"/>
              </w:rPr>
            </w:pPr>
          </w:p>
        </w:tc>
        <w:tc>
          <w:tcPr>
            <w:tcW w:w="840" w:type="dxa"/>
            <w:tcBorders>
              <w:top w:val="nil"/>
              <w:left w:val="nil"/>
              <w:bottom w:val="single" w:color="auto" w:sz="4" w:space="0"/>
              <w:right w:val="single" w:color="auto" w:sz="4" w:space="0"/>
            </w:tcBorders>
            <w:tcMar>
              <w:top w:w="15" w:type="dxa"/>
              <w:left w:w="15" w:type="dxa"/>
              <w:bottom w:w="0" w:type="dxa"/>
              <w:right w:w="15" w:type="dxa"/>
            </w:tcMar>
            <w:vAlign w:val="center"/>
          </w:tcPr>
          <w:p w14:paraId="366BBB8B">
            <w:pPr>
              <w:spacing w:line="240" w:lineRule="exact"/>
              <w:jc w:val="center"/>
              <w:rPr>
                <w:rFonts w:ascii="宋体" w:hAnsi="宋体" w:cs="宋体"/>
                <w:color w:val="auto"/>
                <w:sz w:val="24"/>
                <w:highlight w:val="none"/>
              </w:rPr>
            </w:pPr>
          </w:p>
        </w:tc>
        <w:tc>
          <w:tcPr>
            <w:tcW w:w="795" w:type="dxa"/>
            <w:tcBorders>
              <w:top w:val="nil"/>
              <w:left w:val="nil"/>
              <w:bottom w:val="single" w:color="auto" w:sz="4" w:space="0"/>
              <w:right w:val="single" w:color="auto" w:sz="4" w:space="0"/>
            </w:tcBorders>
            <w:tcMar>
              <w:top w:w="15" w:type="dxa"/>
              <w:left w:w="15" w:type="dxa"/>
              <w:bottom w:w="0" w:type="dxa"/>
              <w:right w:w="15" w:type="dxa"/>
            </w:tcMar>
            <w:vAlign w:val="center"/>
          </w:tcPr>
          <w:p w14:paraId="30D73E7C">
            <w:pPr>
              <w:spacing w:line="240" w:lineRule="exact"/>
              <w:jc w:val="center"/>
              <w:rPr>
                <w:rFonts w:ascii="宋体" w:hAnsi="宋体" w:cs="宋体"/>
                <w:color w:val="auto"/>
                <w:sz w:val="24"/>
                <w:highlight w:val="none"/>
              </w:rPr>
            </w:pPr>
          </w:p>
        </w:tc>
        <w:tc>
          <w:tcPr>
            <w:tcW w:w="1107" w:type="dxa"/>
            <w:tcBorders>
              <w:top w:val="nil"/>
              <w:left w:val="nil"/>
              <w:bottom w:val="single" w:color="auto" w:sz="4" w:space="0"/>
              <w:right w:val="single" w:color="auto" w:sz="4" w:space="0"/>
            </w:tcBorders>
            <w:tcMar>
              <w:top w:w="15" w:type="dxa"/>
              <w:left w:w="15" w:type="dxa"/>
              <w:bottom w:w="0" w:type="dxa"/>
              <w:right w:w="15" w:type="dxa"/>
            </w:tcMar>
            <w:vAlign w:val="center"/>
          </w:tcPr>
          <w:p w14:paraId="70A36E25">
            <w:pPr>
              <w:spacing w:line="240" w:lineRule="exact"/>
              <w:jc w:val="center"/>
              <w:rPr>
                <w:rFonts w:ascii="宋体" w:hAnsi="宋体" w:cs="宋体"/>
                <w:color w:val="auto"/>
                <w:sz w:val="24"/>
                <w:highlight w:val="none"/>
              </w:rPr>
            </w:pPr>
          </w:p>
        </w:tc>
        <w:tc>
          <w:tcPr>
            <w:tcW w:w="768" w:type="dxa"/>
            <w:tcBorders>
              <w:top w:val="nil"/>
              <w:left w:val="nil"/>
              <w:bottom w:val="single" w:color="auto" w:sz="4" w:space="0"/>
              <w:right w:val="single" w:color="auto" w:sz="4" w:space="0"/>
            </w:tcBorders>
            <w:tcMar>
              <w:top w:w="15" w:type="dxa"/>
              <w:left w:w="15" w:type="dxa"/>
              <w:bottom w:w="0" w:type="dxa"/>
              <w:right w:w="15" w:type="dxa"/>
            </w:tcMar>
            <w:vAlign w:val="center"/>
          </w:tcPr>
          <w:p w14:paraId="5DD5FEB7">
            <w:pPr>
              <w:spacing w:line="240" w:lineRule="exact"/>
              <w:jc w:val="center"/>
              <w:rPr>
                <w:rFonts w:ascii="宋体" w:hAnsi="宋体" w:cs="宋体"/>
                <w:color w:val="auto"/>
                <w:sz w:val="24"/>
                <w:highlight w:val="none"/>
              </w:rPr>
            </w:pPr>
          </w:p>
        </w:tc>
        <w:tc>
          <w:tcPr>
            <w:tcW w:w="750" w:type="dxa"/>
            <w:tcBorders>
              <w:top w:val="nil"/>
              <w:left w:val="nil"/>
              <w:bottom w:val="single" w:color="auto" w:sz="4" w:space="0"/>
              <w:right w:val="single" w:color="auto" w:sz="4" w:space="0"/>
            </w:tcBorders>
            <w:tcMar>
              <w:top w:w="15" w:type="dxa"/>
              <w:left w:w="15" w:type="dxa"/>
              <w:bottom w:w="0" w:type="dxa"/>
              <w:right w:w="15" w:type="dxa"/>
            </w:tcMar>
            <w:vAlign w:val="center"/>
          </w:tcPr>
          <w:p w14:paraId="6E6E8807">
            <w:pPr>
              <w:spacing w:line="240" w:lineRule="exact"/>
              <w:jc w:val="center"/>
              <w:rPr>
                <w:rFonts w:ascii="宋体" w:hAnsi="宋体" w:cs="宋体"/>
                <w:color w:val="auto"/>
                <w:sz w:val="24"/>
                <w:highlight w:val="none"/>
              </w:rPr>
            </w:pPr>
          </w:p>
        </w:tc>
        <w:tc>
          <w:tcPr>
            <w:tcW w:w="1440" w:type="dxa"/>
            <w:tcBorders>
              <w:top w:val="nil"/>
              <w:left w:val="nil"/>
              <w:bottom w:val="single" w:color="auto" w:sz="4" w:space="0"/>
              <w:right w:val="single" w:color="auto" w:sz="4" w:space="0"/>
            </w:tcBorders>
            <w:tcMar>
              <w:top w:w="15" w:type="dxa"/>
              <w:left w:w="15" w:type="dxa"/>
              <w:bottom w:w="0" w:type="dxa"/>
              <w:right w:w="15" w:type="dxa"/>
            </w:tcMar>
            <w:vAlign w:val="center"/>
          </w:tcPr>
          <w:p w14:paraId="1869A0D6">
            <w:pPr>
              <w:spacing w:line="240" w:lineRule="exact"/>
              <w:jc w:val="center"/>
              <w:rPr>
                <w:rFonts w:ascii="宋体" w:hAnsi="宋体" w:cs="宋体"/>
                <w:color w:val="auto"/>
                <w:sz w:val="24"/>
                <w:highlight w:val="none"/>
              </w:rPr>
            </w:pPr>
          </w:p>
        </w:tc>
        <w:tc>
          <w:tcPr>
            <w:tcW w:w="900" w:type="dxa"/>
            <w:tcBorders>
              <w:top w:val="nil"/>
              <w:left w:val="nil"/>
              <w:bottom w:val="single" w:color="auto" w:sz="4" w:space="0"/>
              <w:right w:val="single" w:color="auto" w:sz="4" w:space="0"/>
            </w:tcBorders>
            <w:tcMar>
              <w:top w:w="15" w:type="dxa"/>
              <w:left w:w="15" w:type="dxa"/>
              <w:bottom w:w="0" w:type="dxa"/>
              <w:right w:w="15" w:type="dxa"/>
            </w:tcMar>
            <w:vAlign w:val="center"/>
          </w:tcPr>
          <w:p w14:paraId="50660FB4">
            <w:pPr>
              <w:spacing w:line="240" w:lineRule="exact"/>
              <w:jc w:val="center"/>
              <w:rPr>
                <w:rFonts w:ascii="宋体" w:hAnsi="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C65D27D">
            <w:pPr>
              <w:spacing w:line="240" w:lineRule="exact"/>
              <w:jc w:val="center"/>
              <w:rPr>
                <w:rFonts w:ascii="宋体" w:hAnsi="宋体" w:cs="宋体"/>
                <w:color w:val="auto"/>
                <w:sz w:val="24"/>
                <w:highlight w:val="none"/>
              </w:rPr>
            </w:pPr>
          </w:p>
        </w:tc>
      </w:tr>
      <w:tr w14:paraId="743D49D3">
        <w:tblPrEx>
          <w:tblCellMar>
            <w:top w:w="0" w:type="dxa"/>
            <w:left w:w="0" w:type="dxa"/>
            <w:bottom w:w="0" w:type="dxa"/>
            <w:right w:w="0" w:type="dxa"/>
          </w:tblCellMar>
        </w:tblPrEx>
        <w:trPr>
          <w:trHeight w:val="601" w:hRule="atLeast"/>
        </w:trPr>
        <w:tc>
          <w:tcPr>
            <w:tcW w:w="67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3D617D92">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6</w:t>
            </w:r>
          </w:p>
        </w:tc>
        <w:tc>
          <w:tcPr>
            <w:tcW w:w="133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4F7DA1A0">
            <w:pPr>
              <w:spacing w:line="300" w:lineRule="exact"/>
              <w:jc w:val="center"/>
              <w:rPr>
                <w:rFonts w:ascii="宋体" w:hAnsi="宋体" w:cs="宋体"/>
                <w:color w:val="auto"/>
                <w:sz w:val="24"/>
                <w:highlight w:val="none"/>
              </w:rPr>
            </w:pPr>
          </w:p>
        </w:tc>
        <w:tc>
          <w:tcPr>
            <w:tcW w:w="840" w:type="dxa"/>
            <w:tcBorders>
              <w:top w:val="nil"/>
              <w:left w:val="nil"/>
              <w:bottom w:val="single" w:color="auto" w:sz="4" w:space="0"/>
              <w:right w:val="single" w:color="auto" w:sz="4" w:space="0"/>
            </w:tcBorders>
            <w:tcMar>
              <w:top w:w="15" w:type="dxa"/>
              <w:left w:w="15" w:type="dxa"/>
              <w:bottom w:w="0" w:type="dxa"/>
              <w:right w:w="15" w:type="dxa"/>
            </w:tcMar>
            <w:vAlign w:val="center"/>
          </w:tcPr>
          <w:p w14:paraId="5A93C8E1">
            <w:pPr>
              <w:spacing w:line="240" w:lineRule="exact"/>
              <w:jc w:val="center"/>
              <w:rPr>
                <w:rFonts w:ascii="宋体" w:hAnsi="宋体" w:cs="宋体"/>
                <w:color w:val="auto"/>
                <w:sz w:val="24"/>
                <w:highlight w:val="none"/>
              </w:rPr>
            </w:pPr>
          </w:p>
        </w:tc>
        <w:tc>
          <w:tcPr>
            <w:tcW w:w="795" w:type="dxa"/>
            <w:tcBorders>
              <w:top w:val="nil"/>
              <w:left w:val="nil"/>
              <w:bottom w:val="single" w:color="auto" w:sz="4" w:space="0"/>
              <w:right w:val="single" w:color="auto" w:sz="4" w:space="0"/>
            </w:tcBorders>
            <w:tcMar>
              <w:top w:w="15" w:type="dxa"/>
              <w:left w:w="15" w:type="dxa"/>
              <w:bottom w:w="0" w:type="dxa"/>
              <w:right w:w="15" w:type="dxa"/>
            </w:tcMar>
            <w:vAlign w:val="center"/>
          </w:tcPr>
          <w:p w14:paraId="2F26CC7F">
            <w:pPr>
              <w:spacing w:line="240" w:lineRule="exact"/>
              <w:jc w:val="center"/>
              <w:rPr>
                <w:rFonts w:ascii="宋体" w:hAnsi="宋体" w:cs="宋体"/>
                <w:color w:val="auto"/>
                <w:sz w:val="24"/>
                <w:highlight w:val="none"/>
              </w:rPr>
            </w:pPr>
          </w:p>
        </w:tc>
        <w:tc>
          <w:tcPr>
            <w:tcW w:w="1107" w:type="dxa"/>
            <w:tcBorders>
              <w:top w:val="nil"/>
              <w:left w:val="nil"/>
              <w:bottom w:val="single" w:color="auto" w:sz="4" w:space="0"/>
              <w:right w:val="single" w:color="auto" w:sz="4" w:space="0"/>
            </w:tcBorders>
            <w:tcMar>
              <w:top w:w="15" w:type="dxa"/>
              <w:left w:w="15" w:type="dxa"/>
              <w:bottom w:w="0" w:type="dxa"/>
              <w:right w:w="15" w:type="dxa"/>
            </w:tcMar>
            <w:vAlign w:val="center"/>
          </w:tcPr>
          <w:p w14:paraId="19A05986">
            <w:pPr>
              <w:spacing w:line="240" w:lineRule="exact"/>
              <w:jc w:val="center"/>
              <w:rPr>
                <w:rFonts w:ascii="宋体" w:hAnsi="宋体" w:cs="宋体"/>
                <w:color w:val="auto"/>
                <w:sz w:val="24"/>
                <w:highlight w:val="none"/>
              </w:rPr>
            </w:pPr>
          </w:p>
        </w:tc>
        <w:tc>
          <w:tcPr>
            <w:tcW w:w="768" w:type="dxa"/>
            <w:tcBorders>
              <w:top w:val="nil"/>
              <w:left w:val="nil"/>
              <w:bottom w:val="single" w:color="auto" w:sz="4" w:space="0"/>
              <w:right w:val="single" w:color="auto" w:sz="4" w:space="0"/>
            </w:tcBorders>
            <w:tcMar>
              <w:top w:w="15" w:type="dxa"/>
              <w:left w:w="15" w:type="dxa"/>
              <w:bottom w:w="0" w:type="dxa"/>
              <w:right w:w="15" w:type="dxa"/>
            </w:tcMar>
            <w:vAlign w:val="center"/>
          </w:tcPr>
          <w:p w14:paraId="7528F094">
            <w:pPr>
              <w:spacing w:line="240" w:lineRule="exact"/>
              <w:jc w:val="center"/>
              <w:rPr>
                <w:rFonts w:ascii="宋体" w:hAnsi="宋体" w:cs="宋体"/>
                <w:color w:val="auto"/>
                <w:sz w:val="24"/>
                <w:highlight w:val="none"/>
              </w:rPr>
            </w:pPr>
          </w:p>
        </w:tc>
        <w:tc>
          <w:tcPr>
            <w:tcW w:w="750" w:type="dxa"/>
            <w:tcBorders>
              <w:top w:val="nil"/>
              <w:left w:val="nil"/>
              <w:bottom w:val="single" w:color="auto" w:sz="4" w:space="0"/>
              <w:right w:val="single" w:color="auto" w:sz="4" w:space="0"/>
            </w:tcBorders>
            <w:tcMar>
              <w:top w:w="15" w:type="dxa"/>
              <w:left w:w="15" w:type="dxa"/>
              <w:bottom w:w="0" w:type="dxa"/>
              <w:right w:w="15" w:type="dxa"/>
            </w:tcMar>
            <w:vAlign w:val="center"/>
          </w:tcPr>
          <w:p w14:paraId="7872B525">
            <w:pPr>
              <w:spacing w:line="240" w:lineRule="exact"/>
              <w:jc w:val="center"/>
              <w:rPr>
                <w:rFonts w:ascii="宋体" w:hAnsi="宋体" w:cs="宋体"/>
                <w:color w:val="auto"/>
                <w:sz w:val="24"/>
                <w:highlight w:val="none"/>
              </w:rPr>
            </w:pPr>
          </w:p>
        </w:tc>
        <w:tc>
          <w:tcPr>
            <w:tcW w:w="1440" w:type="dxa"/>
            <w:tcBorders>
              <w:top w:val="nil"/>
              <w:left w:val="nil"/>
              <w:bottom w:val="single" w:color="auto" w:sz="4" w:space="0"/>
              <w:right w:val="single" w:color="auto" w:sz="4" w:space="0"/>
            </w:tcBorders>
            <w:tcMar>
              <w:top w:w="15" w:type="dxa"/>
              <w:left w:w="15" w:type="dxa"/>
              <w:bottom w:w="0" w:type="dxa"/>
              <w:right w:w="15" w:type="dxa"/>
            </w:tcMar>
            <w:vAlign w:val="center"/>
          </w:tcPr>
          <w:p w14:paraId="5BB7C888">
            <w:pPr>
              <w:spacing w:line="240" w:lineRule="exact"/>
              <w:jc w:val="center"/>
              <w:rPr>
                <w:rFonts w:ascii="宋体" w:hAnsi="宋体" w:cs="宋体"/>
                <w:color w:val="auto"/>
                <w:sz w:val="24"/>
                <w:highlight w:val="none"/>
              </w:rPr>
            </w:pPr>
          </w:p>
        </w:tc>
        <w:tc>
          <w:tcPr>
            <w:tcW w:w="900" w:type="dxa"/>
            <w:tcBorders>
              <w:top w:val="nil"/>
              <w:left w:val="nil"/>
              <w:bottom w:val="single" w:color="auto" w:sz="4" w:space="0"/>
              <w:right w:val="single" w:color="auto" w:sz="4" w:space="0"/>
            </w:tcBorders>
            <w:tcMar>
              <w:top w:w="15" w:type="dxa"/>
              <w:left w:w="15" w:type="dxa"/>
              <w:bottom w:w="0" w:type="dxa"/>
              <w:right w:w="15" w:type="dxa"/>
            </w:tcMar>
            <w:vAlign w:val="center"/>
          </w:tcPr>
          <w:p w14:paraId="7794B2C7">
            <w:pPr>
              <w:spacing w:line="240" w:lineRule="exact"/>
              <w:jc w:val="center"/>
              <w:rPr>
                <w:rFonts w:ascii="宋体" w:hAnsi="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D76967F">
            <w:pPr>
              <w:spacing w:line="240" w:lineRule="exact"/>
              <w:jc w:val="center"/>
              <w:rPr>
                <w:rFonts w:ascii="宋体" w:hAnsi="宋体" w:cs="宋体"/>
                <w:color w:val="auto"/>
                <w:sz w:val="24"/>
                <w:highlight w:val="none"/>
              </w:rPr>
            </w:pPr>
          </w:p>
        </w:tc>
      </w:tr>
      <w:tr w14:paraId="04ED10B9">
        <w:tblPrEx>
          <w:tblCellMar>
            <w:top w:w="0" w:type="dxa"/>
            <w:left w:w="0" w:type="dxa"/>
            <w:bottom w:w="0" w:type="dxa"/>
            <w:right w:w="0" w:type="dxa"/>
          </w:tblCellMar>
        </w:tblPrEx>
        <w:trPr>
          <w:trHeight w:val="601" w:hRule="atLeast"/>
        </w:trPr>
        <w:tc>
          <w:tcPr>
            <w:tcW w:w="67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36003855">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7</w:t>
            </w:r>
          </w:p>
        </w:tc>
        <w:tc>
          <w:tcPr>
            <w:tcW w:w="133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560957A7">
            <w:pPr>
              <w:spacing w:line="300" w:lineRule="exact"/>
              <w:jc w:val="center"/>
              <w:rPr>
                <w:rFonts w:ascii="宋体" w:hAnsi="宋体" w:cs="宋体"/>
                <w:color w:val="auto"/>
                <w:sz w:val="24"/>
                <w:highlight w:val="none"/>
              </w:rPr>
            </w:pPr>
          </w:p>
        </w:tc>
        <w:tc>
          <w:tcPr>
            <w:tcW w:w="840" w:type="dxa"/>
            <w:tcBorders>
              <w:top w:val="nil"/>
              <w:left w:val="nil"/>
              <w:bottom w:val="single" w:color="auto" w:sz="4" w:space="0"/>
              <w:right w:val="single" w:color="auto" w:sz="4" w:space="0"/>
            </w:tcBorders>
            <w:tcMar>
              <w:top w:w="15" w:type="dxa"/>
              <w:left w:w="15" w:type="dxa"/>
              <w:bottom w:w="0" w:type="dxa"/>
              <w:right w:w="15" w:type="dxa"/>
            </w:tcMar>
            <w:vAlign w:val="center"/>
          </w:tcPr>
          <w:p w14:paraId="0A86E513">
            <w:pPr>
              <w:spacing w:line="240" w:lineRule="exact"/>
              <w:jc w:val="center"/>
              <w:rPr>
                <w:rFonts w:ascii="宋体" w:hAnsi="宋体" w:cs="宋体"/>
                <w:color w:val="auto"/>
                <w:sz w:val="24"/>
                <w:highlight w:val="none"/>
              </w:rPr>
            </w:pPr>
          </w:p>
        </w:tc>
        <w:tc>
          <w:tcPr>
            <w:tcW w:w="795" w:type="dxa"/>
            <w:tcBorders>
              <w:top w:val="nil"/>
              <w:left w:val="nil"/>
              <w:bottom w:val="single" w:color="auto" w:sz="4" w:space="0"/>
              <w:right w:val="single" w:color="auto" w:sz="4" w:space="0"/>
            </w:tcBorders>
            <w:tcMar>
              <w:top w:w="15" w:type="dxa"/>
              <w:left w:w="15" w:type="dxa"/>
              <w:bottom w:w="0" w:type="dxa"/>
              <w:right w:w="15" w:type="dxa"/>
            </w:tcMar>
            <w:vAlign w:val="center"/>
          </w:tcPr>
          <w:p w14:paraId="62C94DDB">
            <w:pPr>
              <w:spacing w:line="240" w:lineRule="exact"/>
              <w:jc w:val="center"/>
              <w:rPr>
                <w:rFonts w:ascii="宋体" w:hAnsi="宋体" w:cs="宋体"/>
                <w:color w:val="auto"/>
                <w:sz w:val="24"/>
                <w:highlight w:val="none"/>
              </w:rPr>
            </w:pPr>
          </w:p>
        </w:tc>
        <w:tc>
          <w:tcPr>
            <w:tcW w:w="1107" w:type="dxa"/>
            <w:tcBorders>
              <w:top w:val="nil"/>
              <w:left w:val="nil"/>
              <w:bottom w:val="single" w:color="auto" w:sz="4" w:space="0"/>
              <w:right w:val="single" w:color="auto" w:sz="4" w:space="0"/>
            </w:tcBorders>
            <w:tcMar>
              <w:top w:w="15" w:type="dxa"/>
              <w:left w:w="15" w:type="dxa"/>
              <w:bottom w:w="0" w:type="dxa"/>
              <w:right w:w="15" w:type="dxa"/>
            </w:tcMar>
            <w:vAlign w:val="center"/>
          </w:tcPr>
          <w:p w14:paraId="0C651F73">
            <w:pPr>
              <w:spacing w:line="240" w:lineRule="exact"/>
              <w:jc w:val="center"/>
              <w:rPr>
                <w:rFonts w:ascii="宋体" w:hAnsi="宋体" w:cs="宋体"/>
                <w:color w:val="auto"/>
                <w:sz w:val="24"/>
                <w:highlight w:val="none"/>
              </w:rPr>
            </w:pPr>
          </w:p>
        </w:tc>
        <w:tc>
          <w:tcPr>
            <w:tcW w:w="768" w:type="dxa"/>
            <w:tcBorders>
              <w:top w:val="nil"/>
              <w:left w:val="nil"/>
              <w:bottom w:val="single" w:color="auto" w:sz="4" w:space="0"/>
              <w:right w:val="single" w:color="auto" w:sz="4" w:space="0"/>
            </w:tcBorders>
            <w:tcMar>
              <w:top w:w="15" w:type="dxa"/>
              <w:left w:w="15" w:type="dxa"/>
              <w:bottom w:w="0" w:type="dxa"/>
              <w:right w:w="15" w:type="dxa"/>
            </w:tcMar>
            <w:vAlign w:val="center"/>
          </w:tcPr>
          <w:p w14:paraId="10887481">
            <w:pPr>
              <w:spacing w:line="240" w:lineRule="exact"/>
              <w:jc w:val="center"/>
              <w:rPr>
                <w:rFonts w:ascii="宋体" w:hAnsi="宋体" w:cs="宋体"/>
                <w:color w:val="auto"/>
                <w:sz w:val="24"/>
                <w:highlight w:val="none"/>
              </w:rPr>
            </w:pPr>
          </w:p>
        </w:tc>
        <w:tc>
          <w:tcPr>
            <w:tcW w:w="750" w:type="dxa"/>
            <w:tcBorders>
              <w:top w:val="nil"/>
              <w:left w:val="nil"/>
              <w:bottom w:val="single" w:color="auto" w:sz="4" w:space="0"/>
              <w:right w:val="single" w:color="auto" w:sz="4" w:space="0"/>
            </w:tcBorders>
            <w:tcMar>
              <w:top w:w="15" w:type="dxa"/>
              <w:left w:w="15" w:type="dxa"/>
              <w:bottom w:w="0" w:type="dxa"/>
              <w:right w:w="15" w:type="dxa"/>
            </w:tcMar>
            <w:vAlign w:val="center"/>
          </w:tcPr>
          <w:p w14:paraId="67403380">
            <w:pPr>
              <w:spacing w:line="240" w:lineRule="exact"/>
              <w:jc w:val="center"/>
              <w:rPr>
                <w:rFonts w:ascii="宋体" w:hAnsi="宋体" w:cs="宋体"/>
                <w:color w:val="auto"/>
                <w:sz w:val="24"/>
                <w:highlight w:val="none"/>
              </w:rPr>
            </w:pPr>
          </w:p>
        </w:tc>
        <w:tc>
          <w:tcPr>
            <w:tcW w:w="1440" w:type="dxa"/>
            <w:tcBorders>
              <w:top w:val="nil"/>
              <w:left w:val="nil"/>
              <w:bottom w:val="single" w:color="auto" w:sz="4" w:space="0"/>
              <w:right w:val="single" w:color="auto" w:sz="4" w:space="0"/>
            </w:tcBorders>
            <w:tcMar>
              <w:top w:w="15" w:type="dxa"/>
              <w:left w:w="15" w:type="dxa"/>
              <w:bottom w:w="0" w:type="dxa"/>
              <w:right w:w="15" w:type="dxa"/>
            </w:tcMar>
            <w:vAlign w:val="center"/>
          </w:tcPr>
          <w:p w14:paraId="548C94FF">
            <w:pPr>
              <w:spacing w:line="240" w:lineRule="exact"/>
              <w:jc w:val="center"/>
              <w:rPr>
                <w:rFonts w:ascii="宋体" w:hAnsi="宋体" w:cs="宋体"/>
                <w:color w:val="auto"/>
                <w:sz w:val="24"/>
                <w:highlight w:val="none"/>
              </w:rPr>
            </w:pPr>
          </w:p>
        </w:tc>
        <w:tc>
          <w:tcPr>
            <w:tcW w:w="900" w:type="dxa"/>
            <w:tcBorders>
              <w:top w:val="nil"/>
              <w:left w:val="nil"/>
              <w:bottom w:val="single" w:color="auto" w:sz="4" w:space="0"/>
              <w:right w:val="single" w:color="auto" w:sz="4" w:space="0"/>
            </w:tcBorders>
            <w:tcMar>
              <w:top w:w="15" w:type="dxa"/>
              <w:left w:w="15" w:type="dxa"/>
              <w:bottom w:w="0" w:type="dxa"/>
              <w:right w:w="15" w:type="dxa"/>
            </w:tcMar>
            <w:vAlign w:val="center"/>
          </w:tcPr>
          <w:p w14:paraId="30F3D783">
            <w:pPr>
              <w:spacing w:line="240" w:lineRule="exact"/>
              <w:jc w:val="center"/>
              <w:rPr>
                <w:rFonts w:ascii="宋体" w:hAnsi="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D6E6371">
            <w:pPr>
              <w:spacing w:line="240" w:lineRule="exact"/>
              <w:jc w:val="center"/>
              <w:rPr>
                <w:rFonts w:ascii="宋体" w:hAnsi="宋体" w:cs="宋体"/>
                <w:color w:val="auto"/>
                <w:sz w:val="24"/>
                <w:highlight w:val="none"/>
              </w:rPr>
            </w:pPr>
          </w:p>
        </w:tc>
      </w:tr>
      <w:tr w14:paraId="1DF3430F">
        <w:tblPrEx>
          <w:tblCellMar>
            <w:top w:w="0" w:type="dxa"/>
            <w:left w:w="0" w:type="dxa"/>
            <w:bottom w:w="0" w:type="dxa"/>
            <w:right w:w="0" w:type="dxa"/>
          </w:tblCellMar>
        </w:tblPrEx>
        <w:trPr>
          <w:trHeight w:val="601" w:hRule="atLeast"/>
        </w:trPr>
        <w:tc>
          <w:tcPr>
            <w:tcW w:w="67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2327DB3E">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8</w:t>
            </w:r>
          </w:p>
        </w:tc>
        <w:tc>
          <w:tcPr>
            <w:tcW w:w="133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25C15D40">
            <w:pPr>
              <w:spacing w:line="300" w:lineRule="exact"/>
              <w:jc w:val="center"/>
              <w:rPr>
                <w:rFonts w:ascii="宋体" w:hAnsi="宋体" w:cs="宋体"/>
                <w:color w:val="auto"/>
                <w:sz w:val="24"/>
                <w:highlight w:val="none"/>
              </w:rPr>
            </w:pPr>
          </w:p>
        </w:tc>
        <w:tc>
          <w:tcPr>
            <w:tcW w:w="840" w:type="dxa"/>
            <w:tcBorders>
              <w:top w:val="nil"/>
              <w:left w:val="nil"/>
              <w:bottom w:val="single" w:color="auto" w:sz="4" w:space="0"/>
              <w:right w:val="single" w:color="auto" w:sz="4" w:space="0"/>
            </w:tcBorders>
            <w:tcMar>
              <w:top w:w="15" w:type="dxa"/>
              <w:left w:w="15" w:type="dxa"/>
              <w:bottom w:w="0" w:type="dxa"/>
              <w:right w:w="15" w:type="dxa"/>
            </w:tcMar>
            <w:vAlign w:val="center"/>
          </w:tcPr>
          <w:p w14:paraId="7FEC50A3">
            <w:pPr>
              <w:spacing w:line="240" w:lineRule="exact"/>
              <w:jc w:val="center"/>
              <w:rPr>
                <w:rFonts w:ascii="宋体" w:hAnsi="宋体" w:cs="宋体"/>
                <w:color w:val="auto"/>
                <w:sz w:val="24"/>
                <w:highlight w:val="none"/>
              </w:rPr>
            </w:pPr>
          </w:p>
        </w:tc>
        <w:tc>
          <w:tcPr>
            <w:tcW w:w="795" w:type="dxa"/>
            <w:tcBorders>
              <w:top w:val="nil"/>
              <w:left w:val="nil"/>
              <w:bottom w:val="single" w:color="auto" w:sz="4" w:space="0"/>
              <w:right w:val="single" w:color="auto" w:sz="4" w:space="0"/>
            </w:tcBorders>
            <w:tcMar>
              <w:top w:w="15" w:type="dxa"/>
              <w:left w:w="15" w:type="dxa"/>
              <w:bottom w:w="0" w:type="dxa"/>
              <w:right w:w="15" w:type="dxa"/>
            </w:tcMar>
            <w:vAlign w:val="center"/>
          </w:tcPr>
          <w:p w14:paraId="1DA4FB22">
            <w:pPr>
              <w:spacing w:line="240" w:lineRule="exact"/>
              <w:jc w:val="center"/>
              <w:rPr>
                <w:rFonts w:ascii="宋体" w:hAnsi="宋体" w:cs="宋体"/>
                <w:color w:val="auto"/>
                <w:sz w:val="24"/>
                <w:highlight w:val="none"/>
              </w:rPr>
            </w:pPr>
          </w:p>
        </w:tc>
        <w:tc>
          <w:tcPr>
            <w:tcW w:w="1107" w:type="dxa"/>
            <w:tcBorders>
              <w:top w:val="nil"/>
              <w:left w:val="nil"/>
              <w:bottom w:val="single" w:color="auto" w:sz="4" w:space="0"/>
              <w:right w:val="single" w:color="auto" w:sz="4" w:space="0"/>
            </w:tcBorders>
            <w:tcMar>
              <w:top w:w="15" w:type="dxa"/>
              <w:left w:w="15" w:type="dxa"/>
              <w:bottom w:w="0" w:type="dxa"/>
              <w:right w:w="15" w:type="dxa"/>
            </w:tcMar>
            <w:vAlign w:val="center"/>
          </w:tcPr>
          <w:p w14:paraId="63D34769">
            <w:pPr>
              <w:spacing w:line="240" w:lineRule="exact"/>
              <w:jc w:val="center"/>
              <w:rPr>
                <w:rFonts w:ascii="宋体" w:hAnsi="宋体" w:cs="宋体"/>
                <w:color w:val="auto"/>
                <w:sz w:val="24"/>
                <w:highlight w:val="none"/>
              </w:rPr>
            </w:pPr>
          </w:p>
        </w:tc>
        <w:tc>
          <w:tcPr>
            <w:tcW w:w="768" w:type="dxa"/>
            <w:tcBorders>
              <w:top w:val="nil"/>
              <w:left w:val="nil"/>
              <w:bottom w:val="single" w:color="auto" w:sz="4" w:space="0"/>
              <w:right w:val="single" w:color="auto" w:sz="4" w:space="0"/>
            </w:tcBorders>
            <w:tcMar>
              <w:top w:w="15" w:type="dxa"/>
              <w:left w:w="15" w:type="dxa"/>
              <w:bottom w:w="0" w:type="dxa"/>
              <w:right w:w="15" w:type="dxa"/>
            </w:tcMar>
            <w:vAlign w:val="center"/>
          </w:tcPr>
          <w:p w14:paraId="66D34E7F">
            <w:pPr>
              <w:spacing w:line="240" w:lineRule="exact"/>
              <w:jc w:val="center"/>
              <w:rPr>
                <w:rFonts w:ascii="宋体" w:hAnsi="宋体" w:cs="宋体"/>
                <w:color w:val="auto"/>
                <w:sz w:val="24"/>
                <w:highlight w:val="none"/>
              </w:rPr>
            </w:pPr>
          </w:p>
        </w:tc>
        <w:tc>
          <w:tcPr>
            <w:tcW w:w="750" w:type="dxa"/>
            <w:tcBorders>
              <w:top w:val="nil"/>
              <w:left w:val="nil"/>
              <w:bottom w:val="single" w:color="auto" w:sz="4" w:space="0"/>
              <w:right w:val="single" w:color="auto" w:sz="4" w:space="0"/>
            </w:tcBorders>
            <w:tcMar>
              <w:top w:w="15" w:type="dxa"/>
              <w:left w:w="15" w:type="dxa"/>
              <w:bottom w:w="0" w:type="dxa"/>
              <w:right w:w="15" w:type="dxa"/>
            </w:tcMar>
            <w:vAlign w:val="center"/>
          </w:tcPr>
          <w:p w14:paraId="5AE630E3">
            <w:pPr>
              <w:spacing w:line="240" w:lineRule="exact"/>
              <w:jc w:val="center"/>
              <w:rPr>
                <w:rFonts w:ascii="宋体" w:hAnsi="宋体" w:cs="宋体"/>
                <w:color w:val="auto"/>
                <w:sz w:val="24"/>
                <w:highlight w:val="none"/>
              </w:rPr>
            </w:pPr>
          </w:p>
        </w:tc>
        <w:tc>
          <w:tcPr>
            <w:tcW w:w="1440" w:type="dxa"/>
            <w:tcBorders>
              <w:top w:val="nil"/>
              <w:left w:val="nil"/>
              <w:bottom w:val="single" w:color="auto" w:sz="4" w:space="0"/>
              <w:right w:val="single" w:color="auto" w:sz="4" w:space="0"/>
            </w:tcBorders>
            <w:tcMar>
              <w:top w:w="15" w:type="dxa"/>
              <w:left w:w="15" w:type="dxa"/>
              <w:bottom w:w="0" w:type="dxa"/>
              <w:right w:w="15" w:type="dxa"/>
            </w:tcMar>
            <w:vAlign w:val="center"/>
          </w:tcPr>
          <w:p w14:paraId="782874D1">
            <w:pPr>
              <w:spacing w:line="240" w:lineRule="exact"/>
              <w:jc w:val="center"/>
              <w:rPr>
                <w:rFonts w:ascii="宋体" w:hAnsi="宋体" w:cs="宋体"/>
                <w:color w:val="auto"/>
                <w:sz w:val="24"/>
                <w:highlight w:val="none"/>
              </w:rPr>
            </w:pPr>
          </w:p>
        </w:tc>
        <w:tc>
          <w:tcPr>
            <w:tcW w:w="900" w:type="dxa"/>
            <w:tcBorders>
              <w:top w:val="nil"/>
              <w:left w:val="nil"/>
              <w:bottom w:val="single" w:color="auto" w:sz="4" w:space="0"/>
              <w:right w:val="single" w:color="auto" w:sz="4" w:space="0"/>
            </w:tcBorders>
            <w:tcMar>
              <w:top w:w="15" w:type="dxa"/>
              <w:left w:w="15" w:type="dxa"/>
              <w:bottom w:w="0" w:type="dxa"/>
              <w:right w:w="15" w:type="dxa"/>
            </w:tcMar>
            <w:vAlign w:val="center"/>
          </w:tcPr>
          <w:p w14:paraId="56E960F5">
            <w:pPr>
              <w:spacing w:line="240" w:lineRule="exact"/>
              <w:jc w:val="center"/>
              <w:rPr>
                <w:rFonts w:ascii="宋体" w:hAnsi="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FF80BE8">
            <w:pPr>
              <w:spacing w:line="240" w:lineRule="exact"/>
              <w:jc w:val="center"/>
              <w:rPr>
                <w:rFonts w:ascii="宋体" w:hAnsi="宋体" w:cs="宋体"/>
                <w:color w:val="auto"/>
                <w:sz w:val="24"/>
                <w:highlight w:val="none"/>
              </w:rPr>
            </w:pPr>
          </w:p>
        </w:tc>
      </w:tr>
    </w:tbl>
    <w:p w14:paraId="560488E5">
      <w:pPr>
        <w:adjustRightInd w:val="0"/>
        <w:spacing w:line="400" w:lineRule="exact"/>
        <w:jc w:val="left"/>
        <w:rPr>
          <w:rFonts w:ascii="宋体" w:hAnsi="宋体" w:cs="宋体"/>
          <w:b/>
          <w:color w:val="auto"/>
          <w:sz w:val="24"/>
          <w:highlight w:val="none"/>
        </w:rPr>
      </w:pPr>
    </w:p>
    <w:p w14:paraId="4A42AAF9">
      <w:pPr>
        <w:adjustRightInd w:val="0"/>
        <w:spacing w:line="400" w:lineRule="exact"/>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注：1.本表所列岗位的所有管理人员的情况均应如实填写。可按以上格式扩展为多页填写；</w:t>
      </w:r>
    </w:p>
    <w:p w14:paraId="2EA7DB0B">
      <w:pPr>
        <w:adjustRightInd w:val="0"/>
        <w:spacing w:line="400" w:lineRule="exact"/>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2.附拟投入本项目主要管理人员有效的资格证书或岗位证书、身份证</w:t>
      </w:r>
      <w:r>
        <w:rPr>
          <w:rStyle w:val="111"/>
          <w:rFonts w:ascii="宋体" w:hAnsi="宋体" w:eastAsia="宋体" w:cs="宋体"/>
          <w:b/>
          <w:bCs/>
          <w:color w:val="4EAD1E"/>
          <w:sz w:val="24"/>
          <w:szCs w:val="24"/>
          <w:highlight w:val="none"/>
        </w:rPr>
        <w:t>、社保证明</w:t>
      </w:r>
      <w:r>
        <w:rPr>
          <w:rFonts w:hint="eastAsia" w:ascii="宋体" w:hAnsi="宋体" w:cs="宋体"/>
          <w:b/>
          <w:color w:val="auto"/>
          <w:sz w:val="24"/>
          <w:highlight w:val="none"/>
        </w:rPr>
        <w:t>等相关资料复印件，并加盖单位公章。</w:t>
      </w:r>
    </w:p>
    <w:p w14:paraId="43A2380A">
      <w:pPr>
        <w:adjustRightInd w:val="0"/>
        <w:spacing w:line="400" w:lineRule="exact"/>
        <w:jc w:val="left"/>
        <w:rPr>
          <w:rFonts w:ascii="宋体" w:hAnsi="宋体" w:cs="宋体"/>
          <w:color w:val="auto"/>
          <w:sz w:val="24"/>
          <w:highlight w:val="none"/>
        </w:rPr>
      </w:pPr>
    </w:p>
    <w:p w14:paraId="0890E19C">
      <w:pPr>
        <w:adjustRightInd w:val="0"/>
        <w:spacing w:line="400" w:lineRule="exact"/>
        <w:ind w:firstLine="3684" w:firstLineChars="1535"/>
        <w:jc w:val="left"/>
        <w:rPr>
          <w:rFonts w:ascii="宋体" w:hAnsi="宋体" w:cs="宋体"/>
          <w:color w:val="auto"/>
          <w:sz w:val="24"/>
          <w:highlight w:val="none"/>
        </w:rPr>
      </w:pPr>
      <w:r>
        <w:rPr>
          <w:rFonts w:hint="eastAsia" w:ascii="宋体" w:hAnsi="宋体" w:cs="宋体"/>
          <w:color w:val="auto"/>
          <w:sz w:val="24"/>
          <w:highlight w:val="none"/>
        </w:rPr>
        <w:t>供应商名称（电子签章）：</w:t>
      </w:r>
    </w:p>
    <w:p w14:paraId="4181AAC8">
      <w:pPr>
        <w:adjustRightInd w:val="0"/>
        <w:spacing w:line="400" w:lineRule="exact"/>
        <w:ind w:firstLine="3684" w:firstLineChars="1535"/>
        <w:jc w:val="left"/>
        <w:rPr>
          <w:rFonts w:ascii="宋体" w:hAnsi="宋体" w:cs="宋体"/>
          <w:color w:val="auto"/>
          <w:sz w:val="24"/>
          <w:highlight w:val="none"/>
          <w:lang w:val="zh-CN"/>
        </w:rPr>
      </w:pPr>
      <w:r>
        <w:rPr>
          <w:rFonts w:hint="eastAsia" w:ascii="宋体" w:hAnsi="宋体" w:cs="宋体"/>
          <w:color w:val="auto"/>
          <w:sz w:val="24"/>
          <w:highlight w:val="none"/>
        </w:rPr>
        <w:t xml:space="preserve">日期：  年  </w:t>
      </w:r>
      <w:r>
        <w:rPr>
          <w:rFonts w:hint="eastAsia" w:ascii="宋体" w:hAnsi="宋体" w:cs="宋体"/>
          <w:color w:val="auto"/>
          <w:sz w:val="24"/>
          <w:highlight w:val="none"/>
          <w:lang w:val="zh-CN"/>
        </w:rPr>
        <w:t>月</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日</w:t>
      </w:r>
    </w:p>
    <w:p w14:paraId="543C4990">
      <w:pPr>
        <w:spacing w:line="500" w:lineRule="exact"/>
        <w:jc w:val="left"/>
        <w:rPr>
          <w:rFonts w:ascii="宋体" w:hAnsi="宋体" w:cs="宋体"/>
          <w:color w:val="auto"/>
          <w:sz w:val="24"/>
          <w:highlight w:val="none"/>
        </w:rPr>
      </w:pPr>
      <w:r>
        <w:rPr>
          <w:rFonts w:ascii="宋体" w:hAnsi="宋体" w:cs="宋体"/>
          <w:color w:val="auto"/>
          <w:sz w:val="24"/>
          <w:highlight w:val="none"/>
        </w:rPr>
        <w:br w:type="page"/>
      </w:r>
    </w:p>
    <w:p w14:paraId="227A4475">
      <w:pPr>
        <w:pStyle w:val="5"/>
        <w:spacing w:before="0" w:after="0" w:line="240" w:lineRule="auto"/>
        <w:rPr>
          <w:rFonts w:ascii="宋体" w:hAnsi="宋体" w:eastAsia="宋体" w:cs="宋体"/>
          <w:color w:val="auto"/>
          <w:highlight w:val="none"/>
        </w:rPr>
      </w:pPr>
      <w:r>
        <w:rPr>
          <w:rFonts w:hint="eastAsia" w:ascii="宋体" w:hAnsi="宋体" w:eastAsia="宋体" w:cs="宋体"/>
          <w:color w:val="auto"/>
          <w:highlight w:val="none"/>
        </w:rPr>
        <w:t>八、202</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年1月1日以来承接过的同类项目业绩（如有）</w:t>
      </w:r>
    </w:p>
    <w:p w14:paraId="472D110C">
      <w:pPr>
        <w:rPr>
          <w:rFonts w:ascii="宋体" w:hAnsi="宋体" w:cs="宋体"/>
          <w:color w:val="auto"/>
          <w:highlight w:val="none"/>
        </w:rPr>
      </w:pPr>
    </w:p>
    <w:p w14:paraId="6F98E437">
      <w:pPr>
        <w:spacing w:afterLines="50"/>
        <w:jc w:val="center"/>
        <w:rPr>
          <w:rFonts w:ascii="宋体" w:hAnsi="宋体" w:cs="宋体"/>
          <w:b/>
          <w:bCs/>
          <w:color w:val="auto"/>
          <w:sz w:val="24"/>
          <w:highlight w:val="none"/>
        </w:rPr>
      </w:pPr>
      <w:r>
        <w:rPr>
          <w:rFonts w:hint="eastAsia" w:ascii="宋体" w:hAnsi="宋体" w:cs="宋体"/>
          <w:b/>
          <w:bCs/>
          <w:color w:val="auto"/>
          <w:sz w:val="24"/>
          <w:szCs w:val="22"/>
          <w:highlight w:val="none"/>
        </w:rPr>
        <w:t>202</w:t>
      </w:r>
      <w:r>
        <w:rPr>
          <w:rFonts w:hint="eastAsia" w:ascii="宋体" w:hAnsi="宋体" w:cs="宋体"/>
          <w:b/>
          <w:bCs/>
          <w:color w:val="auto"/>
          <w:sz w:val="24"/>
          <w:szCs w:val="22"/>
          <w:highlight w:val="none"/>
          <w:lang w:val="en-US" w:eastAsia="zh-CN"/>
        </w:rPr>
        <w:t>2</w:t>
      </w:r>
      <w:r>
        <w:rPr>
          <w:rFonts w:hint="eastAsia" w:ascii="宋体" w:hAnsi="宋体" w:cs="宋体"/>
          <w:b/>
          <w:bCs/>
          <w:color w:val="auto"/>
          <w:sz w:val="24"/>
          <w:szCs w:val="22"/>
          <w:highlight w:val="none"/>
        </w:rPr>
        <w:t>年1月1日以来承接过的同类项目业绩表</w:t>
      </w:r>
    </w:p>
    <w:tbl>
      <w:tblPr>
        <w:tblStyle w:val="30"/>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590"/>
        <w:gridCol w:w="1575"/>
        <w:gridCol w:w="1374"/>
        <w:gridCol w:w="809"/>
        <w:gridCol w:w="1325"/>
        <w:gridCol w:w="1216"/>
        <w:gridCol w:w="961"/>
      </w:tblGrid>
      <w:tr w14:paraId="67C39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21" w:type="dxa"/>
            <w:vAlign w:val="center"/>
          </w:tcPr>
          <w:p w14:paraId="5128DFC3">
            <w:pPr>
              <w:jc w:val="center"/>
              <w:rPr>
                <w:rFonts w:ascii="宋体" w:hAnsi="宋体" w:cs="宋体"/>
                <w:color w:val="auto"/>
                <w:sz w:val="24"/>
                <w:highlight w:val="none"/>
              </w:rPr>
            </w:pPr>
            <w:r>
              <w:rPr>
                <w:rFonts w:hint="eastAsia" w:ascii="宋体" w:hAnsi="宋体" w:cs="宋体"/>
                <w:color w:val="auto"/>
                <w:sz w:val="24"/>
                <w:highlight w:val="none"/>
              </w:rPr>
              <w:t>序号</w:t>
            </w:r>
          </w:p>
        </w:tc>
        <w:tc>
          <w:tcPr>
            <w:tcW w:w="1590" w:type="dxa"/>
            <w:vAlign w:val="center"/>
          </w:tcPr>
          <w:p w14:paraId="6D6EB1A5">
            <w:pPr>
              <w:jc w:val="center"/>
              <w:rPr>
                <w:rFonts w:ascii="宋体" w:hAnsi="宋体" w:cs="宋体"/>
                <w:color w:val="auto"/>
                <w:sz w:val="24"/>
                <w:highlight w:val="none"/>
              </w:rPr>
            </w:pPr>
            <w:r>
              <w:rPr>
                <w:rFonts w:hint="eastAsia" w:ascii="宋体" w:hAnsi="宋体" w:cs="宋体"/>
                <w:color w:val="auto"/>
                <w:sz w:val="24"/>
                <w:highlight w:val="none"/>
              </w:rPr>
              <w:t>发包人名称</w:t>
            </w:r>
          </w:p>
        </w:tc>
        <w:tc>
          <w:tcPr>
            <w:tcW w:w="1575" w:type="dxa"/>
            <w:vAlign w:val="center"/>
          </w:tcPr>
          <w:p w14:paraId="0C640162">
            <w:pPr>
              <w:jc w:val="center"/>
              <w:rPr>
                <w:rFonts w:ascii="宋体" w:hAnsi="宋体" w:cs="宋体"/>
                <w:color w:val="auto"/>
                <w:sz w:val="24"/>
                <w:highlight w:val="none"/>
              </w:rPr>
            </w:pPr>
            <w:r>
              <w:rPr>
                <w:rFonts w:hint="eastAsia" w:ascii="宋体" w:hAnsi="宋体" w:cs="宋体"/>
                <w:color w:val="auto"/>
                <w:sz w:val="24"/>
                <w:highlight w:val="none"/>
              </w:rPr>
              <w:t>工程名称及建设地点</w:t>
            </w:r>
          </w:p>
        </w:tc>
        <w:tc>
          <w:tcPr>
            <w:tcW w:w="1374" w:type="dxa"/>
            <w:vAlign w:val="center"/>
          </w:tcPr>
          <w:p w14:paraId="54E8690B">
            <w:pPr>
              <w:jc w:val="center"/>
              <w:rPr>
                <w:rFonts w:ascii="宋体" w:hAnsi="宋体" w:cs="宋体"/>
                <w:color w:val="auto"/>
                <w:sz w:val="24"/>
                <w:highlight w:val="none"/>
              </w:rPr>
            </w:pPr>
            <w:r>
              <w:rPr>
                <w:rFonts w:hint="eastAsia" w:ascii="宋体" w:hAnsi="宋体" w:cs="宋体"/>
                <w:color w:val="auto"/>
                <w:sz w:val="24"/>
                <w:highlight w:val="none"/>
              </w:rPr>
              <w:t>结构类型</w:t>
            </w:r>
          </w:p>
        </w:tc>
        <w:tc>
          <w:tcPr>
            <w:tcW w:w="809" w:type="dxa"/>
            <w:vAlign w:val="center"/>
          </w:tcPr>
          <w:p w14:paraId="28B43287">
            <w:pPr>
              <w:jc w:val="center"/>
              <w:rPr>
                <w:rFonts w:ascii="宋体" w:hAnsi="宋体" w:cs="宋体"/>
                <w:color w:val="auto"/>
                <w:sz w:val="24"/>
                <w:highlight w:val="none"/>
              </w:rPr>
            </w:pPr>
            <w:r>
              <w:rPr>
                <w:rFonts w:hint="eastAsia" w:ascii="宋体" w:hAnsi="宋体" w:cs="宋体"/>
                <w:color w:val="auto"/>
                <w:sz w:val="24"/>
                <w:highlight w:val="none"/>
              </w:rPr>
              <w:t>建设</w:t>
            </w:r>
          </w:p>
          <w:p w14:paraId="5DD9AA40">
            <w:pPr>
              <w:jc w:val="center"/>
              <w:rPr>
                <w:rFonts w:ascii="宋体" w:hAnsi="宋体" w:cs="宋体"/>
                <w:color w:val="auto"/>
                <w:sz w:val="24"/>
                <w:highlight w:val="none"/>
              </w:rPr>
            </w:pPr>
            <w:r>
              <w:rPr>
                <w:rFonts w:hint="eastAsia" w:ascii="宋体" w:hAnsi="宋体" w:cs="宋体"/>
                <w:color w:val="auto"/>
                <w:sz w:val="24"/>
                <w:highlight w:val="none"/>
              </w:rPr>
              <w:t>规模</w:t>
            </w:r>
          </w:p>
        </w:tc>
        <w:tc>
          <w:tcPr>
            <w:tcW w:w="1325" w:type="dxa"/>
            <w:vAlign w:val="center"/>
          </w:tcPr>
          <w:p w14:paraId="4F77B248">
            <w:pPr>
              <w:jc w:val="center"/>
              <w:rPr>
                <w:rFonts w:ascii="宋体" w:hAnsi="宋体" w:cs="宋体"/>
                <w:color w:val="auto"/>
                <w:sz w:val="24"/>
                <w:highlight w:val="none"/>
              </w:rPr>
            </w:pPr>
            <w:r>
              <w:rPr>
                <w:rFonts w:hint="eastAsia" w:ascii="宋体" w:hAnsi="宋体" w:cs="宋体"/>
                <w:color w:val="auto"/>
                <w:sz w:val="24"/>
                <w:highlight w:val="none"/>
              </w:rPr>
              <w:t>合同金额</w:t>
            </w:r>
          </w:p>
          <w:p w14:paraId="06D82B67">
            <w:pPr>
              <w:jc w:val="center"/>
              <w:rPr>
                <w:rFonts w:ascii="宋体" w:hAnsi="宋体" w:cs="宋体"/>
                <w:color w:val="auto"/>
                <w:sz w:val="24"/>
                <w:highlight w:val="none"/>
              </w:rPr>
            </w:pPr>
            <w:r>
              <w:rPr>
                <w:rFonts w:hint="eastAsia" w:ascii="宋体" w:hAnsi="宋体" w:cs="宋体"/>
                <w:color w:val="auto"/>
                <w:sz w:val="24"/>
                <w:highlight w:val="none"/>
              </w:rPr>
              <w:t>（万元）</w:t>
            </w:r>
          </w:p>
        </w:tc>
        <w:tc>
          <w:tcPr>
            <w:tcW w:w="1216" w:type="dxa"/>
            <w:vAlign w:val="center"/>
          </w:tcPr>
          <w:p w14:paraId="1B23F474">
            <w:pPr>
              <w:jc w:val="center"/>
              <w:rPr>
                <w:rFonts w:ascii="宋体" w:hAnsi="宋体" w:cs="宋体"/>
                <w:color w:val="auto"/>
                <w:sz w:val="24"/>
                <w:highlight w:val="none"/>
              </w:rPr>
            </w:pPr>
            <w:r>
              <w:rPr>
                <w:rFonts w:hint="eastAsia" w:ascii="宋体" w:hAnsi="宋体" w:cs="宋体"/>
                <w:color w:val="auto"/>
                <w:sz w:val="24"/>
                <w:highlight w:val="none"/>
              </w:rPr>
              <w:t>竣工达到质量标准</w:t>
            </w:r>
          </w:p>
        </w:tc>
        <w:tc>
          <w:tcPr>
            <w:tcW w:w="961" w:type="dxa"/>
            <w:vAlign w:val="center"/>
          </w:tcPr>
          <w:p w14:paraId="4287D498">
            <w:pPr>
              <w:jc w:val="center"/>
              <w:rPr>
                <w:rFonts w:ascii="宋体" w:hAnsi="宋体" w:cs="宋体"/>
                <w:color w:val="auto"/>
                <w:sz w:val="24"/>
                <w:highlight w:val="none"/>
              </w:rPr>
            </w:pPr>
            <w:r>
              <w:rPr>
                <w:rFonts w:hint="eastAsia" w:ascii="宋体" w:hAnsi="宋体" w:cs="宋体"/>
                <w:color w:val="auto"/>
                <w:sz w:val="24"/>
                <w:highlight w:val="none"/>
              </w:rPr>
              <w:t>开竣工日期</w:t>
            </w:r>
          </w:p>
        </w:tc>
      </w:tr>
      <w:tr w14:paraId="107C0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21" w:type="dxa"/>
            <w:vAlign w:val="center"/>
          </w:tcPr>
          <w:p w14:paraId="4989B083">
            <w:pPr>
              <w:jc w:val="center"/>
              <w:rPr>
                <w:rFonts w:ascii="宋体" w:hAnsi="宋体" w:cs="宋体"/>
                <w:color w:val="auto"/>
                <w:sz w:val="24"/>
                <w:highlight w:val="none"/>
              </w:rPr>
            </w:pPr>
          </w:p>
        </w:tc>
        <w:tc>
          <w:tcPr>
            <w:tcW w:w="1590" w:type="dxa"/>
            <w:vAlign w:val="center"/>
          </w:tcPr>
          <w:p w14:paraId="6951D1B0">
            <w:pPr>
              <w:jc w:val="center"/>
              <w:rPr>
                <w:rFonts w:ascii="宋体" w:hAnsi="宋体" w:cs="宋体"/>
                <w:color w:val="auto"/>
                <w:sz w:val="24"/>
                <w:highlight w:val="none"/>
              </w:rPr>
            </w:pPr>
          </w:p>
        </w:tc>
        <w:tc>
          <w:tcPr>
            <w:tcW w:w="1575" w:type="dxa"/>
            <w:vAlign w:val="center"/>
          </w:tcPr>
          <w:p w14:paraId="7379D093">
            <w:pPr>
              <w:jc w:val="center"/>
              <w:rPr>
                <w:rFonts w:ascii="宋体" w:hAnsi="宋体" w:cs="宋体"/>
                <w:color w:val="auto"/>
                <w:sz w:val="24"/>
                <w:highlight w:val="none"/>
              </w:rPr>
            </w:pPr>
          </w:p>
        </w:tc>
        <w:tc>
          <w:tcPr>
            <w:tcW w:w="1374" w:type="dxa"/>
            <w:vAlign w:val="center"/>
          </w:tcPr>
          <w:p w14:paraId="5D0B53BB">
            <w:pPr>
              <w:jc w:val="center"/>
              <w:rPr>
                <w:rFonts w:ascii="宋体" w:hAnsi="宋体" w:cs="宋体"/>
                <w:color w:val="auto"/>
                <w:sz w:val="24"/>
                <w:highlight w:val="none"/>
              </w:rPr>
            </w:pPr>
          </w:p>
        </w:tc>
        <w:tc>
          <w:tcPr>
            <w:tcW w:w="809" w:type="dxa"/>
            <w:vAlign w:val="center"/>
          </w:tcPr>
          <w:p w14:paraId="6C2B0C42">
            <w:pPr>
              <w:jc w:val="center"/>
              <w:rPr>
                <w:rFonts w:ascii="宋体" w:hAnsi="宋体" w:cs="宋体"/>
                <w:color w:val="auto"/>
                <w:sz w:val="24"/>
                <w:highlight w:val="none"/>
              </w:rPr>
            </w:pPr>
          </w:p>
        </w:tc>
        <w:tc>
          <w:tcPr>
            <w:tcW w:w="1325" w:type="dxa"/>
            <w:vAlign w:val="center"/>
          </w:tcPr>
          <w:p w14:paraId="0BAEF5C7">
            <w:pPr>
              <w:jc w:val="center"/>
              <w:rPr>
                <w:rFonts w:ascii="宋体" w:hAnsi="宋体" w:cs="宋体"/>
                <w:color w:val="auto"/>
                <w:sz w:val="24"/>
                <w:highlight w:val="none"/>
              </w:rPr>
            </w:pPr>
          </w:p>
        </w:tc>
        <w:tc>
          <w:tcPr>
            <w:tcW w:w="1216" w:type="dxa"/>
            <w:vAlign w:val="center"/>
          </w:tcPr>
          <w:p w14:paraId="01204641">
            <w:pPr>
              <w:jc w:val="center"/>
              <w:rPr>
                <w:rFonts w:ascii="宋体" w:hAnsi="宋体" w:cs="宋体"/>
                <w:color w:val="auto"/>
                <w:sz w:val="24"/>
                <w:highlight w:val="none"/>
              </w:rPr>
            </w:pPr>
          </w:p>
        </w:tc>
        <w:tc>
          <w:tcPr>
            <w:tcW w:w="961" w:type="dxa"/>
            <w:vAlign w:val="center"/>
          </w:tcPr>
          <w:p w14:paraId="4AB23587">
            <w:pPr>
              <w:jc w:val="center"/>
              <w:rPr>
                <w:rFonts w:ascii="宋体" w:hAnsi="宋体" w:cs="宋体"/>
                <w:color w:val="auto"/>
                <w:sz w:val="24"/>
                <w:highlight w:val="none"/>
              </w:rPr>
            </w:pPr>
          </w:p>
        </w:tc>
      </w:tr>
      <w:tr w14:paraId="0C324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21" w:type="dxa"/>
            <w:vAlign w:val="center"/>
          </w:tcPr>
          <w:p w14:paraId="3ACB76EC">
            <w:pPr>
              <w:jc w:val="center"/>
              <w:rPr>
                <w:rFonts w:ascii="宋体" w:hAnsi="宋体" w:cs="宋体"/>
                <w:color w:val="auto"/>
                <w:sz w:val="24"/>
                <w:highlight w:val="none"/>
              </w:rPr>
            </w:pPr>
          </w:p>
        </w:tc>
        <w:tc>
          <w:tcPr>
            <w:tcW w:w="1590" w:type="dxa"/>
            <w:vAlign w:val="center"/>
          </w:tcPr>
          <w:p w14:paraId="2CC73C9B">
            <w:pPr>
              <w:jc w:val="center"/>
              <w:rPr>
                <w:rFonts w:ascii="宋体" w:hAnsi="宋体" w:cs="宋体"/>
                <w:color w:val="auto"/>
                <w:sz w:val="24"/>
                <w:highlight w:val="none"/>
              </w:rPr>
            </w:pPr>
          </w:p>
        </w:tc>
        <w:tc>
          <w:tcPr>
            <w:tcW w:w="1575" w:type="dxa"/>
            <w:vAlign w:val="center"/>
          </w:tcPr>
          <w:p w14:paraId="1B21D880">
            <w:pPr>
              <w:jc w:val="center"/>
              <w:rPr>
                <w:rFonts w:ascii="宋体" w:hAnsi="宋体" w:cs="宋体"/>
                <w:color w:val="auto"/>
                <w:sz w:val="24"/>
                <w:highlight w:val="none"/>
              </w:rPr>
            </w:pPr>
          </w:p>
        </w:tc>
        <w:tc>
          <w:tcPr>
            <w:tcW w:w="1374" w:type="dxa"/>
            <w:vAlign w:val="center"/>
          </w:tcPr>
          <w:p w14:paraId="5D761CEC">
            <w:pPr>
              <w:jc w:val="center"/>
              <w:rPr>
                <w:rFonts w:ascii="宋体" w:hAnsi="宋体" w:cs="宋体"/>
                <w:color w:val="auto"/>
                <w:sz w:val="24"/>
                <w:highlight w:val="none"/>
              </w:rPr>
            </w:pPr>
          </w:p>
        </w:tc>
        <w:tc>
          <w:tcPr>
            <w:tcW w:w="809" w:type="dxa"/>
            <w:vAlign w:val="center"/>
          </w:tcPr>
          <w:p w14:paraId="25B6C885">
            <w:pPr>
              <w:jc w:val="center"/>
              <w:rPr>
                <w:rFonts w:ascii="宋体" w:hAnsi="宋体" w:cs="宋体"/>
                <w:color w:val="auto"/>
                <w:sz w:val="24"/>
                <w:highlight w:val="none"/>
              </w:rPr>
            </w:pPr>
          </w:p>
        </w:tc>
        <w:tc>
          <w:tcPr>
            <w:tcW w:w="1325" w:type="dxa"/>
            <w:vAlign w:val="center"/>
          </w:tcPr>
          <w:p w14:paraId="51341914">
            <w:pPr>
              <w:jc w:val="center"/>
              <w:rPr>
                <w:rFonts w:ascii="宋体" w:hAnsi="宋体" w:cs="宋体"/>
                <w:color w:val="auto"/>
                <w:sz w:val="24"/>
                <w:highlight w:val="none"/>
              </w:rPr>
            </w:pPr>
          </w:p>
        </w:tc>
        <w:tc>
          <w:tcPr>
            <w:tcW w:w="1216" w:type="dxa"/>
            <w:vAlign w:val="center"/>
          </w:tcPr>
          <w:p w14:paraId="2A5A65CC">
            <w:pPr>
              <w:jc w:val="center"/>
              <w:rPr>
                <w:rFonts w:ascii="宋体" w:hAnsi="宋体" w:cs="宋体"/>
                <w:color w:val="auto"/>
                <w:sz w:val="24"/>
                <w:highlight w:val="none"/>
              </w:rPr>
            </w:pPr>
          </w:p>
        </w:tc>
        <w:tc>
          <w:tcPr>
            <w:tcW w:w="961" w:type="dxa"/>
            <w:vAlign w:val="center"/>
          </w:tcPr>
          <w:p w14:paraId="3C6FA6E3">
            <w:pPr>
              <w:jc w:val="center"/>
              <w:rPr>
                <w:rFonts w:ascii="宋体" w:hAnsi="宋体" w:cs="宋体"/>
                <w:color w:val="auto"/>
                <w:sz w:val="24"/>
                <w:highlight w:val="none"/>
              </w:rPr>
            </w:pPr>
          </w:p>
        </w:tc>
      </w:tr>
      <w:tr w14:paraId="4BFD2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21" w:type="dxa"/>
            <w:vAlign w:val="center"/>
          </w:tcPr>
          <w:p w14:paraId="4FF9B5D9">
            <w:pPr>
              <w:jc w:val="center"/>
              <w:rPr>
                <w:rFonts w:ascii="宋体" w:hAnsi="宋体" w:cs="宋体"/>
                <w:color w:val="auto"/>
                <w:sz w:val="24"/>
                <w:highlight w:val="none"/>
              </w:rPr>
            </w:pPr>
          </w:p>
        </w:tc>
        <w:tc>
          <w:tcPr>
            <w:tcW w:w="1590" w:type="dxa"/>
            <w:vAlign w:val="center"/>
          </w:tcPr>
          <w:p w14:paraId="44A9CF1D">
            <w:pPr>
              <w:jc w:val="center"/>
              <w:rPr>
                <w:rFonts w:ascii="宋体" w:hAnsi="宋体" w:cs="宋体"/>
                <w:color w:val="auto"/>
                <w:sz w:val="24"/>
                <w:highlight w:val="none"/>
              </w:rPr>
            </w:pPr>
          </w:p>
        </w:tc>
        <w:tc>
          <w:tcPr>
            <w:tcW w:w="1575" w:type="dxa"/>
            <w:vAlign w:val="center"/>
          </w:tcPr>
          <w:p w14:paraId="0AC2C0C6">
            <w:pPr>
              <w:jc w:val="center"/>
              <w:rPr>
                <w:rFonts w:ascii="宋体" w:hAnsi="宋体" w:cs="宋体"/>
                <w:color w:val="auto"/>
                <w:sz w:val="24"/>
                <w:highlight w:val="none"/>
              </w:rPr>
            </w:pPr>
          </w:p>
        </w:tc>
        <w:tc>
          <w:tcPr>
            <w:tcW w:w="1374" w:type="dxa"/>
            <w:vAlign w:val="center"/>
          </w:tcPr>
          <w:p w14:paraId="3C4EA06B">
            <w:pPr>
              <w:jc w:val="center"/>
              <w:rPr>
                <w:rFonts w:ascii="宋体" w:hAnsi="宋体" w:cs="宋体"/>
                <w:color w:val="auto"/>
                <w:sz w:val="24"/>
                <w:highlight w:val="none"/>
              </w:rPr>
            </w:pPr>
          </w:p>
        </w:tc>
        <w:tc>
          <w:tcPr>
            <w:tcW w:w="809" w:type="dxa"/>
            <w:vAlign w:val="center"/>
          </w:tcPr>
          <w:p w14:paraId="374C02C9">
            <w:pPr>
              <w:jc w:val="center"/>
              <w:rPr>
                <w:rFonts w:ascii="宋体" w:hAnsi="宋体" w:cs="宋体"/>
                <w:color w:val="auto"/>
                <w:sz w:val="24"/>
                <w:highlight w:val="none"/>
              </w:rPr>
            </w:pPr>
          </w:p>
        </w:tc>
        <w:tc>
          <w:tcPr>
            <w:tcW w:w="1325" w:type="dxa"/>
            <w:vAlign w:val="center"/>
          </w:tcPr>
          <w:p w14:paraId="5FBCC753">
            <w:pPr>
              <w:jc w:val="center"/>
              <w:rPr>
                <w:rFonts w:ascii="宋体" w:hAnsi="宋体" w:cs="宋体"/>
                <w:color w:val="auto"/>
                <w:sz w:val="24"/>
                <w:highlight w:val="none"/>
              </w:rPr>
            </w:pPr>
          </w:p>
        </w:tc>
        <w:tc>
          <w:tcPr>
            <w:tcW w:w="1216" w:type="dxa"/>
            <w:vAlign w:val="center"/>
          </w:tcPr>
          <w:p w14:paraId="3F1F0353">
            <w:pPr>
              <w:jc w:val="center"/>
              <w:rPr>
                <w:rFonts w:ascii="宋体" w:hAnsi="宋体" w:cs="宋体"/>
                <w:color w:val="auto"/>
                <w:sz w:val="24"/>
                <w:highlight w:val="none"/>
              </w:rPr>
            </w:pPr>
          </w:p>
        </w:tc>
        <w:tc>
          <w:tcPr>
            <w:tcW w:w="961" w:type="dxa"/>
            <w:vAlign w:val="center"/>
          </w:tcPr>
          <w:p w14:paraId="6A757947">
            <w:pPr>
              <w:jc w:val="center"/>
              <w:rPr>
                <w:rFonts w:ascii="宋体" w:hAnsi="宋体" w:cs="宋体"/>
                <w:color w:val="auto"/>
                <w:sz w:val="24"/>
                <w:highlight w:val="none"/>
              </w:rPr>
            </w:pPr>
          </w:p>
        </w:tc>
      </w:tr>
      <w:tr w14:paraId="3BD91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21" w:type="dxa"/>
            <w:vAlign w:val="center"/>
          </w:tcPr>
          <w:p w14:paraId="243D0FBE">
            <w:pPr>
              <w:jc w:val="center"/>
              <w:rPr>
                <w:rFonts w:ascii="宋体" w:hAnsi="宋体" w:cs="宋体"/>
                <w:color w:val="auto"/>
                <w:sz w:val="24"/>
                <w:highlight w:val="none"/>
              </w:rPr>
            </w:pPr>
          </w:p>
        </w:tc>
        <w:tc>
          <w:tcPr>
            <w:tcW w:w="1590" w:type="dxa"/>
            <w:vAlign w:val="center"/>
          </w:tcPr>
          <w:p w14:paraId="215501DF">
            <w:pPr>
              <w:jc w:val="center"/>
              <w:rPr>
                <w:rFonts w:ascii="宋体" w:hAnsi="宋体" w:cs="宋体"/>
                <w:color w:val="auto"/>
                <w:sz w:val="24"/>
                <w:highlight w:val="none"/>
              </w:rPr>
            </w:pPr>
          </w:p>
        </w:tc>
        <w:tc>
          <w:tcPr>
            <w:tcW w:w="1575" w:type="dxa"/>
            <w:vAlign w:val="center"/>
          </w:tcPr>
          <w:p w14:paraId="70AF64B2">
            <w:pPr>
              <w:jc w:val="center"/>
              <w:rPr>
                <w:rFonts w:ascii="宋体" w:hAnsi="宋体" w:cs="宋体"/>
                <w:color w:val="auto"/>
                <w:sz w:val="24"/>
                <w:highlight w:val="none"/>
              </w:rPr>
            </w:pPr>
          </w:p>
        </w:tc>
        <w:tc>
          <w:tcPr>
            <w:tcW w:w="1374" w:type="dxa"/>
            <w:vAlign w:val="center"/>
          </w:tcPr>
          <w:p w14:paraId="5C39AE22">
            <w:pPr>
              <w:jc w:val="center"/>
              <w:rPr>
                <w:rFonts w:ascii="宋体" w:hAnsi="宋体" w:cs="宋体"/>
                <w:color w:val="auto"/>
                <w:sz w:val="24"/>
                <w:highlight w:val="none"/>
              </w:rPr>
            </w:pPr>
          </w:p>
        </w:tc>
        <w:tc>
          <w:tcPr>
            <w:tcW w:w="809" w:type="dxa"/>
            <w:vAlign w:val="center"/>
          </w:tcPr>
          <w:p w14:paraId="49AD4814">
            <w:pPr>
              <w:jc w:val="center"/>
              <w:rPr>
                <w:rFonts w:ascii="宋体" w:hAnsi="宋体" w:cs="宋体"/>
                <w:color w:val="auto"/>
                <w:sz w:val="24"/>
                <w:highlight w:val="none"/>
              </w:rPr>
            </w:pPr>
          </w:p>
        </w:tc>
        <w:tc>
          <w:tcPr>
            <w:tcW w:w="1325" w:type="dxa"/>
            <w:vAlign w:val="center"/>
          </w:tcPr>
          <w:p w14:paraId="193620EC">
            <w:pPr>
              <w:jc w:val="center"/>
              <w:rPr>
                <w:rFonts w:ascii="宋体" w:hAnsi="宋体" w:cs="宋体"/>
                <w:color w:val="auto"/>
                <w:sz w:val="24"/>
                <w:highlight w:val="none"/>
              </w:rPr>
            </w:pPr>
          </w:p>
        </w:tc>
        <w:tc>
          <w:tcPr>
            <w:tcW w:w="1216" w:type="dxa"/>
            <w:vAlign w:val="center"/>
          </w:tcPr>
          <w:p w14:paraId="4774B481">
            <w:pPr>
              <w:jc w:val="center"/>
              <w:rPr>
                <w:rFonts w:ascii="宋体" w:hAnsi="宋体" w:cs="宋体"/>
                <w:color w:val="auto"/>
                <w:sz w:val="24"/>
                <w:highlight w:val="none"/>
              </w:rPr>
            </w:pPr>
          </w:p>
        </w:tc>
        <w:tc>
          <w:tcPr>
            <w:tcW w:w="961" w:type="dxa"/>
            <w:vAlign w:val="center"/>
          </w:tcPr>
          <w:p w14:paraId="4D577031">
            <w:pPr>
              <w:jc w:val="center"/>
              <w:rPr>
                <w:rFonts w:ascii="宋体" w:hAnsi="宋体" w:cs="宋体"/>
                <w:color w:val="auto"/>
                <w:sz w:val="24"/>
                <w:highlight w:val="none"/>
              </w:rPr>
            </w:pPr>
          </w:p>
        </w:tc>
      </w:tr>
      <w:tr w14:paraId="3EF3E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21" w:type="dxa"/>
            <w:vAlign w:val="center"/>
          </w:tcPr>
          <w:p w14:paraId="1C7E592C">
            <w:pPr>
              <w:jc w:val="center"/>
              <w:rPr>
                <w:rFonts w:ascii="宋体" w:hAnsi="宋体" w:cs="宋体"/>
                <w:color w:val="auto"/>
                <w:sz w:val="24"/>
                <w:highlight w:val="none"/>
              </w:rPr>
            </w:pPr>
          </w:p>
        </w:tc>
        <w:tc>
          <w:tcPr>
            <w:tcW w:w="1590" w:type="dxa"/>
            <w:vAlign w:val="center"/>
          </w:tcPr>
          <w:p w14:paraId="3D452D92">
            <w:pPr>
              <w:jc w:val="center"/>
              <w:rPr>
                <w:rFonts w:ascii="宋体" w:hAnsi="宋体" w:cs="宋体"/>
                <w:color w:val="auto"/>
                <w:sz w:val="24"/>
                <w:highlight w:val="none"/>
              </w:rPr>
            </w:pPr>
          </w:p>
        </w:tc>
        <w:tc>
          <w:tcPr>
            <w:tcW w:w="1575" w:type="dxa"/>
            <w:vAlign w:val="center"/>
          </w:tcPr>
          <w:p w14:paraId="2A9A8CDB">
            <w:pPr>
              <w:jc w:val="center"/>
              <w:rPr>
                <w:rFonts w:ascii="宋体" w:hAnsi="宋体" w:cs="宋体"/>
                <w:color w:val="auto"/>
                <w:sz w:val="24"/>
                <w:highlight w:val="none"/>
              </w:rPr>
            </w:pPr>
          </w:p>
        </w:tc>
        <w:tc>
          <w:tcPr>
            <w:tcW w:w="1374" w:type="dxa"/>
            <w:vAlign w:val="center"/>
          </w:tcPr>
          <w:p w14:paraId="24E82E26">
            <w:pPr>
              <w:jc w:val="center"/>
              <w:rPr>
                <w:rFonts w:ascii="宋体" w:hAnsi="宋体" w:cs="宋体"/>
                <w:color w:val="auto"/>
                <w:sz w:val="24"/>
                <w:highlight w:val="none"/>
              </w:rPr>
            </w:pPr>
          </w:p>
        </w:tc>
        <w:tc>
          <w:tcPr>
            <w:tcW w:w="809" w:type="dxa"/>
            <w:vAlign w:val="center"/>
          </w:tcPr>
          <w:p w14:paraId="44D11151">
            <w:pPr>
              <w:jc w:val="center"/>
              <w:rPr>
                <w:rFonts w:ascii="宋体" w:hAnsi="宋体" w:cs="宋体"/>
                <w:color w:val="auto"/>
                <w:sz w:val="24"/>
                <w:highlight w:val="none"/>
              </w:rPr>
            </w:pPr>
          </w:p>
        </w:tc>
        <w:tc>
          <w:tcPr>
            <w:tcW w:w="1325" w:type="dxa"/>
            <w:vAlign w:val="center"/>
          </w:tcPr>
          <w:p w14:paraId="418F2633">
            <w:pPr>
              <w:jc w:val="center"/>
              <w:rPr>
                <w:rFonts w:ascii="宋体" w:hAnsi="宋体" w:cs="宋体"/>
                <w:color w:val="auto"/>
                <w:sz w:val="24"/>
                <w:highlight w:val="none"/>
              </w:rPr>
            </w:pPr>
          </w:p>
        </w:tc>
        <w:tc>
          <w:tcPr>
            <w:tcW w:w="1216" w:type="dxa"/>
            <w:vAlign w:val="center"/>
          </w:tcPr>
          <w:p w14:paraId="42CF62E5">
            <w:pPr>
              <w:jc w:val="center"/>
              <w:rPr>
                <w:rFonts w:ascii="宋体" w:hAnsi="宋体" w:cs="宋体"/>
                <w:color w:val="auto"/>
                <w:sz w:val="24"/>
                <w:highlight w:val="none"/>
              </w:rPr>
            </w:pPr>
          </w:p>
        </w:tc>
        <w:tc>
          <w:tcPr>
            <w:tcW w:w="961" w:type="dxa"/>
            <w:vAlign w:val="center"/>
          </w:tcPr>
          <w:p w14:paraId="089173A4">
            <w:pPr>
              <w:jc w:val="center"/>
              <w:rPr>
                <w:rFonts w:ascii="宋体" w:hAnsi="宋体" w:cs="宋体"/>
                <w:color w:val="auto"/>
                <w:sz w:val="24"/>
                <w:highlight w:val="none"/>
              </w:rPr>
            </w:pPr>
          </w:p>
        </w:tc>
      </w:tr>
    </w:tbl>
    <w:p w14:paraId="4899759F">
      <w:pPr>
        <w:pStyle w:val="18"/>
        <w:jc w:val="center"/>
        <w:rPr>
          <w:rFonts w:hAnsi="宋体" w:cs="宋体"/>
          <w:color w:val="auto"/>
          <w:kern w:val="2"/>
          <w:sz w:val="32"/>
          <w:highlight w:val="none"/>
        </w:rPr>
      </w:pPr>
    </w:p>
    <w:p w14:paraId="1CA078EE">
      <w:pPr>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注：</w:t>
      </w:r>
      <w:r>
        <w:rPr>
          <w:rFonts w:hint="eastAsia" w:ascii="宋体" w:hAnsi="宋体" w:cs="宋体"/>
          <w:b/>
          <w:color w:val="auto"/>
          <w:sz w:val="24"/>
          <w:highlight w:val="none"/>
        </w:rPr>
        <w:t>须提供中标通知书或施工合同或竣工验收报告复印件</w:t>
      </w:r>
      <w:r>
        <w:rPr>
          <w:rFonts w:hint="eastAsia" w:ascii="宋体" w:hAnsi="宋体" w:cs="宋体"/>
          <w:b/>
          <w:bCs/>
          <w:color w:val="auto"/>
          <w:sz w:val="24"/>
          <w:highlight w:val="none"/>
        </w:rPr>
        <w:t>，以及供应商认为需要增加的其他证明材料复印件，以上复印件均须加盖供应商单位公章。</w:t>
      </w:r>
    </w:p>
    <w:p w14:paraId="28945E1F">
      <w:pPr>
        <w:rPr>
          <w:rFonts w:ascii="宋体" w:hAnsi="宋体"/>
          <w:color w:val="auto"/>
          <w:highlight w:val="none"/>
          <w:lang w:val="zh-CN"/>
        </w:rPr>
      </w:pPr>
    </w:p>
    <w:p w14:paraId="0627D567">
      <w:pPr>
        <w:rPr>
          <w:rFonts w:ascii="宋体" w:hAnsi="宋体"/>
          <w:color w:val="auto"/>
          <w:highlight w:val="none"/>
        </w:rPr>
      </w:pPr>
    </w:p>
    <w:p w14:paraId="1232F7B8">
      <w:pPr>
        <w:adjustRightInd w:val="0"/>
        <w:spacing w:line="400" w:lineRule="exact"/>
        <w:jc w:val="left"/>
        <w:rPr>
          <w:rFonts w:ascii="宋体" w:hAnsi="宋体" w:cs="宋体"/>
          <w:color w:val="auto"/>
          <w:sz w:val="24"/>
          <w:highlight w:val="none"/>
        </w:rPr>
      </w:pPr>
    </w:p>
    <w:p w14:paraId="574527E5">
      <w:pPr>
        <w:adjustRightInd w:val="0"/>
        <w:spacing w:line="400" w:lineRule="exact"/>
        <w:ind w:firstLine="3684" w:firstLineChars="1535"/>
        <w:jc w:val="left"/>
        <w:rPr>
          <w:rFonts w:ascii="宋体" w:hAnsi="宋体" w:cs="宋体"/>
          <w:color w:val="auto"/>
          <w:sz w:val="24"/>
          <w:highlight w:val="none"/>
        </w:rPr>
      </w:pPr>
      <w:r>
        <w:rPr>
          <w:rFonts w:hint="eastAsia" w:ascii="宋体" w:hAnsi="宋体" w:cs="宋体"/>
          <w:color w:val="auto"/>
          <w:sz w:val="24"/>
          <w:highlight w:val="none"/>
        </w:rPr>
        <w:t>供应商名称（电子签章）：</w:t>
      </w:r>
    </w:p>
    <w:p w14:paraId="7E498E19">
      <w:pPr>
        <w:adjustRightInd w:val="0"/>
        <w:spacing w:line="400" w:lineRule="exact"/>
        <w:ind w:firstLine="3684" w:firstLineChars="1535"/>
        <w:jc w:val="left"/>
        <w:rPr>
          <w:rFonts w:ascii="宋体" w:hAnsi="宋体" w:cs="宋体"/>
          <w:color w:val="auto"/>
          <w:sz w:val="24"/>
          <w:highlight w:val="none"/>
          <w:lang w:val="zh-CN"/>
        </w:rPr>
      </w:pPr>
      <w:r>
        <w:rPr>
          <w:rFonts w:hint="eastAsia" w:ascii="宋体" w:hAnsi="宋体" w:cs="宋体"/>
          <w:color w:val="auto"/>
          <w:sz w:val="24"/>
          <w:highlight w:val="none"/>
        </w:rPr>
        <w:t xml:space="preserve">日期：  年  </w:t>
      </w:r>
      <w:r>
        <w:rPr>
          <w:rFonts w:hint="eastAsia" w:ascii="宋体" w:hAnsi="宋体" w:cs="宋体"/>
          <w:color w:val="auto"/>
          <w:sz w:val="24"/>
          <w:highlight w:val="none"/>
          <w:lang w:val="zh-CN"/>
        </w:rPr>
        <w:t>月</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日</w:t>
      </w:r>
    </w:p>
    <w:p w14:paraId="6ED69066">
      <w:pPr>
        <w:spacing w:line="500" w:lineRule="exact"/>
        <w:jc w:val="left"/>
        <w:rPr>
          <w:rFonts w:ascii="宋体" w:hAnsi="宋体" w:cs="宋体"/>
          <w:color w:val="auto"/>
          <w:sz w:val="24"/>
          <w:highlight w:val="none"/>
        </w:rPr>
      </w:pPr>
      <w:r>
        <w:rPr>
          <w:rFonts w:ascii="宋体" w:hAnsi="宋体" w:cs="宋体"/>
          <w:color w:val="auto"/>
          <w:sz w:val="24"/>
          <w:highlight w:val="none"/>
        </w:rPr>
        <w:br w:type="page"/>
      </w:r>
    </w:p>
    <w:p w14:paraId="3228A608">
      <w:pPr>
        <w:pStyle w:val="3"/>
        <w:spacing w:before="0" w:after="0" w:line="360" w:lineRule="auto"/>
        <w:jc w:val="center"/>
        <w:rPr>
          <w:rFonts w:ascii="宋体" w:hAnsi="宋体" w:cs="宋体"/>
          <w:color w:val="auto"/>
          <w:highlight w:val="none"/>
        </w:rPr>
      </w:pPr>
      <w:bookmarkStart w:id="83" w:name="_Toc4530"/>
      <w:bookmarkStart w:id="84" w:name="_Toc80205941"/>
      <w:r>
        <w:rPr>
          <w:rFonts w:hint="eastAsia" w:ascii="宋体" w:hAnsi="宋体" w:cs="宋体"/>
          <w:color w:val="auto"/>
          <w:highlight w:val="none"/>
        </w:rPr>
        <w:t>第四节 报价文件格式</w:t>
      </w:r>
      <w:bookmarkEnd w:id="83"/>
      <w:bookmarkEnd w:id="84"/>
    </w:p>
    <w:p w14:paraId="2826B210">
      <w:pPr>
        <w:spacing w:beforeLines="50" w:after="50"/>
        <w:rPr>
          <w:rFonts w:ascii="宋体" w:hAnsi="宋体" w:cs="宋体"/>
          <w:color w:val="auto"/>
          <w:sz w:val="24"/>
          <w:highlight w:val="none"/>
        </w:rPr>
      </w:pPr>
    </w:p>
    <w:p w14:paraId="0D6DE95F">
      <w:pPr>
        <w:spacing w:beforeLines="50" w:after="50"/>
        <w:jc w:val="right"/>
        <w:rPr>
          <w:rFonts w:ascii="宋体" w:hAnsi="宋体" w:cs="宋体"/>
          <w:bCs/>
          <w:color w:val="auto"/>
          <w:sz w:val="28"/>
          <w:szCs w:val="28"/>
          <w:highlight w:val="none"/>
        </w:rPr>
      </w:pPr>
      <w:r>
        <w:rPr>
          <w:rFonts w:hint="eastAsia" w:ascii="宋体" w:hAnsi="宋体" w:cs="宋体"/>
          <w:bCs/>
          <w:color w:val="auto"/>
          <w:sz w:val="28"/>
          <w:szCs w:val="28"/>
          <w:highlight w:val="none"/>
        </w:rPr>
        <w:t>全流程电子文件</w:t>
      </w:r>
    </w:p>
    <w:p w14:paraId="41C00953">
      <w:pPr>
        <w:spacing w:beforeLines="50" w:after="50"/>
        <w:rPr>
          <w:rFonts w:ascii="宋体" w:hAnsi="宋体" w:cs="宋体"/>
          <w:color w:val="auto"/>
          <w:sz w:val="24"/>
          <w:szCs w:val="20"/>
          <w:highlight w:val="none"/>
        </w:rPr>
      </w:pPr>
    </w:p>
    <w:p w14:paraId="6256605B">
      <w:pPr>
        <w:spacing w:beforeLines="50" w:after="50"/>
        <w:rPr>
          <w:rFonts w:ascii="宋体" w:hAnsi="宋体" w:cs="宋体"/>
          <w:color w:val="auto"/>
          <w:sz w:val="24"/>
          <w:szCs w:val="20"/>
          <w:highlight w:val="none"/>
        </w:rPr>
      </w:pPr>
    </w:p>
    <w:p w14:paraId="0C7FFFDC">
      <w:pPr>
        <w:spacing w:beforeLines="50" w:after="50"/>
        <w:rPr>
          <w:rFonts w:ascii="宋体" w:hAnsi="宋体" w:cs="宋体"/>
          <w:color w:val="auto"/>
          <w:sz w:val="24"/>
          <w:szCs w:val="20"/>
          <w:highlight w:val="none"/>
        </w:rPr>
      </w:pPr>
    </w:p>
    <w:p w14:paraId="2BA9A882">
      <w:pPr>
        <w:spacing w:beforeLines="50" w:after="50"/>
        <w:jc w:val="center"/>
        <w:rPr>
          <w:rFonts w:ascii="宋体" w:hAnsi="宋体" w:cs="宋体"/>
          <w:bCs/>
          <w:color w:val="auto"/>
          <w:sz w:val="48"/>
          <w:szCs w:val="48"/>
          <w:highlight w:val="none"/>
        </w:rPr>
      </w:pPr>
      <w:r>
        <w:rPr>
          <w:rFonts w:hint="eastAsia" w:ascii="宋体" w:hAnsi="宋体" w:cs="宋体"/>
          <w:b/>
          <w:color w:val="auto"/>
          <w:sz w:val="48"/>
          <w:szCs w:val="48"/>
          <w:highlight w:val="none"/>
        </w:rPr>
        <w:t>报 价 文 件</w:t>
      </w:r>
    </w:p>
    <w:p w14:paraId="746CFE6B">
      <w:pPr>
        <w:spacing w:beforeLines="50" w:after="50"/>
        <w:rPr>
          <w:rFonts w:ascii="宋体" w:hAnsi="宋体" w:cs="宋体"/>
          <w:bCs/>
          <w:color w:val="auto"/>
          <w:sz w:val="24"/>
          <w:szCs w:val="20"/>
          <w:highlight w:val="none"/>
        </w:rPr>
      </w:pPr>
    </w:p>
    <w:p w14:paraId="330F7DE3">
      <w:pPr>
        <w:spacing w:beforeLines="50" w:after="50"/>
        <w:rPr>
          <w:rFonts w:ascii="宋体" w:hAnsi="宋体" w:cs="宋体"/>
          <w:bCs/>
          <w:color w:val="auto"/>
          <w:sz w:val="24"/>
          <w:szCs w:val="20"/>
          <w:highlight w:val="none"/>
        </w:rPr>
      </w:pPr>
    </w:p>
    <w:p w14:paraId="574397CE">
      <w:pPr>
        <w:spacing w:beforeLines="50" w:after="50"/>
        <w:rPr>
          <w:rFonts w:ascii="宋体" w:hAnsi="宋体" w:cs="宋体"/>
          <w:bCs/>
          <w:color w:val="auto"/>
          <w:sz w:val="24"/>
          <w:szCs w:val="20"/>
          <w:highlight w:val="none"/>
        </w:rPr>
      </w:pPr>
    </w:p>
    <w:p w14:paraId="3D7C38FB">
      <w:pPr>
        <w:spacing w:beforeLines="50" w:after="50"/>
        <w:rPr>
          <w:rFonts w:ascii="宋体" w:hAnsi="宋体" w:cs="宋体"/>
          <w:bCs/>
          <w:color w:val="auto"/>
          <w:sz w:val="24"/>
          <w:szCs w:val="20"/>
          <w:highlight w:val="none"/>
        </w:rPr>
      </w:pPr>
    </w:p>
    <w:p w14:paraId="0A49A9ED">
      <w:pPr>
        <w:spacing w:beforeLines="50" w:after="50"/>
        <w:rPr>
          <w:rFonts w:ascii="宋体" w:hAnsi="宋体" w:cs="宋体"/>
          <w:bCs/>
          <w:color w:val="auto"/>
          <w:sz w:val="24"/>
          <w:szCs w:val="20"/>
          <w:highlight w:val="none"/>
        </w:rPr>
      </w:pPr>
    </w:p>
    <w:p w14:paraId="31444DB2">
      <w:pPr>
        <w:spacing w:beforeLines="50" w:after="50"/>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项目名称：</w:t>
      </w:r>
    </w:p>
    <w:p w14:paraId="25C3B059">
      <w:pPr>
        <w:spacing w:beforeLines="50" w:after="50"/>
        <w:ind w:firstLine="420" w:firstLineChars="150"/>
        <w:rPr>
          <w:rFonts w:ascii="宋体" w:hAnsi="宋体" w:cs="宋体"/>
          <w:bCs/>
          <w:color w:val="auto"/>
          <w:sz w:val="28"/>
          <w:szCs w:val="28"/>
          <w:highlight w:val="none"/>
        </w:rPr>
      </w:pPr>
    </w:p>
    <w:p w14:paraId="59BD4C58">
      <w:pPr>
        <w:spacing w:beforeLines="50" w:after="50"/>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项目编号：</w:t>
      </w:r>
    </w:p>
    <w:p w14:paraId="74708954">
      <w:pPr>
        <w:spacing w:beforeLines="50" w:after="50"/>
        <w:ind w:firstLine="420" w:firstLineChars="150"/>
        <w:rPr>
          <w:rFonts w:ascii="宋体" w:hAnsi="宋体" w:cs="宋体"/>
          <w:bCs/>
          <w:color w:val="auto"/>
          <w:sz w:val="28"/>
          <w:szCs w:val="28"/>
          <w:highlight w:val="none"/>
        </w:rPr>
      </w:pPr>
    </w:p>
    <w:p w14:paraId="3AC736EF">
      <w:pPr>
        <w:spacing w:beforeLines="50" w:after="50"/>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所竞分标：</w:t>
      </w:r>
    </w:p>
    <w:p w14:paraId="6B4E88B1">
      <w:pPr>
        <w:spacing w:beforeLines="50" w:after="50"/>
        <w:rPr>
          <w:rFonts w:ascii="宋体" w:hAnsi="宋体" w:cs="宋体"/>
          <w:bCs/>
          <w:color w:val="auto"/>
          <w:sz w:val="28"/>
          <w:szCs w:val="28"/>
          <w:highlight w:val="none"/>
        </w:rPr>
      </w:pPr>
    </w:p>
    <w:p w14:paraId="7C412607">
      <w:pPr>
        <w:spacing w:beforeLines="50" w:after="50"/>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供应商名称：</w:t>
      </w:r>
    </w:p>
    <w:p w14:paraId="01AAB701">
      <w:pPr>
        <w:pStyle w:val="7"/>
        <w:spacing w:before="50" w:after="50"/>
        <w:ind w:firstLine="720" w:firstLineChars="225"/>
        <w:rPr>
          <w:rFonts w:ascii="宋体" w:hAnsi="宋体" w:cs="宋体"/>
          <w:bCs/>
          <w:color w:val="auto"/>
          <w:sz w:val="32"/>
          <w:szCs w:val="32"/>
          <w:highlight w:val="none"/>
        </w:rPr>
      </w:pPr>
    </w:p>
    <w:p w14:paraId="18C060C3">
      <w:pPr>
        <w:pStyle w:val="7"/>
        <w:spacing w:before="50" w:after="50"/>
        <w:ind w:firstLine="720" w:firstLineChars="225"/>
        <w:rPr>
          <w:rFonts w:ascii="宋体" w:hAnsi="宋体" w:cs="宋体"/>
          <w:bCs/>
          <w:color w:val="auto"/>
          <w:sz w:val="32"/>
          <w:szCs w:val="32"/>
          <w:highlight w:val="none"/>
        </w:rPr>
      </w:pPr>
    </w:p>
    <w:p w14:paraId="0E072FDD">
      <w:pPr>
        <w:pStyle w:val="7"/>
        <w:spacing w:before="50" w:after="50"/>
        <w:ind w:firstLine="1280" w:firstLineChars="400"/>
        <w:rPr>
          <w:rFonts w:ascii="宋体" w:hAnsi="宋体" w:cs="宋体"/>
          <w:bCs/>
          <w:color w:val="auto"/>
          <w:sz w:val="32"/>
          <w:szCs w:val="32"/>
          <w:highlight w:val="none"/>
        </w:rPr>
      </w:pPr>
    </w:p>
    <w:p w14:paraId="1FA8EBC7">
      <w:pPr>
        <w:spacing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1B30F9BF">
      <w:pPr>
        <w:spacing w:beforeLines="50" w:after="50" w:line="400" w:lineRule="exact"/>
        <w:jc w:val="center"/>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报价文件目录</w:t>
      </w:r>
    </w:p>
    <w:p w14:paraId="640DDD3F">
      <w:pPr>
        <w:rPr>
          <w:rFonts w:ascii="宋体" w:hAnsi="宋体" w:cs="宋体"/>
          <w:color w:val="auto"/>
          <w:highlight w:val="none"/>
        </w:rPr>
      </w:pPr>
    </w:p>
    <w:p w14:paraId="6CE58B22">
      <w:pPr>
        <w:spacing w:beforeLines="50" w:after="50" w:line="360" w:lineRule="auto"/>
        <w:jc w:val="center"/>
        <w:rPr>
          <w:rFonts w:ascii="宋体" w:hAnsi="宋体" w:cs="宋体"/>
          <w:color w:val="auto"/>
          <w:sz w:val="24"/>
          <w:highlight w:val="none"/>
        </w:rPr>
      </w:pPr>
      <w:r>
        <w:rPr>
          <w:rFonts w:hint="eastAsia" w:ascii="宋体" w:hAnsi="宋体" w:cs="宋体"/>
          <w:color w:val="auto"/>
          <w:sz w:val="24"/>
          <w:highlight w:val="none"/>
        </w:rPr>
        <w:t>根据竞争性磋商文件规定及供应商提供的材料自行编写目录（部分格式后附）。</w:t>
      </w:r>
    </w:p>
    <w:p w14:paraId="7D229B57">
      <w:pPr>
        <w:spacing w:beforeLines="50" w:after="50" w:line="360" w:lineRule="auto"/>
        <w:ind w:left="142" w:firstLine="640" w:firstLineChars="200"/>
        <w:jc w:val="left"/>
        <w:rPr>
          <w:rFonts w:ascii="宋体" w:hAnsi="宋体" w:cs="宋体"/>
          <w:color w:val="auto"/>
          <w:sz w:val="32"/>
          <w:szCs w:val="32"/>
          <w:highlight w:val="none"/>
        </w:rPr>
      </w:pPr>
    </w:p>
    <w:p w14:paraId="3A4E50E9">
      <w:pPr>
        <w:spacing w:beforeLines="50" w:after="50" w:line="360" w:lineRule="auto"/>
        <w:jc w:val="left"/>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一、报价函</w:t>
      </w:r>
    </w:p>
    <w:p w14:paraId="53D78476">
      <w:pPr>
        <w:pStyle w:val="103"/>
        <w:spacing w:line="360" w:lineRule="auto"/>
        <w:rPr>
          <w:rFonts w:ascii="宋体" w:hAnsi="宋体" w:eastAsia="宋体" w:cs="宋体"/>
          <w:b/>
          <w:bCs/>
          <w:color w:val="auto"/>
          <w:spacing w:val="0"/>
          <w:sz w:val="30"/>
          <w:szCs w:val="30"/>
          <w:highlight w:val="none"/>
        </w:rPr>
      </w:pPr>
      <w:bookmarkStart w:id="85" w:name="_Toc498082657"/>
      <w:r>
        <w:rPr>
          <w:rFonts w:hint="eastAsia" w:ascii="宋体" w:hAnsi="宋体" w:eastAsia="宋体" w:cs="宋体"/>
          <w:b/>
          <w:bCs/>
          <w:color w:val="auto"/>
          <w:spacing w:val="0"/>
          <w:sz w:val="30"/>
          <w:szCs w:val="30"/>
          <w:highlight w:val="none"/>
        </w:rPr>
        <w:t>报价函</w:t>
      </w:r>
      <w:bookmarkEnd w:id="85"/>
    </w:p>
    <w:p w14:paraId="79175DCE">
      <w:pPr>
        <w:pStyle w:val="103"/>
        <w:spacing w:line="360" w:lineRule="auto"/>
        <w:jc w:val="both"/>
        <w:rPr>
          <w:rFonts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致</w:t>
      </w:r>
      <w:r>
        <w:rPr>
          <w:rFonts w:hint="eastAsia" w:ascii="宋体" w:hAnsi="宋体" w:eastAsia="宋体" w:cs="宋体"/>
          <w:b/>
          <w:bCs/>
          <w:color w:val="auto"/>
          <w:spacing w:val="0"/>
          <w:sz w:val="24"/>
          <w:highlight w:val="none"/>
          <w:lang w:eastAsia="zh-CN"/>
        </w:rPr>
        <w:t xml:space="preserve"> </w:t>
      </w:r>
      <w:r>
        <w:rPr>
          <w:rFonts w:hint="eastAsia" w:ascii="宋体" w:hAnsi="宋体" w:eastAsia="宋体" w:cs="宋体"/>
          <w:b/>
          <w:bCs/>
          <w:color w:val="auto"/>
          <w:spacing w:val="0"/>
          <w:sz w:val="24"/>
          <w:highlight w:val="none"/>
          <w:lang w:val="en-US" w:eastAsia="zh-CN"/>
        </w:rPr>
        <w:t>广西恒辉工程咨询有限公司</w:t>
      </w:r>
      <w:r>
        <w:rPr>
          <w:rFonts w:hint="eastAsia" w:ascii="宋体" w:hAnsi="宋体" w:eastAsia="宋体" w:cs="宋体"/>
          <w:b/>
          <w:bCs/>
          <w:color w:val="auto"/>
          <w:spacing w:val="0"/>
          <w:sz w:val="24"/>
          <w:highlight w:val="none"/>
        </w:rPr>
        <w:t>：</w:t>
      </w:r>
    </w:p>
    <w:p w14:paraId="0081ECF8">
      <w:pPr>
        <w:tabs>
          <w:tab w:val="left" w:pos="75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1.根据你方项目项目编号为</w:t>
      </w:r>
      <w:r>
        <w:rPr>
          <w:rFonts w:hint="eastAsia" w:ascii="宋体" w:hAnsi="宋体" w:cs="宋体"/>
          <w:color w:val="auto"/>
          <w:sz w:val="24"/>
          <w:highlight w:val="none"/>
          <w:u w:val="single"/>
        </w:rPr>
        <w:t xml:space="preserve">            （项目编号）</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（项目名称）</w:t>
      </w:r>
      <w:r>
        <w:rPr>
          <w:rFonts w:hint="eastAsia" w:ascii="宋体" w:hAnsi="宋体" w:cs="宋体"/>
          <w:color w:val="auto"/>
          <w:sz w:val="24"/>
          <w:highlight w:val="none"/>
        </w:rPr>
        <w:t>竞争性磋商文件，遵照《中华人民共和国政府采购法》等有关规定，研究上述竞争性磋商文件的供应商须知、合同条款、图纸、工程建设标准和工程量清单及其他有关文件后，我方愿以人民币（大写）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r>
        <w:rPr>
          <w:rFonts w:hint="default" w:ascii="Arial" w:hAnsi="Arial" w:cs="Arial"/>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元）的报价并按上述图纸、合同条款、工程建设标准和工程量清单（如有时）的条件要求承包上述工程的施工、竣工，并承担任何质量缺陷保修责任。我方保证工程质量达到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等级。</w:t>
      </w:r>
    </w:p>
    <w:p w14:paraId="43706E7B">
      <w:pPr>
        <w:tabs>
          <w:tab w:val="left" w:pos="75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2.我方已详细审核全部竞争性磋商文件，包括修改文件（如有时）及有关附件。</w:t>
      </w:r>
    </w:p>
    <w:p w14:paraId="3E20FF3F">
      <w:pPr>
        <w:tabs>
          <w:tab w:val="left" w:pos="75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3.我方承认报价函附录是我方报价函的组成部分。</w:t>
      </w:r>
    </w:p>
    <w:p w14:paraId="39CD1F66">
      <w:pPr>
        <w:tabs>
          <w:tab w:val="left" w:pos="75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4.一旦我方成交，我方保证按合同书中规定的工期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日历天内完成并移交全部工程。</w:t>
      </w:r>
    </w:p>
    <w:p w14:paraId="48A44682">
      <w:pPr>
        <w:tabs>
          <w:tab w:val="left" w:pos="75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5.我方同意所提交的响应文件在竞争性磋商文件的“供应商须知”中规定的磋商有效期内有效，在此期间内如果成交，我方将受此约束。</w:t>
      </w:r>
    </w:p>
    <w:p w14:paraId="5816F3EB">
      <w:pPr>
        <w:tabs>
          <w:tab w:val="left" w:pos="75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6.除非另外达成协议并生效，你方的成交通知书和本响应文件将成为约束双方的合同文件的组成部分。</w:t>
      </w:r>
    </w:p>
    <w:p w14:paraId="337E91CF">
      <w:pPr>
        <w:spacing w:line="360" w:lineRule="auto"/>
        <w:rPr>
          <w:rFonts w:ascii="宋体" w:hAnsi="宋体" w:cs="宋体"/>
          <w:color w:val="auto"/>
          <w:sz w:val="24"/>
          <w:highlight w:val="none"/>
        </w:rPr>
      </w:pPr>
    </w:p>
    <w:p w14:paraId="231E9692">
      <w:pPr>
        <w:spacing w:line="360" w:lineRule="auto"/>
        <w:ind w:firstLine="1200" w:firstLineChars="500"/>
        <w:rPr>
          <w:rFonts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s="宋体"/>
          <w:color w:val="auto"/>
          <w:sz w:val="24"/>
          <w:highlight w:val="none"/>
          <w:u w:val="single"/>
        </w:rPr>
        <w:t xml:space="preserve">                                        （盖单位章）</w:t>
      </w:r>
    </w:p>
    <w:p w14:paraId="6A41AD2A">
      <w:pPr>
        <w:spacing w:line="360" w:lineRule="auto"/>
        <w:ind w:firstLine="1200" w:firstLineChars="500"/>
        <w:rPr>
          <w:rFonts w:ascii="宋体" w:hAnsi="宋体" w:cs="宋体"/>
          <w:color w:val="auto"/>
          <w:sz w:val="24"/>
          <w:highlight w:val="none"/>
          <w:u w:val="single"/>
        </w:rPr>
      </w:pPr>
      <w:r>
        <w:rPr>
          <w:rFonts w:hint="eastAsia" w:ascii="宋体" w:hAnsi="宋体" w:cs="宋体"/>
          <w:color w:val="auto"/>
          <w:sz w:val="24"/>
          <w:highlight w:val="none"/>
        </w:rPr>
        <w:t>单位地址：</w:t>
      </w:r>
      <w:r>
        <w:rPr>
          <w:rFonts w:hint="eastAsia" w:ascii="宋体" w:hAnsi="宋体" w:cs="宋体"/>
          <w:color w:val="auto"/>
          <w:sz w:val="24"/>
          <w:highlight w:val="none"/>
          <w:u w:val="single"/>
        </w:rPr>
        <w:t xml:space="preserve">                                        </w:t>
      </w:r>
    </w:p>
    <w:p w14:paraId="30E99643">
      <w:pPr>
        <w:spacing w:line="360" w:lineRule="auto"/>
        <w:ind w:firstLine="1200" w:firstLineChars="500"/>
        <w:rPr>
          <w:rFonts w:ascii="宋体" w:hAnsi="宋体" w:cs="宋体"/>
          <w:color w:val="auto"/>
          <w:sz w:val="24"/>
          <w:highlight w:val="none"/>
          <w:u w:val="single"/>
        </w:rPr>
      </w:pPr>
      <w:r>
        <w:rPr>
          <w:rFonts w:hint="eastAsia" w:ascii="宋体" w:hAnsi="宋体" w:cs="宋体"/>
          <w:color w:val="auto"/>
          <w:sz w:val="24"/>
          <w:highlight w:val="none"/>
        </w:rPr>
        <w:t>法定代表人：</w:t>
      </w:r>
      <w:r>
        <w:rPr>
          <w:rFonts w:hint="eastAsia" w:ascii="宋体" w:hAnsi="宋体" w:cs="宋体"/>
          <w:color w:val="auto"/>
          <w:sz w:val="24"/>
          <w:highlight w:val="none"/>
          <w:u w:val="single"/>
        </w:rPr>
        <w:t xml:space="preserve">      （签字或盖章）</w:t>
      </w:r>
    </w:p>
    <w:p w14:paraId="5C9EBFA2">
      <w:pPr>
        <w:spacing w:line="360" w:lineRule="auto"/>
        <w:ind w:firstLine="1200" w:firstLineChars="500"/>
        <w:rPr>
          <w:rFonts w:ascii="宋体" w:hAnsi="宋体" w:cs="宋体"/>
          <w:color w:val="auto"/>
          <w:sz w:val="24"/>
          <w:highlight w:val="none"/>
        </w:rPr>
      </w:pPr>
      <w:r>
        <w:rPr>
          <w:rFonts w:hint="eastAsia" w:ascii="宋体" w:hAnsi="宋体" w:cs="宋体"/>
          <w:color w:val="auto"/>
          <w:sz w:val="24"/>
          <w:highlight w:val="none"/>
        </w:rPr>
        <w:t>邮政编码：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传真：</w:t>
      </w:r>
      <w:r>
        <w:rPr>
          <w:rFonts w:hint="eastAsia" w:ascii="宋体" w:hAnsi="宋体" w:cs="宋体"/>
          <w:color w:val="auto"/>
          <w:sz w:val="24"/>
          <w:highlight w:val="none"/>
          <w:u w:val="single"/>
        </w:rPr>
        <w:t xml:space="preserve">          </w:t>
      </w:r>
    </w:p>
    <w:p w14:paraId="18B54F55">
      <w:pPr>
        <w:spacing w:line="360" w:lineRule="auto"/>
        <w:ind w:firstLine="1200" w:firstLineChars="500"/>
        <w:rPr>
          <w:rFonts w:ascii="宋体" w:hAnsi="宋体" w:cs="宋体"/>
          <w:color w:val="auto"/>
          <w:sz w:val="24"/>
          <w:highlight w:val="none"/>
        </w:rPr>
      </w:pPr>
      <w:r>
        <w:rPr>
          <w:rFonts w:hint="eastAsia" w:ascii="宋体" w:hAnsi="宋体" w:cs="宋体"/>
          <w:color w:val="auto"/>
          <w:sz w:val="24"/>
          <w:highlight w:val="none"/>
        </w:rPr>
        <w:t>开户银行名称：</w:t>
      </w:r>
      <w:r>
        <w:rPr>
          <w:rFonts w:hint="eastAsia" w:ascii="宋体" w:hAnsi="宋体" w:cs="宋体"/>
          <w:color w:val="auto"/>
          <w:sz w:val="24"/>
          <w:highlight w:val="none"/>
          <w:u w:val="single"/>
        </w:rPr>
        <w:t xml:space="preserve">                                    </w:t>
      </w:r>
    </w:p>
    <w:p w14:paraId="40A79B8B">
      <w:pPr>
        <w:spacing w:line="360" w:lineRule="auto"/>
        <w:ind w:firstLine="1200" w:firstLineChars="500"/>
        <w:rPr>
          <w:rFonts w:ascii="宋体" w:hAnsi="宋体" w:cs="宋体"/>
          <w:color w:val="auto"/>
          <w:sz w:val="24"/>
          <w:highlight w:val="none"/>
        </w:rPr>
      </w:pPr>
      <w:r>
        <w:rPr>
          <w:rFonts w:hint="eastAsia" w:ascii="宋体" w:hAnsi="宋体" w:cs="宋体"/>
          <w:color w:val="auto"/>
          <w:sz w:val="24"/>
          <w:highlight w:val="none"/>
        </w:rPr>
        <w:t>开户银行账号：</w:t>
      </w:r>
      <w:r>
        <w:rPr>
          <w:rFonts w:hint="eastAsia" w:ascii="宋体" w:hAnsi="宋体" w:cs="宋体"/>
          <w:color w:val="auto"/>
          <w:sz w:val="24"/>
          <w:highlight w:val="none"/>
          <w:u w:val="single"/>
        </w:rPr>
        <w:t xml:space="preserve">                                    </w:t>
      </w:r>
    </w:p>
    <w:p w14:paraId="6BEF838A">
      <w:pPr>
        <w:spacing w:line="360" w:lineRule="auto"/>
        <w:ind w:firstLine="1200" w:firstLineChars="500"/>
        <w:rPr>
          <w:rFonts w:ascii="宋体" w:hAnsi="宋体" w:cs="宋体"/>
          <w:color w:val="auto"/>
          <w:sz w:val="24"/>
          <w:highlight w:val="none"/>
        </w:rPr>
      </w:pPr>
      <w:r>
        <w:rPr>
          <w:rFonts w:hint="eastAsia" w:ascii="宋体" w:hAnsi="宋体" w:cs="宋体"/>
          <w:color w:val="auto"/>
          <w:sz w:val="24"/>
          <w:highlight w:val="none"/>
        </w:rPr>
        <w:t>开户银行地址：</w:t>
      </w:r>
      <w:r>
        <w:rPr>
          <w:rFonts w:hint="eastAsia" w:ascii="宋体" w:hAnsi="宋体" w:cs="宋体"/>
          <w:color w:val="auto"/>
          <w:sz w:val="24"/>
          <w:highlight w:val="none"/>
          <w:u w:val="single"/>
        </w:rPr>
        <w:t xml:space="preserve">                                    </w:t>
      </w:r>
    </w:p>
    <w:p w14:paraId="07345AF6">
      <w:pPr>
        <w:spacing w:line="360" w:lineRule="auto"/>
        <w:ind w:firstLine="1200" w:firstLineChars="500"/>
        <w:rPr>
          <w:rFonts w:ascii="宋体" w:hAnsi="宋体" w:cs="宋体"/>
          <w:color w:val="auto"/>
          <w:sz w:val="24"/>
          <w:highlight w:val="none"/>
        </w:rPr>
      </w:pPr>
      <w:r>
        <w:rPr>
          <w:rFonts w:hint="eastAsia" w:ascii="宋体" w:hAnsi="宋体" w:cs="宋体"/>
          <w:color w:val="auto"/>
          <w:sz w:val="24"/>
          <w:highlight w:val="none"/>
        </w:rPr>
        <w:t>开户银行电话：</w:t>
      </w:r>
      <w:r>
        <w:rPr>
          <w:rFonts w:hint="eastAsia" w:ascii="宋体" w:hAnsi="宋体" w:cs="宋体"/>
          <w:color w:val="auto"/>
          <w:sz w:val="24"/>
          <w:highlight w:val="none"/>
          <w:u w:val="single"/>
        </w:rPr>
        <w:t xml:space="preserve">                                    </w:t>
      </w:r>
    </w:p>
    <w:p w14:paraId="5B8939BB">
      <w:pPr>
        <w:spacing w:line="360" w:lineRule="auto"/>
        <w:ind w:firstLine="1200" w:firstLineChars="500"/>
        <w:rPr>
          <w:rFonts w:ascii="宋体" w:hAnsi="宋体" w:cs="宋体"/>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01123513">
      <w:pPr>
        <w:spacing w:line="360" w:lineRule="auto"/>
        <w:rPr>
          <w:rFonts w:ascii="宋体" w:hAnsi="宋体" w:cs="宋体"/>
          <w:b/>
          <w:color w:val="auto"/>
          <w:sz w:val="24"/>
          <w:highlight w:val="none"/>
          <w:lang w:val="zh-CN"/>
        </w:rPr>
      </w:pPr>
      <w:r>
        <w:rPr>
          <w:rFonts w:hint="eastAsia" w:ascii="宋体" w:hAnsi="宋体" w:cs="宋体"/>
          <w:color w:val="auto"/>
          <w:sz w:val="24"/>
          <w:highlight w:val="none"/>
        </w:rPr>
        <w:br w:type="page"/>
      </w:r>
      <w:r>
        <w:rPr>
          <w:rFonts w:hint="eastAsia" w:ascii="宋体" w:hAnsi="宋体" w:cs="宋体"/>
          <w:color w:val="auto"/>
          <w:sz w:val="24"/>
          <w:highlight w:val="none"/>
        </w:rPr>
        <w:t xml:space="preserve">       </w:t>
      </w:r>
    </w:p>
    <w:p w14:paraId="6AD3A854">
      <w:pPr>
        <w:pStyle w:val="99"/>
        <w:spacing w:line="360" w:lineRule="auto"/>
        <w:ind w:firstLine="0" w:firstLineChars="0"/>
        <w:rPr>
          <w:rFonts w:ascii="宋体" w:hAnsi="宋体" w:eastAsia="宋体" w:cs="宋体"/>
          <w:b/>
          <w:color w:val="auto"/>
          <w:spacing w:val="0"/>
          <w:sz w:val="32"/>
          <w:szCs w:val="32"/>
          <w:highlight w:val="none"/>
        </w:rPr>
      </w:pPr>
      <w:r>
        <w:rPr>
          <w:rFonts w:hint="eastAsia" w:ascii="宋体" w:hAnsi="宋体" w:eastAsia="宋体" w:cs="宋体"/>
          <w:b/>
          <w:color w:val="auto"/>
          <w:spacing w:val="0"/>
          <w:sz w:val="32"/>
          <w:szCs w:val="32"/>
          <w:highlight w:val="none"/>
        </w:rPr>
        <w:t>二、报价函附录</w:t>
      </w:r>
    </w:p>
    <w:p w14:paraId="157B7CD7">
      <w:pPr>
        <w:pStyle w:val="99"/>
        <w:spacing w:line="360" w:lineRule="auto"/>
        <w:ind w:firstLine="0" w:firstLineChars="0"/>
        <w:jc w:val="center"/>
        <w:rPr>
          <w:rFonts w:ascii="宋体" w:hAnsi="宋体" w:eastAsia="宋体" w:cs="宋体"/>
          <w:b/>
          <w:color w:val="auto"/>
          <w:spacing w:val="0"/>
          <w:highlight w:val="none"/>
        </w:rPr>
      </w:pPr>
      <w:r>
        <w:rPr>
          <w:rFonts w:hint="eastAsia" w:ascii="宋体" w:hAnsi="宋体" w:eastAsia="宋体" w:cs="宋体"/>
          <w:b/>
          <w:color w:val="auto"/>
          <w:spacing w:val="0"/>
          <w:sz w:val="32"/>
          <w:szCs w:val="32"/>
          <w:highlight w:val="none"/>
        </w:rPr>
        <w:t>报价函附录</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2992"/>
        <w:gridCol w:w="1442"/>
        <w:gridCol w:w="3405"/>
      </w:tblGrid>
      <w:tr w14:paraId="0017E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0" w:hRule="atLeast"/>
          <w:jc w:val="center"/>
        </w:trPr>
        <w:tc>
          <w:tcPr>
            <w:tcW w:w="1696" w:type="dxa"/>
            <w:vAlign w:val="center"/>
          </w:tcPr>
          <w:p w14:paraId="5B09E4AC">
            <w:pPr>
              <w:spacing w:line="500" w:lineRule="exact"/>
              <w:jc w:val="center"/>
              <w:rPr>
                <w:rFonts w:ascii="宋体" w:hAnsi="宋体" w:cs="宋体"/>
                <w:bCs/>
                <w:color w:val="auto"/>
                <w:sz w:val="24"/>
                <w:highlight w:val="none"/>
              </w:rPr>
            </w:pPr>
            <w:r>
              <w:rPr>
                <w:rFonts w:hint="eastAsia" w:ascii="宋体" w:hAnsi="宋体" w:cs="宋体"/>
                <w:bCs/>
                <w:color w:val="auto"/>
                <w:sz w:val="24"/>
                <w:highlight w:val="none"/>
              </w:rPr>
              <w:t>磋商前</w:t>
            </w:r>
          </w:p>
          <w:p w14:paraId="1580B885">
            <w:pPr>
              <w:spacing w:line="500" w:lineRule="exact"/>
              <w:jc w:val="center"/>
              <w:rPr>
                <w:rFonts w:ascii="宋体" w:hAnsi="宋体" w:cs="宋体"/>
                <w:bCs/>
                <w:color w:val="auto"/>
                <w:sz w:val="24"/>
                <w:highlight w:val="none"/>
              </w:rPr>
            </w:pPr>
            <w:r>
              <w:rPr>
                <w:rFonts w:hint="eastAsia" w:ascii="宋体" w:hAnsi="宋体" w:cs="宋体"/>
                <w:bCs/>
                <w:color w:val="auto"/>
                <w:sz w:val="24"/>
                <w:highlight w:val="none"/>
              </w:rPr>
              <w:t>基础报价</w:t>
            </w:r>
          </w:p>
        </w:tc>
        <w:tc>
          <w:tcPr>
            <w:tcW w:w="7839" w:type="dxa"/>
            <w:gridSpan w:val="3"/>
            <w:vAlign w:val="center"/>
          </w:tcPr>
          <w:p w14:paraId="6D87FB40">
            <w:pPr>
              <w:spacing w:line="500" w:lineRule="exact"/>
              <w:jc w:val="center"/>
              <w:rPr>
                <w:rFonts w:ascii="宋体" w:hAnsi="宋体" w:cs="宋体"/>
                <w:bCs/>
                <w:color w:val="auto"/>
                <w:sz w:val="24"/>
                <w:highlight w:val="none"/>
              </w:rPr>
            </w:pPr>
            <w:r>
              <w:rPr>
                <w:rFonts w:hint="eastAsia" w:ascii="宋体" w:hAnsi="宋体" w:cs="宋体"/>
                <w:color w:val="auto"/>
                <w:sz w:val="24"/>
                <w:highlight w:val="none"/>
              </w:rPr>
              <w:t>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r>
              <w:rPr>
                <w:rFonts w:hint="default" w:ascii="Arial" w:hAnsi="Arial" w:cs="Arial"/>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p>
        </w:tc>
      </w:tr>
      <w:tr w14:paraId="5DFD8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atLeast"/>
          <w:jc w:val="center"/>
        </w:trPr>
        <w:tc>
          <w:tcPr>
            <w:tcW w:w="1696" w:type="dxa"/>
            <w:vAlign w:val="center"/>
          </w:tcPr>
          <w:p w14:paraId="3AF0C875">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磋商有效期</w:t>
            </w:r>
          </w:p>
        </w:tc>
        <w:tc>
          <w:tcPr>
            <w:tcW w:w="7839" w:type="dxa"/>
            <w:gridSpan w:val="3"/>
            <w:vAlign w:val="center"/>
          </w:tcPr>
          <w:p w14:paraId="2620CACB">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从报价截止之日，磋商有效期为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天（日历日）</w:t>
            </w:r>
          </w:p>
        </w:tc>
      </w:tr>
      <w:tr w14:paraId="1DA6C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1696" w:type="dxa"/>
            <w:vAlign w:val="center"/>
          </w:tcPr>
          <w:p w14:paraId="626C8BC9">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质量标准</w:t>
            </w:r>
          </w:p>
        </w:tc>
        <w:tc>
          <w:tcPr>
            <w:tcW w:w="7839" w:type="dxa"/>
            <w:gridSpan w:val="3"/>
            <w:vAlign w:val="center"/>
          </w:tcPr>
          <w:p w14:paraId="62B5807F">
            <w:pPr>
              <w:spacing w:line="500" w:lineRule="exact"/>
              <w:jc w:val="center"/>
              <w:rPr>
                <w:rFonts w:ascii="宋体" w:hAnsi="宋体" w:cs="宋体"/>
                <w:color w:val="auto"/>
                <w:sz w:val="24"/>
                <w:highlight w:val="none"/>
              </w:rPr>
            </w:pPr>
          </w:p>
        </w:tc>
      </w:tr>
      <w:tr w14:paraId="6E88D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jc w:val="center"/>
        </w:trPr>
        <w:tc>
          <w:tcPr>
            <w:tcW w:w="1696" w:type="dxa"/>
            <w:vAlign w:val="center"/>
          </w:tcPr>
          <w:p w14:paraId="31A53B5A">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承诺工期</w:t>
            </w:r>
          </w:p>
        </w:tc>
        <w:tc>
          <w:tcPr>
            <w:tcW w:w="7839" w:type="dxa"/>
            <w:gridSpan w:val="3"/>
            <w:vAlign w:val="center"/>
          </w:tcPr>
          <w:p w14:paraId="345163A1">
            <w:pPr>
              <w:spacing w:line="500" w:lineRule="exact"/>
              <w:jc w:val="center"/>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日历天</w:t>
            </w:r>
          </w:p>
        </w:tc>
      </w:tr>
      <w:tr w14:paraId="7C166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96" w:type="dxa"/>
            <w:vAlign w:val="center"/>
          </w:tcPr>
          <w:p w14:paraId="6FC56E7C">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项目经理</w:t>
            </w:r>
          </w:p>
          <w:p w14:paraId="4B53C33B">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（建造师）</w:t>
            </w:r>
          </w:p>
        </w:tc>
        <w:tc>
          <w:tcPr>
            <w:tcW w:w="2992" w:type="dxa"/>
            <w:vAlign w:val="center"/>
          </w:tcPr>
          <w:p w14:paraId="1E50A2BE">
            <w:pPr>
              <w:spacing w:line="500" w:lineRule="exact"/>
              <w:rPr>
                <w:rFonts w:ascii="宋体" w:hAnsi="宋体" w:cs="宋体"/>
                <w:color w:val="auto"/>
                <w:sz w:val="24"/>
                <w:highlight w:val="none"/>
              </w:rPr>
            </w:pPr>
          </w:p>
        </w:tc>
        <w:tc>
          <w:tcPr>
            <w:tcW w:w="1442" w:type="dxa"/>
            <w:vAlign w:val="center"/>
          </w:tcPr>
          <w:p w14:paraId="26F93F88">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级别及编号</w:t>
            </w:r>
          </w:p>
        </w:tc>
        <w:tc>
          <w:tcPr>
            <w:tcW w:w="3405" w:type="dxa"/>
            <w:vAlign w:val="center"/>
          </w:tcPr>
          <w:p w14:paraId="059BFC04">
            <w:pPr>
              <w:spacing w:line="500" w:lineRule="exact"/>
              <w:rPr>
                <w:rFonts w:ascii="宋体" w:hAnsi="宋体" w:cs="宋体"/>
                <w:color w:val="auto"/>
                <w:sz w:val="24"/>
                <w:highlight w:val="none"/>
              </w:rPr>
            </w:pPr>
          </w:p>
        </w:tc>
      </w:tr>
      <w:tr w14:paraId="7FF65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9535" w:type="dxa"/>
            <w:gridSpan w:val="4"/>
            <w:tcBorders>
              <w:bottom w:val="single" w:color="auto" w:sz="4" w:space="0"/>
            </w:tcBorders>
            <w:vAlign w:val="center"/>
          </w:tcPr>
          <w:p w14:paraId="690227B8">
            <w:pPr>
              <w:spacing w:line="500" w:lineRule="exact"/>
              <w:rPr>
                <w:rFonts w:ascii="宋体" w:hAnsi="宋体" w:cs="宋体"/>
                <w:color w:val="auto"/>
                <w:sz w:val="24"/>
                <w:highlight w:val="none"/>
              </w:rPr>
            </w:pPr>
            <w:r>
              <w:rPr>
                <w:rFonts w:hint="eastAsia" w:ascii="宋体" w:hAnsi="宋体" w:cs="宋体"/>
                <w:color w:val="auto"/>
                <w:sz w:val="24"/>
                <w:highlight w:val="none"/>
              </w:rPr>
              <w:t>备注：供应商在响应文件中规定的实质性要求和条件的基础上，可做出其他有利于采购人的承诺。此类承诺可在本表中予以补充填写。</w:t>
            </w:r>
          </w:p>
        </w:tc>
      </w:tr>
    </w:tbl>
    <w:p w14:paraId="0A58710C">
      <w:pPr>
        <w:spacing w:line="360" w:lineRule="auto"/>
        <w:rPr>
          <w:rFonts w:ascii="宋体" w:hAnsi="宋体" w:cs="宋体"/>
          <w:color w:val="auto"/>
          <w:sz w:val="24"/>
          <w:highlight w:val="none"/>
        </w:rPr>
      </w:pPr>
    </w:p>
    <w:p w14:paraId="5832B6EE">
      <w:pPr>
        <w:spacing w:line="360" w:lineRule="auto"/>
        <w:rPr>
          <w:rFonts w:ascii="宋体" w:hAnsi="宋体" w:cs="宋体"/>
          <w:color w:val="auto"/>
          <w:sz w:val="24"/>
          <w:highlight w:val="none"/>
        </w:rPr>
      </w:pPr>
    </w:p>
    <w:p w14:paraId="5572BF77">
      <w:pPr>
        <w:spacing w:line="360" w:lineRule="auto"/>
        <w:ind w:firstLine="3828" w:firstLineChars="1595"/>
        <w:rPr>
          <w:rFonts w:ascii="宋体" w:hAnsi="宋体" w:cs="宋体"/>
          <w:color w:val="auto"/>
          <w:sz w:val="24"/>
          <w:highlight w:val="none"/>
          <w:lang w:val="zh-CN"/>
        </w:rPr>
      </w:pPr>
      <w:r>
        <w:rPr>
          <w:rFonts w:hint="eastAsia" w:ascii="宋体" w:hAnsi="宋体" w:cs="宋体"/>
          <w:color w:val="auto"/>
          <w:sz w:val="24"/>
          <w:highlight w:val="none"/>
        </w:rPr>
        <w:t>供</w:t>
      </w:r>
      <w:r>
        <w:rPr>
          <w:rFonts w:hint="eastAsia" w:ascii="宋体" w:hAnsi="宋体" w:cs="宋体"/>
          <w:color w:val="auto"/>
          <w:sz w:val="24"/>
          <w:highlight w:val="none"/>
          <w:lang w:val="zh-CN"/>
        </w:rPr>
        <w:t>应商名称（电子签章）：</w:t>
      </w:r>
    </w:p>
    <w:p w14:paraId="5ED3AD0C">
      <w:pPr>
        <w:spacing w:line="360" w:lineRule="auto"/>
        <w:ind w:firstLine="3828" w:firstLineChars="1595"/>
        <w:rPr>
          <w:rFonts w:ascii="宋体" w:hAnsi="宋体" w:cs="宋体"/>
          <w:color w:val="auto"/>
          <w:sz w:val="24"/>
          <w:highlight w:val="none"/>
          <w:lang w:val="zh-CN"/>
        </w:rPr>
      </w:pPr>
      <w:r>
        <w:rPr>
          <w:rFonts w:hint="eastAsia" w:ascii="宋体" w:hAnsi="宋体" w:cs="宋体"/>
          <w:color w:val="auto"/>
          <w:sz w:val="24"/>
          <w:highlight w:val="none"/>
          <w:lang w:val="zh-CN"/>
        </w:rPr>
        <w:t>日期</w:t>
      </w:r>
      <w:r>
        <w:rPr>
          <w:rFonts w:hint="eastAsia" w:ascii="宋体" w:hAnsi="宋体" w:cs="宋体"/>
          <w:color w:val="auto"/>
          <w:sz w:val="24"/>
          <w:highlight w:val="none"/>
        </w:rPr>
        <w:t xml:space="preserve">：  年  </w:t>
      </w:r>
      <w:r>
        <w:rPr>
          <w:rFonts w:hint="eastAsia" w:ascii="宋体" w:hAnsi="宋体" w:cs="宋体"/>
          <w:color w:val="auto"/>
          <w:sz w:val="24"/>
          <w:highlight w:val="none"/>
          <w:lang w:val="zh-CN"/>
        </w:rPr>
        <w:t>月</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日</w:t>
      </w:r>
    </w:p>
    <w:p w14:paraId="53A1C433">
      <w:pPr>
        <w:pStyle w:val="21"/>
        <w:snapToGrid/>
        <w:rPr>
          <w:rFonts w:ascii="宋体" w:hAnsi="宋体" w:cs="宋体"/>
          <w:b/>
          <w:bCs/>
          <w:color w:val="auto"/>
          <w:kern w:val="2"/>
          <w:sz w:val="32"/>
          <w:szCs w:val="24"/>
          <w:highlight w:val="none"/>
          <w:lang w:val="zh-CN"/>
        </w:rPr>
      </w:pPr>
      <w:r>
        <w:rPr>
          <w:rFonts w:hint="eastAsia" w:ascii="宋体" w:hAnsi="宋体" w:cs="宋体"/>
          <w:color w:val="auto"/>
          <w:kern w:val="2"/>
          <w:highlight w:val="none"/>
          <w:lang w:val="zh-CN"/>
        </w:rPr>
        <w:br w:type="page"/>
      </w:r>
      <w:r>
        <w:rPr>
          <w:rFonts w:hint="eastAsia" w:ascii="宋体" w:hAnsi="宋体" w:cs="宋体"/>
          <w:b/>
          <w:bCs/>
          <w:color w:val="auto"/>
          <w:kern w:val="2"/>
          <w:sz w:val="32"/>
          <w:szCs w:val="24"/>
          <w:highlight w:val="none"/>
        </w:rPr>
        <w:t>三、已标价的工程量清单</w:t>
      </w:r>
    </w:p>
    <w:p w14:paraId="70C133E9">
      <w:pPr>
        <w:pStyle w:val="9"/>
        <w:rPr>
          <w:rFonts w:ascii="宋体" w:hAnsi="宋体" w:cs="宋体"/>
          <w:color w:val="auto"/>
          <w:sz w:val="24"/>
          <w:highlight w:val="none"/>
          <w:lang w:val="zh-CN"/>
        </w:rPr>
      </w:pPr>
    </w:p>
    <w:p w14:paraId="65E3DDC2">
      <w:pPr>
        <w:adjustRightIn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1.已标价工程量清单应按第三章“工程量清单”中的相关表格及投标报价说明填写。构成合同文件的已标价工程量清单包括第三章“工程量清单”有关工程量清单、竞标报价以及其他说明的内容。</w:t>
      </w:r>
    </w:p>
    <w:p w14:paraId="150F50B8">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2.一般计税法建设工程的工程量清单表格按《关于建筑业实施营业税改征增值税后广西壮族自治区建设工程计价依据调整的通知》（桂建标〔2016〕17号）附件“增值税一般计税方法工程计价表”要求提供。</w:t>
      </w:r>
    </w:p>
    <w:p w14:paraId="0F9BDBC5">
      <w:pPr>
        <w:spacing w:line="500" w:lineRule="exact"/>
        <w:ind w:firstLine="480" w:firstLineChars="200"/>
        <w:rPr>
          <w:rFonts w:ascii="宋体" w:hAnsi="宋体" w:cs="宋体"/>
          <w:color w:val="auto"/>
          <w:sz w:val="24"/>
          <w:highlight w:val="none"/>
        </w:rPr>
      </w:pPr>
    </w:p>
    <w:p w14:paraId="000F93E5">
      <w:pPr>
        <w:pStyle w:val="18"/>
        <w:spacing w:line="500" w:lineRule="exact"/>
        <w:rPr>
          <w:rFonts w:hAnsi="宋体" w:cs="宋体"/>
          <w:b/>
          <w:color w:val="auto"/>
          <w:kern w:val="2"/>
          <w:sz w:val="30"/>
          <w:szCs w:val="30"/>
          <w:highlight w:val="none"/>
        </w:rPr>
      </w:pPr>
    </w:p>
    <w:p w14:paraId="54AC4DD5">
      <w:pPr>
        <w:pStyle w:val="18"/>
        <w:spacing w:line="500" w:lineRule="exact"/>
        <w:rPr>
          <w:rFonts w:hAnsi="宋体" w:cs="宋体"/>
          <w:b/>
          <w:color w:val="auto"/>
          <w:kern w:val="2"/>
          <w:sz w:val="30"/>
          <w:szCs w:val="30"/>
          <w:highlight w:val="none"/>
        </w:rPr>
      </w:pPr>
    </w:p>
    <w:p w14:paraId="6B766F99">
      <w:pPr>
        <w:spacing w:line="360" w:lineRule="auto"/>
        <w:ind w:firstLine="643" w:firstLineChars="200"/>
        <w:contextualSpacing/>
        <w:rPr>
          <w:rFonts w:ascii="宋体" w:hAnsi="宋体" w:cs="宋体"/>
          <w:b/>
          <w:color w:val="auto"/>
          <w:highlight w:val="none"/>
          <w:lang w:val="en-US"/>
        </w:rPr>
      </w:pPr>
      <w:r>
        <w:rPr>
          <w:rFonts w:hint="eastAsia" w:hAnsi="宋体" w:cs="宋体"/>
          <w:b/>
          <w:color w:val="auto"/>
          <w:kern w:val="2"/>
          <w:sz w:val="32"/>
          <w:szCs w:val="32"/>
          <w:highlight w:val="none"/>
        </w:rPr>
        <w:br w:type="page"/>
      </w:r>
    </w:p>
    <w:p w14:paraId="7ECA51DC">
      <w:pPr>
        <w:pStyle w:val="97"/>
        <w:ind w:firstLine="422"/>
        <w:rPr>
          <w:rFonts w:ascii="宋体" w:hAnsi="宋体" w:cs="宋体"/>
          <w:b/>
          <w:color w:val="auto"/>
          <w:highlight w:val="none"/>
          <w:lang w:val="en-US"/>
        </w:rPr>
      </w:pPr>
    </w:p>
    <w:p w14:paraId="182C9FE2">
      <w:pPr>
        <w:pStyle w:val="2"/>
        <w:spacing w:before="0" w:after="0" w:line="360" w:lineRule="auto"/>
        <w:jc w:val="center"/>
        <w:rPr>
          <w:rFonts w:ascii="宋体" w:hAnsi="宋体" w:cs="宋体"/>
          <w:bCs w:val="0"/>
          <w:color w:val="auto"/>
          <w:kern w:val="2"/>
          <w:sz w:val="32"/>
          <w:szCs w:val="32"/>
          <w:highlight w:val="none"/>
        </w:rPr>
      </w:pPr>
      <w:bookmarkStart w:id="86" w:name="_Toc27730"/>
      <w:r>
        <w:rPr>
          <w:rFonts w:hint="eastAsia" w:ascii="宋体" w:hAnsi="宋体" w:cs="宋体"/>
          <w:bCs w:val="0"/>
          <w:color w:val="auto"/>
          <w:kern w:val="2"/>
          <w:sz w:val="32"/>
          <w:szCs w:val="32"/>
          <w:highlight w:val="none"/>
        </w:rPr>
        <w:t>第八章 合同文本</w:t>
      </w:r>
      <w:bookmarkEnd w:id="86"/>
    </w:p>
    <w:p w14:paraId="71E5450B">
      <w:pPr>
        <w:widowControl/>
        <w:jc w:val="center"/>
        <w:rPr>
          <w:rFonts w:hint="eastAsia" w:ascii="宋体" w:hAnsi="宋体" w:cs="宋体"/>
          <w:b/>
          <w:bCs/>
          <w:color w:val="auto"/>
          <w:sz w:val="32"/>
          <w:szCs w:val="32"/>
          <w:highlight w:val="none"/>
        </w:rPr>
      </w:pPr>
      <w:bookmarkStart w:id="87" w:name="_Toc27720"/>
      <w:bookmarkStart w:id="88" w:name="_Toc3940"/>
    </w:p>
    <w:p w14:paraId="3A89BC69">
      <w:pPr>
        <w:widowControl/>
        <w:jc w:val="center"/>
        <w:rPr>
          <w:rFonts w:ascii="宋体" w:hAnsi="宋体" w:cs="宋体"/>
          <w:color w:val="auto"/>
          <w:sz w:val="28"/>
          <w:szCs w:val="28"/>
          <w:highlight w:val="none"/>
        </w:rPr>
      </w:pPr>
      <w:r>
        <w:rPr>
          <w:rFonts w:hint="eastAsia" w:ascii="宋体" w:hAnsi="宋体" w:cs="宋体"/>
          <w:b/>
          <w:bCs/>
          <w:color w:val="auto"/>
          <w:sz w:val="32"/>
          <w:szCs w:val="32"/>
          <w:highlight w:val="none"/>
        </w:rPr>
        <w:t>第一部分 合同协议书</w:t>
      </w:r>
      <w:bookmarkEnd w:id="87"/>
      <w:bookmarkEnd w:id="88"/>
    </w:p>
    <w:p w14:paraId="40309AF5">
      <w:pPr>
        <w:spacing w:line="360" w:lineRule="auto"/>
        <w:ind w:firstLine="562" w:firstLineChars="200"/>
        <w:jc w:val="center"/>
        <w:rPr>
          <w:rFonts w:hint="eastAsia" w:ascii="宋体" w:hAnsi="宋体"/>
          <w:b/>
          <w:color w:val="auto"/>
          <w:sz w:val="28"/>
          <w:szCs w:val="28"/>
          <w:highlight w:val="none"/>
        </w:rPr>
      </w:pPr>
    </w:p>
    <w:p w14:paraId="6E2383A2">
      <w:pPr>
        <w:spacing w:line="360" w:lineRule="auto"/>
        <w:ind w:firstLine="562" w:firstLineChars="200"/>
        <w:jc w:val="center"/>
        <w:rPr>
          <w:rFonts w:ascii="宋体" w:hAnsi="宋体"/>
          <w:b/>
          <w:color w:val="auto"/>
          <w:sz w:val="28"/>
          <w:szCs w:val="28"/>
          <w:highlight w:val="none"/>
        </w:rPr>
      </w:pPr>
      <w:r>
        <w:rPr>
          <w:rFonts w:hint="eastAsia" w:ascii="宋体" w:hAnsi="宋体"/>
          <w:b/>
          <w:color w:val="auto"/>
          <w:sz w:val="28"/>
          <w:szCs w:val="28"/>
          <w:highlight w:val="none"/>
        </w:rPr>
        <w:t>施工承包合同协议书</w:t>
      </w:r>
    </w:p>
    <w:p w14:paraId="70CC44DE">
      <w:pPr>
        <w:spacing w:line="360" w:lineRule="auto"/>
        <w:ind w:firstLine="560" w:firstLineChars="200"/>
        <w:jc w:val="center"/>
        <w:rPr>
          <w:rFonts w:ascii="宋体" w:hAnsi="宋体"/>
          <w:bCs/>
          <w:color w:val="auto"/>
          <w:sz w:val="28"/>
          <w:szCs w:val="28"/>
          <w:highlight w:val="none"/>
          <w:u w:val="single"/>
        </w:rPr>
      </w:pPr>
      <w:r>
        <w:rPr>
          <w:rFonts w:hint="eastAsia" w:ascii="宋体" w:hAnsi="宋体"/>
          <w:bCs/>
          <w:color w:val="auto"/>
          <w:sz w:val="28"/>
          <w:szCs w:val="28"/>
          <w:highlight w:val="none"/>
        </w:rPr>
        <w:t>合同编号：</w:t>
      </w:r>
    </w:p>
    <w:p w14:paraId="583744E1">
      <w:pPr>
        <w:spacing w:line="360" w:lineRule="auto"/>
        <w:ind w:firstLine="480" w:firstLineChars="200"/>
        <w:jc w:val="left"/>
        <w:rPr>
          <w:rFonts w:hint="eastAsia" w:ascii="宋体" w:hAnsi="宋体"/>
          <w:color w:val="auto"/>
          <w:sz w:val="24"/>
          <w:highlight w:val="none"/>
        </w:rPr>
      </w:pPr>
    </w:p>
    <w:p w14:paraId="3BFE1850">
      <w:pPr>
        <w:spacing w:line="360" w:lineRule="auto"/>
        <w:ind w:firstLine="480" w:firstLineChars="200"/>
        <w:jc w:val="left"/>
        <w:rPr>
          <w:rFonts w:ascii="宋体" w:hAnsi="宋体"/>
          <w:color w:val="auto"/>
          <w:sz w:val="24"/>
          <w:highlight w:val="none"/>
          <w:u w:val="single"/>
        </w:rPr>
      </w:pPr>
      <w:r>
        <w:rPr>
          <w:rFonts w:hint="eastAsia" w:ascii="宋体" w:hAnsi="宋体"/>
          <w:color w:val="auto"/>
          <w:sz w:val="24"/>
          <w:highlight w:val="none"/>
        </w:rPr>
        <w:t>发包人（全称）：</w:t>
      </w:r>
      <w:r>
        <w:rPr>
          <w:rFonts w:hint="eastAsia" w:ascii="宋体" w:hAnsi="宋体"/>
          <w:b/>
          <w:color w:val="auto"/>
          <w:sz w:val="24"/>
          <w:highlight w:val="none"/>
          <w:u w:val="single"/>
          <w:lang w:eastAsia="zh-CN"/>
        </w:rPr>
        <w:t>梧州市万秀区城东镇人民政府</w:t>
      </w:r>
    </w:p>
    <w:p w14:paraId="4BFEB483">
      <w:pPr>
        <w:spacing w:line="360" w:lineRule="auto"/>
        <w:ind w:firstLine="480" w:firstLineChars="200"/>
        <w:jc w:val="left"/>
        <w:rPr>
          <w:rFonts w:ascii="宋体" w:hAnsi="宋体"/>
          <w:color w:val="auto"/>
          <w:sz w:val="24"/>
          <w:highlight w:val="none"/>
          <w:u w:val="single"/>
        </w:rPr>
      </w:pPr>
      <w:r>
        <w:rPr>
          <w:rFonts w:hint="eastAsia" w:ascii="宋体" w:hAnsi="宋体"/>
          <w:color w:val="auto"/>
          <w:sz w:val="24"/>
          <w:highlight w:val="none"/>
        </w:rPr>
        <w:t>承包人（全称）：</w:t>
      </w:r>
    </w:p>
    <w:p w14:paraId="42DA7C02">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根据《中华人民共和国民法典》、《中华人民共和国建筑法》及有关法律规定，遵循平等、自愿、公平和诚实信用的原则，双方就</w:t>
      </w:r>
      <w:r>
        <w:rPr>
          <w:rFonts w:hint="eastAsia" w:ascii="宋体" w:hAnsi="宋体"/>
          <w:b/>
          <w:color w:val="auto"/>
          <w:sz w:val="24"/>
          <w:highlight w:val="none"/>
          <w:u w:val="single"/>
          <w:lang w:eastAsia="zh-CN"/>
        </w:rPr>
        <w:t>梧州市万秀区城东镇华堂村风貌提升工程</w:t>
      </w:r>
      <w:r>
        <w:rPr>
          <w:rFonts w:hint="eastAsia" w:ascii="宋体" w:hAnsi="宋体"/>
          <w:color w:val="auto"/>
          <w:sz w:val="24"/>
          <w:highlight w:val="none"/>
        </w:rPr>
        <w:t>施工及有关事项协商一致，共同达成如下协议：</w:t>
      </w:r>
    </w:p>
    <w:p w14:paraId="0286DF2D">
      <w:pPr>
        <w:spacing w:line="360" w:lineRule="auto"/>
        <w:ind w:firstLine="482" w:firstLineChars="200"/>
        <w:jc w:val="left"/>
        <w:rPr>
          <w:rFonts w:ascii="宋体" w:hAnsi="宋体"/>
          <w:b/>
          <w:bCs/>
          <w:color w:val="auto"/>
          <w:sz w:val="24"/>
          <w:highlight w:val="none"/>
        </w:rPr>
      </w:pPr>
      <w:bookmarkStart w:id="89" w:name="_Toc108539753"/>
      <w:r>
        <w:rPr>
          <w:rFonts w:hint="eastAsia" w:ascii="宋体" w:hAnsi="宋体"/>
          <w:b/>
          <w:bCs/>
          <w:color w:val="auto"/>
          <w:sz w:val="24"/>
          <w:highlight w:val="none"/>
        </w:rPr>
        <w:t>一、工程概况</w:t>
      </w:r>
      <w:bookmarkEnd w:id="89"/>
    </w:p>
    <w:p w14:paraId="2BD4D852">
      <w:pPr>
        <w:spacing w:line="360" w:lineRule="auto"/>
        <w:ind w:firstLine="480" w:firstLineChars="200"/>
        <w:jc w:val="left"/>
        <w:rPr>
          <w:rFonts w:ascii="宋体" w:hAnsi="宋体"/>
          <w:color w:val="auto"/>
          <w:sz w:val="24"/>
          <w:highlight w:val="none"/>
          <w:u w:val="single"/>
        </w:rPr>
      </w:pPr>
      <w:r>
        <w:rPr>
          <w:rFonts w:hint="eastAsia" w:ascii="宋体" w:hAnsi="宋体"/>
          <w:color w:val="auto"/>
          <w:sz w:val="24"/>
          <w:highlight w:val="none"/>
        </w:rPr>
        <w:t>1. 工程名称：</w:t>
      </w:r>
      <w:r>
        <w:rPr>
          <w:rFonts w:hint="eastAsia" w:ascii="宋体" w:hAnsi="宋体"/>
          <w:b/>
          <w:color w:val="auto"/>
          <w:sz w:val="24"/>
          <w:highlight w:val="none"/>
          <w:u w:val="single"/>
          <w:lang w:eastAsia="zh-CN"/>
        </w:rPr>
        <w:t>梧州市万秀区城东镇华堂村风貌提升工程</w:t>
      </w:r>
      <w:r>
        <w:rPr>
          <w:rFonts w:hint="eastAsia" w:ascii="宋体" w:hAnsi="宋体"/>
          <w:color w:val="auto"/>
          <w:sz w:val="24"/>
          <w:highlight w:val="none"/>
          <w:u w:val="single"/>
        </w:rPr>
        <w:t xml:space="preserve"> </w:t>
      </w:r>
    </w:p>
    <w:p w14:paraId="2C3DDFF9">
      <w:pPr>
        <w:spacing w:line="360" w:lineRule="auto"/>
        <w:ind w:firstLine="480" w:firstLineChars="200"/>
        <w:jc w:val="left"/>
        <w:rPr>
          <w:rFonts w:ascii="宋体" w:hAnsi="宋体"/>
          <w:color w:val="auto"/>
          <w:sz w:val="24"/>
          <w:highlight w:val="none"/>
          <w:u w:val="single"/>
        </w:rPr>
      </w:pPr>
      <w:r>
        <w:rPr>
          <w:rFonts w:hint="eastAsia" w:ascii="宋体" w:hAnsi="宋体"/>
          <w:color w:val="auto"/>
          <w:sz w:val="24"/>
          <w:highlight w:val="none"/>
        </w:rPr>
        <w:t>2. 工程地点：</w:t>
      </w:r>
      <w:r>
        <w:rPr>
          <w:rFonts w:hint="eastAsia" w:ascii="宋体" w:hAnsi="宋体"/>
          <w:b/>
          <w:color w:val="auto"/>
          <w:sz w:val="24"/>
          <w:highlight w:val="none"/>
          <w:u w:val="single"/>
          <w:lang w:eastAsia="zh-CN"/>
        </w:rPr>
        <w:t>梧州市万秀区城东镇人民政府</w:t>
      </w:r>
    </w:p>
    <w:p w14:paraId="587BFDFB">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 工程立项批准文号：</w:t>
      </w:r>
      <w:r>
        <w:rPr>
          <w:rFonts w:hint="eastAsia" w:ascii="宋体" w:hAnsi="宋体"/>
          <w:color w:val="auto"/>
          <w:sz w:val="24"/>
          <w:highlight w:val="none"/>
          <w:u w:val="single"/>
        </w:rPr>
        <w:t xml:space="preserve">   /   </w:t>
      </w:r>
      <w:r>
        <w:rPr>
          <w:rFonts w:hint="eastAsia" w:ascii="宋体" w:hAnsi="宋体"/>
          <w:color w:val="auto"/>
          <w:sz w:val="24"/>
          <w:highlight w:val="none"/>
        </w:rPr>
        <w:t>。</w:t>
      </w:r>
    </w:p>
    <w:p w14:paraId="51196BDC">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 资金来源：</w:t>
      </w:r>
      <w:r>
        <w:rPr>
          <w:rFonts w:hint="eastAsia" w:ascii="宋体" w:hAnsi="宋体"/>
          <w:color w:val="auto"/>
          <w:sz w:val="24"/>
          <w:highlight w:val="none"/>
          <w:u w:val="single"/>
        </w:rPr>
        <w:t>财政资金</w:t>
      </w:r>
      <w:r>
        <w:rPr>
          <w:rFonts w:hint="eastAsia" w:ascii="宋体" w:hAnsi="宋体"/>
          <w:color w:val="auto"/>
          <w:sz w:val="24"/>
          <w:highlight w:val="none"/>
        </w:rPr>
        <w:t>。</w:t>
      </w:r>
    </w:p>
    <w:p w14:paraId="1B64826D">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 工程内容：</w:t>
      </w:r>
      <w:r>
        <w:rPr>
          <w:rFonts w:hint="eastAsia" w:ascii="宋体" w:hAnsi="宋体"/>
          <w:color w:val="auto"/>
          <w:sz w:val="24"/>
          <w:highlight w:val="none"/>
          <w:u w:val="single"/>
          <w:lang w:eastAsia="zh-CN"/>
        </w:rPr>
        <w:t>梧州市万秀区城东镇华堂村风貌提升工程</w:t>
      </w:r>
      <w:r>
        <w:rPr>
          <w:rFonts w:hint="eastAsia" w:ascii="宋体" w:hAnsi="宋体"/>
          <w:color w:val="auto"/>
          <w:sz w:val="24"/>
          <w:highlight w:val="none"/>
        </w:rPr>
        <w:t>（具体按施工图纸、工程量清单、采购文件及相关补充通知的全部内容。）</w:t>
      </w:r>
    </w:p>
    <w:p w14:paraId="244DBC57">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 工程承包范围：工程发包图纸以及工程量清单中全部工程内容。</w:t>
      </w:r>
    </w:p>
    <w:p w14:paraId="670015FF">
      <w:pPr>
        <w:spacing w:line="360" w:lineRule="auto"/>
        <w:ind w:firstLine="482" w:firstLineChars="200"/>
        <w:jc w:val="left"/>
        <w:rPr>
          <w:rFonts w:ascii="宋体" w:hAnsi="宋体"/>
          <w:b/>
          <w:bCs/>
          <w:color w:val="auto"/>
          <w:sz w:val="24"/>
          <w:highlight w:val="none"/>
        </w:rPr>
      </w:pPr>
      <w:bookmarkStart w:id="90" w:name="_Toc108539754"/>
      <w:r>
        <w:rPr>
          <w:rFonts w:hint="eastAsia" w:ascii="宋体" w:hAnsi="宋体"/>
          <w:b/>
          <w:bCs/>
          <w:color w:val="auto"/>
          <w:sz w:val="24"/>
          <w:highlight w:val="none"/>
        </w:rPr>
        <w:t>二、合同工期</w:t>
      </w:r>
      <w:bookmarkEnd w:id="90"/>
    </w:p>
    <w:p w14:paraId="304F8528">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计划开工日期：</w:t>
      </w:r>
      <w:r>
        <w:rPr>
          <w:rFonts w:hint="eastAsia" w:ascii="宋体" w:hAnsi="宋体" w:cs="MingLiU_HKSCS"/>
          <w:color w:val="auto"/>
          <w:sz w:val="24"/>
          <w:highlight w:val="none"/>
          <w:u w:val="single"/>
        </w:rPr>
        <w:t xml:space="preserve">     </w:t>
      </w:r>
      <w:r>
        <w:rPr>
          <w:rFonts w:hint="eastAsia" w:ascii="宋体" w:hAnsi="宋体"/>
          <w:color w:val="auto"/>
          <w:sz w:val="24"/>
          <w:highlight w:val="none"/>
        </w:rPr>
        <w:t>年</w:t>
      </w:r>
      <w:r>
        <w:rPr>
          <w:rFonts w:hint="eastAsia" w:ascii="宋体" w:hAnsi="宋体" w:cs="MingLiU_HKSCS"/>
          <w:color w:val="auto"/>
          <w:sz w:val="24"/>
          <w:highlight w:val="none"/>
          <w:u w:val="single"/>
        </w:rPr>
        <w:t xml:space="preserve">   </w:t>
      </w:r>
      <w:r>
        <w:rPr>
          <w:rFonts w:hint="eastAsia" w:ascii="宋体" w:hAnsi="宋体"/>
          <w:color w:val="auto"/>
          <w:sz w:val="24"/>
          <w:highlight w:val="none"/>
        </w:rPr>
        <w:t>月</w:t>
      </w:r>
      <w:r>
        <w:rPr>
          <w:rFonts w:hint="eastAsia" w:ascii="宋体" w:hAnsi="宋体" w:cs="MingLiU_HKSCS"/>
          <w:color w:val="auto"/>
          <w:sz w:val="24"/>
          <w:highlight w:val="none"/>
          <w:u w:val="single"/>
        </w:rPr>
        <w:t xml:space="preserve">   </w:t>
      </w:r>
      <w:r>
        <w:rPr>
          <w:rFonts w:hint="eastAsia" w:ascii="宋体" w:hAnsi="宋体"/>
          <w:color w:val="auto"/>
          <w:sz w:val="24"/>
          <w:highlight w:val="none"/>
        </w:rPr>
        <w:t>日。（发包人书面通知</w:t>
      </w:r>
      <w:r>
        <w:rPr>
          <w:rStyle w:val="112"/>
          <w:rFonts w:ascii="宋体" w:hAnsi="宋体" w:eastAsia="宋体" w:cs="宋体"/>
          <w:color w:val="4EAD1E"/>
          <w:sz w:val="24"/>
          <w:szCs w:val="24"/>
          <w:highlight w:val="none"/>
        </w:rPr>
        <w:t>后7日内必须开工</w:t>
      </w:r>
      <w:r>
        <w:rPr>
          <w:rFonts w:hint="eastAsia" w:ascii="宋体" w:hAnsi="宋体"/>
          <w:color w:val="auto"/>
          <w:sz w:val="24"/>
          <w:highlight w:val="none"/>
        </w:rPr>
        <w:t>）</w:t>
      </w:r>
    </w:p>
    <w:p w14:paraId="17396B32">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计划竣工日期：</w:t>
      </w:r>
      <w:r>
        <w:rPr>
          <w:rFonts w:hint="eastAsia" w:ascii="宋体" w:hAnsi="宋体" w:cs="MingLiU_HKSCS"/>
          <w:color w:val="auto"/>
          <w:sz w:val="24"/>
          <w:highlight w:val="none"/>
          <w:u w:val="single"/>
        </w:rPr>
        <w:t xml:space="preserve">     </w:t>
      </w:r>
      <w:r>
        <w:rPr>
          <w:rFonts w:hint="eastAsia" w:ascii="宋体" w:hAnsi="宋体"/>
          <w:color w:val="auto"/>
          <w:sz w:val="24"/>
          <w:highlight w:val="none"/>
        </w:rPr>
        <w:t>年</w:t>
      </w:r>
      <w:r>
        <w:rPr>
          <w:rFonts w:hint="eastAsia" w:ascii="宋体" w:hAnsi="宋体" w:cs="MingLiU_HKSCS"/>
          <w:color w:val="auto"/>
          <w:sz w:val="24"/>
          <w:highlight w:val="none"/>
          <w:u w:val="single"/>
        </w:rPr>
        <w:t xml:space="preserve">   </w:t>
      </w:r>
      <w:r>
        <w:rPr>
          <w:rFonts w:hint="eastAsia" w:ascii="宋体" w:hAnsi="宋体"/>
          <w:color w:val="auto"/>
          <w:sz w:val="24"/>
          <w:highlight w:val="none"/>
        </w:rPr>
        <w:t>月</w:t>
      </w:r>
      <w:r>
        <w:rPr>
          <w:rFonts w:hint="eastAsia" w:ascii="宋体" w:hAnsi="宋体" w:cs="MingLiU_HKSCS"/>
          <w:color w:val="auto"/>
          <w:sz w:val="24"/>
          <w:highlight w:val="none"/>
          <w:u w:val="single"/>
        </w:rPr>
        <w:t xml:space="preserve">   </w:t>
      </w:r>
      <w:r>
        <w:rPr>
          <w:rFonts w:hint="eastAsia" w:ascii="宋体" w:hAnsi="宋体"/>
          <w:color w:val="auto"/>
          <w:sz w:val="24"/>
          <w:highlight w:val="none"/>
        </w:rPr>
        <w:t>日。</w:t>
      </w:r>
    </w:p>
    <w:p w14:paraId="34690D6B">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工期要求：</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180日历</w:t>
      </w:r>
      <w:r>
        <w:rPr>
          <w:rFonts w:hint="eastAsia" w:ascii="宋体" w:hAnsi="宋体"/>
          <w:color w:val="auto"/>
          <w:sz w:val="24"/>
          <w:highlight w:val="none"/>
        </w:rPr>
        <w:t>天。工期总日历天数与根据前述计划开竣工日期计算的工期天数不一致的，以工期总日历天数为准。</w:t>
      </w:r>
    </w:p>
    <w:p w14:paraId="2C579D83">
      <w:pPr>
        <w:spacing w:line="360" w:lineRule="auto"/>
        <w:ind w:firstLine="482" w:firstLineChars="200"/>
        <w:jc w:val="left"/>
        <w:rPr>
          <w:rFonts w:ascii="宋体" w:hAnsi="宋体"/>
          <w:b/>
          <w:bCs/>
          <w:color w:val="auto"/>
          <w:sz w:val="24"/>
          <w:highlight w:val="none"/>
        </w:rPr>
      </w:pPr>
      <w:bookmarkStart w:id="91" w:name="_Toc108539755"/>
      <w:r>
        <w:rPr>
          <w:rFonts w:hint="eastAsia" w:ascii="宋体" w:hAnsi="宋体"/>
          <w:b/>
          <w:bCs/>
          <w:color w:val="auto"/>
          <w:sz w:val="24"/>
          <w:highlight w:val="none"/>
        </w:rPr>
        <w:t>三、质量标准</w:t>
      </w:r>
      <w:bookmarkEnd w:id="91"/>
    </w:p>
    <w:p w14:paraId="1B6744E5">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满足国家现行与本项目相应的施工竣工验收规范之“合格”标准。</w:t>
      </w:r>
    </w:p>
    <w:p w14:paraId="5A7D08B9">
      <w:pPr>
        <w:spacing w:line="360" w:lineRule="auto"/>
        <w:ind w:firstLine="482" w:firstLineChars="200"/>
        <w:jc w:val="left"/>
        <w:rPr>
          <w:rFonts w:ascii="宋体" w:hAnsi="宋体"/>
          <w:b/>
          <w:bCs/>
          <w:color w:val="auto"/>
          <w:sz w:val="24"/>
          <w:highlight w:val="none"/>
        </w:rPr>
      </w:pPr>
      <w:bookmarkStart w:id="92" w:name="_Toc108539757"/>
      <w:r>
        <w:rPr>
          <w:rFonts w:hint="eastAsia" w:ascii="宋体" w:hAnsi="宋体"/>
          <w:b/>
          <w:bCs/>
          <w:color w:val="auto"/>
          <w:sz w:val="24"/>
          <w:highlight w:val="none"/>
        </w:rPr>
        <w:t>四、签约合同价与合同价格形式</w:t>
      </w:r>
      <w:bookmarkEnd w:id="92"/>
    </w:p>
    <w:p w14:paraId="12B9341E">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 暂定合同价为：</w:t>
      </w:r>
    </w:p>
    <w:p w14:paraId="459CF178">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人民币</w:t>
      </w:r>
      <w:r>
        <w:rPr>
          <w:rFonts w:hint="eastAsia" w:ascii="宋体" w:hAnsi="宋体"/>
          <w:color w:val="auto"/>
          <w:sz w:val="24"/>
          <w:highlight w:val="none"/>
          <w:u w:val="single"/>
        </w:rPr>
        <w:t>（大写             元（¥         ）</w:t>
      </w:r>
      <w:r>
        <w:rPr>
          <w:rFonts w:hint="eastAsia" w:ascii="宋体" w:hAnsi="宋体"/>
          <w:color w:val="auto"/>
          <w:sz w:val="24"/>
          <w:highlight w:val="none"/>
        </w:rPr>
        <w:t>；</w:t>
      </w:r>
    </w:p>
    <w:p w14:paraId="407277B4">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其中：</w:t>
      </w:r>
    </w:p>
    <w:p w14:paraId="0311088D">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（1）安全文明施工费：</w:t>
      </w:r>
    </w:p>
    <w:p w14:paraId="03B7C75F">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人民币</w:t>
      </w:r>
      <w:r>
        <w:rPr>
          <w:rFonts w:hint="eastAsia" w:ascii="宋体" w:hAnsi="宋体"/>
          <w:color w:val="auto"/>
          <w:sz w:val="24"/>
          <w:highlight w:val="none"/>
          <w:u w:val="single"/>
        </w:rPr>
        <w:t>（大写             元（¥         ）</w:t>
      </w:r>
      <w:r>
        <w:rPr>
          <w:rFonts w:hint="eastAsia" w:ascii="宋体" w:hAnsi="宋体"/>
          <w:color w:val="auto"/>
          <w:sz w:val="24"/>
          <w:highlight w:val="none"/>
        </w:rPr>
        <w:t>；</w:t>
      </w:r>
    </w:p>
    <w:p w14:paraId="51C13FAF">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（2）建安劳保费：</w:t>
      </w:r>
    </w:p>
    <w:p w14:paraId="3484FDD6">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人民币</w:t>
      </w:r>
      <w:r>
        <w:rPr>
          <w:rFonts w:hint="eastAsia" w:ascii="宋体" w:hAnsi="宋体"/>
          <w:color w:val="auto"/>
          <w:sz w:val="24"/>
          <w:highlight w:val="none"/>
          <w:u w:val="single"/>
        </w:rPr>
        <w:t>（大写             元（¥         ）</w:t>
      </w:r>
      <w:r>
        <w:rPr>
          <w:rFonts w:hint="eastAsia" w:ascii="宋体" w:hAnsi="宋体"/>
          <w:color w:val="auto"/>
          <w:sz w:val="24"/>
          <w:highlight w:val="none"/>
        </w:rPr>
        <w:t>；</w:t>
      </w:r>
    </w:p>
    <w:p w14:paraId="7529A52F">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（3）材料和工程设备暂估价金额：</w:t>
      </w:r>
    </w:p>
    <w:p w14:paraId="29E7702E">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人民币</w:t>
      </w:r>
      <w:r>
        <w:rPr>
          <w:rFonts w:hint="eastAsia" w:ascii="宋体" w:hAnsi="宋体"/>
          <w:color w:val="auto"/>
          <w:sz w:val="24"/>
          <w:highlight w:val="none"/>
          <w:u w:val="single"/>
        </w:rPr>
        <w:t>（大写             元（¥         ）</w:t>
      </w:r>
      <w:r>
        <w:rPr>
          <w:rFonts w:hint="eastAsia" w:ascii="宋体" w:hAnsi="宋体"/>
          <w:color w:val="auto"/>
          <w:sz w:val="24"/>
          <w:highlight w:val="none"/>
        </w:rPr>
        <w:t>；</w:t>
      </w:r>
    </w:p>
    <w:p w14:paraId="3B7DAEE2">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（4）专业工程暂估价金额：</w:t>
      </w:r>
    </w:p>
    <w:p w14:paraId="0696426C">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人民币</w:t>
      </w:r>
      <w:r>
        <w:rPr>
          <w:rFonts w:hint="eastAsia" w:ascii="宋体" w:hAnsi="宋体"/>
          <w:color w:val="auto"/>
          <w:sz w:val="24"/>
          <w:highlight w:val="none"/>
          <w:u w:val="single"/>
        </w:rPr>
        <w:t>（大写             元（¥         ）</w:t>
      </w:r>
      <w:r>
        <w:rPr>
          <w:rFonts w:hint="eastAsia" w:ascii="宋体" w:hAnsi="宋体"/>
          <w:color w:val="auto"/>
          <w:sz w:val="24"/>
          <w:highlight w:val="none"/>
        </w:rPr>
        <w:t>；</w:t>
      </w:r>
    </w:p>
    <w:p w14:paraId="2DC217A6">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（5）暂列金额：</w:t>
      </w:r>
    </w:p>
    <w:p w14:paraId="7D156CD6">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人民币</w:t>
      </w:r>
      <w:r>
        <w:rPr>
          <w:rFonts w:hint="eastAsia" w:ascii="宋体" w:hAnsi="宋体"/>
          <w:color w:val="auto"/>
          <w:sz w:val="24"/>
          <w:highlight w:val="none"/>
          <w:u w:val="single"/>
        </w:rPr>
        <w:t>（大写             元（¥         ）</w:t>
      </w:r>
      <w:r>
        <w:rPr>
          <w:rFonts w:hint="eastAsia" w:ascii="宋体" w:hAnsi="宋体"/>
          <w:color w:val="auto"/>
          <w:sz w:val="24"/>
          <w:highlight w:val="none"/>
        </w:rPr>
        <w:t>；</w:t>
      </w:r>
    </w:p>
    <w:p w14:paraId="33A3B895">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（6）增值税额：</w:t>
      </w:r>
    </w:p>
    <w:p w14:paraId="62503E09">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人民币</w:t>
      </w:r>
      <w:r>
        <w:rPr>
          <w:rFonts w:hint="eastAsia" w:ascii="宋体" w:hAnsi="宋体"/>
          <w:color w:val="auto"/>
          <w:sz w:val="24"/>
          <w:highlight w:val="none"/>
          <w:u w:val="single"/>
        </w:rPr>
        <w:t>（大写             元（¥         ）</w:t>
      </w:r>
      <w:r>
        <w:rPr>
          <w:rFonts w:hint="eastAsia" w:ascii="宋体" w:hAnsi="宋体"/>
          <w:color w:val="auto"/>
          <w:sz w:val="24"/>
          <w:highlight w:val="none"/>
        </w:rPr>
        <w:t>；</w:t>
      </w:r>
    </w:p>
    <w:p w14:paraId="4687448D">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增值税率：</w:t>
      </w:r>
      <w:r>
        <w:rPr>
          <w:rFonts w:hint="eastAsia" w:ascii="宋体" w:hAnsi="宋体"/>
          <w:color w:val="auto"/>
          <w:sz w:val="24"/>
          <w:highlight w:val="none"/>
          <w:u w:val="single"/>
        </w:rPr>
        <w:t xml:space="preserve">                </w:t>
      </w:r>
    </w:p>
    <w:p w14:paraId="314E625F">
      <w:pPr>
        <w:numPr>
          <w:ilvl w:val="0"/>
          <w:numId w:val="2"/>
        </w:num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合同价格形式：  </w:t>
      </w:r>
    </w:p>
    <w:p w14:paraId="6DCB8C18">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合同价格形式：</w:t>
      </w:r>
      <w:r>
        <w:rPr>
          <w:rFonts w:hint="eastAsia" w:ascii="宋体" w:hAnsi="宋体"/>
          <w:color w:val="auto"/>
          <w:sz w:val="24"/>
          <w:highlight w:val="none"/>
          <w:u w:val="single"/>
        </w:rPr>
        <w:t>本工程采用</w:t>
      </w:r>
      <w:r>
        <w:rPr>
          <w:rFonts w:hint="eastAsia" w:ascii="宋体" w:hAnsi="宋体"/>
          <w:color w:val="auto"/>
          <w:sz w:val="24"/>
          <w:highlight w:val="none"/>
          <w:u w:val="single"/>
          <w:lang w:eastAsia="zh-CN"/>
        </w:rPr>
        <w:t>施工合同价款采用综合单价固定，以工程量清单方式报价，按实际工程量结算</w:t>
      </w:r>
      <w:r>
        <w:rPr>
          <w:rFonts w:hint="eastAsia" w:ascii="宋体" w:hAnsi="宋体"/>
          <w:color w:val="auto"/>
          <w:sz w:val="24"/>
          <w:highlight w:val="none"/>
          <w:u w:val="single"/>
        </w:rPr>
        <w:t>。</w:t>
      </w:r>
    </w:p>
    <w:p w14:paraId="70FA55F3">
      <w:pPr>
        <w:spacing w:line="360" w:lineRule="auto"/>
        <w:ind w:firstLine="482" w:firstLineChars="200"/>
        <w:jc w:val="left"/>
        <w:rPr>
          <w:rFonts w:ascii="宋体" w:hAnsi="宋体"/>
          <w:b/>
          <w:bCs/>
          <w:color w:val="auto"/>
          <w:sz w:val="24"/>
          <w:highlight w:val="none"/>
        </w:rPr>
      </w:pPr>
      <w:bookmarkStart w:id="93" w:name="_Toc351203485"/>
      <w:bookmarkStart w:id="94" w:name="_Toc108539758"/>
      <w:r>
        <w:rPr>
          <w:rFonts w:hint="eastAsia" w:ascii="宋体" w:hAnsi="宋体"/>
          <w:b/>
          <w:bCs/>
          <w:color w:val="auto"/>
          <w:sz w:val="24"/>
          <w:highlight w:val="none"/>
        </w:rPr>
        <w:t>五、</w:t>
      </w:r>
      <w:bookmarkEnd w:id="93"/>
      <w:r>
        <w:rPr>
          <w:rFonts w:hint="eastAsia" w:ascii="宋体" w:hAnsi="宋体"/>
          <w:b/>
          <w:bCs/>
          <w:color w:val="auto"/>
          <w:sz w:val="24"/>
          <w:highlight w:val="none"/>
        </w:rPr>
        <w:t>项目经理</w:t>
      </w:r>
      <w:bookmarkEnd w:id="94"/>
    </w:p>
    <w:p w14:paraId="3F792CF7">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承包人项目经理：</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3502AA31">
      <w:pPr>
        <w:spacing w:line="360" w:lineRule="auto"/>
        <w:ind w:firstLine="482" w:firstLineChars="200"/>
        <w:jc w:val="left"/>
        <w:rPr>
          <w:rFonts w:ascii="宋体" w:hAnsi="宋体"/>
          <w:b/>
          <w:bCs/>
          <w:color w:val="auto"/>
          <w:sz w:val="24"/>
          <w:highlight w:val="none"/>
        </w:rPr>
      </w:pPr>
      <w:bookmarkStart w:id="95" w:name="_Toc108539759"/>
      <w:r>
        <w:rPr>
          <w:rFonts w:hint="eastAsia" w:ascii="宋体" w:hAnsi="宋体"/>
          <w:b/>
          <w:bCs/>
          <w:color w:val="auto"/>
          <w:sz w:val="24"/>
          <w:highlight w:val="none"/>
        </w:rPr>
        <w:t>六、合同文件构成</w:t>
      </w:r>
      <w:bookmarkEnd w:id="95"/>
    </w:p>
    <w:p w14:paraId="10AB49A5">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本协议书与下列文件一起构成合同文件：</w:t>
      </w:r>
    </w:p>
    <w:p w14:paraId="0F4F3BDE">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（1）成交通知书（如有）；</w:t>
      </w:r>
    </w:p>
    <w:p w14:paraId="25CFE325">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（2）磋商函及其附录（如有）； </w:t>
      </w:r>
    </w:p>
    <w:p w14:paraId="18736191">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（3）专用合同条款及其附件；</w:t>
      </w:r>
    </w:p>
    <w:p w14:paraId="1D86A6F3">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（4）通用合同条款；</w:t>
      </w:r>
    </w:p>
    <w:p w14:paraId="39586D74">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（5）技术标准和要求；</w:t>
      </w:r>
    </w:p>
    <w:p w14:paraId="5F61BC41">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（6）图纸；</w:t>
      </w:r>
    </w:p>
    <w:p w14:paraId="573C416E">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（7）已标价工程量清单； </w:t>
      </w:r>
    </w:p>
    <w:p w14:paraId="3576F75A">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（8）其他合同文件：</w:t>
      </w:r>
    </w:p>
    <w:p w14:paraId="0322FD2F">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磋商文件及附件（含所有补充通知）；</w:t>
      </w:r>
    </w:p>
    <w:p w14:paraId="3A12BDA9">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在合同订立及履行过程中形成的与合同有关的文件均构成合同文件组成部分。</w:t>
      </w:r>
    </w:p>
    <w:p w14:paraId="01F01D9A">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上述各项合同文件包括合同当事人就该项合同文件所作出的补充和修改，属于同一类内容的文件，应以最新签署的为准。专用合同条款及其附件须经合同当事人签字或盖章。</w:t>
      </w:r>
    </w:p>
    <w:p w14:paraId="7AFA1FD5">
      <w:pPr>
        <w:spacing w:line="360" w:lineRule="auto"/>
        <w:ind w:firstLine="482" w:firstLineChars="200"/>
        <w:jc w:val="left"/>
        <w:rPr>
          <w:rFonts w:ascii="宋体" w:hAnsi="宋体"/>
          <w:b/>
          <w:bCs/>
          <w:color w:val="auto"/>
          <w:sz w:val="24"/>
          <w:highlight w:val="none"/>
        </w:rPr>
      </w:pPr>
      <w:bookmarkStart w:id="96" w:name="_Toc108539760"/>
      <w:r>
        <w:rPr>
          <w:rFonts w:hint="eastAsia" w:ascii="宋体" w:hAnsi="宋体"/>
          <w:b/>
          <w:bCs/>
          <w:color w:val="auto"/>
          <w:sz w:val="24"/>
          <w:highlight w:val="none"/>
        </w:rPr>
        <w:t>七、承诺</w:t>
      </w:r>
      <w:bookmarkEnd w:id="96"/>
    </w:p>
    <w:p w14:paraId="3055FFAB">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 发包人承诺按照法律规定履行项目审批手续、筹集工程建设资金并按照合同约定的期限和方式支付合同价款。</w:t>
      </w:r>
    </w:p>
    <w:p w14:paraId="002501D5">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 承包人承诺按照法律规定及合同约定组织完成工程施工，确保工程质量和安全，不进行转包及违法分包，并在缺陷责任期及保修期内承担相应的工程维修责任。</w:t>
      </w:r>
    </w:p>
    <w:p w14:paraId="52290DB8">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 发包人和承包人通过招投标形式签订合同的，双方理解并承诺不再就同一工程另行签订与合同实质性内容相背离的协议。</w:t>
      </w:r>
    </w:p>
    <w:p w14:paraId="21364539">
      <w:pPr>
        <w:spacing w:line="360" w:lineRule="auto"/>
        <w:ind w:firstLine="482" w:firstLineChars="200"/>
        <w:jc w:val="left"/>
        <w:rPr>
          <w:rFonts w:ascii="宋体" w:hAnsi="宋体"/>
          <w:b/>
          <w:bCs/>
          <w:color w:val="auto"/>
          <w:sz w:val="24"/>
          <w:highlight w:val="none"/>
        </w:rPr>
      </w:pPr>
      <w:bookmarkStart w:id="97" w:name="_Toc108539761"/>
      <w:r>
        <w:rPr>
          <w:rFonts w:hint="eastAsia" w:ascii="宋体" w:hAnsi="宋体"/>
          <w:b/>
          <w:bCs/>
          <w:color w:val="auto"/>
          <w:sz w:val="24"/>
          <w:highlight w:val="none"/>
        </w:rPr>
        <w:t>八、词语含义</w:t>
      </w:r>
      <w:bookmarkEnd w:id="97"/>
    </w:p>
    <w:p w14:paraId="3FC3AF0A">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本协议书中词语含义与第二部分通用合同条款中赋予的含义相同。</w:t>
      </w:r>
    </w:p>
    <w:p w14:paraId="387412B9">
      <w:pPr>
        <w:spacing w:line="360" w:lineRule="auto"/>
        <w:ind w:firstLine="482" w:firstLineChars="200"/>
        <w:jc w:val="left"/>
        <w:rPr>
          <w:rFonts w:ascii="宋体" w:hAnsi="宋体"/>
          <w:b/>
          <w:bCs/>
          <w:color w:val="auto"/>
          <w:sz w:val="24"/>
          <w:highlight w:val="none"/>
        </w:rPr>
      </w:pPr>
      <w:bookmarkStart w:id="98" w:name="_Toc108539762"/>
      <w:r>
        <w:rPr>
          <w:rFonts w:hint="eastAsia" w:ascii="宋体" w:hAnsi="宋体"/>
          <w:b/>
          <w:bCs/>
          <w:color w:val="auto"/>
          <w:sz w:val="24"/>
          <w:highlight w:val="none"/>
        </w:rPr>
        <w:t>九、签订时间</w:t>
      </w:r>
      <w:bookmarkEnd w:id="98"/>
    </w:p>
    <w:p w14:paraId="57970DD5">
      <w:pPr>
        <w:spacing w:line="360" w:lineRule="auto"/>
        <w:ind w:firstLine="480" w:firstLineChars="200"/>
        <w:jc w:val="left"/>
        <w:rPr>
          <w:rFonts w:ascii="宋体" w:hAnsi="宋体"/>
          <w:color w:val="auto"/>
          <w:sz w:val="24"/>
          <w:highlight w:val="none"/>
        </w:rPr>
      </w:pPr>
      <w:r>
        <w:rPr>
          <w:rFonts w:hint="eastAsia" w:ascii="宋体" w:hAnsi="宋体"/>
          <w:bCs/>
          <w:color w:val="auto"/>
          <w:sz w:val="24"/>
          <w:highlight w:val="none"/>
        </w:rPr>
        <w:t>本合同于</w:t>
      </w:r>
      <w:r>
        <w:rPr>
          <w:rFonts w:hint="eastAsia" w:ascii="宋体" w:hAnsi="宋体"/>
          <w:bCs/>
          <w:color w:val="auto"/>
          <w:sz w:val="24"/>
          <w:highlight w:val="none"/>
          <w:u w:val="single"/>
        </w:rPr>
        <w:t xml:space="preserve">       年   月    日</w:t>
      </w:r>
      <w:r>
        <w:rPr>
          <w:rFonts w:hint="eastAsia" w:ascii="宋体" w:hAnsi="宋体"/>
          <w:bCs/>
          <w:color w:val="auto"/>
          <w:sz w:val="24"/>
          <w:highlight w:val="none"/>
        </w:rPr>
        <w:t>签订</w:t>
      </w:r>
      <w:r>
        <w:rPr>
          <w:rFonts w:hint="eastAsia" w:ascii="宋体" w:hAnsi="宋体"/>
          <w:color w:val="auto"/>
          <w:sz w:val="24"/>
          <w:highlight w:val="none"/>
        </w:rPr>
        <w:t>。</w:t>
      </w:r>
    </w:p>
    <w:p w14:paraId="47AA519D">
      <w:pPr>
        <w:spacing w:line="360" w:lineRule="auto"/>
        <w:ind w:firstLine="482" w:firstLineChars="200"/>
        <w:jc w:val="left"/>
        <w:rPr>
          <w:rFonts w:ascii="宋体" w:hAnsi="宋体"/>
          <w:b/>
          <w:bCs/>
          <w:color w:val="auto"/>
          <w:sz w:val="24"/>
          <w:highlight w:val="none"/>
        </w:rPr>
      </w:pPr>
      <w:bookmarkStart w:id="99" w:name="_Toc108539763"/>
      <w:r>
        <w:rPr>
          <w:rFonts w:hint="eastAsia" w:ascii="宋体" w:hAnsi="宋体"/>
          <w:b/>
          <w:bCs/>
          <w:color w:val="auto"/>
          <w:sz w:val="24"/>
          <w:highlight w:val="none"/>
        </w:rPr>
        <w:t>十、签订地点</w:t>
      </w:r>
      <w:bookmarkEnd w:id="99"/>
    </w:p>
    <w:p w14:paraId="64E31A1D">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本合同在</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签订。</w:t>
      </w:r>
    </w:p>
    <w:p w14:paraId="796A92FB">
      <w:pPr>
        <w:spacing w:line="360" w:lineRule="auto"/>
        <w:ind w:firstLine="482" w:firstLineChars="200"/>
        <w:jc w:val="left"/>
        <w:rPr>
          <w:rFonts w:ascii="宋体" w:hAnsi="宋体"/>
          <w:b/>
          <w:bCs/>
          <w:color w:val="auto"/>
          <w:sz w:val="24"/>
          <w:highlight w:val="none"/>
        </w:rPr>
      </w:pPr>
      <w:bookmarkStart w:id="100" w:name="_Toc108539764"/>
      <w:r>
        <w:rPr>
          <w:rFonts w:hint="eastAsia" w:ascii="宋体" w:hAnsi="宋体"/>
          <w:b/>
          <w:bCs/>
          <w:color w:val="auto"/>
          <w:sz w:val="24"/>
          <w:highlight w:val="none"/>
        </w:rPr>
        <w:t>十一、补充协议</w:t>
      </w:r>
      <w:bookmarkEnd w:id="100"/>
    </w:p>
    <w:p w14:paraId="48E27EA0">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合同未尽事宜，合同当事人另行签订补充协议，补充协议是合同的组成部分。</w:t>
      </w:r>
    </w:p>
    <w:p w14:paraId="55991CEA">
      <w:pPr>
        <w:spacing w:line="360" w:lineRule="auto"/>
        <w:ind w:firstLine="482" w:firstLineChars="200"/>
        <w:jc w:val="left"/>
        <w:rPr>
          <w:rFonts w:ascii="宋体" w:hAnsi="宋体"/>
          <w:b/>
          <w:bCs/>
          <w:color w:val="auto"/>
          <w:sz w:val="24"/>
          <w:highlight w:val="none"/>
        </w:rPr>
      </w:pPr>
      <w:bookmarkStart w:id="101" w:name="_Toc108539765"/>
      <w:r>
        <w:rPr>
          <w:rFonts w:hint="eastAsia" w:ascii="宋体" w:hAnsi="宋体"/>
          <w:b/>
          <w:bCs/>
          <w:color w:val="auto"/>
          <w:sz w:val="24"/>
          <w:highlight w:val="none"/>
        </w:rPr>
        <w:t>十二、合同生效</w:t>
      </w:r>
      <w:bookmarkEnd w:id="101"/>
    </w:p>
    <w:p w14:paraId="758CCBC1">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本合同经双方法定代表人或授权代表签字并加盖公章，且承包人提交履约保函后生效。</w:t>
      </w:r>
    </w:p>
    <w:p w14:paraId="42070CFC">
      <w:pPr>
        <w:spacing w:line="360" w:lineRule="auto"/>
        <w:ind w:firstLine="482" w:firstLineChars="200"/>
        <w:jc w:val="left"/>
        <w:rPr>
          <w:rFonts w:ascii="宋体" w:hAnsi="宋体"/>
          <w:b/>
          <w:bCs/>
          <w:color w:val="auto"/>
          <w:sz w:val="24"/>
          <w:highlight w:val="none"/>
        </w:rPr>
      </w:pPr>
      <w:bookmarkStart w:id="102" w:name="_Toc108539766"/>
      <w:r>
        <w:rPr>
          <w:rFonts w:hint="eastAsia" w:ascii="宋体" w:hAnsi="宋体"/>
          <w:b/>
          <w:bCs/>
          <w:color w:val="auto"/>
          <w:sz w:val="24"/>
          <w:highlight w:val="none"/>
        </w:rPr>
        <w:t>十三、合同份数</w:t>
      </w:r>
      <w:bookmarkEnd w:id="102"/>
    </w:p>
    <w:p w14:paraId="36350D4A">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本合同一式</w:t>
      </w:r>
      <w:r>
        <w:rPr>
          <w:rFonts w:hint="eastAsia" w:ascii="宋体" w:hAnsi="宋体"/>
          <w:color w:val="auto"/>
          <w:sz w:val="24"/>
          <w:highlight w:val="none"/>
          <w:u w:val="single"/>
        </w:rPr>
        <w:t xml:space="preserve">  玖  </w:t>
      </w:r>
      <w:r>
        <w:rPr>
          <w:rFonts w:hint="eastAsia" w:ascii="宋体" w:hAnsi="宋体"/>
          <w:color w:val="auto"/>
          <w:sz w:val="24"/>
          <w:highlight w:val="none"/>
        </w:rPr>
        <w:t>份，均具有同等法律效力，发包人执</w:t>
      </w:r>
      <w:r>
        <w:rPr>
          <w:rFonts w:hint="eastAsia" w:ascii="宋体" w:hAnsi="宋体"/>
          <w:color w:val="auto"/>
          <w:sz w:val="24"/>
          <w:highlight w:val="none"/>
          <w:u w:val="single"/>
        </w:rPr>
        <w:t xml:space="preserve">  肆  </w:t>
      </w:r>
      <w:r>
        <w:rPr>
          <w:rFonts w:hint="eastAsia" w:ascii="宋体" w:hAnsi="宋体"/>
          <w:color w:val="auto"/>
          <w:sz w:val="24"/>
          <w:highlight w:val="none"/>
        </w:rPr>
        <w:t>份，承包人执</w:t>
      </w:r>
      <w:r>
        <w:rPr>
          <w:rFonts w:hint="eastAsia" w:ascii="宋体" w:hAnsi="宋体"/>
          <w:color w:val="auto"/>
          <w:sz w:val="24"/>
          <w:highlight w:val="none"/>
          <w:u w:val="single"/>
        </w:rPr>
        <w:t xml:space="preserve">  肆  </w:t>
      </w:r>
      <w:r>
        <w:rPr>
          <w:rFonts w:hint="eastAsia" w:ascii="宋体" w:hAnsi="宋体"/>
          <w:color w:val="auto"/>
          <w:sz w:val="24"/>
          <w:highlight w:val="none"/>
        </w:rPr>
        <w:t xml:space="preserve">份，采购代理机构 </w:t>
      </w:r>
      <w:r>
        <w:rPr>
          <w:rFonts w:hint="eastAsia" w:ascii="宋体" w:hAnsi="宋体"/>
          <w:color w:val="auto"/>
          <w:sz w:val="24"/>
          <w:highlight w:val="none"/>
          <w:u w:val="single"/>
        </w:rPr>
        <w:t xml:space="preserve"> 壹  </w:t>
      </w:r>
      <w:r>
        <w:rPr>
          <w:rFonts w:hint="eastAsia" w:ascii="宋体" w:hAnsi="宋体"/>
          <w:color w:val="auto"/>
          <w:sz w:val="24"/>
          <w:highlight w:val="none"/>
        </w:rPr>
        <w:t>份（用于政府采购云平台备案）。</w:t>
      </w:r>
    </w:p>
    <w:p w14:paraId="527B91C6">
      <w:pPr>
        <w:spacing w:line="360" w:lineRule="auto"/>
        <w:ind w:firstLine="480" w:firstLineChars="200"/>
        <w:jc w:val="left"/>
        <w:rPr>
          <w:rFonts w:ascii="宋体" w:hAnsi="宋体"/>
          <w:color w:val="auto"/>
          <w:sz w:val="24"/>
          <w:highlight w:val="none"/>
        </w:rPr>
      </w:pPr>
    </w:p>
    <w:p w14:paraId="14B08C2C">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发包人：  （公章）                              承包人：  （公章）</w:t>
      </w:r>
    </w:p>
    <w:p w14:paraId="74608224">
      <w:pPr>
        <w:spacing w:line="360" w:lineRule="auto"/>
        <w:ind w:firstLine="480" w:firstLineChars="200"/>
        <w:jc w:val="left"/>
        <w:rPr>
          <w:rFonts w:ascii="宋体" w:hAnsi="宋体"/>
          <w:color w:val="auto"/>
          <w:sz w:val="24"/>
          <w:highlight w:val="none"/>
          <w:u w:val="single"/>
        </w:rPr>
      </w:pPr>
    </w:p>
    <w:p w14:paraId="3D9F52A3">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法定代表人（负责人）或其委托代理人：          法定代表人（负责人）或其委托代理人：</w:t>
      </w:r>
    </w:p>
    <w:p w14:paraId="5673A2FD">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（签字）                                     （签字）</w:t>
      </w:r>
    </w:p>
    <w:p w14:paraId="1A1D7582">
      <w:pPr>
        <w:spacing w:line="360" w:lineRule="auto"/>
        <w:ind w:firstLine="480" w:firstLineChars="200"/>
        <w:jc w:val="left"/>
        <w:rPr>
          <w:rFonts w:ascii="宋体" w:hAnsi="宋体"/>
          <w:color w:val="auto"/>
          <w:sz w:val="24"/>
          <w:highlight w:val="none"/>
          <w:u w:val="single"/>
        </w:rPr>
      </w:pPr>
    </w:p>
    <w:p w14:paraId="3BA7C4B0">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统一社会信用代码：                           统一社会信用代码：</w:t>
      </w:r>
    </w:p>
    <w:p w14:paraId="2726ABEA">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地  址：                                    </w:t>
      </w:r>
      <w:r>
        <w:rPr>
          <w:rFonts w:ascii="宋体" w:hAnsi="宋体"/>
          <w:color w:val="auto"/>
          <w:sz w:val="24"/>
          <w:highlight w:val="none"/>
        </w:rPr>
        <w:t xml:space="preserve"> </w:t>
      </w:r>
      <w:r>
        <w:rPr>
          <w:rFonts w:hint="eastAsia" w:ascii="宋体" w:hAnsi="宋体"/>
          <w:color w:val="auto"/>
          <w:sz w:val="24"/>
          <w:highlight w:val="none"/>
        </w:rPr>
        <w:t>地      址：</w:t>
      </w:r>
    </w:p>
    <w:p w14:paraId="0EF05C9E">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邮政编码：                                   邮政编码：</w:t>
      </w:r>
    </w:p>
    <w:p w14:paraId="4DBD050F">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法定代表人：                                 法定代表人：</w:t>
      </w:r>
    </w:p>
    <w:p w14:paraId="320B9FE0">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委托代理人：                                 委托代理人：</w:t>
      </w:r>
    </w:p>
    <w:p w14:paraId="73A397A3">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电  话：                                     电  话：</w:t>
      </w:r>
    </w:p>
    <w:p w14:paraId="578C3BD4">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传  真：                                     传  真：</w:t>
      </w:r>
    </w:p>
    <w:p w14:paraId="2BB28E99">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电子信箱：                                   电子信箱：</w:t>
      </w:r>
    </w:p>
    <w:p w14:paraId="153E6AC9">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开户银行：                                   开户银行：</w:t>
      </w:r>
    </w:p>
    <w:p w14:paraId="249264D2">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账  号：                                     账  号：</w:t>
      </w:r>
    </w:p>
    <w:p w14:paraId="7AD6069E">
      <w:pPr>
        <w:adjustRightInd w:val="0"/>
        <w:spacing w:line="420" w:lineRule="exact"/>
        <w:jc w:val="left"/>
        <w:rPr>
          <w:rFonts w:ascii="宋体" w:hAnsi="宋体" w:cs="宋体"/>
          <w:bCs/>
          <w:color w:val="auto"/>
          <w:sz w:val="24"/>
          <w:highlight w:val="none"/>
        </w:rPr>
      </w:pPr>
    </w:p>
    <w:p w14:paraId="6554BDF2">
      <w:pPr>
        <w:widowControl/>
        <w:jc w:val="left"/>
        <w:rPr>
          <w:rFonts w:ascii="宋体" w:hAnsi="宋体" w:cs="宋体"/>
          <w:bCs/>
          <w:color w:val="auto"/>
          <w:sz w:val="24"/>
          <w:highlight w:val="none"/>
        </w:rPr>
      </w:pPr>
      <w:r>
        <w:rPr>
          <w:rFonts w:ascii="宋体" w:hAnsi="宋体" w:cs="宋体"/>
          <w:bCs/>
          <w:color w:val="auto"/>
          <w:sz w:val="24"/>
          <w:highlight w:val="none"/>
        </w:rPr>
        <w:br w:type="page"/>
      </w:r>
    </w:p>
    <w:p w14:paraId="00C59D54">
      <w:pPr>
        <w:adjustRightInd w:val="0"/>
        <w:spacing w:line="420" w:lineRule="exact"/>
        <w:jc w:val="left"/>
        <w:rPr>
          <w:rFonts w:ascii="宋体" w:hAnsi="宋体" w:cs="宋体"/>
          <w:bCs/>
          <w:color w:val="auto"/>
          <w:sz w:val="24"/>
          <w:highlight w:val="none"/>
        </w:rPr>
      </w:pPr>
    </w:p>
    <w:p w14:paraId="591252C3">
      <w:pPr>
        <w:keepNext/>
        <w:keepLines/>
        <w:spacing w:line="360" w:lineRule="auto"/>
        <w:ind w:firstLine="561"/>
        <w:jc w:val="center"/>
        <w:rPr>
          <w:rFonts w:ascii="宋体" w:hAnsi="宋体" w:cs="宋体"/>
          <w:b/>
          <w:bCs/>
          <w:color w:val="auto"/>
          <w:sz w:val="28"/>
          <w:szCs w:val="28"/>
          <w:highlight w:val="none"/>
        </w:rPr>
      </w:pPr>
      <w:bookmarkStart w:id="103" w:name="_Toc12407"/>
      <w:bookmarkStart w:id="104" w:name="_Toc24180"/>
      <w:r>
        <w:rPr>
          <w:rFonts w:hint="eastAsia" w:ascii="宋体" w:hAnsi="宋体" w:cs="宋体"/>
          <w:b/>
          <w:bCs/>
          <w:color w:val="auto"/>
          <w:sz w:val="28"/>
          <w:szCs w:val="28"/>
          <w:highlight w:val="none"/>
        </w:rPr>
        <w:t>第二部分 通用合同条款</w:t>
      </w:r>
      <w:bookmarkEnd w:id="103"/>
      <w:bookmarkEnd w:id="104"/>
      <w:bookmarkStart w:id="105" w:name="_Toc337558727"/>
    </w:p>
    <w:bookmarkEnd w:id="105"/>
    <w:p w14:paraId="07FF2D3A">
      <w:pPr>
        <w:spacing w:line="400" w:lineRule="exact"/>
        <w:ind w:firstLine="480" w:firstLineChars="200"/>
        <w:rPr>
          <w:rFonts w:ascii="宋体" w:hAnsi="宋体" w:cs="宋体"/>
          <w:color w:val="auto"/>
          <w:sz w:val="24"/>
          <w:szCs w:val="32"/>
          <w:highlight w:val="none"/>
        </w:rPr>
      </w:pPr>
      <w:bookmarkStart w:id="106" w:name="_Toc351203632"/>
      <w:r>
        <w:rPr>
          <w:rFonts w:hint="eastAsia" w:ascii="宋体" w:hAnsi="宋体" w:cs="宋体"/>
          <w:color w:val="auto"/>
          <w:sz w:val="24"/>
          <w:szCs w:val="32"/>
          <w:highlight w:val="none"/>
        </w:rPr>
        <w:t>采用《建设工程施工合同（示范文本）》（GF-2017-0201）的“通用合同条款”。</w:t>
      </w:r>
    </w:p>
    <w:p w14:paraId="68123A51">
      <w:pPr>
        <w:pStyle w:val="21"/>
        <w:snapToGrid/>
        <w:rPr>
          <w:rFonts w:ascii="宋体" w:hAnsi="宋体" w:cs="宋体"/>
          <w:color w:val="auto"/>
          <w:kern w:val="2"/>
          <w:highlight w:val="none"/>
        </w:rPr>
      </w:pPr>
    </w:p>
    <w:p w14:paraId="5DE55094">
      <w:pPr>
        <w:rPr>
          <w:rFonts w:ascii="宋体" w:hAnsi="宋体" w:cs="宋体"/>
          <w:color w:val="auto"/>
          <w:highlight w:val="none"/>
        </w:rPr>
      </w:pPr>
    </w:p>
    <w:p w14:paraId="5C5E5437">
      <w:pPr>
        <w:pStyle w:val="21"/>
        <w:snapToGrid/>
        <w:rPr>
          <w:rFonts w:ascii="宋体" w:hAnsi="宋体" w:cs="宋体"/>
          <w:color w:val="auto"/>
          <w:kern w:val="2"/>
          <w:highlight w:val="none"/>
        </w:rPr>
      </w:pPr>
    </w:p>
    <w:bookmarkEnd w:id="106"/>
    <w:p w14:paraId="42EA87E9">
      <w:pPr>
        <w:keepNext/>
        <w:keepLines/>
        <w:spacing w:line="360" w:lineRule="auto"/>
        <w:ind w:firstLine="561"/>
        <w:jc w:val="center"/>
        <w:rPr>
          <w:rFonts w:ascii="宋体" w:hAnsi="宋体" w:cs="宋体"/>
          <w:b/>
          <w:bCs/>
          <w:color w:val="auto"/>
          <w:sz w:val="28"/>
          <w:szCs w:val="28"/>
          <w:highlight w:val="none"/>
        </w:rPr>
      </w:pPr>
      <w:bookmarkStart w:id="107" w:name="_Toc433386844"/>
      <w:bookmarkStart w:id="108" w:name="_Toc20133"/>
      <w:bookmarkStart w:id="109" w:name="_Toc433386318"/>
      <w:r>
        <w:rPr>
          <w:rFonts w:hint="eastAsia" w:ascii="宋体" w:hAnsi="宋体" w:cs="宋体"/>
          <w:b/>
          <w:bCs/>
          <w:color w:val="auto"/>
          <w:sz w:val="28"/>
          <w:szCs w:val="28"/>
          <w:highlight w:val="none"/>
        </w:rPr>
        <w:t>第三部分 专用合同条款</w:t>
      </w:r>
      <w:bookmarkEnd w:id="107"/>
      <w:bookmarkEnd w:id="108"/>
      <w:bookmarkEnd w:id="109"/>
    </w:p>
    <w:p w14:paraId="1F1DCAE2">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1.一般约定</w:t>
      </w:r>
    </w:p>
    <w:p w14:paraId="319C266A">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1.1 词语定义</w:t>
      </w:r>
    </w:p>
    <w:p w14:paraId="473467A5">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1.1.1合同</w:t>
      </w:r>
    </w:p>
    <w:p w14:paraId="5569BEC0">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1.1.1.10其他合同文件包括： 指经合同双方当事人确认构成合同文件的其他文件。</w:t>
      </w:r>
    </w:p>
    <w:p w14:paraId="4FD0A8E1">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1.1.2 合同当事人及其他相关方</w:t>
      </w:r>
    </w:p>
    <w:p w14:paraId="2287DF6D">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1.1.2.4监理人：</w:t>
      </w:r>
    </w:p>
    <w:p w14:paraId="1DBD359B">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名    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C1C70D4">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资质类别和等级：</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4C60E94">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5413102">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电子信箱：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669608E">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通信地址：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896CACB">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1.1.2.5 设计人：</w:t>
      </w:r>
    </w:p>
    <w:p w14:paraId="644202AB">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名    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276FCB5">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资质类别和等级：</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3723A0A">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CC9E8BC">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电子信箱：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7D75331">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通信地址：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F498FF1">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1.1.3 工程和设备</w:t>
      </w:r>
    </w:p>
    <w:p w14:paraId="1AD254A2">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1.1.3.1 作为施工现场组成部分的其他场所包括：</w:t>
      </w:r>
      <w:r>
        <w:rPr>
          <w:rFonts w:hint="eastAsia" w:ascii="宋体" w:hAnsi="宋体" w:cs="宋体"/>
          <w:color w:val="auto"/>
          <w:sz w:val="24"/>
          <w:highlight w:val="none"/>
          <w:u w:val="single"/>
        </w:rPr>
        <w:t>包括永久占地、临时占地</w:t>
      </w:r>
      <w:r>
        <w:rPr>
          <w:rFonts w:hint="eastAsia" w:ascii="宋体" w:hAnsi="宋体" w:cs="宋体"/>
          <w:color w:val="auto"/>
          <w:sz w:val="24"/>
          <w:highlight w:val="none"/>
        </w:rPr>
        <w:t>。</w:t>
      </w:r>
    </w:p>
    <w:p w14:paraId="57FFAC50">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1.1.3.2 永久占地包括：</w:t>
      </w:r>
      <w:r>
        <w:rPr>
          <w:rFonts w:hint="eastAsia" w:ascii="宋体" w:hAnsi="宋体" w:cs="宋体"/>
          <w:color w:val="auto"/>
          <w:sz w:val="24"/>
          <w:highlight w:val="none"/>
          <w:u w:val="single"/>
        </w:rPr>
        <w:t>为实施合同工程需永久占用的土地</w:t>
      </w:r>
      <w:r>
        <w:rPr>
          <w:rFonts w:hint="eastAsia" w:ascii="宋体" w:hAnsi="宋体" w:cs="宋体"/>
          <w:color w:val="auto"/>
          <w:sz w:val="24"/>
          <w:highlight w:val="none"/>
        </w:rPr>
        <w:t>。</w:t>
      </w:r>
    </w:p>
    <w:p w14:paraId="4DCEC5E9">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1.1.3.3 临时占地包括：</w:t>
      </w:r>
      <w:r>
        <w:rPr>
          <w:rFonts w:hint="eastAsia" w:ascii="宋体" w:hAnsi="宋体" w:cs="宋体"/>
          <w:color w:val="auto"/>
          <w:sz w:val="24"/>
          <w:highlight w:val="none"/>
          <w:u w:val="single"/>
        </w:rPr>
        <w:t>为实施合同工程需永久占用的土地</w:t>
      </w:r>
      <w:r>
        <w:rPr>
          <w:rFonts w:hint="eastAsia" w:ascii="宋体" w:hAnsi="宋体" w:cs="宋体"/>
          <w:color w:val="auto"/>
          <w:sz w:val="24"/>
          <w:highlight w:val="none"/>
        </w:rPr>
        <w:t>。</w:t>
      </w:r>
    </w:p>
    <w:p w14:paraId="67EC5002">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1.3法律 </w:t>
      </w:r>
    </w:p>
    <w:p w14:paraId="4C49FB63">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适用于合同的其他规范性文件：</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DBBC315">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1.4 标准和规范</w:t>
      </w:r>
    </w:p>
    <w:p w14:paraId="7D2E5A26">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1.4.1适用于工程的标准规范包括：</w:t>
      </w:r>
      <w:r>
        <w:rPr>
          <w:rFonts w:hint="eastAsia" w:ascii="宋体" w:hAnsi="宋体" w:cs="宋体"/>
          <w:color w:val="auto"/>
          <w:sz w:val="24"/>
          <w:highlight w:val="none"/>
          <w:u w:val="single"/>
        </w:rPr>
        <w:t>施工规范、质量验收规范、质量评定标准、地方技术标准和规程</w:t>
      </w:r>
      <w:r>
        <w:rPr>
          <w:rFonts w:hint="eastAsia" w:ascii="宋体" w:hAnsi="宋体" w:cs="宋体"/>
          <w:color w:val="auto"/>
          <w:sz w:val="24"/>
          <w:highlight w:val="none"/>
        </w:rPr>
        <w:t>；</w:t>
      </w:r>
    </w:p>
    <w:p w14:paraId="180631BD">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1.4.2 发包人提供国外标准、规范的名称：</w:t>
      </w:r>
      <w:r>
        <w:rPr>
          <w:rFonts w:hint="eastAsia" w:ascii="宋体" w:hAnsi="宋体" w:cs="宋体"/>
          <w:color w:val="auto"/>
          <w:sz w:val="24"/>
          <w:highlight w:val="none"/>
          <w:u w:val="single"/>
        </w:rPr>
        <w:t>无</w:t>
      </w:r>
      <w:r>
        <w:rPr>
          <w:rFonts w:hint="eastAsia" w:ascii="宋体" w:hAnsi="宋体" w:cs="宋体"/>
          <w:color w:val="auto"/>
          <w:sz w:val="24"/>
          <w:highlight w:val="none"/>
        </w:rPr>
        <w:t>；</w:t>
      </w:r>
    </w:p>
    <w:p w14:paraId="06700F96">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发包人提供国外标准、规范的份数：</w:t>
      </w:r>
      <w:r>
        <w:rPr>
          <w:rFonts w:hint="eastAsia" w:ascii="宋体" w:hAnsi="宋体" w:cs="宋体"/>
          <w:color w:val="auto"/>
          <w:sz w:val="24"/>
          <w:highlight w:val="none"/>
          <w:u w:val="single"/>
        </w:rPr>
        <w:t>无</w:t>
      </w:r>
      <w:r>
        <w:rPr>
          <w:rFonts w:hint="eastAsia" w:ascii="宋体" w:hAnsi="宋体" w:cs="宋体"/>
          <w:color w:val="auto"/>
          <w:sz w:val="24"/>
          <w:highlight w:val="none"/>
        </w:rPr>
        <w:t>；</w:t>
      </w:r>
    </w:p>
    <w:p w14:paraId="4B49E64A">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发包人提供国外标准、规范的名称：</w:t>
      </w:r>
      <w:r>
        <w:rPr>
          <w:rFonts w:hint="eastAsia" w:ascii="宋体" w:hAnsi="宋体" w:cs="宋体"/>
          <w:color w:val="auto"/>
          <w:sz w:val="24"/>
          <w:highlight w:val="none"/>
          <w:u w:val="single"/>
        </w:rPr>
        <w:t>无</w:t>
      </w:r>
      <w:r>
        <w:rPr>
          <w:rFonts w:hint="eastAsia" w:ascii="宋体" w:hAnsi="宋体" w:cs="宋体"/>
          <w:color w:val="auto"/>
          <w:sz w:val="24"/>
          <w:highlight w:val="none"/>
        </w:rPr>
        <w:t>；</w:t>
      </w:r>
    </w:p>
    <w:p w14:paraId="12627552">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1.4.3发包人对工程的技术标准和功能要求的特殊要求：</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3DD7721">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1.5 合同文件的优先顺序</w:t>
      </w:r>
    </w:p>
    <w:p w14:paraId="3BBB1288">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合同文件组成及优先顺序为：</w:t>
      </w:r>
    </w:p>
    <w:p w14:paraId="0A50DED4">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（1）合同协议书；</w:t>
      </w:r>
    </w:p>
    <w:p w14:paraId="434269C4">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（2）成交通知书（如果有）；</w:t>
      </w:r>
    </w:p>
    <w:p w14:paraId="73771E4F">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（3）报价函及其附录（如果有）；</w:t>
      </w:r>
    </w:p>
    <w:p w14:paraId="201605C2">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（4）专用合同条款及其附件；</w:t>
      </w:r>
    </w:p>
    <w:p w14:paraId="4A92CE68">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（5）通用合同条款；</w:t>
      </w:r>
    </w:p>
    <w:p w14:paraId="3FB6A6B3">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u w:val="single"/>
        </w:rPr>
        <w:t>技术标准和要求</w:t>
      </w:r>
      <w:r>
        <w:rPr>
          <w:rFonts w:hint="eastAsia" w:ascii="宋体" w:hAnsi="宋体" w:cs="宋体"/>
          <w:color w:val="auto"/>
          <w:sz w:val="24"/>
          <w:highlight w:val="none"/>
        </w:rPr>
        <w:t>；</w:t>
      </w:r>
    </w:p>
    <w:p w14:paraId="4F6BA99F">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u w:val="single"/>
        </w:rPr>
        <w:t>图纸</w:t>
      </w:r>
      <w:r>
        <w:rPr>
          <w:rFonts w:hint="eastAsia" w:ascii="宋体" w:hAnsi="宋体" w:cs="宋体"/>
          <w:color w:val="auto"/>
          <w:sz w:val="24"/>
          <w:highlight w:val="none"/>
        </w:rPr>
        <w:t>；</w:t>
      </w:r>
    </w:p>
    <w:p w14:paraId="7C9EE488">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（8）</w:t>
      </w:r>
      <w:r>
        <w:rPr>
          <w:rFonts w:hint="eastAsia" w:ascii="宋体" w:hAnsi="宋体" w:cs="宋体"/>
          <w:color w:val="auto"/>
          <w:sz w:val="24"/>
          <w:highlight w:val="none"/>
          <w:u w:val="single"/>
        </w:rPr>
        <w:t>已标价工程量清单或预算书</w:t>
      </w:r>
      <w:r>
        <w:rPr>
          <w:rFonts w:hint="eastAsia" w:ascii="宋体" w:hAnsi="宋体" w:cs="宋体"/>
          <w:color w:val="auto"/>
          <w:sz w:val="24"/>
          <w:highlight w:val="none"/>
        </w:rPr>
        <w:t>；</w:t>
      </w:r>
    </w:p>
    <w:p w14:paraId="68F3CBEA">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（9）</w:t>
      </w:r>
      <w:r>
        <w:rPr>
          <w:rFonts w:hint="eastAsia" w:ascii="宋体" w:hAnsi="宋体" w:cs="宋体"/>
          <w:color w:val="auto"/>
          <w:sz w:val="24"/>
          <w:highlight w:val="none"/>
          <w:u w:val="single"/>
        </w:rPr>
        <w:t>其他合同文件</w:t>
      </w:r>
      <w:r>
        <w:rPr>
          <w:rFonts w:hint="eastAsia" w:ascii="宋体" w:hAnsi="宋体" w:cs="宋体"/>
          <w:color w:val="auto"/>
          <w:sz w:val="24"/>
          <w:highlight w:val="none"/>
        </w:rPr>
        <w:t>。</w:t>
      </w:r>
    </w:p>
    <w:p w14:paraId="385BB593">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10）《建设工程工程量清单计价规范（GB5050-2013）》及其广西实施细则及《关于建筑业实施营业税改征增值税后广西壮族自治区建设工程计价依据调整的通知》（桂建标〔2016〕17号）、《建设工程工程量清单计算规范（GB5854~50862-2013）》及其广西实施细则（修订本）。</w:t>
      </w:r>
    </w:p>
    <w:p w14:paraId="1AFB592F">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1.6 图纸和承包人文件</w:t>
      </w:r>
      <w:r>
        <w:rPr>
          <w:rFonts w:hint="eastAsia" w:ascii="宋体" w:hAnsi="宋体" w:cs="宋体"/>
          <w:color w:val="auto"/>
          <w:sz w:val="24"/>
          <w:highlight w:val="none"/>
        </w:rPr>
        <w:tab/>
      </w:r>
    </w:p>
    <w:p w14:paraId="5F329A11">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1.6.1 图纸的提供</w:t>
      </w:r>
    </w:p>
    <w:p w14:paraId="6A6C1A38">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发包人向承包人提供图纸的期限：</w:t>
      </w:r>
      <w:r>
        <w:rPr>
          <w:rFonts w:hint="eastAsia" w:ascii="宋体" w:hAnsi="宋体" w:cs="宋体"/>
          <w:color w:val="auto"/>
          <w:sz w:val="24"/>
          <w:highlight w:val="none"/>
          <w:u w:val="single"/>
        </w:rPr>
        <w:t>签订合同后3天内</w:t>
      </w:r>
      <w:r>
        <w:rPr>
          <w:rFonts w:hint="eastAsia" w:ascii="宋体" w:hAnsi="宋体" w:cs="宋体"/>
          <w:color w:val="auto"/>
          <w:sz w:val="24"/>
          <w:highlight w:val="none"/>
        </w:rPr>
        <w:t>；</w:t>
      </w:r>
    </w:p>
    <w:p w14:paraId="54D2168F">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发包人向承包人提供图纸的数量：</w:t>
      </w:r>
      <w:r>
        <w:rPr>
          <w:rFonts w:hint="eastAsia" w:ascii="宋体" w:hAnsi="宋体" w:cs="宋体"/>
          <w:color w:val="auto"/>
          <w:sz w:val="24"/>
          <w:highlight w:val="none"/>
          <w:u w:val="single"/>
        </w:rPr>
        <w:t>贰套，承包人需要增加图纸套数的，发包人应代为复制，复制费用由承包人承担</w:t>
      </w:r>
      <w:r>
        <w:rPr>
          <w:rFonts w:hint="eastAsia" w:ascii="宋体" w:hAnsi="宋体" w:cs="宋体"/>
          <w:color w:val="auto"/>
          <w:sz w:val="24"/>
          <w:highlight w:val="none"/>
        </w:rPr>
        <w:t>；</w:t>
      </w:r>
    </w:p>
    <w:p w14:paraId="74052E4D">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发包人向承包人提供图纸的内容：</w:t>
      </w:r>
      <w:r>
        <w:rPr>
          <w:rFonts w:hint="eastAsia" w:ascii="宋体" w:hAnsi="宋体" w:cs="宋体"/>
          <w:color w:val="auto"/>
          <w:sz w:val="24"/>
          <w:highlight w:val="none"/>
          <w:u w:val="single"/>
        </w:rPr>
        <w:t>见图纸目录</w:t>
      </w:r>
      <w:r>
        <w:rPr>
          <w:rFonts w:hint="eastAsia" w:ascii="宋体" w:hAnsi="宋体" w:cs="宋体"/>
          <w:color w:val="auto"/>
          <w:sz w:val="24"/>
          <w:highlight w:val="none"/>
        </w:rPr>
        <w:t>。</w:t>
      </w:r>
    </w:p>
    <w:p w14:paraId="458EC270">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1.6.2 承包人文件</w:t>
      </w:r>
    </w:p>
    <w:p w14:paraId="3290DE1E">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需要由承包人提供的文件，包括：</w:t>
      </w:r>
      <w:r>
        <w:rPr>
          <w:rFonts w:hint="eastAsia" w:ascii="宋体" w:hAnsi="宋体" w:cs="宋体"/>
          <w:color w:val="auto"/>
          <w:sz w:val="24"/>
          <w:highlight w:val="none"/>
          <w:u w:val="single"/>
        </w:rPr>
        <w:t>开工报告、施工组织设计、专项施工方案、进度计划及其他应交的施工管理文件、施工技术文件</w:t>
      </w:r>
      <w:r>
        <w:rPr>
          <w:rFonts w:hint="eastAsia" w:ascii="宋体" w:hAnsi="宋体" w:cs="宋体"/>
          <w:color w:val="auto"/>
          <w:sz w:val="24"/>
          <w:highlight w:val="none"/>
        </w:rPr>
        <w:t>；</w:t>
      </w:r>
    </w:p>
    <w:p w14:paraId="7EC3A468">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承包人提供的文件的期限为：</w:t>
      </w:r>
      <w:r>
        <w:rPr>
          <w:rFonts w:hint="eastAsia" w:ascii="宋体" w:hAnsi="宋体" w:cs="宋体"/>
          <w:color w:val="auto"/>
          <w:sz w:val="24"/>
          <w:highlight w:val="none"/>
          <w:u w:val="single"/>
        </w:rPr>
        <w:t>文件实施前7天</w:t>
      </w:r>
      <w:r>
        <w:rPr>
          <w:rFonts w:hint="eastAsia" w:ascii="宋体" w:hAnsi="宋体" w:cs="宋体"/>
          <w:color w:val="auto"/>
          <w:sz w:val="24"/>
          <w:highlight w:val="none"/>
        </w:rPr>
        <w:t>；</w:t>
      </w:r>
    </w:p>
    <w:p w14:paraId="2FF4C377">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承包人提供的文件的数量为：</w:t>
      </w:r>
      <w:r>
        <w:rPr>
          <w:rFonts w:hint="eastAsia" w:ascii="宋体" w:hAnsi="宋体" w:cs="宋体"/>
          <w:color w:val="auto"/>
          <w:sz w:val="24"/>
          <w:highlight w:val="none"/>
          <w:u w:val="single"/>
        </w:rPr>
        <w:t>按发包人要求提供</w:t>
      </w:r>
      <w:r>
        <w:rPr>
          <w:rFonts w:hint="eastAsia" w:ascii="宋体" w:hAnsi="宋体" w:cs="宋体"/>
          <w:color w:val="auto"/>
          <w:sz w:val="24"/>
          <w:highlight w:val="none"/>
        </w:rPr>
        <w:t>；</w:t>
      </w:r>
    </w:p>
    <w:p w14:paraId="41DDE06C">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承包人提供的文件的形式为：</w:t>
      </w:r>
      <w:r>
        <w:rPr>
          <w:rFonts w:hint="eastAsia" w:ascii="宋体" w:hAnsi="宋体" w:cs="宋体"/>
          <w:color w:val="auto"/>
          <w:sz w:val="24"/>
          <w:highlight w:val="none"/>
          <w:u w:val="single"/>
        </w:rPr>
        <w:t>纸质文件</w:t>
      </w:r>
      <w:r>
        <w:rPr>
          <w:rFonts w:hint="eastAsia" w:ascii="宋体" w:hAnsi="宋体" w:cs="宋体"/>
          <w:color w:val="auto"/>
          <w:sz w:val="24"/>
          <w:highlight w:val="none"/>
        </w:rPr>
        <w:t>；</w:t>
      </w:r>
    </w:p>
    <w:p w14:paraId="13C8F5B9">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发包人审批承包人文件的期限：</w:t>
      </w:r>
      <w:r>
        <w:rPr>
          <w:rFonts w:hint="eastAsia" w:ascii="宋体" w:hAnsi="宋体" w:cs="宋体"/>
          <w:color w:val="auto"/>
          <w:sz w:val="24"/>
          <w:highlight w:val="none"/>
          <w:u w:val="single"/>
        </w:rPr>
        <w:t>收到文件后7天内</w:t>
      </w:r>
      <w:r>
        <w:rPr>
          <w:rFonts w:hint="eastAsia" w:ascii="宋体" w:hAnsi="宋体" w:cs="宋体"/>
          <w:color w:val="auto"/>
          <w:sz w:val="24"/>
          <w:highlight w:val="none"/>
        </w:rPr>
        <w:t>。</w:t>
      </w:r>
    </w:p>
    <w:p w14:paraId="217DC42D">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1.6.3 现场图纸准备</w:t>
      </w:r>
    </w:p>
    <w:p w14:paraId="4BED1A3C">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关于现场图纸准备的约定：</w:t>
      </w:r>
      <w:r>
        <w:rPr>
          <w:rFonts w:hint="eastAsia" w:ascii="宋体" w:hAnsi="宋体" w:cs="宋体"/>
          <w:color w:val="auto"/>
          <w:sz w:val="24"/>
          <w:highlight w:val="none"/>
          <w:u w:val="single"/>
        </w:rPr>
        <w:t>图纸会审或发包人审查后7天内</w:t>
      </w:r>
      <w:r>
        <w:rPr>
          <w:rFonts w:hint="eastAsia" w:ascii="宋体" w:hAnsi="宋体" w:cs="宋体"/>
          <w:color w:val="auto"/>
          <w:sz w:val="24"/>
          <w:highlight w:val="none"/>
        </w:rPr>
        <w:t>。</w:t>
      </w:r>
    </w:p>
    <w:p w14:paraId="062670CE">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1.7 联络</w:t>
      </w:r>
    </w:p>
    <w:p w14:paraId="4BAB6F5F">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1.7.1发包人和承包人应当在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天内将与合同有关的通知、批准、证明、证书、指示、指令、要求、请求、同意、意见、确定和决定等书面函件送达对方当事人。</w:t>
      </w:r>
    </w:p>
    <w:p w14:paraId="24F68892">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1.7.2 发包人接收文件的地点：</w:t>
      </w:r>
      <w:r>
        <w:rPr>
          <w:rFonts w:hint="eastAsia" w:ascii="宋体" w:hAnsi="宋体" w:cs="宋体"/>
          <w:color w:val="auto"/>
          <w:sz w:val="24"/>
          <w:highlight w:val="none"/>
          <w:u w:val="single"/>
        </w:rPr>
        <w:t>发包人办公室</w:t>
      </w:r>
      <w:r>
        <w:rPr>
          <w:rFonts w:hint="eastAsia" w:ascii="宋体" w:hAnsi="宋体" w:cs="宋体"/>
          <w:color w:val="auto"/>
          <w:sz w:val="24"/>
          <w:highlight w:val="none"/>
        </w:rPr>
        <w:t>；</w:t>
      </w:r>
    </w:p>
    <w:p w14:paraId="54C551A3">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发包人指定的接收人为：</w:t>
      </w:r>
      <w:r>
        <w:rPr>
          <w:rFonts w:hint="eastAsia" w:ascii="宋体" w:hAnsi="宋体" w:cs="宋体"/>
          <w:color w:val="auto"/>
          <w:sz w:val="24"/>
          <w:highlight w:val="none"/>
          <w:u w:val="single"/>
        </w:rPr>
        <w:t>工地代表（可委托）</w:t>
      </w:r>
      <w:r>
        <w:rPr>
          <w:rFonts w:hint="eastAsia" w:ascii="宋体" w:hAnsi="宋体" w:cs="宋体"/>
          <w:color w:val="auto"/>
          <w:sz w:val="24"/>
          <w:highlight w:val="none"/>
        </w:rPr>
        <w:t>。</w:t>
      </w:r>
    </w:p>
    <w:p w14:paraId="3A84D2AB">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承包人接收文件的地点：</w:t>
      </w:r>
      <w:r>
        <w:rPr>
          <w:rFonts w:hint="eastAsia" w:ascii="宋体" w:hAnsi="宋体" w:cs="宋体"/>
          <w:color w:val="auto"/>
          <w:sz w:val="24"/>
          <w:highlight w:val="none"/>
          <w:u w:val="single"/>
        </w:rPr>
        <w:t>包人项目部办公室</w:t>
      </w:r>
      <w:r>
        <w:rPr>
          <w:rFonts w:hint="eastAsia" w:ascii="宋体" w:hAnsi="宋体" w:cs="宋体"/>
          <w:color w:val="auto"/>
          <w:sz w:val="24"/>
          <w:highlight w:val="none"/>
        </w:rPr>
        <w:t>；</w:t>
      </w:r>
    </w:p>
    <w:p w14:paraId="5E87A915">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承包人指定的接收人为：</w:t>
      </w:r>
      <w:r>
        <w:rPr>
          <w:rFonts w:hint="eastAsia" w:ascii="宋体" w:hAnsi="宋体" w:cs="宋体"/>
          <w:color w:val="auto"/>
          <w:sz w:val="24"/>
          <w:highlight w:val="none"/>
          <w:u w:val="single"/>
        </w:rPr>
        <w:t>项目经理</w:t>
      </w:r>
      <w:r>
        <w:rPr>
          <w:rFonts w:hint="eastAsia" w:ascii="宋体" w:hAnsi="宋体" w:cs="宋体"/>
          <w:color w:val="auto"/>
          <w:sz w:val="24"/>
          <w:highlight w:val="none"/>
        </w:rPr>
        <w:t>。</w:t>
      </w:r>
    </w:p>
    <w:p w14:paraId="1DD8BB55">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监理人接收文件的地点：</w:t>
      </w:r>
      <w:r>
        <w:rPr>
          <w:rFonts w:hint="eastAsia" w:ascii="宋体" w:hAnsi="宋体" w:cs="宋体"/>
          <w:color w:val="auto"/>
          <w:sz w:val="24"/>
          <w:highlight w:val="none"/>
          <w:u w:val="single"/>
        </w:rPr>
        <w:t xml:space="preserve">项目监理部 </w:t>
      </w:r>
      <w:r>
        <w:rPr>
          <w:rFonts w:hint="eastAsia" w:ascii="宋体" w:hAnsi="宋体" w:cs="宋体"/>
          <w:color w:val="auto"/>
          <w:sz w:val="24"/>
          <w:highlight w:val="none"/>
        </w:rPr>
        <w:t>；</w:t>
      </w:r>
    </w:p>
    <w:p w14:paraId="59899DE2">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监理人指定的接收人为：</w:t>
      </w:r>
      <w:r>
        <w:rPr>
          <w:rFonts w:hint="eastAsia" w:ascii="宋体" w:hAnsi="宋体" w:cs="宋体"/>
          <w:color w:val="auto"/>
          <w:sz w:val="24"/>
          <w:highlight w:val="none"/>
          <w:u w:val="single"/>
        </w:rPr>
        <w:t>总监理工程师（可委托）</w:t>
      </w:r>
      <w:r>
        <w:rPr>
          <w:rFonts w:hint="eastAsia" w:ascii="宋体" w:hAnsi="宋体" w:cs="宋体"/>
          <w:color w:val="auto"/>
          <w:sz w:val="24"/>
          <w:highlight w:val="none"/>
        </w:rPr>
        <w:t>。</w:t>
      </w:r>
    </w:p>
    <w:p w14:paraId="342ADAC3">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1.10 交通运输</w:t>
      </w:r>
    </w:p>
    <w:p w14:paraId="389C5312">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bookmarkStart w:id="110" w:name="_Toc318581155"/>
      <w:bookmarkStart w:id="111" w:name="_Toc303539100"/>
      <w:bookmarkStart w:id="112" w:name="_Toc300934943"/>
      <w:bookmarkStart w:id="113" w:name="_Toc304295521"/>
      <w:bookmarkStart w:id="114" w:name="_Toc312677986"/>
      <w:r>
        <w:rPr>
          <w:rFonts w:hint="eastAsia" w:ascii="宋体" w:hAnsi="宋体" w:cs="宋体"/>
          <w:color w:val="auto"/>
          <w:sz w:val="24"/>
          <w:highlight w:val="none"/>
        </w:rPr>
        <w:t>.10.1 出入现场的权利</w:t>
      </w:r>
    </w:p>
    <w:p w14:paraId="29F5EE3D">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关于出入现场的权利的约定：</w:t>
      </w:r>
      <w:r>
        <w:rPr>
          <w:rFonts w:hint="eastAsia" w:ascii="宋体" w:hAnsi="宋体" w:cs="宋体"/>
          <w:color w:val="auto"/>
          <w:sz w:val="24"/>
          <w:highlight w:val="none"/>
          <w:u w:val="single"/>
        </w:rPr>
        <w:t>发包方管理人员、监理方管理人员可自由出入，但不得影响承包方的正常施工</w:t>
      </w:r>
      <w:r>
        <w:rPr>
          <w:rFonts w:hint="eastAsia" w:ascii="宋体" w:hAnsi="宋体" w:cs="宋体"/>
          <w:color w:val="auto"/>
          <w:sz w:val="24"/>
          <w:highlight w:val="none"/>
        </w:rPr>
        <w:t>。</w:t>
      </w:r>
    </w:p>
    <w:bookmarkEnd w:id="110"/>
    <w:bookmarkEnd w:id="111"/>
    <w:bookmarkEnd w:id="112"/>
    <w:bookmarkEnd w:id="113"/>
    <w:bookmarkEnd w:id="114"/>
    <w:p w14:paraId="2827D5D1">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bookmarkStart w:id="115" w:name="_Toc312677987"/>
      <w:bookmarkStart w:id="116" w:name="_Toc303539101"/>
      <w:bookmarkStart w:id="117" w:name="_Toc318581156"/>
      <w:bookmarkStart w:id="118" w:name="_Toc300934944"/>
      <w:bookmarkStart w:id="119" w:name="_Toc304295522"/>
      <w:r>
        <w:rPr>
          <w:rFonts w:hint="eastAsia" w:ascii="宋体" w:hAnsi="宋体" w:cs="宋体"/>
          <w:color w:val="auto"/>
          <w:sz w:val="24"/>
          <w:highlight w:val="none"/>
        </w:rPr>
        <w:t>.10.3 场内交通</w:t>
      </w:r>
    </w:p>
    <w:p w14:paraId="3CAC5EFB">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关于场外交通和场内交通的边界的约定：</w:t>
      </w:r>
      <w:r>
        <w:rPr>
          <w:rFonts w:hint="eastAsia" w:ascii="宋体" w:hAnsi="宋体" w:cs="宋体"/>
          <w:color w:val="auto"/>
          <w:sz w:val="24"/>
          <w:highlight w:val="none"/>
          <w:u w:val="single"/>
        </w:rPr>
        <w:t>发包方、承包方和监理方现场确定</w:t>
      </w:r>
      <w:r>
        <w:rPr>
          <w:rFonts w:hint="eastAsia" w:ascii="宋体" w:hAnsi="宋体" w:cs="宋体"/>
          <w:color w:val="auto"/>
          <w:sz w:val="24"/>
          <w:highlight w:val="none"/>
        </w:rPr>
        <w:t>。</w:t>
      </w:r>
    </w:p>
    <w:p w14:paraId="1B393715">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关于发包人向承包人免费提供满足工程施工需要的场内道路和交通设施的约定：</w:t>
      </w:r>
      <w:r>
        <w:rPr>
          <w:rFonts w:hint="eastAsia" w:ascii="宋体" w:hAnsi="宋体" w:cs="宋体"/>
          <w:color w:val="auto"/>
          <w:sz w:val="24"/>
          <w:highlight w:val="none"/>
          <w:u w:val="single"/>
        </w:rPr>
        <w:t>发包方、承包方和监理方现场确定</w:t>
      </w:r>
      <w:r>
        <w:rPr>
          <w:rFonts w:hint="eastAsia" w:ascii="宋体" w:hAnsi="宋体" w:cs="宋体"/>
          <w:color w:val="auto"/>
          <w:sz w:val="24"/>
          <w:highlight w:val="none"/>
        </w:rPr>
        <w:t xml:space="preserve">。 </w:t>
      </w:r>
      <w:bookmarkEnd w:id="115"/>
      <w:bookmarkEnd w:id="116"/>
      <w:bookmarkEnd w:id="117"/>
      <w:bookmarkEnd w:id="118"/>
      <w:bookmarkEnd w:id="119"/>
      <w:bookmarkStart w:id="120" w:name="_Toc318581157"/>
    </w:p>
    <w:p w14:paraId="455C1702">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1.10.4超大件和超重件的运输</w:t>
      </w:r>
    </w:p>
    <w:p w14:paraId="3B81ECC2">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运输超大件或超重件所需的道路和桥梁临时加固改造费用和其他有关费用由</w:t>
      </w:r>
      <w:r>
        <w:rPr>
          <w:rFonts w:hint="eastAsia" w:ascii="宋体" w:hAnsi="宋体" w:cs="宋体"/>
          <w:color w:val="auto"/>
          <w:sz w:val="24"/>
          <w:highlight w:val="none"/>
          <w:u w:val="single"/>
        </w:rPr>
        <w:t>承包人</w:t>
      </w:r>
      <w:r>
        <w:rPr>
          <w:rFonts w:hint="eastAsia" w:ascii="宋体" w:hAnsi="宋体" w:cs="宋体"/>
          <w:color w:val="auto"/>
          <w:sz w:val="24"/>
          <w:highlight w:val="none"/>
        </w:rPr>
        <w:t>承担。</w:t>
      </w:r>
    </w:p>
    <w:bookmarkEnd w:id="120"/>
    <w:p w14:paraId="698079F2">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1.11 知识产权</w:t>
      </w:r>
    </w:p>
    <w:p w14:paraId="4FD549A0">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color w:val="auto"/>
          <w:sz w:val="24"/>
          <w:highlight w:val="none"/>
          <w:u w:val="single"/>
        </w:rPr>
        <w:t>归发包人</w:t>
      </w:r>
      <w:r>
        <w:rPr>
          <w:rFonts w:hint="eastAsia" w:ascii="宋体" w:hAnsi="宋体" w:cs="宋体"/>
          <w:color w:val="auto"/>
          <w:sz w:val="24"/>
          <w:highlight w:val="none"/>
        </w:rPr>
        <w:t>。</w:t>
      </w:r>
    </w:p>
    <w:p w14:paraId="7C19B741">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关于发包人提供的上述文件的使用限制的要求：</w:t>
      </w:r>
      <w:r>
        <w:rPr>
          <w:rFonts w:hint="eastAsia" w:ascii="宋体" w:hAnsi="宋体" w:cs="宋体"/>
          <w:color w:val="auto"/>
          <w:sz w:val="24"/>
          <w:highlight w:val="none"/>
          <w:u w:val="single"/>
        </w:rPr>
        <w:t>未经发包人同意，承包人不得用于本工程以外的其他工程</w:t>
      </w:r>
      <w:r>
        <w:rPr>
          <w:rFonts w:hint="eastAsia" w:ascii="宋体" w:hAnsi="宋体" w:cs="宋体"/>
          <w:color w:val="auto"/>
          <w:sz w:val="24"/>
          <w:highlight w:val="none"/>
        </w:rPr>
        <w:t>。</w:t>
      </w:r>
    </w:p>
    <w:p w14:paraId="51199233">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1.11.2 关于承包人为实施工程所编制文件的著作权的归属：</w:t>
      </w:r>
      <w:r>
        <w:rPr>
          <w:rFonts w:hint="eastAsia" w:ascii="宋体" w:hAnsi="宋体" w:cs="宋体"/>
          <w:color w:val="auto"/>
          <w:sz w:val="24"/>
          <w:highlight w:val="none"/>
          <w:u w:val="single"/>
        </w:rPr>
        <w:t>归属承包人</w:t>
      </w:r>
      <w:r>
        <w:rPr>
          <w:rFonts w:hint="eastAsia" w:ascii="宋体" w:hAnsi="宋体" w:cs="宋体"/>
          <w:color w:val="auto"/>
          <w:sz w:val="24"/>
          <w:highlight w:val="none"/>
        </w:rPr>
        <w:t>。</w:t>
      </w:r>
    </w:p>
    <w:p w14:paraId="520C0748">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关于承包人提供的上述文件的使用限制的要求：未经承包人同意，不得用于除本工程以外的其他工程。发包人可无偿永久使用承包人文件用于本项目运维及改扩建。</w:t>
      </w:r>
    </w:p>
    <w:p w14:paraId="393EE4F9">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1.11.3 承包人在施工过程中所采用的专利、专有技术、技术秘密的使用费的承担方式：</w:t>
      </w:r>
      <w:r>
        <w:rPr>
          <w:rFonts w:hint="eastAsia" w:ascii="宋体" w:hAnsi="宋体" w:cs="宋体"/>
          <w:color w:val="auto"/>
          <w:sz w:val="24"/>
          <w:highlight w:val="none"/>
          <w:u w:val="single"/>
        </w:rPr>
        <w:t>由承包方承担</w:t>
      </w:r>
      <w:r>
        <w:rPr>
          <w:rFonts w:hint="eastAsia" w:ascii="宋体" w:hAnsi="宋体" w:cs="宋体"/>
          <w:color w:val="auto"/>
          <w:sz w:val="24"/>
          <w:highlight w:val="none"/>
        </w:rPr>
        <w:t>。</w:t>
      </w:r>
    </w:p>
    <w:p w14:paraId="6223E93D">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1.12工程量清单错误的修正</w:t>
      </w:r>
    </w:p>
    <w:p w14:paraId="2C24BF82">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出现工程量清单错误时，是否调整合同价格：是。</w:t>
      </w:r>
    </w:p>
    <w:p w14:paraId="780532D7">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允许调整合同价格的工程量偏差范围：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F39B041">
      <w:pPr>
        <w:spacing w:line="400" w:lineRule="exact"/>
        <w:ind w:firstLine="482" w:firstLineChars="200"/>
        <w:rPr>
          <w:rFonts w:ascii="宋体" w:hAnsi="宋体" w:cs="宋体"/>
          <w:b/>
          <w:bCs/>
          <w:color w:val="auto"/>
          <w:sz w:val="24"/>
          <w:highlight w:val="none"/>
        </w:rPr>
      </w:pPr>
      <w:bookmarkStart w:id="121" w:name="_Toc351203634"/>
      <w:r>
        <w:rPr>
          <w:rFonts w:hint="eastAsia" w:ascii="宋体" w:hAnsi="宋体" w:cs="宋体"/>
          <w:b/>
          <w:bCs/>
          <w:color w:val="auto"/>
          <w:sz w:val="24"/>
          <w:highlight w:val="none"/>
        </w:rPr>
        <w:t>2</w:t>
      </w:r>
      <w:bookmarkStart w:id="122" w:name="_Toc296891197"/>
      <w:bookmarkStart w:id="123" w:name="_Toc296347156"/>
      <w:bookmarkStart w:id="124" w:name="_Toc292559362"/>
      <w:bookmarkStart w:id="125" w:name="_Toc292559867"/>
      <w:bookmarkStart w:id="126" w:name="_Toc297120457"/>
      <w:bookmarkStart w:id="127" w:name="_Toc296944496"/>
      <w:bookmarkStart w:id="128" w:name="_Toc296503157"/>
      <w:bookmarkStart w:id="129" w:name="_Toc296346658"/>
      <w:bookmarkStart w:id="130" w:name="_Toc297048343"/>
      <w:bookmarkStart w:id="131" w:name="_Toc296890985"/>
      <w:r>
        <w:rPr>
          <w:rFonts w:hint="eastAsia" w:ascii="宋体" w:hAnsi="宋体" w:cs="宋体"/>
          <w:b/>
          <w:bCs/>
          <w:color w:val="auto"/>
          <w:sz w:val="24"/>
          <w:highlight w:val="none"/>
        </w:rPr>
        <w:t>.发包人</w:t>
      </w:r>
      <w:bookmarkEnd w:id="121"/>
    </w:p>
    <w:bookmarkEnd w:id="122"/>
    <w:bookmarkEnd w:id="123"/>
    <w:bookmarkEnd w:id="124"/>
    <w:bookmarkEnd w:id="125"/>
    <w:bookmarkEnd w:id="126"/>
    <w:bookmarkEnd w:id="127"/>
    <w:bookmarkEnd w:id="128"/>
    <w:bookmarkEnd w:id="129"/>
    <w:bookmarkEnd w:id="130"/>
    <w:bookmarkEnd w:id="131"/>
    <w:p w14:paraId="1DA67B61">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2.2 发包人代表</w:t>
      </w:r>
    </w:p>
    <w:p w14:paraId="5B183FCF">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发包人代表：</w:t>
      </w:r>
    </w:p>
    <w:p w14:paraId="5BF8849A">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85D8DBE">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身份证号：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CCA9A4A">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D0A6692">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FF1B064">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电子信箱：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BCF6486">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通信地址：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91E31B4">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发包人对发包人代表的授权范围如下：</w:t>
      </w:r>
      <w:r>
        <w:rPr>
          <w:rFonts w:hint="eastAsia" w:ascii="宋体" w:hAnsi="宋体" w:cs="宋体"/>
          <w:color w:val="auto"/>
          <w:sz w:val="24"/>
          <w:highlight w:val="none"/>
          <w:u w:val="single"/>
        </w:rPr>
        <w:t>合同约定范围内的权利、义务（可授权代理人履行）</w:t>
      </w:r>
      <w:r>
        <w:rPr>
          <w:rFonts w:hint="eastAsia" w:ascii="宋体" w:hAnsi="宋体" w:cs="宋体"/>
          <w:color w:val="auto"/>
          <w:sz w:val="24"/>
          <w:highlight w:val="none"/>
        </w:rPr>
        <w:t>。</w:t>
      </w:r>
    </w:p>
    <w:p w14:paraId="42E58913">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2.4 施工现场、施工条件和基础资料的提供</w:t>
      </w:r>
    </w:p>
    <w:p w14:paraId="4E295223">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2.4.1 提供施工现场</w:t>
      </w:r>
    </w:p>
    <w:p w14:paraId="0554672D">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关于发包人移交施工现场的期限要求：</w:t>
      </w:r>
      <w:r>
        <w:rPr>
          <w:rFonts w:hint="eastAsia" w:ascii="宋体" w:hAnsi="宋体" w:cs="宋体"/>
          <w:color w:val="auto"/>
          <w:sz w:val="24"/>
          <w:highlight w:val="none"/>
          <w:u w:val="single"/>
        </w:rPr>
        <w:t>开工前7天内</w:t>
      </w:r>
      <w:r>
        <w:rPr>
          <w:rFonts w:hint="eastAsia" w:ascii="宋体" w:hAnsi="宋体" w:cs="宋体"/>
          <w:color w:val="auto"/>
          <w:sz w:val="24"/>
          <w:highlight w:val="none"/>
        </w:rPr>
        <w:t>。</w:t>
      </w:r>
    </w:p>
    <w:p w14:paraId="231D44B1">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2.4.2 提供施工条件</w:t>
      </w:r>
    </w:p>
    <w:p w14:paraId="08E62796">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关于发包人应负责提供施工所需要的条件，包括：</w:t>
      </w:r>
      <w:r>
        <w:rPr>
          <w:rFonts w:hint="eastAsia" w:ascii="宋体" w:hAnsi="宋体" w:cs="宋体"/>
          <w:color w:val="auto"/>
          <w:sz w:val="24"/>
          <w:highlight w:val="none"/>
          <w:u w:val="single"/>
        </w:rPr>
        <w:t>由发包人负责提供铁件辅助材料及水或电</w:t>
      </w:r>
      <w:r>
        <w:rPr>
          <w:rFonts w:hint="eastAsia" w:ascii="宋体" w:hAnsi="宋体" w:cs="宋体"/>
          <w:color w:val="auto"/>
          <w:sz w:val="24"/>
          <w:highlight w:val="none"/>
        </w:rPr>
        <w:t>。</w:t>
      </w:r>
    </w:p>
    <w:p w14:paraId="3DEF2C50">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2.5 资金来源证明及支付担保</w:t>
      </w:r>
    </w:p>
    <w:p w14:paraId="05C32E3B">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发包人提供资金来源证明的期限要求：</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2B6DF8F">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发包人是否提供支付担保：</w:t>
      </w:r>
      <w:r>
        <w:rPr>
          <w:rFonts w:hint="eastAsia" w:ascii="宋体" w:hAnsi="宋体" w:cs="宋体"/>
          <w:color w:val="auto"/>
          <w:sz w:val="24"/>
          <w:highlight w:val="none"/>
          <w:u w:val="single"/>
        </w:rPr>
        <w:t xml:space="preserve">   否   </w:t>
      </w:r>
      <w:r>
        <w:rPr>
          <w:rFonts w:hint="eastAsia" w:ascii="宋体" w:hAnsi="宋体" w:cs="宋体"/>
          <w:color w:val="auto"/>
          <w:sz w:val="24"/>
          <w:highlight w:val="none"/>
        </w:rPr>
        <w:t>。</w:t>
      </w:r>
    </w:p>
    <w:p w14:paraId="6D4E402F">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发包人提供支付担保的形式：</w:t>
      </w:r>
      <w:r>
        <w:rPr>
          <w:rFonts w:hint="eastAsia" w:ascii="宋体" w:hAnsi="宋体" w:cs="宋体"/>
          <w:color w:val="auto"/>
          <w:sz w:val="24"/>
          <w:highlight w:val="none"/>
          <w:u w:val="single"/>
        </w:rPr>
        <w:t xml:space="preserve">   否   </w:t>
      </w:r>
      <w:r>
        <w:rPr>
          <w:rFonts w:hint="eastAsia" w:ascii="宋体" w:hAnsi="宋体" w:cs="宋体"/>
          <w:color w:val="auto"/>
          <w:sz w:val="24"/>
          <w:highlight w:val="none"/>
        </w:rPr>
        <w:t>。</w:t>
      </w:r>
    </w:p>
    <w:p w14:paraId="3AF9BEF0">
      <w:pPr>
        <w:spacing w:line="400" w:lineRule="exact"/>
        <w:ind w:firstLine="482" w:firstLineChars="200"/>
        <w:rPr>
          <w:rFonts w:ascii="宋体" w:hAnsi="宋体" w:cs="宋体"/>
          <w:b/>
          <w:bCs/>
          <w:color w:val="auto"/>
          <w:sz w:val="24"/>
          <w:highlight w:val="none"/>
        </w:rPr>
      </w:pPr>
      <w:bookmarkStart w:id="132" w:name="_Toc351203635"/>
      <w:r>
        <w:rPr>
          <w:rFonts w:hint="eastAsia" w:ascii="宋体" w:hAnsi="宋体" w:cs="宋体"/>
          <w:b/>
          <w:bCs/>
          <w:color w:val="auto"/>
          <w:sz w:val="24"/>
          <w:highlight w:val="none"/>
        </w:rPr>
        <w:t>3</w:t>
      </w:r>
      <w:bookmarkStart w:id="133" w:name="_Toc296503158"/>
      <w:bookmarkStart w:id="134" w:name="_Toc296944497"/>
      <w:bookmarkStart w:id="135" w:name="_Toc296890986"/>
      <w:bookmarkStart w:id="136" w:name="_Toc297048344"/>
      <w:bookmarkStart w:id="137" w:name="_Toc296347157"/>
      <w:bookmarkStart w:id="138" w:name="_Toc292559868"/>
      <w:bookmarkStart w:id="139" w:name="_Toc296346659"/>
      <w:bookmarkStart w:id="140" w:name="_Toc292559363"/>
      <w:bookmarkStart w:id="141" w:name="_Toc296891198"/>
      <w:bookmarkStart w:id="142" w:name="_Toc297120458"/>
      <w:r>
        <w:rPr>
          <w:rFonts w:hint="eastAsia" w:ascii="宋体" w:hAnsi="宋体" w:cs="宋体"/>
          <w:b/>
          <w:bCs/>
          <w:color w:val="auto"/>
          <w:sz w:val="24"/>
          <w:highlight w:val="none"/>
        </w:rPr>
        <w:t>.承包人</w:t>
      </w:r>
      <w:bookmarkEnd w:id="132"/>
    </w:p>
    <w:bookmarkEnd w:id="133"/>
    <w:bookmarkEnd w:id="134"/>
    <w:bookmarkEnd w:id="135"/>
    <w:bookmarkEnd w:id="136"/>
    <w:bookmarkEnd w:id="137"/>
    <w:bookmarkEnd w:id="138"/>
    <w:bookmarkEnd w:id="139"/>
    <w:bookmarkEnd w:id="140"/>
    <w:bookmarkEnd w:id="141"/>
    <w:bookmarkEnd w:id="142"/>
    <w:p w14:paraId="6D1E1E91">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3.1 承包人的一般义务</w:t>
      </w:r>
    </w:p>
    <w:p w14:paraId="16969BC8">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（5）承包人提交的竣工资料的内容：</w:t>
      </w:r>
      <w:r>
        <w:rPr>
          <w:rFonts w:hint="eastAsia" w:ascii="宋体" w:hAnsi="宋体" w:cs="宋体"/>
          <w:color w:val="auto"/>
          <w:sz w:val="24"/>
          <w:highlight w:val="none"/>
          <w:u w:val="single"/>
        </w:rPr>
        <w:t>符合竣工验收要求的竣工图、施工管理资料、施工技术资料及国家、地方规定的其他资料</w:t>
      </w:r>
      <w:r>
        <w:rPr>
          <w:rFonts w:hint="eastAsia" w:ascii="宋体" w:hAnsi="宋体" w:cs="宋体"/>
          <w:color w:val="auto"/>
          <w:sz w:val="24"/>
          <w:highlight w:val="none"/>
        </w:rPr>
        <w:t>。</w:t>
      </w:r>
    </w:p>
    <w:p w14:paraId="02823A0A">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承包人需要提交的竣工资料套数：</w:t>
      </w:r>
      <w:r>
        <w:rPr>
          <w:rFonts w:hint="eastAsia" w:ascii="宋体" w:hAnsi="宋体" w:cs="宋体"/>
          <w:color w:val="auto"/>
          <w:sz w:val="24"/>
          <w:highlight w:val="none"/>
          <w:u w:val="single"/>
        </w:rPr>
        <w:t>按发包人要求提供</w:t>
      </w:r>
      <w:r>
        <w:rPr>
          <w:rFonts w:hint="eastAsia" w:ascii="宋体" w:hAnsi="宋体" w:cs="宋体"/>
          <w:color w:val="auto"/>
          <w:sz w:val="24"/>
          <w:highlight w:val="none"/>
        </w:rPr>
        <w:t>。</w:t>
      </w:r>
    </w:p>
    <w:p w14:paraId="4ECF4C45">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承包人提交的竣工资料的费用承担：</w:t>
      </w:r>
      <w:r>
        <w:rPr>
          <w:rFonts w:hint="eastAsia" w:ascii="宋体" w:hAnsi="宋体" w:cs="宋体"/>
          <w:color w:val="auto"/>
          <w:sz w:val="24"/>
          <w:highlight w:val="none"/>
          <w:u w:val="single"/>
        </w:rPr>
        <w:t>承包人承担</w:t>
      </w:r>
      <w:r>
        <w:rPr>
          <w:rFonts w:hint="eastAsia" w:ascii="宋体" w:hAnsi="宋体" w:cs="宋体"/>
          <w:color w:val="auto"/>
          <w:sz w:val="24"/>
          <w:highlight w:val="none"/>
        </w:rPr>
        <w:t>。</w:t>
      </w:r>
    </w:p>
    <w:p w14:paraId="321873EC">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承包人提交的竣工资料移交时间：</w:t>
      </w:r>
      <w:r>
        <w:rPr>
          <w:rFonts w:hint="eastAsia" w:ascii="宋体" w:hAnsi="宋体" w:cs="宋体"/>
          <w:color w:val="auto"/>
          <w:sz w:val="24"/>
          <w:highlight w:val="none"/>
          <w:u w:val="single"/>
        </w:rPr>
        <w:t>竣工验收前7天内</w:t>
      </w:r>
      <w:r>
        <w:rPr>
          <w:rFonts w:hint="eastAsia" w:ascii="宋体" w:hAnsi="宋体" w:cs="宋体"/>
          <w:color w:val="auto"/>
          <w:sz w:val="24"/>
          <w:highlight w:val="none"/>
        </w:rPr>
        <w:t>。</w:t>
      </w:r>
    </w:p>
    <w:p w14:paraId="4069AF05">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承包人提交的竣工资料形式要求：</w:t>
      </w:r>
      <w:r>
        <w:rPr>
          <w:rFonts w:hint="eastAsia" w:ascii="宋体" w:hAnsi="宋体" w:cs="宋体"/>
          <w:color w:val="auto"/>
          <w:sz w:val="24"/>
          <w:highlight w:val="none"/>
          <w:u w:val="single"/>
        </w:rPr>
        <w:t>纸质资料，同时竣工图提供电子版</w:t>
      </w:r>
      <w:r>
        <w:rPr>
          <w:rFonts w:hint="eastAsia" w:ascii="宋体" w:hAnsi="宋体" w:cs="宋体"/>
          <w:color w:val="auto"/>
          <w:sz w:val="24"/>
          <w:highlight w:val="none"/>
        </w:rPr>
        <w:t>。</w:t>
      </w:r>
    </w:p>
    <w:p w14:paraId="1DB51004">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（6）承包人应履行的其他义务</w:t>
      </w:r>
      <w:r>
        <w:rPr>
          <w:rFonts w:hint="eastAsia" w:ascii="宋体" w:hAnsi="宋体" w:cs="宋体"/>
          <w:color w:val="auto"/>
          <w:sz w:val="24"/>
          <w:highlight w:val="none"/>
          <w:u w:val="single"/>
        </w:rPr>
        <w:t>协助发包人做好施工所需的条件、报监报建手续及其他政府部门需要的报批手续，告知义务</w:t>
      </w:r>
      <w:r>
        <w:rPr>
          <w:rFonts w:hint="eastAsia" w:ascii="宋体" w:hAnsi="宋体" w:cs="宋体"/>
          <w:color w:val="auto"/>
          <w:sz w:val="24"/>
          <w:highlight w:val="none"/>
        </w:rPr>
        <w:t>。</w:t>
      </w:r>
    </w:p>
    <w:p w14:paraId="3C5686E8">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3.2 项目经理</w:t>
      </w:r>
    </w:p>
    <w:p w14:paraId="4A9D1B9B">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3.2.1 项目经理：</w:t>
      </w:r>
    </w:p>
    <w:p w14:paraId="014C13FE">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41CB8A7">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身份证号：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8E3890F">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建造师执业资格等级：</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B79CE97">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建造师注册证书号：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A5ACB5E">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建造师执业印章号：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BB636D0">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安全生产考核合格证书号：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80B1776">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974C1D2">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电子信箱：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C7AF81F">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通信地址：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FB1716F">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承包人对项目经理的授权范围如下</w:t>
      </w:r>
      <w:r>
        <w:rPr>
          <w:rFonts w:hint="eastAsia" w:ascii="宋体" w:hAnsi="宋体" w:cs="宋体"/>
          <w:color w:val="auto"/>
          <w:sz w:val="24"/>
          <w:highlight w:val="none"/>
          <w:u w:val="single"/>
        </w:rPr>
        <w:t>合同约定范围的权利、义务</w:t>
      </w:r>
      <w:r>
        <w:rPr>
          <w:rFonts w:hint="eastAsia" w:ascii="宋体" w:hAnsi="宋体" w:cs="宋体"/>
          <w:color w:val="auto"/>
          <w:sz w:val="24"/>
          <w:highlight w:val="none"/>
        </w:rPr>
        <w:t>。</w:t>
      </w:r>
    </w:p>
    <w:p w14:paraId="24EEB10D">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关于项目经理每月在施工现场的时间要求：项目经理每月驻场不少于22个工作日，关键部位施工需全程在场，以及分部分项验收、隐蔽工程验收必须在现场。</w:t>
      </w:r>
    </w:p>
    <w:p w14:paraId="6FF5D917">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承包人未提交劳动合同，以及没有为项目经理缴纳社会保险证明的违约责任：</w:t>
      </w:r>
      <w:r>
        <w:rPr>
          <w:rFonts w:hint="eastAsia" w:ascii="宋体" w:hAnsi="宋体" w:cs="宋体"/>
          <w:color w:val="auto"/>
          <w:sz w:val="24"/>
          <w:highlight w:val="none"/>
          <w:u w:val="single"/>
        </w:rPr>
        <w:t>由此而影响到项目报建报监手续办理、被主管部门处罚停工、民工上访等造成的经济损失，由承包人赔偿</w:t>
      </w:r>
      <w:r>
        <w:rPr>
          <w:rFonts w:hint="eastAsia" w:ascii="宋体" w:hAnsi="宋体" w:cs="宋体"/>
          <w:color w:val="auto"/>
          <w:sz w:val="24"/>
          <w:highlight w:val="none"/>
        </w:rPr>
        <w:t>。</w:t>
      </w:r>
    </w:p>
    <w:p w14:paraId="1D872089">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项目经理未经批准，擅自离开施工现场的违约责任：</w:t>
      </w:r>
      <w:r>
        <w:rPr>
          <w:rFonts w:hint="eastAsia" w:ascii="宋体" w:hAnsi="宋体" w:cs="宋体"/>
          <w:color w:val="auto"/>
          <w:sz w:val="24"/>
          <w:highlight w:val="none"/>
          <w:u w:val="single"/>
        </w:rPr>
        <w:t>未经发包人同意或正当理由，项目经理擅自离岗的，视为承包人违约，承包人应支付处违约金1000元(人民币)/人•次</w:t>
      </w:r>
      <w:r>
        <w:rPr>
          <w:rFonts w:hint="eastAsia" w:ascii="宋体" w:hAnsi="宋体" w:cs="宋体"/>
          <w:color w:val="auto"/>
          <w:sz w:val="24"/>
          <w:highlight w:val="none"/>
        </w:rPr>
        <w:t>。</w:t>
      </w:r>
    </w:p>
    <w:p w14:paraId="5AD399E1">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3.2.3 承包人擅自更换项目经理的违约责任：</w:t>
      </w:r>
      <w:r>
        <w:rPr>
          <w:rFonts w:hint="eastAsia" w:ascii="宋体" w:hAnsi="宋体" w:cs="宋体"/>
          <w:color w:val="auto"/>
          <w:sz w:val="24"/>
          <w:highlight w:val="none"/>
          <w:u w:val="single"/>
        </w:rPr>
        <w:t>承包人施工现场项目经理必须与承包人投标时所承诺的人员必须一致，并在（开工日期）前到任。在监理人向承包人颁发（竣工证明材料名称）前，项目经理不得同时兼任其他任何项目（符合桂建管﹝2013﹞17号和桂建管﹝2014﹞25号文除外）。承包人擅自更换项目经理的视为违约，违约金处1000元(人民币)/人•次</w:t>
      </w:r>
      <w:r>
        <w:rPr>
          <w:rFonts w:hint="eastAsia" w:ascii="宋体" w:hAnsi="宋体" w:cs="宋体"/>
          <w:color w:val="auto"/>
          <w:sz w:val="24"/>
          <w:highlight w:val="none"/>
        </w:rPr>
        <w:t>。</w:t>
      </w:r>
    </w:p>
    <w:p w14:paraId="113BD037">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3.2.4 承包人无正当理由拒绝更换项目经理的违约责任</w:t>
      </w:r>
      <w:r>
        <w:rPr>
          <w:rFonts w:hint="eastAsia" w:ascii="宋体" w:hAnsi="宋体" w:cs="宋体"/>
          <w:color w:val="auto"/>
          <w:sz w:val="24"/>
          <w:highlight w:val="none"/>
          <w:u w:val="single"/>
        </w:rPr>
        <w:t>包人项目经理因不称职，发包人要求调换而未及时调换的，视为承包人违约，必须向发包人支付违约金1000元(人民币)/人•次</w:t>
      </w:r>
      <w:r>
        <w:rPr>
          <w:rFonts w:hint="eastAsia" w:ascii="宋体" w:hAnsi="宋体" w:cs="宋体"/>
          <w:color w:val="auto"/>
          <w:sz w:val="24"/>
          <w:highlight w:val="none"/>
        </w:rPr>
        <w:t>。</w:t>
      </w:r>
    </w:p>
    <w:p w14:paraId="3FF04E40">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3.3 承包人人员</w:t>
      </w:r>
    </w:p>
    <w:p w14:paraId="3B508A5D">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3.3.1 承包人提交项目管理机构及施工现场管理人员安排报告的期限</w:t>
      </w:r>
      <w:r>
        <w:rPr>
          <w:rFonts w:hint="eastAsia" w:ascii="宋体" w:hAnsi="宋体" w:cs="宋体"/>
          <w:color w:val="auto"/>
          <w:sz w:val="24"/>
          <w:highlight w:val="none"/>
          <w:u w:val="single"/>
        </w:rPr>
        <w:t>开工前7天内</w:t>
      </w:r>
      <w:r>
        <w:rPr>
          <w:rFonts w:hint="eastAsia" w:ascii="宋体" w:hAnsi="宋体" w:cs="宋体"/>
          <w:color w:val="auto"/>
          <w:sz w:val="24"/>
          <w:highlight w:val="none"/>
        </w:rPr>
        <w:t>。</w:t>
      </w:r>
    </w:p>
    <w:p w14:paraId="72F80B3C">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3.3.3 承包人无正当理由拒绝撤换主要施工管理人员的违约责任：</w:t>
      </w:r>
      <w:r>
        <w:rPr>
          <w:rFonts w:hint="eastAsia" w:ascii="宋体" w:hAnsi="宋体" w:cs="宋体"/>
          <w:color w:val="auto"/>
          <w:sz w:val="24"/>
          <w:highlight w:val="none"/>
          <w:u w:val="single"/>
        </w:rPr>
        <w:t>承包人主要施工管理人员因不称职，发包人要求调换而无正当理由拒绝撤换或未及时调换的，视为承包人违约，必须向发包人交纳违约金，处罚标准：技术负责人1000元(人民币)/人•次；专业工程师2000元(人民币)/人•次</w:t>
      </w:r>
      <w:r>
        <w:rPr>
          <w:rFonts w:hint="eastAsia" w:ascii="宋体" w:hAnsi="宋体" w:cs="宋体"/>
          <w:color w:val="auto"/>
          <w:sz w:val="24"/>
          <w:highlight w:val="none"/>
        </w:rPr>
        <w:t>。</w:t>
      </w:r>
    </w:p>
    <w:p w14:paraId="3FB0D9CE">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3.3.4 承包人主要施工管理人员离开施工现场的批准要求</w:t>
      </w:r>
      <w:r>
        <w:rPr>
          <w:rFonts w:hint="eastAsia" w:ascii="宋体" w:hAnsi="宋体" w:cs="宋体"/>
          <w:color w:val="auto"/>
          <w:sz w:val="24"/>
          <w:highlight w:val="none"/>
          <w:u w:val="single"/>
        </w:rPr>
        <w:t xml:space="preserve">每人每天扣减工程款1000元，此款从承包人应得工程款扣除   </w:t>
      </w:r>
      <w:r>
        <w:rPr>
          <w:rFonts w:hint="eastAsia" w:ascii="宋体" w:hAnsi="宋体" w:cs="宋体"/>
          <w:color w:val="auto"/>
          <w:sz w:val="24"/>
          <w:highlight w:val="none"/>
        </w:rPr>
        <w:t>。</w:t>
      </w:r>
    </w:p>
    <w:p w14:paraId="5E025FEC">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3.3.5承包人擅自更换主要施工管理人员的违约责任</w:t>
      </w:r>
      <w:r>
        <w:rPr>
          <w:rFonts w:hint="eastAsia" w:ascii="宋体" w:hAnsi="宋体" w:cs="宋体"/>
          <w:color w:val="auto"/>
          <w:sz w:val="24"/>
          <w:highlight w:val="none"/>
          <w:u w:val="single"/>
        </w:rPr>
        <w:t>技术负责人、专业工程师未经发包人书面同意不准擅自更换，擅自更换技术负责人处1000元(人民币)/人•次违约金；擅自更换专业工程师处2000元(人民币)/人•次违约金</w:t>
      </w:r>
      <w:r>
        <w:rPr>
          <w:rFonts w:hint="eastAsia" w:ascii="宋体" w:hAnsi="宋体" w:cs="宋体"/>
          <w:color w:val="auto"/>
          <w:sz w:val="24"/>
          <w:highlight w:val="none"/>
        </w:rPr>
        <w:t>。</w:t>
      </w:r>
    </w:p>
    <w:p w14:paraId="25A3E1DF">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承包人主要施工管理人员擅自离开施工现场的违约责任：</w:t>
      </w:r>
      <w:r>
        <w:rPr>
          <w:rFonts w:hint="eastAsia" w:ascii="宋体" w:hAnsi="宋体" w:cs="宋体"/>
          <w:color w:val="auto"/>
          <w:sz w:val="24"/>
          <w:highlight w:val="none"/>
          <w:u w:val="single"/>
        </w:rPr>
        <w:t>未经发包人同意，技术负责人擅自离岗的，视为承包人违约，承包人支付违约金2000元(人民币)/人•次；未经发包人同意，专业工程师擅自离岗的，视为承包人违约，承包人支付违约金1000元(人民币)/人•次</w:t>
      </w:r>
      <w:r>
        <w:rPr>
          <w:rFonts w:hint="eastAsia" w:ascii="宋体" w:hAnsi="宋体" w:cs="宋体"/>
          <w:color w:val="auto"/>
          <w:sz w:val="24"/>
          <w:highlight w:val="none"/>
        </w:rPr>
        <w:t>。</w:t>
      </w:r>
    </w:p>
    <w:p w14:paraId="632EBCA5">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w:t>
      </w:r>
      <w:bookmarkStart w:id="143" w:name="_Toc300934945"/>
      <w:bookmarkStart w:id="144" w:name="_Toc303539102"/>
      <w:bookmarkStart w:id="145" w:name="_Toc297216151"/>
      <w:bookmarkStart w:id="146" w:name="_Toc296346660"/>
      <w:bookmarkStart w:id="147" w:name="_Toc304295523"/>
      <w:bookmarkStart w:id="148" w:name="_Toc296891199"/>
      <w:bookmarkStart w:id="149" w:name="_Toc292559364"/>
      <w:bookmarkStart w:id="150" w:name="_Toc296944498"/>
      <w:bookmarkStart w:id="151" w:name="_Toc297123492"/>
      <w:bookmarkStart w:id="152" w:name="_Toc296347158"/>
      <w:bookmarkStart w:id="153" w:name="_Toc292559869"/>
      <w:bookmarkStart w:id="154" w:name="_Toc297048345"/>
      <w:bookmarkStart w:id="155" w:name="_Toc296890987"/>
      <w:bookmarkStart w:id="156" w:name="_Toc312677988"/>
      <w:bookmarkStart w:id="157" w:name="_Toc296503159"/>
      <w:bookmarkStart w:id="158" w:name="_Toc297120459"/>
      <w:r>
        <w:rPr>
          <w:rFonts w:hint="eastAsia" w:ascii="宋体" w:hAnsi="宋体" w:cs="宋体"/>
          <w:color w:val="auto"/>
          <w:sz w:val="24"/>
          <w:highlight w:val="none"/>
        </w:rPr>
        <w:t>.5 分包</w:t>
      </w:r>
    </w:p>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14:paraId="368880A8">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w:t>
      </w:r>
      <w:bookmarkStart w:id="159" w:name="_Toc296347159"/>
      <w:bookmarkStart w:id="160" w:name="_Toc297120460"/>
      <w:bookmarkStart w:id="161" w:name="_Toc297048346"/>
      <w:bookmarkStart w:id="162" w:name="_Toc296503160"/>
      <w:bookmarkStart w:id="163" w:name="_Toc303539103"/>
      <w:bookmarkStart w:id="164" w:name="_Toc300934946"/>
      <w:bookmarkStart w:id="165" w:name="_Toc296346661"/>
      <w:bookmarkStart w:id="166" w:name="_Toc297216152"/>
      <w:bookmarkStart w:id="167" w:name="_Toc292559365"/>
      <w:bookmarkStart w:id="168" w:name="_Toc296944499"/>
      <w:bookmarkStart w:id="169" w:name="_Toc292559870"/>
      <w:bookmarkStart w:id="170" w:name="_Toc296891200"/>
      <w:bookmarkStart w:id="171" w:name="_Toc304295524"/>
      <w:bookmarkStart w:id="172" w:name="_Toc297123493"/>
      <w:bookmarkStart w:id="173" w:name="_Toc296890988"/>
      <w:bookmarkStart w:id="174" w:name="_Toc318581158"/>
      <w:bookmarkStart w:id="175" w:name="_Toc312677989"/>
      <w:r>
        <w:rPr>
          <w:rFonts w:hint="eastAsia" w:ascii="宋体" w:hAnsi="宋体" w:cs="宋体"/>
          <w:color w:val="auto"/>
          <w:sz w:val="24"/>
          <w:highlight w:val="none"/>
        </w:rPr>
        <w:t>.5.1 分包的一般约定</w:t>
      </w:r>
    </w:p>
    <w:p w14:paraId="1635040F">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禁止分包的工程包括：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5322851">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主体结构、关键性工作的范围：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Start w:id="176" w:name="_Toc297048347"/>
      <w:bookmarkStart w:id="177" w:name="_Toc297123494"/>
      <w:bookmarkStart w:id="178" w:name="_Toc304295525"/>
      <w:bookmarkStart w:id="179" w:name="_Toc296891201"/>
      <w:bookmarkStart w:id="180" w:name="_Toc296347160"/>
      <w:bookmarkStart w:id="181" w:name="_Toc303539104"/>
      <w:bookmarkStart w:id="182" w:name="_Toc300934947"/>
      <w:bookmarkStart w:id="183" w:name="_Toc296346662"/>
      <w:bookmarkStart w:id="184" w:name="_Toc297120461"/>
      <w:bookmarkStart w:id="185" w:name="_Toc296890989"/>
      <w:bookmarkStart w:id="186" w:name="_Toc296944500"/>
      <w:bookmarkStart w:id="187" w:name="_Toc297216153"/>
      <w:bookmarkStart w:id="188" w:name="_Toc296503161"/>
    </w:p>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14:paraId="1D4069E0">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w:t>
      </w:r>
      <w:bookmarkStart w:id="189" w:name="_Toc312677990"/>
      <w:bookmarkStart w:id="190" w:name="_Toc318581159"/>
      <w:r>
        <w:rPr>
          <w:rFonts w:hint="eastAsia" w:ascii="宋体" w:hAnsi="宋体" w:cs="宋体"/>
          <w:color w:val="auto"/>
          <w:sz w:val="24"/>
          <w:highlight w:val="none"/>
        </w:rPr>
        <w:t>.5.2分包的确定</w:t>
      </w:r>
    </w:p>
    <w:p w14:paraId="6D2B00AE">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允许分包的专业工程包括：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76C9EDA">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其他关于分包的约定：</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5023F61">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3.5.4 分包合同价款</w:t>
      </w:r>
    </w:p>
    <w:p w14:paraId="07AB1AE6">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关于分包合同价款支付的约定：</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bookmarkEnd w:id="189"/>
    <w:bookmarkEnd w:id="190"/>
    <w:p w14:paraId="12EA74F9">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3.6 工程照管与成品、半成品保护</w:t>
      </w:r>
    </w:p>
    <w:p w14:paraId="0C9B866E">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承包人负责照管工程及工程相关的材料、工程设备的起始时间：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482898A">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3.7 履约担保</w:t>
      </w:r>
    </w:p>
    <w:p w14:paraId="786C0FE0">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承包人是否提供履约担保：</w:t>
      </w:r>
      <w:r>
        <w:rPr>
          <w:rFonts w:hint="eastAsia" w:ascii="宋体" w:hAnsi="宋体" w:cs="宋体"/>
          <w:color w:val="auto"/>
          <w:sz w:val="24"/>
          <w:highlight w:val="none"/>
          <w:u w:val="single"/>
        </w:rPr>
        <w:t xml:space="preserve">    否    </w:t>
      </w:r>
      <w:r>
        <w:rPr>
          <w:rFonts w:hint="eastAsia" w:ascii="宋体" w:hAnsi="宋体" w:cs="宋体"/>
          <w:color w:val="auto"/>
          <w:sz w:val="24"/>
          <w:highlight w:val="none"/>
        </w:rPr>
        <w:t>。</w:t>
      </w:r>
    </w:p>
    <w:p w14:paraId="41D67023">
      <w:pPr>
        <w:spacing w:line="400" w:lineRule="exact"/>
        <w:ind w:firstLine="482" w:firstLineChars="200"/>
        <w:rPr>
          <w:rFonts w:ascii="宋体" w:hAnsi="宋体" w:cs="宋体"/>
          <w:b/>
          <w:bCs/>
          <w:color w:val="auto"/>
          <w:sz w:val="24"/>
          <w:highlight w:val="none"/>
        </w:rPr>
      </w:pPr>
      <w:bookmarkStart w:id="191" w:name="_Toc351203636"/>
      <w:r>
        <w:rPr>
          <w:rFonts w:hint="eastAsia" w:ascii="宋体" w:hAnsi="宋体" w:cs="宋体"/>
          <w:b/>
          <w:bCs/>
          <w:color w:val="auto"/>
          <w:sz w:val="24"/>
          <w:highlight w:val="none"/>
        </w:rPr>
        <w:t>4</w:t>
      </w:r>
      <w:bookmarkStart w:id="192" w:name="_Toc296503162"/>
      <w:bookmarkStart w:id="193" w:name="_Toc296347161"/>
      <w:bookmarkStart w:id="194" w:name="_Toc292559871"/>
      <w:bookmarkStart w:id="195" w:name="_Toc267251413"/>
      <w:bookmarkStart w:id="196" w:name="_Toc296346663"/>
      <w:bookmarkStart w:id="197" w:name="_Toc296944501"/>
      <w:bookmarkStart w:id="198" w:name="_Toc297048348"/>
      <w:bookmarkStart w:id="199" w:name="_Toc297120462"/>
      <w:bookmarkStart w:id="200" w:name="_Toc296891202"/>
      <w:bookmarkStart w:id="201" w:name="_Toc296890990"/>
      <w:bookmarkStart w:id="202" w:name="_Toc292559366"/>
      <w:r>
        <w:rPr>
          <w:rFonts w:hint="eastAsia" w:ascii="宋体" w:hAnsi="宋体" w:cs="宋体"/>
          <w:b/>
          <w:bCs/>
          <w:color w:val="auto"/>
          <w:sz w:val="24"/>
          <w:highlight w:val="none"/>
        </w:rPr>
        <w:t>.监</w:t>
      </w:r>
      <w:bookmarkEnd w:id="192"/>
      <w:bookmarkEnd w:id="193"/>
      <w:bookmarkEnd w:id="194"/>
      <w:bookmarkEnd w:id="195"/>
      <w:bookmarkEnd w:id="196"/>
      <w:bookmarkEnd w:id="197"/>
      <w:bookmarkEnd w:id="198"/>
      <w:bookmarkEnd w:id="199"/>
      <w:bookmarkEnd w:id="200"/>
      <w:bookmarkEnd w:id="201"/>
      <w:bookmarkEnd w:id="202"/>
      <w:r>
        <w:rPr>
          <w:rFonts w:hint="eastAsia" w:ascii="宋体" w:hAnsi="宋体" w:cs="宋体"/>
          <w:b/>
          <w:bCs/>
          <w:color w:val="auto"/>
          <w:sz w:val="24"/>
          <w:highlight w:val="none"/>
        </w:rPr>
        <w:t>理人</w:t>
      </w:r>
      <w:bookmarkEnd w:id="191"/>
    </w:p>
    <w:p w14:paraId="74A23364">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4.1监理人的一般规定</w:t>
      </w:r>
    </w:p>
    <w:p w14:paraId="6AAD2308">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关于监理人的监理内容：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4093844">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关于监理人的监理权限：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582E97EA">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关于监理人在施工现场的办公场所、生活场所的提供和费用承担的约定：</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496287A">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4.2 监理人员</w:t>
      </w:r>
    </w:p>
    <w:p w14:paraId="1436F2A3">
      <w:pPr>
        <w:adjustRightInd w:val="0"/>
        <w:spacing w:line="400" w:lineRule="exact"/>
        <w:ind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rPr>
        <w:t>总监理工程师：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F32F0A0">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86BC754">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1E78259">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监理工程师执业资格证书号：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F29900C">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5D3392B">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电子信箱：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187C602">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通信地址：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46823E3">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关于监理人的其他约定：</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2A797B7">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4.4 商定或确定</w:t>
      </w:r>
    </w:p>
    <w:p w14:paraId="19F8B3F2">
      <w:pPr>
        <w:adjustRightInd w:val="0"/>
        <w:spacing w:line="400" w:lineRule="exact"/>
        <w:ind w:firstLine="480" w:firstLineChars="200"/>
        <w:jc w:val="left"/>
        <w:rPr>
          <w:rFonts w:ascii="宋体" w:hAnsi="宋体" w:cs="宋体"/>
          <w:color w:val="auto"/>
          <w:sz w:val="24"/>
          <w:highlight w:val="none"/>
        </w:rPr>
      </w:pPr>
      <w:bookmarkStart w:id="203" w:name="_Toc267251418"/>
      <w:r>
        <w:rPr>
          <w:rFonts w:hint="eastAsia" w:ascii="宋体" w:hAnsi="宋体" w:cs="宋体"/>
          <w:color w:val="auto"/>
          <w:sz w:val="24"/>
          <w:highlight w:val="none"/>
        </w:rPr>
        <w:t>在发包人和承包人不能通过协商达成一致意见时，发包人授权监理人对以下事项进行确定：</w:t>
      </w:r>
    </w:p>
    <w:p w14:paraId="38117D32">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C4A633D">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9464B72">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2C7F108">
      <w:pPr>
        <w:spacing w:line="400" w:lineRule="exact"/>
        <w:ind w:firstLine="482" w:firstLineChars="200"/>
        <w:rPr>
          <w:rFonts w:ascii="宋体" w:hAnsi="宋体" w:cs="宋体"/>
          <w:b/>
          <w:bCs/>
          <w:color w:val="auto"/>
          <w:sz w:val="24"/>
          <w:highlight w:val="none"/>
        </w:rPr>
      </w:pPr>
      <w:bookmarkStart w:id="204" w:name="_Toc351203637"/>
      <w:r>
        <w:rPr>
          <w:rFonts w:hint="eastAsia" w:ascii="宋体" w:hAnsi="宋体" w:cs="宋体"/>
          <w:b/>
          <w:bCs/>
          <w:color w:val="auto"/>
          <w:sz w:val="24"/>
          <w:highlight w:val="none"/>
        </w:rPr>
        <w:t>5</w:t>
      </w:r>
      <w:bookmarkEnd w:id="203"/>
      <w:r>
        <w:rPr>
          <w:rFonts w:hint="eastAsia" w:ascii="宋体" w:hAnsi="宋体" w:cs="宋体"/>
          <w:b/>
          <w:bCs/>
          <w:color w:val="auto"/>
          <w:sz w:val="24"/>
          <w:highlight w:val="none"/>
        </w:rPr>
        <w:t>.工程质量</w:t>
      </w:r>
      <w:bookmarkEnd w:id="204"/>
    </w:p>
    <w:p w14:paraId="43001CD4">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5.1 质量要求</w:t>
      </w:r>
    </w:p>
    <w:p w14:paraId="72D67CCF">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5.1.1 特殊质量标准和要求：</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w:t>
      </w:r>
    </w:p>
    <w:p w14:paraId="6AF008FC">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关于工程奖项的约定：</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w:t>
      </w:r>
    </w:p>
    <w:p w14:paraId="0D855662">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5.3 隐蔽工程检查</w:t>
      </w:r>
      <w:r>
        <w:rPr>
          <w:rFonts w:hint="eastAsia" w:ascii="宋体" w:hAnsi="宋体" w:cs="宋体"/>
          <w:color w:val="auto"/>
          <w:sz w:val="24"/>
          <w:highlight w:val="none"/>
          <w:u w:val="single"/>
        </w:rPr>
        <w:t xml:space="preserve"> </w:t>
      </w:r>
    </w:p>
    <w:p w14:paraId="6CEF50DD">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5.3.1承包人提前通知监理人隐蔽工程检查的期限的约定：</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2BDF86E">
      <w:pPr>
        <w:adjustRightIn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承包人应提前48小时书面通知监理验收，监理接到通知后24小时内未组织验收视为合格。</w:t>
      </w:r>
    </w:p>
    <w:p w14:paraId="12F69B09">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监理人不能按时进行检查时，应提前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小时提交书面延期要求。</w:t>
      </w:r>
    </w:p>
    <w:p w14:paraId="14F9AEA7">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关于延期最长不得超过：</w:t>
      </w:r>
      <w:r>
        <w:rPr>
          <w:rFonts w:hint="eastAsia" w:ascii="宋体" w:hAnsi="宋体" w:cs="宋体"/>
          <w:color w:val="auto"/>
          <w:sz w:val="24"/>
          <w:highlight w:val="none"/>
          <w:u w:val="single"/>
        </w:rPr>
        <w:t xml:space="preserve"> 48 </w:t>
      </w:r>
      <w:r>
        <w:rPr>
          <w:rFonts w:hint="eastAsia" w:ascii="宋体" w:hAnsi="宋体" w:cs="宋体"/>
          <w:color w:val="auto"/>
          <w:sz w:val="24"/>
          <w:highlight w:val="none"/>
        </w:rPr>
        <w:t>小时。</w:t>
      </w:r>
    </w:p>
    <w:p w14:paraId="6CEFD089">
      <w:pPr>
        <w:spacing w:line="400" w:lineRule="exact"/>
        <w:ind w:firstLine="482" w:firstLineChars="200"/>
        <w:rPr>
          <w:rFonts w:ascii="宋体" w:hAnsi="宋体" w:cs="宋体"/>
          <w:b/>
          <w:bCs/>
          <w:color w:val="auto"/>
          <w:sz w:val="24"/>
          <w:highlight w:val="none"/>
        </w:rPr>
      </w:pPr>
      <w:bookmarkStart w:id="205" w:name="_Toc351203638"/>
      <w:r>
        <w:rPr>
          <w:rFonts w:hint="eastAsia" w:ascii="宋体" w:hAnsi="宋体" w:cs="宋体"/>
          <w:b/>
          <w:bCs/>
          <w:color w:val="auto"/>
          <w:sz w:val="24"/>
          <w:highlight w:val="none"/>
        </w:rPr>
        <w:t>6.安全文明施工与环境保护</w:t>
      </w:r>
      <w:bookmarkEnd w:id="205"/>
    </w:p>
    <w:p w14:paraId="28D437CE">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6.1安全文明施工</w:t>
      </w:r>
    </w:p>
    <w:p w14:paraId="7F193D98">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6.1.1 项目安全生产的达标目标及相应事项的约定：</w:t>
      </w:r>
      <w:r>
        <w:rPr>
          <w:rFonts w:hint="eastAsia" w:ascii="宋体" w:hAnsi="宋体" w:cs="宋体"/>
          <w:color w:val="auto"/>
          <w:sz w:val="24"/>
          <w:highlight w:val="none"/>
          <w:u w:val="single"/>
        </w:rPr>
        <w:t>在施工过程中不发生任何安全责任事故,如发生安全责任事故的，将扣除施工费用并由施工单位</w:t>
      </w:r>
      <w:bookmarkStart w:id="206" w:name="_Toc297216187"/>
      <w:bookmarkStart w:id="207" w:name="_Toc312677494"/>
      <w:bookmarkStart w:id="208" w:name="_Toc318581173"/>
      <w:bookmarkStart w:id="209" w:name="_Toc297123528"/>
      <w:bookmarkStart w:id="210" w:name="_Toc296346669"/>
      <w:bookmarkStart w:id="211" w:name="_Toc296890996"/>
      <w:bookmarkStart w:id="212" w:name="_Toc300934980"/>
      <w:bookmarkStart w:id="213" w:name="_Toc280868656"/>
      <w:bookmarkStart w:id="214" w:name="_Toc280868655"/>
      <w:bookmarkStart w:id="215" w:name="_Toc296503168"/>
      <w:bookmarkStart w:id="216" w:name="_Toc312678020"/>
      <w:bookmarkStart w:id="217" w:name="_Toc297048354"/>
      <w:bookmarkStart w:id="218" w:name="_Toc304295557"/>
      <w:bookmarkStart w:id="219" w:name="_Toc297120468"/>
      <w:bookmarkStart w:id="220" w:name="_Toc296944507"/>
      <w:bookmarkStart w:id="221" w:name="_Toc267251424"/>
      <w:bookmarkStart w:id="222" w:name="_Toc303539137"/>
      <w:bookmarkStart w:id="223" w:name="_Toc296347167"/>
      <w:bookmarkStart w:id="224" w:name="_Toc296891208"/>
      <w:r>
        <w:rPr>
          <w:rFonts w:hint="eastAsia" w:ascii="宋体" w:hAnsi="宋体" w:cs="宋体"/>
          <w:color w:val="auto"/>
          <w:sz w:val="24"/>
          <w:highlight w:val="none"/>
          <w:u w:val="single"/>
        </w:rPr>
        <w:t>全盘负责。</w:t>
      </w:r>
    </w:p>
    <w:p w14:paraId="5140BA0B">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6.1.2 关于治安保卫的特别约定：</w:t>
      </w:r>
      <w:r>
        <w:rPr>
          <w:rFonts w:hint="eastAsia" w:ascii="宋体" w:hAnsi="宋体" w:cs="宋体"/>
          <w:color w:val="auto"/>
          <w:sz w:val="24"/>
          <w:highlight w:val="none"/>
          <w:u w:val="single"/>
        </w:rPr>
        <w:t xml:space="preserve">承包人应承担施工安全保卫工作及施工照明的责任，承包人应采取一切合理的预防措施，防止人员伤亡、财产损失事故，费用由承包人承担。承包人生活设施及施工场应自费配备消防设备（符合消防安全规定），防止火灾发生 </w:t>
      </w:r>
      <w:r>
        <w:rPr>
          <w:rFonts w:hint="eastAsia" w:ascii="宋体" w:hAnsi="宋体" w:cs="宋体"/>
          <w:color w:val="auto"/>
          <w:sz w:val="24"/>
          <w:highlight w:val="none"/>
        </w:rPr>
        <w:t xml:space="preserve"> 。</w:t>
      </w:r>
    </w:p>
    <w:p w14:paraId="7DD1BDA3">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关于编制施工场地治安管理计划的约定：</w:t>
      </w:r>
      <w:r>
        <w:rPr>
          <w:rFonts w:hint="eastAsia" w:ascii="宋体" w:hAnsi="宋体" w:cs="宋体"/>
          <w:color w:val="auto"/>
          <w:sz w:val="24"/>
          <w:highlight w:val="none"/>
          <w:u w:val="single"/>
        </w:rPr>
        <w:t>由承包人负责编制和办理报批手续</w:t>
      </w:r>
      <w:r>
        <w:rPr>
          <w:rFonts w:hint="eastAsia" w:ascii="宋体" w:hAnsi="宋体" w:cs="宋体"/>
          <w:color w:val="auto"/>
          <w:sz w:val="24"/>
          <w:highlight w:val="none"/>
        </w:rPr>
        <w:t>。</w:t>
      </w:r>
    </w:p>
    <w:p w14:paraId="15E91334">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6.1.3 文明施工</w:t>
      </w:r>
    </w:p>
    <w:p w14:paraId="13836530">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合同当事人对文明施工的要求：</w:t>
      </w:r>
      <w:r>
        <w:rPr>
          <w:rFonts w:hint="eastAsia" w:ascii="宋体" w:hAnsi="宋体" w:cs="宋体"/>
          <w:color w:val="auto"/>
          <w:sz w:val="24"/>
          <w:highlight w:val="none"/>
          <w:u w:val="single"/>
        </w:rPr>
        <w:t>遵守行业和项目所在地方政府的规定</w:t>
      </w:r>
      <w:r>
        <w:rPr>
          <w:rFonts w:hint="eastAsia" w:ascii="宋体" w:hAnsi="宋体" w:cs="宋体"/>
          <w:color w:val="auto"/>
          <w:sz w:val="24"/>
          <w:highlight w:val="none"/>
        </w:rPr>
        <w:t>。</w:t>
      </w:r>
    </w:p>
    <w:p w14:paraId="3D584E54">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6.1.4关于安全文明施工费支付比例和支付期限的约定：</w:t>
      </w:r>
      <w:r>
        <w:rPr>
          <w:rFonts w:hint="eastAsia" w:ascii="宋体" w:hAnsi="宋体" w:cs="宋体"/>
          <w:color w:val="auto"/>
          <w:sz w:val="24"/>
          <w:highlight w:val="none"/>
          <w:u w:val="single"/>
        </w:rPr>
        <w:t xml:space="preserve">本合同价款已包含安全防护、文明施工措施费      元，使用要求：专款专用。具体按《广西壮族自治区建设工程安全文明施工费使用细则》（桂建质[2015]16号文）和梧州市相关规定执行 </w:t>
      </w:r>
      <w:r>
        <w:rPr>
          <w:rFonts w:hint="eastAsia" w:ascii="宋体" w:hAnsi="宋体" w:cs="宋体"/>
          <w:color w:val="auto"/>
          <w:sz w:val="24"/>
          <w:highlight w:val="none"/>
        </w:rPr>
        <w:t xml:space="preserve"> 。</w:t>
      </w:r>
    </w:p>
    <w:p w14:paraId="67AE7CE8">
      <w:pPr>
        <w:spacing w:line="400" w:lineRule="exact"/>
        <w:ind w:firstLine="482" w:firstLineChars="200"/>
        <w:rPr>
          <w:rFonts w:ascii="宋体" w:hAnsi="宋体" w:cs="宋体"/>
          <w:b/>
          <w:bCs/>
          <w:color w:val="auto"/>
          <w:sz w:val="24"/>
          <w:highlight w:val="none"/>
        </w:rPr>
      </w:pPr>
      <w:bookmarkStart w:id="225" w:name="_Toc351203639"/>
      <w:r>
        <w:rPr>
          <w:rFonts w:hint="eastAsia" w:ascii="宋体" w:hAnsi="宋体" w:cs="宋体"/>
          <w:b/>
          <w:bCs/>
          <w:color w:val="auto"/>
          <w:sz w:val="24"/>
          <w:highlight w:val="none"/>
        </w:rPr>
        <w:t>7.工期和进度</w:t>
      </w:r>
      <w:bookmarkEnd w:id="225"/>
    </w:p>
    <w:p w14:paraId="3B8ABB44">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7.1 施工组织设计</w:t>
      </w:r>
    </w:p>
    <w:p w14:paraId="347AC482">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7.1.1 合同当事人约定的施工组织设计应包括的其他内容：</w:t>
      </w:r>
      <w:r>
        <w:rPr>
          <w:rFonts w:hint="eastAsia" w:ascii="宋体" w:hAnsi="宋体" w:cs="宋体"/>
          <w:color w:val="auto"/>
          <w:sz w:val="24"/>
          <w:highlight w:val="none"/>
          <w:u w:val="single"/>
        </w:rPr>
        <w:t>按照工程特点和行业有关规定编制</w:t>
      </w:r>
      <w:r>
        <w:rPr>
          <w:rFonts w:hint="eastAsia" w:ascii="宋体" w:hAnsi="宋体" w:cs="宋体"/>
          <w:color w:val="auto"/>
          <w:sz w:val="24"/>
          <w:highlight w:val="none"/>
        </w:rPr>
        <w:t>。</w:t>
      </w:r>
    </w:p>
    <w:p w14:paraId="7D0CB854">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7.1.2 施工组织设计的提交和修改</w:t>
      </w:r>
    </w:p>
    <w:p w14:paraId="38E7AEB5">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承包人提交详细施工组织设计的期限的约定：</w:t>
      </w:r>
      <w:r>
        <w:rPr>
          <w:rFonts w:hint="eastAsia" w:ascii="宋体" w:hAnsi="宋体" w:cs="宋体"/>
          <w:color w:val="auto"/>
          <w:sz w:val="24"/>
          <w:highlight w:val="none"/>
          <w:u w:val="single"/>
        </w:rPr>
        <w:t>开工前7天</w:t>
      </w:r>
      <w:r>
        <w:rPr>
          <w:rFonts w:hint="eastAsia" w:ascii="宋体" w:hAnsi="宋体" w:cs="宋体"/>
          <w:color w:val="auto"/>
          <w:sz w:val="24"/>
          <w:highlight w:val="none"/>
        </w:rPr>
        <w:t>。</w:t>
      </w:r>
    </w:p>
    <w:p w14:paraId="1E6E890D">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发包人和监理人在收到详细的施工组织设计后5个工作日内未提出修改意见视为认可。</w:t>
      </w:r>
    </w:p>
    <w:p w14:paraId="66889191">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7</w:t>
      </w:r>
      <w:bookmarkStart w:id="226" w:name="_Toc300934966"/>
      <w:bookmarkStart w:id="227" w:name="_Toc312677479"/>
      <w:bookmarkStart w:id="228" w:name="_Toc312678005"/>
      <w:bookmarkStart w:id="229" w:name="_Toc297123514"/>
      <w:bookmarkStart w:id="230" w:name="_Toc297216173"/>
      <w:bookmarkStart w:id="231" w:name="_Toc303539123"/>
      <w:bookmarkStart w:id="232" w:name="_Toc304295541"/>
      <w:r>
        <w:rPr>
          <w:rFonts w:hint="eastAsia" w:ascii="宋体" w:hAnsi="宋体" w:cs="宋体"/>
          <w:color w:val="auto"/>
          <w:sz w:val="24"/>
          <w:highlight w:val="none"/>
        </w:rPr>
        <w:t>.2 施工进度计划</w:t>
      </w:r>
    </w:p>
    <w:p w14:paraId="3D19BE2A">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7.2.2 施工进度计划的修订</w:t>
      </w:r>
    </w:p>
    <w:p w14:paraId="78572DB8">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发包人和监理人在收到修订的施工进度计划后确认或提出修改意见的期限：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64F9BB1">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7.3 开工</w:t>
      </w:r>
    </w:p>
    <w:p w14:paraId="5C111F81">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7.3.1 开工准备</w:t>
      </w:r>
    </w:p>
    <w:p w14:paraId="0227B0C0">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关于承包人提交工程开工报审表的期限：</w:t>
      </w:r>
      <w:r>
        <w:rPr>
          <w:rFonts w:hint="eastAsia" w:ascii="宋体" w:hAnsi="宋体" w:cs="宋体"/>
          <w:color w:val="auto"/>
          <w:sz w:val="24"/>
          <w:highlight w:val="none"/>
          <w:u w:val="single"/>
        </w:rPr>
        <w:t>开工前3天</w:t>
      </w:r>
      <w:r>
        <w:rPr>
          <w:rFonts w:hint="eastAsia" w:ascii="宋体" w:hAnsi="宋体" w:cs="宋体"/>
          <w:color w:val="auto"/>
          <w:sz w:val="24"/>
          <w:highlight w:val="none"/>
        </w:rPr>
        <w:t>。</w:t>
      </w:r>
    </w:p>
    <w:p w14:paraId="682A1638">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关于发包人应完成的其他开工准备工作及期限：</w:t>
      </w:r>
      <w:r>
        <w:rPr>
          <w:rFonts w:hint="eastAsia" w:ascii="宋体" w:hAnsi="宋体" w:cs="宋体"/>
          <w:color w:val="auto"/>
          <w:sz w:val="24"/>
          <w:highlight w:val="none"/>
          <w:u w:val="single"/>
        </w:rPr>
        <w:t>开工前7天</w:t>
      </w:r>
      <w:r>
        <w:rPr>
          <w:rFonts w:hint="eastAsia" w:ascii="宋体" w:hAnsi="宋体" w:cs="宋体"/>
          <w:color w:val="auto"/>
          <w:sz w:val="24"/>
          <w:highlight w:val="none"/>
        </w:rPr>
        <w:t>。</w:t>
      </w:r>
    </w:p>
    <w:p w14:paraId="2E73849E">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关于承包人应完成的其他开工准备工作及期限：</w:t>
      </w:r>
      <w:r>
        <w:rPr>
          <w:rFonts w:hint="eastAsia" w:ascii="宋体" w:hAnsi="宋体" w:cs="宋体"/>
          <w:color w:val="auto"/>
          <w:sz w:val="24"/>
          <w:highlight w:val="none"/>
          <w:u w:val="single"/>
        </w:rPr>
        <w:t>开工前3天</w:t>
      </w:r>
      <w:r>
        <w:rPr>
          <w:rFonts w:hint="eastAsia" w:ascii="宋体" w:hAnsi="宋体" w:cs="宋体"/>
          <w:color w:val="auto"/>
          <w:sz w:val="24"/>
          <w:highlight w:val="none"/>
        </w:rPr>
        <w:t>。</w:t>
      </w:r>
    </w:p>
    <w:p w14:paraId="4F3F9A22">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7.3.2开工通知</w:t>
      </w:r>
    </w:p>
    <w:p w14:paraId="560ABB80">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因发包人原因造成监理人未能在计划开工日期之日起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天内发出开工通知的，承包人有权提出价格调整要求，或者解除合同。</w:t>
      </w:r>
    </w:p>
    <w:bookmarkEnd w:id="226"/>
    <w:bookmarkEnd w:id="227"/>
    <w:bookmarkEnd w:id="228"/>
    <w:bookmarkEnd w:id="229"/>
    <w:bookmarkEnd w:id="230"/>
    <w:bookmarkEnd w:id="231"/>
    <w:bookmarkEnd w:id="232"/>
    <w:p w14:paraId="0739BFBC">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7.4 测量放线</w:t>
      </w:r>
    </w:p>
    <w:p w14:paraId="3CAD1274">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7.4.1发包人通过监理人向承包人提供测量基准点、基准线和水准点及其书面资料的期限：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1878C7A">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7</w:t>
      </w:r>
      <w:bookmarkStart w:id="233" w:name="_Toc303539125"/>
      <w:bookmarkStart w:id="234" w:name="_Toc312677484"/>
      <w:bookmarkStart w:id="235" w:name="_Toc297123516"/>
      <w:bookmarkStart w:id="236" w:name="_Toc304295546"/>
      <w:bookmarkStart w:id="237" w:name="_Toc297216175"/>
      <w:bookmarkStart w:id="238" w:name="_Toc312678010"/>
      <w:bookmarkStart w:id="239" w:name="_Toc300934968"/>
      <w:r>
        <w:rPr>
          <w:rFonts w:hint="eastAsia" w:ascii="宋体" w:hAnsi="宋体" w:cs="宋体"/>
          <w:color w:val="auto"/>
          <w:sz w:val="24"/>
          <w:highlight w:val="none"/>
        </w:rPr>
        <w:t>.5 工期延误</w:t>
      </w:r>
    </w:p>
    <w:bookmarkEnd w:id="233"/>
    <w:bookmarkEnd w:id="234"/>
    <w:bookmarkEnd w:id="235"/>
    <w:bookmarkEnd w:id="236"/>
    <w:bookmarkEnd w:id="237"/>
    <w:bookmarkEnd w:id="238"/>
    <w:bookmarkEnd w:id="239"/>
    <w:p w14:paraId="59D45326">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7.5.1 因发包人原因导致工期延误</w:t>
      </w:r>
    </w:p>
    <w:p w14:paraId="402DE9E3">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（7）因发包人原因导致工期延误的其他情形：</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520D979">
      <w:pPr>
        <w:adjustRightInd w:val="0"/>
        <w:spacing w:line="40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7</w:t>
      </w:r>
      <w:bookmarkStart w:id="240" w:name="_Toc312677486"/>
      <w:bookmarkStart w:id="241" w:name="_Toc312678012"/>
      <w:bookmarkStart w:id="242" w:name="_Toc318581169"/>
      <w:bookmarkStart w:id="243" w:name="_Toc304295548"/>
      <w:bookmarkStart w:id="244" w:name="_Toc300934970"/>
      <w:bookmarkStart w:id="245" w:name="_Toc303539127"/>
      <w:bookmarkStart w:id="246" w:name="_Toc297216177"/>
      <w:bookmarkStart w:id="247" w:name="_Toc297123518"/>
      <w:r>
        <w:rPr>
          <w:rFonts w:hint="eastAsia" w:ascii="宋体" w:hAnsi="宋体" w:cs="宋体"/>
          <w:color w:val="auto"/>
          <w:sz w:val="24"/>
          <w:highlight w:val="none"/>
        </w:rPr>
        <w:t>.5.2 因承包人劳动力或机械投入不足导致进度滞后20%即构成根本违约，发包人有权解除合同并追究违约责任</w:t>
      </w:r>
      <w:r>
        <w:rPr>
          <w:rFonts w:hint="eastAsia" w:ascii="宋体" w:hAnsi="宋体" w:cs="宋体"/>
          <w:color w:val="auto"/>
          <w:sz w:val="24"/>
          <w:highlight w:val="none"/>
          <w:lang w:eastAsia="zh-CN"/>
        </w:rPr>
        <w:t>。</w:t>
      </w:r>
    </w:p>
    <w:bookmarkEnd w:id="240"/>
    <w:bookmarkEnd w:id="241"/>
    <w:bookmarkEnd w:id="242"/>
    <w:p w14:paraId="401F5442">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因</w:t>
      </w:r>
      <w:bookmarkStart w:id="248" w:name="_Toc312678013"/>
      <w:bookmarkStart w:id="249" w:name="_Toc312677487"/>
      <w:bookmarkStart w:id="250" w:name="_Toc318581170"/>
      <w:r>
        <w:rPr>
          <w:rFonts w:hint="eastAsia" w:ascii="宋体" w:hAnsi="宋体" w:cs="宋体"/>
          <w:color w:val="auto"/>
          <w:sz w:val="24"/>
          <w:highlight w:val="none"/>
        </w:rPr>
        <w:t>承包人原因造成工期延误，</w:t>
      </w:r>
      <w:r>
        <w:rPr>
          <w:rFonts w:hint="eastAsia" w:ascii="宋体" w:hAnsi="宋体" w:cs="宋体"/>
          <w:color w:val="auto"/>
          <w:sz w:val="24"/>
          <w:highlight w:val="none"/>
          <w:lang w:val="en-US" w:eastAsia="zh-CN"/>
        </w:rPr>
        <w:t>每</w:t>
      </w:r>
      <w:r>
        <w:rPr>
          <w:rFonts w:hint="eastAsia" w:ascii="宋体" w:hAnsi="宋体" w:cs="宋体"/>
          <w:color w:val="auto"/>
          <w:sz w:val="24"/>
          <w:highlight w:val="none"/>
        </w:rPr>
        <w:t>逾期</w:t>
      </w:r>
      <w:r>
        <w:rPr>
          <w:rFonts w:hint="eastAsia" w:ascii="宋体" w:hAnsi="宋体" w:cs="宋体"/>
          <w:color w:val="auto"/>
          <w:sz w:val="24"/>
          <w:highlight w:val="none"/>
          <w:lang w:val="en-US" w:eastAsia="zh-CN"/>
        </w:rPr>
        <w:t>一日，承包人应按合同总价的千分之三（0.3%）向发包人支付</w:t>
      </w:r>
      <w:r>
        <w:rPr>
          <w:rFonts w:hint="eastAsia" w:ascii="宋体" w:hAnsi="宋体" w:cs="宋体"/>
          <w:color w:val="auto"/>
          <w:sz w:val="24"/>
          <w:highlight w:val="none"/>
        </w:rPr>
        <w:t>违约金</w:t>
      </w:r>
      <w:r>
        <w:rPr>
          <w:rStyle w:val="123"/>
          <w:rFonts w:ascii="宋体" w:hAnsi="宋体" w:eastAsia="宋体" w:cs="宋体"/>
          <w:color w:val="4EAD1E"/>
          <w:sz w:val="24"/>
          <w:szCs w:val="24"/>
          <w:highlight w:val="none"/>
        </w:rPr>
        <w:t>，逾期超过15日</w:t>
      </w:r>
      <w:r>
        <w:rPr>
          <w:rStyle w:val="124"/>
          <w:rFonts w:ascii="宋体" w:hAnsi="宋体" w:eastAsia="宋体" w:cs="宋体"/>
          <w:sz w:val="24"/>
          <w:szCs w:val="24"/>
          <w:highlight w:val="none"/>
        </w:rPr>
        <w:t>的</w:t>
      </w:r>
      <w:r>
        <w:rPr>
          <w:rStyle w:val="124"/>
          <w:rFonts w:hint="eastAsia" w:ascii="宋体" w:hAnsi="宋体" w:eastAsia="宋体" w:cs="宋体"/>
          <w:sz w:val="24"/>
          <w:szCs w:val="24"/>
          <w:highlight w:val="none"/>
        </w:rPr>
        <w:t>，发包人有权解除合同并由承包人赔偿全部损失</w:t>
      </w:r>
      <w:r>
        <w:rPr>
          <w:rFonts w:hint="eastAsia" w:ascii="宋体" w:hAnsi="宋体" w:cs="宋体"/>
          <w:color w:val="auto"/>
          <w:sz w:val="24"/>
          <w:highlight w:val="none"/>
        </w:rPr>
        <w:t>。</w:t>
      </w:r>
      <w:bookmarkEnd w:id="243"/>
      <w:bookmarkEnd w:id="244"/>
      <w:bookmarkEnd w:id="245"/>
      <w:bookmarkEnd w:id="246"/>
      <w:bookmarkEnd w:id="247"/>
      <w:bookmarkEnd w:id="248"/>
      <w:bookmarkEnd w:id="249"/>
    </w:p>
    <w:bookmarkEnd w:id="250"/>
    <w:p w14:paraId="31223863">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因承包人原因造成工期延误，逾</w:t>
      </w:r>
      <w:bookmarkStart w:id="251" w:name="_Toc318581171"/>
      <w:bookmarkStart w:id="252" w:name="_Toc312678014"/>
      <w:r>
        <w:rPr>
          <w:rFonts w:hint="eastAsia" w:ascii="宋体" w:hAnsi="宋体" w:cs="宋体"/>
          <w:color w:val="auto"/>
          <w:sz w:val="24"/>
          <w:highlight w:val="none"/>
        </w:rPr>
        <w:t>期竣工违约金的上限：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bookmarkEnd w:id="251"/>
    <w:bookmarkEnd w:id="252"/>
    <w:p w14:paraId="2D9B6BE7">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7</w:t>
      </w:r>
      <w:bookmarkStart w:id="253" w:name="_Toc300934971"/>
      <w:bookmarkStart w:id="254" w:name="_Toc312678015"/>
      <w:bookmarkStart w:id="255" w:name="_Toc303539128"/>
      <w:bookmarkStart w:id="256" w:name="_Toc297123519"/>
      <w:bookmarkStart w:id="257" w:name="_Toc297216178"/>
      <w:bookmarkStart w:id="258" w:name="_Toc304295549"/>
      <w:r>
        <w:rPr>
          <w:rFonts w:hint="eastAsia" w:ascii="宋体" w:hAnsi="宋体" w:cs="宋体"/>
          <w:color w:val="auto"/>
          <w:sz w:val="24"/>
          <w:highlight w:val="none"/>
        </w:rPr>
        <w:t>.6 不</w:t>
      </w:r>
      <w:bookmarkEnd w:id="253"/>
      <w:bookmarkEnd w:id="254"/>
      <w:bookmarkEnd w:id="255"/>
      <w:bookmarkEnd w:id="256"/>
      <w:bookmarkEnd w:id="257"/>
      <w:bookmarkEnd w:id="258"/>
      <w:r>
        <w:rPr>
          <w:rFonts w:hint="eastAsia" w:ascii="宋体" w:hAnsi="宋体" w:cs="宋体"/>
          <w:color w:val="auto"/>
          <w:sz w:val="24"/>
          <w:highlight w:val="none"/>
        </w:rPr>
        <w:t>利物质条件</w:t>
      </w:r>
    </w:p>
    <w:p w14:paraId="3A358967">
      <w:pPr>
        <w:adjustRightInd w:val="0"/>
        <w:spacing w:line="400" w:lineRule="exact"/>
        <w:ind w:firstLine="480" w:firstLineChars="200"/>
        <w:jc w:val="left"/>
        <w:rPr>
          <w:rFonts w:ascii="宋体" w:hAnsi="宋体" w:cs="宋体"/>
          <w:color w:val="auto"/>
          <w:sz w:val="24"/>
          <w:highlight w:val="none"/>
        </w:rPr>
      </w:pPr>
      <w:bookmarkStart w:id="259" w:name="_Toc297216179"/>
      <w:bookmarkStart w:id="260" w:name="_Toc304295550"/>
      <w:bookmarkStart w:id="261" w:name="_Toc312678016"/>
      <w:bookmarkStart w:id="262" w:name="_Toc297123520"/>
      <w:bookmarkStart w:id="263" w:name="_Toc300934972"/>
      <w:bookmarkStart w:id="264" w:name="_Toc318581172"/>
      <w:bookmarkStart w:id="265" w:name="_Toc303539129"/>
      <w:r>
        <w:rPr>
          <w:rFonts w:hint="eastAsia" w:ascii="宋体" w:hAnsi="宋体" w:cs="宋体"/>
          <w:color w:val="auto"/>
          <w:sz w:val="24"/>
          <w:highlight w:val="none"/>
        </w:rPr>
        <w:t>不利物质条件的其他情形和有关约定：</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bookmarkEnd w:id="259"/>
    <w:bookmarkEnd w:id="260"/>
    <w:bookmarkEnd w:id="261"/>
    <w:bookmarkEnd w:id="262"/>
    <w:bookmarkEnd w:id="263"/>
    <w:bookmarkEnd w:id="264"/>
    <w:bookmarkEnd w:id="265"/>
    <w:p w14:paraId="64DCDFFE">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7</w:t>
      </w:r>
      <w:bookmarkStart w:id="266" w:name="_Toc312678017"/>
      <w:bookmarkStart w:id="267" w:name="_Toc297123521"/>
      <w:bookmarkStart w:id="268" w:name="_Toc300934973"/>
      <w:bookmarkStart w:id="269" w:name="_Toc304295551"/>
      <w:bookmarkStart w:id="270" w:name="_Toc297216180"/>
      <w:bookmarkStart w:id="271" w:name="_Toc303539130"/>
      <w:r>
        <w:rPr>
          <w:rFonts w:hint="eastAsia" w:ascii="宋体" w:hAnsi="宋体" w:cs="宋体"/>
          <w:color w:val="auto"/>
          <w:sz w:val="24"/>
          <w:highlight w:val="none"/>
        </w:rPr>
        <w:t>.7异常恶劣的气候条件</w:t>
      </w:r>
    </w:p>
    <w:bookmarkEnd w:id="266"/>
    <w:bookmarkEnd w:id="267"/>
    <w:bookmarkEnd w:id="268"/>
    <w:bookmarkEnd w:id="269"/>
    <w:bookmarkEnd w:id="270"/>
    <w:bookmarkEnd w:id="271"/>
    <w:p w14:paraId="458131DD">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发包人和承包人同意以下情形视为异常恶劣的气候条件：</w:t>
      </w:r>
    </w:p>
    <w:p w14:paraId="65E764E6">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零度以下低温天气</w:t>
      </w:r>
      <w:r>
        <w:rPr>
          <w:rFonts w:hint="eastAsia" w:ascii="宋体" w:hAnsi="宋体" w:cs="宋体"/>
          <w:color w:val="auto"/>
          <w:sz w:val="24"/>
          <w:highlight w:val="none"/>
        </w:rPr>
        <w:t>；</w:t>
      </w:r>
    </w:p>
    <w:p w14:paraId="1C6712C6">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连续暴雨3天以上</w:t>
      </w:r>
      <w:r>
        <w:rPr>
          <w:rFonts w:hint="eastAsia" w:ascii="宋体" w:hAnsi="宋体" w:cs="宋体"/>
          <w:color w:val="auto"/>
          <w:sz w:val="24"/>
          <w:highlight w:val="none"/>
        </w:rPr>
        <w:t>；</w:t>
      </w:r>
    </w:p>
    <w:p w14:paraId="63EE9723">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u w:val="single"/>
        </w:rPr>
        <w:t>连续3天8级以（含）大风</w:t>
      </w:r>
      <w:r>
        <w:rPr>
          <w:rFonts w:hint="eastAsia" w:ascii="宋体" w:hAnsi="宋体" w:cs="宋体"/>
          <w:color w:val="auto"/>
          <w:sz w:val="24"/>
          <w:highlight w:val="none"/>
        </w:rPr>
        <w:t>。</w:t>
      </w:r>
    </w:p>
    <w:p w14:paraId="5C1D03EC">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7.9 提前竣工的奖励</w:t>
      </w:r>
    </w:p>
    <w:p w14:paraId="1B2E25A6">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7.9.2提前竣工的奖励：</w:t>
      </w:r>
      <w:r>
        <w:rPr>
          <w:rFonts w:hint="eastAsia" w:ascii="宋体" w:hAnsi="宋体" w:cs="宋体"/>
          <w:color w:val="auto"/>
          <w:sz w:val="24"/>
          <w:highlight w:val="none"/>
          <w:u w:val="single"/>
        </w:rPr>
        <w:t>无（如有则另签订补充协议）</w:t>
      </w:r>
      <w:r>
        <w:rPr>
          <w:rFonts w:hint="eastAsia" w:ascii="宋体" w:hAnsi="宋体" w:cs="宋体"/>
          <w:color w:val="auto"/>
          <w:sz w:val="24"/>
          <w:highlight w:val="none"/>
        </w:rPr>
        <w:t>。</w:t>
      </w:r>
    </w:p>
    <w:p w14:paraId="3EAFCC91">
      <w:pPr>
        <w:spacing w:line="400" w:lineRule="exact"/>
        <w:ind w:firstLine="482" w:firstLineChars="200"/>
        <w:rPr>
          <w:rFonts w:ascii="宋体" w:hAnsi="宋体" w:cs="宋体"/>
          <w:b/>
          <w:bCs/>
          <w:color w:val="auto"/>
          <w:sz w:val="24"/>
          <w:highlight w:val="none"/>
        </w:rPr>
      </w:pPr>
      <w:bookmarkStart w:id="272" w:name="_Toc351203640"/>
      <w:r>
        <w:rPr>
          <w:rFonts w:hint="eastAsia" w:ascii="宋体" w:hAnsi="宋体" w:cs="宋体"/>
          <w:b/>
          <w:bCs/>
          <w:color w:val="auto"/>
          <w:sz w:val="24"/>
          <w:highlight w:val="none"/>
        </w:rPr>
        <w:t>8.材料与设备</w:t>
      </w:r>
      <w:bookmarkEnd w:id="272"/>
    </w:p>
    <w:p w14:paraId="770E9B83">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8</w:t>
      </w:r>
      <w:bookmarkStart w:id="273" w:name="_Toc296891207"/>
      <w:bookmarkStart w:id="274" w:name="_Toc296944506"/>
      <w:bookmarkStart w:id="275" w:name="_Toc280868654"/>
      <w:bookmarkStart w:id="276" w:name="_Toc304295556"/>
      <w:bookmarkStart w:id="277" w:name="_Toc296890995"/>
      <w:bookmarkStart w:id="278" w:name="_Toc303539136"/>
      <w:bookmarkStart w:id="279" w:name="_Toc312677493"/>
      <w:bookmarkStart w:id="280" w:name="_Toc292559877"/>
      <w:bookmarkStart w:id="281" w:name="_Toc296503167"/>
      <w:bookmarkStart w:id="282" w:name="_Toc297048353"/>
      <w:bookmarkStart w:id="283" w:name="_Toc292559372"/>
      <w:bookmarkStart w:id="284" w:name="_Toc297216186"/>
      <w:bookmarkStart w:id="285" w:name="_Toc296347166"/>
      <w:bookmarkStart w:id="286" w:name="_Toc312678019"/>
      <w:bookmarkStart w:id="287" w:name="_Toc297120467"/>
      <w:bookmarkStart w:id="288" w:name="_Toc296346668"/>
      <w:bookmarkStart w:id="289" w:name="_Toc300934979"/>
      <w:bookmarkStart w:id="290" w:name="_Toc297123527"/>
      <w:r>
        <w:rPr>
          <w:rFonts w:hint="eastAsia" w:ascii="宋体" w:hAnsi="宋体" w:cs="宋体"/>
          <w:color w:val="auto"/>
          <w:sz w:val="24"/>
          <w:highlight w:val="none"/>
        </w:rPr>
        <w:t>.4材料与工程设备的保管与使用</w:t>
      </w:r>
    </w:p>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14:paraId="63517D12">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8</w:t>
      </w:r>
      <w:bookmarkStart w:id="291" w:name="_Toc292559373"/>
      <w:bookmarkStart w:id="292" w:name="_Toc292559878"/>
      <w:r>
        <w:rPr>
          <w:rFonts w:hint="eastAsia" w:ascii="宋体" w:hAnsi="宋体" w:cs="宋体"/>
          <w:color w:val="auto"/>
          <w:sz w:val="24"/>
          <w:highlight w:val="none"/>
        </w:rPr>
        <w:t>.4.1发包人供应的材料设备的保管费用的承担：</w:t>
      </w:r>
      <w:r>
        <w:rPr>
          <w:rFonts w:hint="eastAsia" w:ascii="宋体" w:hAnsi="宋体" w:cs="宋体"/>
          <w:color w:val="auto"/>
          <w:sz w:val="24"/>
          <w:highlight w:val="none"/>
          <w:u w:val="single"/>
        </w:rPr>
        <w:t>由承包人承担</w:t>
      </w:r>
      <w:r>
        <w:rPr>
          <w:rFonts w:hint="eastAsia" w:ascii="宋体" w:hAnsi="宋体" w:cs="宋体"/>
          <w:color w:val="auto"/>
          <w:sz w:val="24"/>
          <w:highlight w:val="none"/>
        </w:rPr>
        <w:t>。</w:t>
      </w:r>
      <w:bookmarkEnd w:id="291"/>
      <w:bookmarkEnd w:id="292"/>
    </w:p>
    <w:p w14:paraId="13B8BC19">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8.6 样品</w:t>
      </w:r>
    </w:p>
    <w:p w14:paraId="48F34506">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8.6.1样品的报送与封存</w:t>
      </w:r>
    </w:p>
    <w:p w14:paraId="3A3A346D">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需要承包人报送样品的材料或工程设备，样品的种类、名称</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Start w:id="293" w:name="_Toc296503173"/>
      <w:bookmarkStart w:id="294" w:name="_Toc312677498"/>
      <w:bookmarkStart w:id="295" w:name="_Toc292559883"/>
      <w:bookmarkStart w:id="296" w:name="_Toc297123536"/>
      <w:bookmarkStart w:id="297" w:name="_Toc312678024"/>
      <w:bookmarkStart w:id="298" w:name="_Toc267251427"/>
      <w:bookmarkStart w:id="299" w:name="_Toc296346674"/>
      <w:bookmarkStart w:id="300" w:name="_Toc296347172"/>
      <w:bookmarkStart w:id="301" w:name="_Toc297216195"/>
      <w:bookmarkStart w:id="302" w:name="_Toc296891213"/>
      <w:bookmarkStart w:id="303" w:name="_Toc318581174"/>
      <w:bookmarkStart w:id="304" w:name="_Toc303539142"/>
      <w:bookmarkStart w:id="305" w:name="_Toc267251428"/>
      <w:bookmarkStart w:id="306" w:name="_Toc297048359"/>
      <w:bookmarkStart w:id="307" w:name="_Toc296944512"/>
      <w:bookmarkStart w:id="308" w:name="_Toc292559378"/>
      <w:bookmarkStart w:id="309" w:name="_Toc304295562"/>
      <w:bookmarkStart w:id="310" w:name="_Toc297120473"/>
      <w:bookmarkStart w:id="311" w:name="_Toc296891001"/>
      <w:bookmarkStart w:id="312" w:name="_Toc300934985"/>
      <w:r>
        <w:rPr>
          <w:rFonts w:hint="eastAsia" w:ascii="宋体" w:hAnsi="宋体" w:cs="宋体"/>
          <w:color w:val="auto"/>
          <w:sz w:val="24"/>
          <w:highlight w:val="none"/>
        </w:rPr>
        <w:t>、规格、数量要求：</w:t>
      </w:r>
      <w:r>
        <w:rPr>
          <w:rFonts w:hint="eastAsia" w:ascii="宋体" w:hAnsi="宋体" w:cs="宋体"/>
          <w:color w:val="auto"/>
          <w:sz w:val="24"/>
          <w:highlight w:val="none"/>
          <w:u w:val="single"/>
        </w:rPr>
        <w:t>主要材料涉及品种、款式、颜色等方面内容的，承包人应提交准备合格的材料样品送发包人选定</w:t>
      </w:r>
      <w:r>
        <w:rPr>
          <w:rFonts w:hint="eastAsia" w:ascii="宋体" w:hAnsi="宋体" w:cs="宋体"/>
          <w:color w:val="auto"/>
          <w:sz w:val="24"/>
          <w:highlight w:val="none"/>
        </w:rPr>
        <w:t>。</w:t>
      </w:r>
    </w:p>
    <w:p w14:paraId="64C1E5E0">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8.8 施工设备和临时设施</w:t>
      </w:r>
    </w:p>
    <w:p w14:paraId="30EF0531">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8.8.1 承包人提供的施工设备和临时设施</w:t>
      </w:r>
    </w:p>
    <w:p w14:paraId="5E68CAA0">
      <w:pPr>
        <w:autoSpaceDE w:val="0"/>
        <w:autoSpaceDN w:val="0"/>
        <w:adjustRightInd w:val="0"/>
        <w:spacing w:line="400" w:lineRule="exact"/>
        <w:ind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rPr>
        <w:t>关于修建临时设施费用承担的约定：</w:t>
      </w:r>
      <w:r>
        <w:rPr>
          <w:rFonts w:hint="eastAsia" w:ascii="宋体" w:hAnsi="宋体" w:cs="宋体"/>
          <w:color w:val="auto"/>
          <w:sz w:val="24"/>
          <w:highlight w:val="none"/>
          <w:u w:val="single"/>
        </w:rPr>
        <w:t>①承包人的临时用地（含项目部驻地等）租用费（含拆迁补偿）、临时用地的环保、恢复、临时用地的青苗补偿及地面附着物拆除等费用均由承包人负责，以上费用在投标报价中综合考虑。</w:t>
      </w:r>
    </w:p>
    <w:p w14:paraId="2849575B">
      <w:pPr>
        <w:autoSpaceDE w:val="0"/>
        <w:autoSpaceDN w:val="0"/>
        <w:adjustRightInd w:val="0"/>
        <w:spacing w:line="400" w:lineRule="exact"/>
        <w:ind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u w:val="single"/>
        </w:rPr>
        <w:t>②承包人负责合同实施期间其合同段内临时交通道路（含场内外连接公共交通道路）和交通设施的修建、维修、养护和交通管理工作，并承担一切费用。</w:t>
      </w:r>
    </w:p>
    <w:p w14:paraId="11A17337">
      <w:pPr>
        <w:autoSpaceDE w:val="0"/>
        <w:autoSpaceDN w:val="0"/>
        <w:adjustRightInd w:val="0"/>
        <w:spacing w:line="400" w:lineRule="exact"/>
        <w:ind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68409E24">
      <w:pPr>
        <w:spacing w:line="400" w:lineRule="exact"/>
        <w:ind w:firstLine="482" w:firstLineChars="200"/>
        <w:rPr>
          <w:rFonts w:ascii="宋体" w:hAnsi="宋体" w:cs="宋体"/>
          <w:b/>
          <w:bCs/>
          <w:color w:val="auto"/>
          <w:sz w:val="24"/>
          <w:highlight w:val="none"/>
        </w:rPr>
      </w:pPr>
      <w:bookmarkStart w:id="313" w:name="_Toc351203641"/>
      <w:r>
        <w:rPr>
          <w:rFonts w:hint="eastAsia" w:ascii="宋体" w:hAnsi="宋体" w:cs="宋体"/>
          <w:b/>
          <w:bCs/>
          <w:color w:val="auto"/>
          <w:sz w:val="24"/>
          <w:highlight w:val="none"/>
        </w:rPr>
        <w:t>9</w:t>
      </w:r>
      <w:bookmarkStart w:id="314" w:name="_Toc312678021"/>
      <w:bookmarkStart w:id="315" w:name="_Toc297216192"/>
      <w:bookmarkStart w:id="316" w:name="_Toc312677495"/>
      <w:bookmarkStart w:id="317" w:name="_Toc300934982"/>
      <w:bookmarkStart w:id="318" w:name="_Toc303539139"/>
      <w:bookmarkStart w:id="319" w:name="_Toc297123533"/>
      <w:bookmarkStart w:id="320" w:name="_Toc304295559"/>
      <w:r>
        <w:rPr>
          <w:rFonts w:hint="eastAsia" w:ascii="宋体" w:hAnsi="宋体" w:cs="宋体"/>
          <w:b/>
          <w:bCs/>
          <w:color w:val="auto"/>
          <w:sz w:val="24"/>
          <w:highlight w:val="none"/>
        </w:rPr>
        <w:t>.试验与检验</w:t>
      </w:r>
      <w:bookmarkEnd w:id="313"/>
    </w:p>
    <w:bookmarkEnd w:id="314"/>
    <w:bookmarkEnd w:id="315"/>
    <w:bookmarkEnd w:id="316"/>
    <w:bookmarkEnd w:id="317"/>
    <w:bookmarkEnd w:id="318"/>
    <w:bookmarkEnd w:id="319"/>
    <w:bookmarkEnd w:id="320"/>
    <w:p w14:paraId="3403F83B">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9</w:t>
      </w:r>
      <w:bookmarkStart w:id="321" w:name="_Toc300934983"/>
      <w:bookmarkStart w:id="322" w:name="_Toc304295560"/>
      <w:bookmarkStart w:id="323" w:name="_Toc312678022"/>
      <w:bookmarkStart w:id="324" w:name="_Toc297123534"/>
      <w:bookmarkStart w:id="325" w:name="_Toc312677496"/>
      <w:bookmarkStart w:id="326" w:name="_Toc297216193"/>
      <w:bookmarkStart w:id="327" w:name="_Toc303539140"/>
      <w:r>
        <w:rPr>
          <w:rFonts w:hint="eastAsia" w:ascii="宋体" w:hAnsi="宋体" w:cs="宋体"/>
          <w:color w:val="auto"/>
          <w:sz w:val="24"/>
          <w:highlight w:val="none"/>
        </w:rPr>
        <w:t>.1试验设备与试验人员</w:t>
      </w:r>
    </w:p>
    <w:bookmarkEnd w:id="321"/>
    <w:bookmarkEnd w:id="322"/>
    <w:bookmarkEnd w:id="323"/>
    <w:bookmarkEnd w:id="324"/>
    <w:bookmarkEnd w:id="325"/>
    <w:bookmarkEnd w:id="326"/>
    <w:bookmarkEnd w:id="327"/>
    <w:p w14:paraId="58577AA0">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9.1.2 试验设备</w:t>
      </w:r>
    </w:p>
    <w:p w14:paraId="004F9A98">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施工现场需要配置的试验场所：</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165E1341">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施工现场需要配备的试验设备：</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w:t>
      </w:r>
    </w:p>
    <w:p w14:paraId="3B02AE80">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施工现场需要具备的其他试验条件：</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w:t>
      </w:r>
    </w:p>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14:paraId="3E05C9EA">
      <w:pPr>
        <w:adjustRightInd w:val="0"/>
        <w:spacing w:line="400" w:lineRule="exact"/>
        <w:ind w:firstLine="480" w:firstLineChars="200"/>
        <w:jc w:val="left"/>
        <w:rPr>
          <w:rFonts w:ascii="宋体" w:hAnsi="宋体" w:cs="宋体"/>
          <w:color w:val="auto"/>
          <w:sz w:val="24"/>
          <w:highlight w:val="none"/>
        </w:rPr>
      </w:pPr>
      <w:bookmarkStart w:id="328" w:name="_Toc267251439"/>
      <w:bookmarkStart w:id="329" w:name="_Toc267251433"/>
      <w:bookmarkStart w:id="330" w:name="_Toc267251441"/>
      <w:bookmarkStart w:id="331" w:name="_Toc267251440"/>
      <w:bookmarkStart w:id="332" w:name="_Toc267251435"/>
      <w:bookmarkStart w:id="333" w:name="_Toc267251437"/>
      <w:bookmarkStart w:id="334" w:name="_Toc267251442"/>
      <w:r>
        <w:rPr>
          <w:rFonts w:hint="eastAsia" w:ascii="宋体" w:hAnsi="宋体" w:cs="宋体"/>
          <w:color w:val="auto"/>
          <w:sz w:val="24"/>
          <w:highlight w:val="none"/>
        </w:rPr>
        <w:t xml:space="preserve">9.4 现场工艺试验 </w:t>
      </w:r>
    </w:p>
    <w:p w14:paraId="6C56203C">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现场工艺试验的有关约定：</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w:t>
      </w:r>
    </w:p>
    <w:p w14:paraId="5720A4EB">
      <w:pPr>
        <w:spacing w:line="400" w:lineRule="exact"/>
        <w:ind w:firstLine="482" w:firstLineChars="200"/>
        <w:rPr>
          <w:rFonts w:ascii="宋体" w:hAnsi="宋体" w:cs="宋体"/>
          <w:b/>
          <w:bCs/>
          <w:color w:val="auto"/>
          <w:sz w:val="24"/>
          <w:highlight w:val="none"/>
        </w:rPr>
      </w:pPr>
      <w:bookmarkStart w:id="335" w:name="_Toc351203642"/>
      <w:r>
        <w:rPr>
          <w:rFonts w:hint="eastAsia" w:ascii="宋体" w:hAnsi="宋体" w:cs="宋体"/>
          <w:b/>
          <w:bCs/>
          <w:color w:val="auto"/>
          <w:sz w:val="24"/>
          <w:highlight w:val="none"/>
        </w:rPr>
        <w:t>1</w:t>
      </w:r>
      <w:bookmarkStart w:id="336" w:name="_Toc297216199"/>
      <w:bookmarkStart w:id="337" w:name="_Toc292559903"/>
      <w:bookmarkStart w:id="338" w:name="_Toc303539146"/>
      <w:bookmarkStart w:id="339" w:name="_Toc304295566"/>
      <w:bookmarkStart w:id="340" w:name="_Toc297048379"/>
      <w:bookmarkStart w:id="341" w:name="_Toc296347192"/>
      <w:bookmarkStart w:id="342" w:name="_Toc296891233"/>
      <w:bookmarkStart w:id="343" w:name="_Toc296891021"/>
      <w:bookmarkStart w:id="344" w:name="_Toc296346694"/>
      <w:bookmarkStart w:id="345" w:name="_Toc297123540"/>
      <w:bookmarkStart w:id="346" w:name="_Toc292559398"/>
      <w:bookmarkStart w:id="347" w:name="_Toc296944532"/>
      <w:bookmarkStart w:id="348" w:name="_Toc296503193"/>
      <w:bookmarkStart w:id="349" w:name="_Toc300934989"/>
      <w:bookmarkStart w:id="350" w:name="_Toc297120493"/>
      <w:bookmarkStart w:id="351" w:name="_Toc312678025"/>
      <w:bookmarkStart w:id="352" w:name="_Toc312677499"/>
      <w:r>
        <w:rPr>
          <w:rFonts w:hint="eastAsia" w:ascii="宋体" w:hAnsi="宋体" w:cs="宋体"/>
          <w:b/>
          <w:bCs/>
          <w:color w:val="auto"/>
          <w:sz w:val="24"/>
          <w:highlight w:val="none"/>
        </w:rPr>
        <w:t>0.变更</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bookmarkEnd w:id="351"/>
    <w:bookmarkEnd w:id="352"/>
    <w:p w14:paraId="00F06975">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10.1变更的范围</w:t>
      </w:r>
    </w:p>
    <w:p w14:paraId="18003A8B">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关于变更的范围的约定：</w:t>
      </w:r>
      <w:r>
        <w:rPr>
          <w:rFonts w:hint="eastAsia" w:ascii="宋体" w:hAnsi="宋体" w:cs="宋体"/>
          <w:color w:val="auto"/>
          <w:sz w:val="24"/>
          <w:highlight w:val="none"/>
          <w:u w:val="single"/>
        </w:rPr>
        <w:t>工程设计变更，工程联系单确认变更</w:t>
      </w:r>
      <w:r>
        <w:rPr>
          <w:rFonts w:hint="eastAsia" w:ascii="宋体" w:hAnsi="宋体" w:cs="宋体"/>
          <w:color w:val="auto"/>
          <w:sz w:val="24"/>
          <w:highlight w:val="none"/>
        </w:rPr>
        <w:t>。</w:t>
      </w:r>
    </w:p>
    <w:p w14:paraId="587A63D2">
      <w:pPr>
        <w:adjustRightIn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单项变更金额超过合同价5%或累计变更超过合同价10%时，承包人需先行垫付实施，待财政评审后方可纳入付款范围。</w:t>
      </w:r>
    </w:p>
    <w:p w14:paraId="139A2342">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10.4 变更估价</w:t>
      </w:r>
    </w:p>
    <w:p w14:paraId="7BA17464">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10.4.1 变更估价原则</w:t>
      </w:r>
    </w:p>
    <w:p w14:paraId="172D0DD8">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10.4.1.1关于变更估价的约定：承包人在工程变更确定后14天内，提出变更工程价款的报告，经工程师确认后调整合同价款。变更合同价款按下列方法进行：</w:t>
      </w:r>
    </w:p>
    <w:p w14:paraId="3B943E62">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（1）合同中已有适用于变更工程的价格，按合同已有的价格变更合同价款；</w:t>
      </w:r>
    </w:p>
    <w:p w14:paraId="55F657CB">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（2）合同中只有类似于变更工程的价格，可以参照类似价格变更合同价款；</w:t>
      </w:r>
    </w:p>
    <w:p w14:paraId="6BE4B964">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合同中没有适用或类似于变更工程的价格，则有定额的套定额计算（土石方除外），执行本工程竞标报价的计算及结算依据并乘以下浮系数（成交价/工程预算控制价）计算，其中材料价格有信息价的按施工期间的信息价进行计算，无信息的按市场价；新增项目无定额可套时，材料价格按施工期间梧州市建设工程造价信息价下浮8%计算，由发包人、承包人及监理根据市场价格协商确定。</w:t>
      </w:r>
    </w:p>
    <w:p w14:paraId="2AD17966">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10.4.1.2承包人在双方确定变更后14天内不向工程师提出变更工程价款报告时，视为该项变更不涉及合同价款的变更。</w:t>
      </w:r>
    </w:p>
    <w:p w14:paraId="7B52D6C1">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10.4.1.3工程师应在收到变更工程价款报告之日起14天内予以确认，工程师无正当理由不确认时，自变更工程价款报告送达之日起14天后视为变更工程价款报告已被确认。</w:t>
      </w:r>
    </w:p>
    <w:p w14:paraId="281853A4">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10.4.1.4工程师不同意承包人提出的变更价款，按本通用条款第37条关于争议的约定处理。</w:t>
      </w:r>
    </w:p>
    <w:p w14:paraId="58861320">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10.4.1.5工程师确认增加的工程变更价款作为追加合同价款，与工程款同期支付。</w:t>
      </w:r>
    </w:p>
    <w:p w14:paraId="28FEDF33">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10.4.1.6因承包人自身原因导致的工程变更，承包人无权要求追加合同价款。</w:t>
      </w:r>
    </w:p>
    <w:p w14:paraId="48BC7F31">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bookmarkStart w:id="353" w:name="_Toc296503197"/>
      <w:bookmarkStart w:id="354" w:name="_Toc296346698"/>
      <w:bookmarkStart w:id="355" w:name="_Toc300934993"/>
      <w:bookmarkStart w:id="356" w:name="_Toc297120497"/>
      <w:bookmarkStart w:id="357" w:name="_Toc297216203"/>
      <w:bookmarkStart w:id="358" w:name="_Toc296891237"/>
      <w:bookmarkStart w:id="359" w:name="_Toc292559402"/>
      <w:bookmarkStart w:id="360" w:name="_Toc296891025"/>
      <w:bookmarkStart w:id="361" w:name="_Toc296347196"/>
      <w:bookmarkStart w:id="362" w:name="_Toc292559907"/>
      <w:bookmarkStart w:id="363" w:name="_Toc297123544"/>
      <w:bookmarkStart w:id="364" w:name="_Toc296944536"/>
      <w:bookmarkStart w:id="365" w:name="_Toc297048383"/>
      <w:bookmarkStart w:id="366" w:name="_Toc303539150"/>
      <w:bookmarkStart w:id="367" w:name="_Toc312677503"/>
      <w:bookmarkStart w:id="368" w:name="_Toc312678029"/>
      <w:bookmarkStart w:id="369" w:name="_Toc304295570"/>
      <w:r>
        <w:rPr>
          <w:rFonts w:hint="eastAsia" w:ascii="宋体" w:hAnsi="宋体" w:cs="宋体"/>
          <w:color w:val="auto"/>
          <w:sz w:val="24"/>
          <w:highlight w:val="none"/>
        </w:rPr>
        <w:t>0.5承</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Start w:id="370" w:name="_Toc297120503"/>
      <w:bookmarkStart w:id="371" w:name="_Toc296891031"/>
      <w:bookmarkStart w:id="372" w:name="_Toc292559913"/>
      <w:bookmarkStart w:id="373" w:name="_Toc297216204"/>
      <w:bookmarkStart w:id="374" w:name="_Toc297048389"/>
      <w:bookmarkStart w:id="375" w:name="_Toc292559408"/>
      <w:bookmarkStart w:id="376" w:name="_Toc296346704"/>
      <w:bookmarkStart w:id="377" w:name="_Toc296891243"/>
      <w:bookmarkStart w:id="378" w:name="_Toc296347202"/>
      <w:bookmarkStart w:id="379" w:name="_Toc300934994"/>
      <w:bookmarkStart w:id="380" w:name="_Toc297123545"/>
      <w:bookmarkStart w:id="381" w:name="_Toc296944542"/>
      <w:bookmarkStart w:id="382" w:name="_Toc303539151"/>
      <w:bookmarkStart w:id="383" w:name="_Toc296503203"/>
      <w:r>
        <w:rPr>
          <w:rFonts w:hint="eastAsia" w:ascii="宋体" w:hAnsi="宋体" w:cs="宋体"/>
          <w:color w:val="auto"/>
          <w:sz w:val="24"/>
          <w:highlight w:val="none"/>
        </w:rPr>
        <w:t>包人的合理化建议</w:t>
      </w:r>
    </w:p>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14:paraId="15A0D126">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监理人审查承包人合理化建议的期限：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4EF1987">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发包人审批承包人合理化建议的期限：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1B4DBA90">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承</w:t>
      </w:r>
      <w:bookmarkStart w:id="384" w:name="_Toc296944543"/>
      <w:bookmarkStart w:id="385" w:name="_Toc304295571"/>
      <w:bookmarkStart w:id="386" w:name="_Toc297120504"/>
      <w:bookmarkStart w:id="387" w:name="_Toc292559409"/>
      <w:bookmarkStart w:id="388" w:name="_Toc303539152"/>
      <w:bookmarkStart w:id="389" w:name="_Toc296346705"/>
      <w:bookmarkStart w:id="390" w:name="_Toc297048390"/>
      <w:bookmarkStart w:id="391" w:name="_Toc296503204"/>
      <w:bookmarkStart w:id="392" w:name="_Toc296347203"/>
      <w:bookmarkStart w:id="393" w:name="_Toc297216205"/>
      <w:bookmarkStart w:id="394" w:name="_Toc296891032"/>
      <w:bookmarkStart w:id="395" w:name="_Toc312678030"/>
      <w:bookmarkStart w:id="396" w:name="_Toc300934995"/>
      <w:bookmarkStart w:id="397" w:name="_Toc318581175"/>
      <w:bookmarkStart w:id="398" w:name="_Toc292559914"/>
      <w:bookmarkStart w:id="399" w:name="_Toc296891244"/>
      <w:bookmarkStart w:id="400" w:name="_Toc312677504"/>
      <w:bookmarkStart w:id="401" w:name="_Toc297123546"/>
      <w:r>
        <w:rPr>
          <w:rFonts w:hint="eastAsia" w:ascii="宋体" w:hAnsi="宋体" w:cs="宋体"/>
          <w:color w:val="auto"/>
          <w:sz w:val="24"/>
          <w:highlight w:val="none"/>
        </w:rPr>
        <w:t>包人提出的合理化建议降低了合同价格或者提高了工程经济效益的奖励的方法和金额为：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14:paraId="295AD48F">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bookmarkStart w:id="402" w:name="_Toc297048385"/>
      <w:bookmarkStart w:id="403" w:name="_Toc296503199"/>
      <w:bookmarkStart w:id="404" w:name="_Toc297216207"/>
      <w:bookmarkStart w:id="405" w:name="_Toc296347198"/>
      <w:bookmarkStart w:id="406" w:name="_Toc297120499"/>
      <w:bookmarkStart w:id="407" w:name="_Toc296944538"/>
      <w:bookmarkStart w:id="408" w:name="_Toc300934997"/>
      <w:bookmarkStart w:id="409" w:name="_Toc292559909"/>
      <w:bookmarkStart w:id="410" w:name="_Toc312677507"/>
      <w:bookmarkStart w:id="411" w:name="_Toc312678033"/>
      <w:bookmarkStart w:id="412" w:name="_Toc303539154"/>
      <w:bookmarkStart w:id="413" w:name="_Toc304295574"/>
      <w:bookmarkStart w:id="414" w:name="_Toc296346700"/>
      <w:bookmarkStart w:id="415" w:name="_Toc292559404"/>
      <w:bookmarkStart w:id="416" w:name="_Toc296891239"/>
      <w:bookmarkStart w:id="417" w:name="_Toc296891027"/>
      <w:bookmarkStart w:id="418" w:name="_Toc297123548"/>
      <w:r>
        <w:rPr>
          <w:rFonts w:hint="eastAsia" w:ascii="宋体" w:hAnsi="宋体" w:cs="宋体"/>
          <w:color w:val="auto"/>
          <w:sz w:val="24"/>
          <w:highlight w:val="none"/>
        </w:rPr>
        <w:t>0.7 暂估价</w:t>
      </w:r>
    </w:p>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14:paraId="1081CC57">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暂</w:t>
      </w:r>
      <w:bookmarkStart w:id="419" w:name="_Toc312677508"/>
      <w:bookmarkStart w:id="420" w:name="_Toc312678034"/>
      <w:bookmarkStart w:id="421" w:name="_Toc318581176"/>
      <w:r>
        <w:rPr>
          <w:rFonts w:hint="eastAsia" w:ascii="宋体" w:hAnsi="宋体" w:cs="宋体"/>
          <w:color w:val="auto"/>
          <w:sz w:val="24"/>
          <w:highlight w:val="none"/>
        </w:rPr>
        <w:t>估价材料和工程设备的明细详见附件11：《暂估价一览表》。</w:t>
      </w:r>
    </w:p>
    <w:bookmarkEnd w:id="419"/>
    <w:bookmarkEnd w:id="420"/>
    <w:bookmarkEnd w:id="421"/>
    <w:p w14:paraId="6CA4524B">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bookmarkStart w:id="422" w:name="_Toc312677509"/>
      <w:bookmarkStart w:id="423" w:name="_Toc312678035"/>
      <w:bookmarkStart w:id="424" w:name="_Toc318581177"/>
      <w:r>
        <w:rPr>
          <w:rFonts w:hint="eastAsia" w:ascii="宋体" w:hAnsi="宋体" w:cs="宋体"/>
          <w:color w:val="auto"/>
          <w:sz w:val="24"/>
          <w:highlight w:val="none"/>
        </w:rPr>
        <w:t>0.7.1 依法必须招标的暂估价项目</w:t>
      </w:r>
    </w:p>
    <w:bookmarkEnd w:id="422"/>
    <w:bookmarkEnd w:id="423"/>
    <w:bookmarkEnd w:id="424"/>
    <w:p w14:paraId="4BD1438C">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对于依法必须招标的暂估价项目的确认和批准采取第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种方式确定。</w:t>
      </w:r>
    </w:p>
    <w:p w14:paraId="2752E393">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10.7.2 不属于依法必须招标的暂估价项目</w:t>
      </w:r>
    </w:p>
    <w:p w14:paraId="210936A6">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对于不属于依法必须招标的暂估价项目的确认和批准采取第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种方式确定。</w:t>
      </w:r>
    </w:p>
    <w:p w14:paraId="34C3DDE6">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第3种方式：承包人直接实施的暂估价项目</w:t>
      </w:r>
    </w:p>
    <w:p w14:paraId="05DE0A51">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承包人直接实施的暂估价项目的约定：</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2E5403A">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10.8 暂列金额</w:t>
      </w:r>
    </w:p>
    <w:p w14:paraId="772F67DC">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合同当事人关于暂列金额使用的约定：</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48EE97B">
      <w:pPr>
        <w:spacing w:line="400" w:lineRule="exact"/>
        <w:ind w:firstLine="480" w:firstLineChars="200"/>
        <w:rPr>
          <w:rFonts w:hint="eastAsia" w:ascii="宋体" w:hAnsi="宋体" w:eastAsia="宋体" w:cs="宋体"/>
          <w:b w:val="0"/>
          <w:bCs w:val="0"/>
          <w:color w:val="auto"/>
          <w:sz w:val="24"/>
          <w:highlight w:val="none"/>
          <w:lang w:eastAsia="zh-CN"/>
        </w:rPr>
      </w:pPr>
      <w:bookmarkStart w:id="425" w:name="_Toc351203643"/>
      <w:r>
        <w:rPr>
          <w:rFonts w:hint="eastAsia" w:ascii="宋体" w:hAnsi="宋体" w:cs="宋体"/>
          <w:b w:val="0"/>
          <w:bCs w:val="0"/>
          <w:color w:val="auto"/>
          <w:sz w:val="24"/>
          <w:highlight w:val="none"/>
        </w:rPr>
        <w:t>最终结算价以财政审计部门审定金额为准，审计核减率超过5%部分的审计费用由承包人承担</w:t>
      </w:r>
      <w:r>
        <w:rPr>
          <w:rFonts w:hint="eastAsia" w:ascii="宋体" w:hAnsi="宋体" w:cs="宋体"/>
          <w:b w:val="0"/>
          <w:bCs w:val="0"/>
          <w:color w:val="auto"/>
          <w:sz w:val="24"/>
          <w:highlight w:val="none"/>
          <w:lang w:eastAsia="zh-CN"/>
        </w:rPr>
        <w:t>。</w:t>
      </w:r>
    </w:p>
    <w:p w14:paraId="71749A0E">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11.价格调整</w:t>
      </w:r>
      <w:bookmarkEnd w:id="425"/>
    </w:p>
    <w:p w14:paraId="28961F1A">
      <w:pPr>
        <w:adjustRightInd w:val="0"/>
        <w:spacing w:line="400" w:lineRule="exact"/>
        <w:ind w:firstLine="480" w:firstLineChars="200"/>
        <w:jc w:val="left"/>
        <w:rPr>
          <w:rFonts w:ascii="宋体" w:hAnsi="宋体" w:cs="宋体"/>
          <w:color w:val="auto"/>
          <w:sz w:val="24"/>
          <w:highlight w:val="none"/>
        </w:rPr>
      </w:pPr>
      <w:bookmarkStart w:id="426" w:name="_Toc297048387"/>
      <w:bookmarkStart w:id="427" w:name="_Toc296347200"/>
      <w:bookmarkStart w:id="428" w:name="_Toc312678039"/>
      <w:bookmarkStart w:id="429" w:name="_Toc297123550"/>
      <w:bookmarkStart w:id="430" w:name="_Toc296503201"/>
      <w:bookmarkStart w:id="431" w:name="_Toc297120501"/>
      <w:bookmarkStart w:id="432" w:name="_Toc292559911"/>
      <w:bookmarkStart w:id="433" w:name="_Toc296346702"/>
      <w:bookmarkStart w:id="434" w:name="_Toc304295577"/>
      <w:bookmarkStart w:id="435" w:name="_Toc300935000"/>
      <w:bookmarkStart w:id="436" w:name="_Toc303539157"/>
      <w:bookmarkStart w:id="437" w:name="_Toc297216209"/>
      <w:bookmarkStart w:id="438" w:name="_Toc296891241"/>
      <w:bookmarkStart w:id="439" w:name="_Toc296891029"/>
      <w:bookmarkStart w:id="440" w:name="_Toc296944540"/>
      <w:bookmarkStart w:id="441" w:name="_Toc292559406"/>
      <w:r>
        <w:rPr>
          <w:rFonts w:hint="eastAsia" w:ascii="宋体" w:hAnsi="宋体" w:cs="宋体"/>
          <w:color w:val="auto"/>
          <w:sz w:val="24"/>
          <w:highlight w:val="none"/>
        </w:rPr>
        <w:t>11.1 市场价格波动引起的调整</w:t>
      </w:r>
    </w:p>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14:paraId="2B7F7C14">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市场价格波动是否调整合同价格的约定：</w:t>
      </w:r>
      <w:bookmarkEnd w:id="328"/>
      <w:bookmarkEnd w:id="329"/>
      <w:bookmarkEnd w:id="330"/>
      <w:bookmarkEnd w:id="331"/>
      <w:bookmarkEnd w:id="332"/>
      <w:bookmarkEnd w:id="333"/>
      <w:bookmarkEnd w:id="334"/>
      <w:r>
        <w:rPr>
          <w:rFonts w:hint="eastAsia" w:ascii="宋体" w:hAnsi="宋体" w:cs="宋体"/>
          <w:color w:val="auto"/>
          <w:sz w:val="24"/>
          <w:highlight w:val="none"/>
          <w:u w:val="single"/>
        </w:rPr>
        <w:t>不可调价</w:t>
      </w:r>
      <w:r>
        <w:rPr>
          <w:rFonts w:hint="eastAsia" w:ascii="宋体" w:hAnsi="宋体" w:cs="宋体"/>
          <w:color w:val="auto"/>
          <w:sz w:val="24"/>
          <w:highlight w:val="none"/>
        </w:rPr>
        <w:t>。</w:t>
      </w:r>
    </w:p>
    <w:p w14:paraId="7735D6BC">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因市场价格波动调整合同价格，采用以下第</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种方式对合同价格进行调整：</w:t>
      </w:r>
    </w:p>
    <w:p w14:paraId="2D400EAA">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第1种方式：</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2A1F160F">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关于各可调因子、定值和变值权重，以及基本价格指数及其来源的约定：</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 xml:space="preserve">；  </w:t>
      </w:r>
    </w:p>
    <w:p w14:paraId="26002953">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第2种方式：</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60624A31">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（2）关于基准价格的约定：</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398DA5B0">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%时，或材料单价跌幅以已标价工程量清单或预算书中载明材料单价为基础超过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%时，其超过部分据实调整。</w:t>
      </w:r>
    </w:p>
    <w:p w14:paraId="4EBA6867">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②承包人在已标价工程量清单或预算书中载明的材料单价高于基准价格的：专用合同条款合同履行期间材料单价跌幅以基准价格为基础超过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%时，材料单价涨幅以已标价工程量清单或预算书中载明材料单价为基础超过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%时，其超过部分据实调整。</w:t>
      </w:r>
    </w:p>
    <w:p w14:paraId="2B8E2247">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③承包人在已标价工程量清单或预算书中载明的材料单价等于基准单价的：专用合同条款合同履行期间材料单价涨跌幅以基准单价为基础超过±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%时，其超过部分据实调整。</w:t>
      </w:r>
    </w:p>
    <w:p w14:paraId="58B95378">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第3种方式：其他价格调整方式：</w:t>
      </w:r>
      <w:r>
        <w:rPr>
          <w:rFonts w:hint="eastAsia" w:ascii="宋体" w:hAnsi="宋体" w:cs="宋体"/>
          <w:color w:val="auto"/>
          <w:sz w:val="24"/>
          <w:highlight w:val="none"/>
          <w:u w:val="single"/>
        </w:rPr>
        <w:t xml:space="preserve"> 无</w:t>
      </w:r>
      <w:r>
        <w:rPr>
          <w:rFonts w:hint="eastAsia" w:ascii="宋体" w:hAnsi="宋体" w:cs="宋体"/>
          <w:color w:val="auto"/>
          <w:sz w:val="24"/>
          <w:highlight w:val="none"/>
        </w:rPr>
        <w:t xml:space="preserve"> 。</w:t>
      </w:r>
    </w:p>
    <w:p w14:paraId="399A55D2">
      <w:pPr>
        <w:spacing w:line="400" w:lineRule="exact"/>
        <w:ind w:firstLine="482" w:firstLineChars="200"/>
        <w:rPr>
          <w:rFonts w:ascii="宋体" w:hAnsi="宋体" w:cs="宋体"/>
          <w:b/>
          <w:bCs/>
          <w:color w:val="auto"/>
          <w:sz w:val="24"/>
          <w:highlight w:val="none"/>
        </w:rPr>
      </w:pPr>
      <w:bookmarkStart w:id="442" w:name="_Toc297048391"/>
      <w:bookmarkStart w:id="443" w:name="_Toc296891033"/>
      <w:bookmarkStart w:id="444" w:name="_Toc296944544"/>
      <w:bookmarkStart w:id="445" w:name="_Toc292559410"/>
      <w:bookmarkStart w:id="446" w:name="_Toc296891245"/>
      <w:bookmarkStart w:id="447" w:name="_Toc292559915"/>
      <w:bookmarkStart w:id="448" w:name="_Toc296346706"/>
      <w:bookmarkStart w:id="449" w:name="_Toc296503205"/>
      <w:bookmarkStart w:id="450" w:name="_Toc296347204"/>
      <w:bookmarkStart w:id="451" w:name="_Toc297120505"/>
      <w:bookmarkStart w:id="452" w:name="_Toc351203644"/>
      <w:bookmarkStart w:id="453" w:name="_Toc312678040"/>
      <w:bookmarkStart w:id="454" w:name="_Toc303539159"/>
      <w:bookmarkStart w:id="455" w:name="_Toc300935002"/>
      <w:bookmarkStart w:id="456" w:name="_Toc297216211"/>
      <w:bookmarkStart w:id="457" w:name="_Toc297123552"/>
      <w:bookmarkStart w:id="458" w:name="_Toc304295579"/>
      <w:r>
        <w:rPr>
          <w:rFonts w:hint="eastAsia" w:ascii="宋体" w:hAnsi="宋体" w:cs="宋体"/>
          <w:b/>
          <w:bCs/>
          <w:color w:val="auto"/>
          <w:sz w:val="24"/>
          <w:highlight w:val="none"/>
        </w:rPr>
        <w:t>12</w:t>
      </w:r>
      <w:bookmarkEnd w:id="442"/>
      <w:bookmarkEnd w:id="443"/>
      <w:bookmarkEnd w:id="444"/>
      <w:bookmarkEnd w:id="445"/>
      <w:bookmarkEnd w:id="446"/>
      <w:bookmarkEnd w:id="447"/>
      <w:bookmarkEnd w:id="448"/>
      <w:bookmarkEnd w:id="449"/>
      <w:bookmarkEnd w:id="450"/>
      <w:bookmarkEnd w:id="451"/>
      <w:r>
        <w:rPr>
          <w:rFonts w:hint="eastAsia" w:ascii="宋体" w:hAnsi="宋体" w:cs="宋体"/>
          <w:b/>
          <w:bCs/>
          <w:color w:val="auto"/>
          <w:sz w:val="24"/>
          <w:highlight w:val="none"/>
        </w:rPr>
        <w:t>.合同价格、计量与支付</w:t>
      </w:r>
      <w:bookmarkEnd w:id="452"/>
    </w:p>
    <w:bookmarkEnd w:id="453"/>
    <w:bookmarkEnd w:id="454"/>
    <w:bookmarkEnd w:id="455"/>
    <w:bookmarkEnd w:id="456"/>
    <w:bookmarkEnd w:id="457"/>
    <w:bookmarkEnd w:id="458"/>
    <w:p w14:paraId="5CBBE048">
      <w:pPr>
        <w:adjustRightInd w:val="0"/>
        <w:spacing w:line="400" w:lineRule="exact"/>
        <w:ind w:firstLine="480" w:firstLineChars="200"/>
        <w:jc w:val="left"/>
        <w:rPr>
          <w:rFonts w:ascii="宋体" w:hAnsi="宋体" w:cs="宋体"/>
          <w:color w:val="auto"/>
          <w:sz w:val="24"/>
          <w:highlight w:val="none"/>
        </w:rPr>
      </w:pPr>
      <w:bookmarkStart w:id="459" w:name="_Toc292559916"/>
      <w:bookmarkStart w:id="460" w:name="_Toc267251461"/>
      <w:bookmarkStart w:id="461" w:name="_Toc292559411"/>
      <w:bookmarkStart w:id="462" w:name="_Toc297120506"/>
      <w:bookmarkStart w:id="463" w:name="_Toc296503206"/>
      <w:bookmarkStart w:id="464" w:name="_Toc296347205"/>
      <w:bookmarkStart w:id="465" w:name="_Toc296944545"/>
      <w:bookmarkStart w:id="466" w:name="_Toc297048392"/>
      <w:bookmarkStart w:id="467" w:name="_Toc296891246"/>
      <w:bookmarkStart w:id="468" w:name="_Toc296891034"/>
      <w:bookmarkStart w:id="469" w:name="_Toc296346707"/>
      <w:bookmarkStart w:id="470" w:name="_Toc304295580"/>
      <w:bookmarkStart w:id="471" w:name="_Toc297216212"/>
      <w:bookmarkStart w:id="472" w:name="_Toc297123553"/>
      <w:bookmarkStart w:id="473" w:name="_Toc300935003"/>
      <w:bookmarkStart w:id="474" w:name="_Toc312678041"/>
      <w:bookmarkStart w:id="475" w:name="_Toc303539160"/>
      <w:r>
        <w:rPr>
          <w:rFonts w:hint="eastAsia" w:ascii="宋体" w:hAnsi="宋体" w:cs="宋体"/>
          <w:color w:val="auto"/>
          <w:sz w:val="24"/>
          <w:highlight w:val="none"/>
        </w:rPr>
        <w:t>12.1 合</w:t>
      </w:r>
      <w:bookmarkEnd w:id="459"/>
      <w:bookmarkEnd w:id="460"/>
      <w:bookmarkEnd w:id="461"/>
      <w:r>
        <w:rPr>
          <w:rFonts w:hint="eastAsia" w:ascii="宋体" w:hAnsi="宋体" w:cs="宋体"/>
          <w:color w:val="auto"/>
          <w:sz w:val="24"/>
          <w:highlight w:val="none"/>
        </w:rPr>
        <w:t>同价</w:t>
      </w:r>
      <w:bookmarkEnd w:id="462"/>
      <w:bookmarkEnd w:id="463"/>
      <w:bookmarkEnd w:id="464"/>
      <w:bookmarkEnd w:id="465"/>
      <w:bookmarkEnd w:id="466"/>
      <w:bookmarkEnd w:id="467"/>
      <w:bookmarkEnd w:id="468"/>
      <w:bookmarkEnd w:id="469"/>
      <w:r>
        <w:rPr>
          <w:rFonts w:hint="eastAsia" w:ascii="宋体" w:hAnsi="宋体" w:cs="宋体"/>
          <w:color w:val="auto"/>
          <w:sz w:val="24"/>
          <w:highlight w:val="none"/>
        </w:rPr>
        <w:t>格形式</w:t>
      </w:r>
    </w:p>
    <w:bookmarkEnd w:id="470"/>
    <w:bookmarkEnd w:id="471"/>
    <w:bookmarkEnd w:id="472"/>
    <w:bookmarkEnd w:id="473"/>
    <w:bookmarkEnd w:id="474"/>
    <w:bookmarkEnd w:id="475"/>
    <w:p w14:paraId="6BDA3BFC">
      <w:pPr>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本工程采用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合同价格形式。本工程计价时采用的增值税计税方法为：一般计税法。</w:t>
      </w:r>
    </w:p>
    <w:p w14:paraId="54A495AC">
      <w:pPr>
        <w:spacing w:line="400" w:lineRule="exact"/>
        <w:ind w:firstLine="480" w:firstLineChars="200"/>
        <w:jc w:val="left"/>
        <w:rPr>
          <w:rFonts w:ascii="宋体" w:hAnsi="宋体" w:cs="宋体"/>
          <w:color w:val="auto"/>
          <w:sz w:val="24"/>
          <w:highlight w:val="none"/>
        </w:rPr>
      </w:pPr>
      <w:bookmarkStart w:id="476" w:name="_Toc300935004"/>
      <w:bookmarkStart w:id="477" w:name="_Toc297123554"/>
      <w:bookmarkStart w:id="478" w:name="_Toc312678042"/>
      <w:bookmarkStart w:id="479" w:name="_Toc303539161"/>
      <w:bookmarkStart w:id="480" w:name="_Toc297216213"/>
      <w:bookmarkStart w:id="481" w:name="_Toc304295581"/>
      <w:bookmarkStart w:id="482" w:name="_Toc296503207"/>
      <w:bookmarkStart w:id="483" w:name="_Toc292559917"/>
      <w:bookmarkStart w:id="484" w:name="_Toc296346708"/>
      <w:bookmarkStart w:id="485" w:name="_Toc296891247"/>
      <w:bookmarkStart w:id="486" w:name="_Toc297048393"/>
      <w:bookmarkStart w:id="487" w:name="_Toc296347206"/>
      <w:bookmarkStart w:id="488" w:name="_Toc292559412"/>
      <w:bookmarkStart w:id="489" w:name="_Toc296944546"/>
      <w:bookmarkStart w:id="490" w:name="_Toc297120507"/>
      <w:bookmarkStart w:id="491" w:name="_Toc296891035"/>
      <w:r>
        <w:rPr>
          <w:rFonts w:hint="eastAsia" w:ascii="宋体" w:hAnsi="宋体" w:cs="宋体"/>
          <w:color w:val="auto"/>
          <w:sz w:val="24"/>
          <w:highlight w:val="none"/>
        </w:rPr>
        <w:t>（1）单价合同。</w:t>
      </w:r>
    </w:p>
    <w:p w14:paraId="6FF788A7">
      <w:pPr>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采用综合单价合同方式时，工程量按建设单位、监理单位、施工单位三方确认的竣工图结算。</w:t>
      </w:r>
    </w:p>
    <w:p w14:paraId="6C0021FF">
      <w:pPr>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综合单价包含的风险范围：除工程变更、项目特征不符、工程量清单缺项、工程量偏差、政策性调整、本工程《承包人提供主要材料和设备一览表》中约定的材料和设备价格变动风险以外的其他风险因素。</w:t>
      </w:r>
    </w:p>
    <w:p w14:paraId="72B9066D">
      <w:pPr>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风险范围以外合同价格的调整方法：</w:t>
      </w:r>
    </w:p>
    <w:p w14:paraId="144D6EB5">
      <w:pPr>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①工程变更、项目特征不符、工程量清单缺项：按10.4.1变更估价原则的约定调整。</w:t>
      </w:r>
    </w:p>
    <w:p w14:paraId="76CE79D9">
      <w:pPr>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②工程量偏差：按1.13工程量清单错误修正的约定调整。</w:t>
      </w:r>
    </w:p>
    <w:p w14:paraId="655CE2FE">
      <w:pPr>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③政策性调整：按自治区住房城乡建设厅或工程所在地住房城乡建设主管部门颁布的文件执行。</w:t>
      </w:r>
    </w:p>
    <w:p w14:paraId="1E57FA46">
      <w:pPr>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④材料价格风险：按11.1的约定调整。</w:t>
      </w:r>
    </w:p>
    <w:p w14:paraId="366C50C8">
      <w:pPr>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⑤其它：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40EC3D8">
      <w:pPr>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（2）总价合同。</w:t>
      </w:r>
    </w:p>
    <w:p w14:paraId="61262059">
      <w:pPr>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总价包含的风险范围：包含除工程变更、政策性调整、</w:t>
      </w:r>
      <w:r>
        <w:rPr>
          <w:rFonts w:hint="eastAsia" w:ascii="宋体" w:hAnsi="宋体" w:cs="宋体"/>
          <w:color w:val="auto"/>
          <w:sz w:val="24"/>
          <w:highlight w:val="none"/>
          <w:u w:val="single"/>
        </w:rPr>
        <w:t>本工程《承包人提供主要材料和设备一览表》中约定的材料和设备价格变动风险以外的其他风险。除工程变更外，结算时不再对招标施工图对应的工程量重新计量</w:t>
      </w:r>
      <w:r>
        <w:rPr>
          <w:rFonts w:hint="eastAsia" w:ascii="宋体" w:hAnsi="宋体" w:cs="宋体"/>
          <w:color w:val="auto"/>
          <w:sz w:val="24"/>
          <w:highlight w:val="none"/>
        </w:rPr>
        <w:t>。</w:t>
      </w:r>
    </w:p>
    <w:p w14:paraId="054A7F43">
      <w:pPr>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风险范围以外合同价格的调整方法：</w:t>
      </w:r>
    </w:p>
    <w:p w14:paraId="26007AB8">
      <w:pPr>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①工程变更：按10.4.1变更估价原则的约定调整。</w:t>
      </w:r>
    </w:p>
    <w:p w14:paraId="6BD1D7F6">
      <w:pPr>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②政策性调整：按自治区住房城乡建设厅或工程所在地住房城乡建设主管部门颁布的文件执行。</w:t>
      </w:r>
    </w:p>
    <w:p w14:paraId="6F0AE5A4">
      <w:pPr>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③材料价格风险：按11.1的约定调整。</w:t>
      </w:r>
    </w:p>
    <w:p w14:paraId="27B195F8">
      <w:pPr>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4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④</w:t>
      </w:r>
      <w:r>
        <w:rPr>
          <w:rFonts w:hint="eastAsia" w:ascii="宋体" w:hAnsi="宋体" w:cs="宋体"/>
          <w:color w:val="auto"/>
          <w:sz w:val="24"/>
          <w:highlight w:val="none"/>
        </w:rPr>
        <w:fldChar w:fldCharType="end"/>
      </w:r>
      <w:r>
        <w:rPr>
          <w:rFonts w:hint="eastAsia" w:ascii="宋体" w:hAnsi="宋体" w:cs="宋体"/>
          <w:color w:val="auto"/>
          <w:sz w:val="24"/>
          <w:highlight w:val="none"/>
        </w:rPr>
        <w:t>其它：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F5D5A05">
      <w:pPr>
        <w:numPr>
          <w:ilvl w:val="0"/>
          <w:numId w:val="3"/>
        </w:num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其他价格方式：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AAB7D85">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12.2 预付款 </w:t>
      </w:r>
    </w:p>
    <w:bookmarkEnd w:id="476"/>
    <w:bookmarkEnd w:id="477"/>
    <w:bookmarkEnd w:id="478"/>
    <w:bookmarkEnd w:id="479"/>
    <w:bookmarkEnd w:id="480"/>
    <w:bookmarkEnd w:id="481"/>
    <w:p w14:paraId="68FB38CE">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12.2.1 预付款的支付</w:t>
      </w:r>
    </w:p>
    <w:p w14:paraId="370E3157">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预付款支付比例或金额：</w:t>
      </w:r>
      <w:r>
        <w:rPr>
          <w:rFonts w:hint="eastAsia" w:ascii="宋体" w:hAnsi="宋体" w:cs="宋体"/>
          <w:color w:val="auto"/>
          <w:sz w:val="24"/>
          <w:highlight w:val="none"/>
          <w:u w:val="single"/>
        </w:rPr>
        <w:t>合同金额的</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rPr>
        <w:t>。</w:t>
      </w:r>
    </w:p>
    <w:p w14:paraId="436E1AF4">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预付款支付期限：</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0851A770">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预付款扣回的方式：</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0BC18C6B">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12.2.2 预付款担保</w:t>
      </w:r>
    </w:p>
    <w:p w14:paraId="613449C9">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承包人提交预付款担保的期限：</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4AFAD3FE">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预付款担保的形式为：</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bookmarkEnd w:id="482"/>
    <w:bookmarkEnd w:id="483"/>
    <w:bookmarkEnd w:id="484"/>
    <w:bookmarkEnd w:id="485"/>
    <w:bookmarkEnd w:id="486"/>
    <w:bookmarkEnd w:id="487"/>
    <w:bookmarkEnd w:id="488"/>
    <w:bookmarkEnd w:id="489"/>
    <w:bookmarkEnd w:id="490"/>
    <w:bookmarkEnd w:id="491"/>
    <w:p w14:paraId="3F4C673A">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12.3 计量</w:t>
      </w:r>
    </w:p>
    <w:p w14:paraId="3D21C032">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12.3.1 计量原则</w:t>
      </w:r>
    </w:p>
    <w:p w14:paraId="70516CCB">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工程量计算规则：</w:t>
      </w:r>
      <w:r>
        <w:rPr>
          <w:rFonts w:hint="eastAsia" w:ascii="宋体" w:hAnsi="宋体" w:cs="宋体"/>
          <w:color w:val="auto"/>
          <w:sz w:val="24"/>
          <w:highlight w:val="none"/>
          <w:u w:val="single"/>
        </w:rPr>
        <w:t>工程的计量均以《建设工程工程量清单计价规范》（GB50500－2013）和及《建筑工程工程量清单计算规范》广西壮族自治区细则（GB50500-2013）</w:t>
      </w:r>
      <w:r>
        <w:rPr>
          <w:rFonts w:hint="eastAsia" w:ascii="宋体" w:hAnsi="宋体" w:cs="宋体"/>
          <w:color w:val="auto"/>
          <w:sz w:val="24"/>
          <w:highlight w:val="none"/>
        </w:rPr>
        <w:t>。</w:t>
      </w:r>
    </w:p>
    <w:p w14:paraId="4EF18885">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12.3.2 计量周期</w:t>
      </w:r>
    </w:p>
    <w:p w14:paraId="22124F93">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关于计量周期的约定：</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 xml:space="preserve"> 。</w:t>
      </w:r>
    </w:p>
    <w:p w14:paraId="6156FB32">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12.3.3 单价合同的计量</w:t>
      </w:r>
    </w:p>
    <w:p w14:paraId="22CD0A9D">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关于单价合同计量的约定：</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1F045E91">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12.3.4 总价合同的计量</w:t>
      </w:r>
    </w:p>
    <w:p w14:paraId="53143579">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关于总价合同计量的约定：</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41AD9118">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12.3.5总价合同采用支付分解表计量支付的，是否适用第12.3.4 项〔总价合同的计量〕约定进行计量：</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53176A4B">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12.3.6 其他价格形式合同的计量</w:t>
      </w:r>
    </w:p>
    <w:p w14:paraId="504FED53">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其他价格形式的计量方式和程序：</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4EF66F54">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12.4 工程进度款支付</w:t>
      </w:r>
    </w:p>
    <w:p w14:paraId="18C224A1">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12.4.1 付款周期</w:t>
      </w:r>
    </w:p>
    <w:p w14:paraId="63EE52E0">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关于付款周期的约定：</w:t>
      </w:r>
    </w:p>
    <w:p w14:paraId="166653DA">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（1）预付款支付比例或金额:甲方向乙方支付合同总金额的</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rPr>
        <w:t>作为项目预付款【备注:政府投资项目应严格执行工程预付款制度，工程预付款应不低于合同总价(扣除暂列金额)的10%(最高不超过30%，并与工程进度款分期按约定比例抵扣)】</w:t>
      </w:r>
    </w:p>
    <w:p w14:paraId="184D32B0">
      <w:pPr>
        <w:spacing w:line="400" w:lineRule="exact"/>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（2）进度款支付方式：合同内按工程计量周期内完成工程量的:</w:t>
      </w:r>
      <w:r>
        <w:rPr>
          <w:rFonts w:hint="eastAsia" w:ascii="宋体" w:hAnsi="宋体" w:cs="宋体"/>
          <w:color w:val="auto"/>
          <w:sz w:val="24"/>
          <w:highlight w:val="none"/>
          <w:lang w:val="en-US" w:eastAsia="zh-CN"/>
        </w:rPr>
        <w:t>80</w:t>
      </w:r>
      <w:r>
        <w:rPr>
          <w:rFonts w:hint="eastAsia" w:ascii="宋体" w:hAnsi="宋体" w:cs="宋体"/>
          <w:color w:val="auto"/>
          <w:sz w:val="24"/>
          <w:highlight w:val="none"/>
        </w:rPr>
        <w:t>%；结算评审后支付97%，质保金</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%一年后支付</w:t>
      </w:r>
      <w:r>
        <w:rPr>
          <w:rFonts w:hint="eastAsia" w:ascii="宋体" w:hAnsi="宋体" w:cs="宋体"/>
          <w:color w:val="auto"/>
          <w:sz w:val="24"/>
          <w:highlight w:val="none"/>
          <w:lang w:eastAsia="zh-CN"/>
        </w:rPr>
        <w:t>。</w:t>
      </w:r>
    </w:p>
    <w:p w14:paraId="139FB70D">
      <w:pPr>
        <w:spacing w:line="400" w:lineRule="exact"/>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承包人需提供等额增值税专用发票后方可申请付款，如开具发票不合格导致发包人损失的，承包人应双倍赔偿相应税款损失。</w:t>
      </w:r>
    </w:p>
    <w:p w14:paraId="4F2A5E8E">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12.4.2 进度付款申请单的编制</w:t>
      </w:r>
    </w:p>
    <w:p w14:paraId="18B66A7B">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关于进度付款申请单编制的约定：</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552481F">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12.4.3 进度付款申请单的提交</w:t>
      </w:r>
    </w:p>
    <w:p w14:paraId="04ABCB67">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（1）单价合同进度付款申请单提交的约定：</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2201896C">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（2）总价合同进度付款申请单提交的约定：</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B5ED57C">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（3）其他价格形式合同进度付款申请单提交的约定：</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8BD3F73">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12.4.4 进度款审核和支付</w:t>
      </w:r>
    </w:p>
    <w:p w14:paraId="2754B210">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（1）监理人审查并报送发包人的期限：</w:t>
      </w:r>
      <w:r>
        <w:rPr>
          <w:rFonts w:hint="eastAsia" w:ascii="宋体" w:hAnsi="宋体" w:cs="宋体"/>
          <w:color w:val="auto"/>
          <w:sz w:val="24"/>
          <w:highlight w:val="none"/>
          <w:u w:val="single"/>
        </w:rPr>
        <w:t>14日</w:t>
      </w:r>
      <w:r>
        <w:rPr>
          <w:rFonts w:hint="eastAsia" w:ascii="宋体" w:hAnsi="宋体" w:cs="宋体"/>
          <w:color w:val="auto"/>
          <w:sz w:val="24"/>
          <w:highlight w:val="none"/>
        </w:rPr>
        <w:t>。</w:t>
      </w:r>
    </w:p>
    <w:p w14:paraId="319D2E30">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发包人完成审批并签发进度款支付证书的期限：</w:t>
      </w:r>
      <w:r>
        <w:rPr>
          <w:rFonts w:hint="eastAsia" w:ascii="宋体" w:hAnsi="宋体" w:cs="宋体"/>
          <w:color w:val="auto"/>
          <w:sz w:val="24"/>
          <w:highlight w:val="none"/>
          <w:u w:val="single"/>
        </w:rPr>
        <w:t>14天</w:t>
      </w:r>
      <w:r>
        <w:rPr>
          <w:rFonts w:hint="eastAsia" w:ascii="宋体" w:hAnsi="宋体" w:cs="宋体"/>
          <w:color w:val="auto"/>
          <w:sz w:val="24"/>
          <w:highlight w:val="none"/>
        </w:rPr>
        <w:t>。</w:t>
      </w:r>
    </w:p>
    <w:p w14:paraId="09E13BD5">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（2）发包人应在监理人签发进度款支付证书后14个工作日内支付至当期进度款的</w:t>
      </w:r>
      <w:r>
        <w:rPr>
          <w:rFonts w:hint="eastAsia" w:ascii="宋体" w:hAnsi="宋体" w:cs="宋体"/>
          <w:color w:val="auto"/>
          <w:sz w:val="24"/>
          <w:highlight w:val="none"/>
          <w:lang w:val="en-US" w:eastAsia="zh-CN"/>
        </w:rPr>
        <w:t>80%</w:t>
      </w:r>
      <w:r>
        <w:rPr>
          <w:rFonts w:hint="eastAsia" w:ascii="宋体" w:hAnsi="宋体" w:cs="宋体"/>
          <w:color w:val="auto"/>
          <w:sz w:val="24"/>
          <w:highlight w:val="none"/>
        </w:rPr>
        <w:t>。</w:t>
      </w:r>
    </w:p>
    <w:p w14:paraId="482383C7">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发包人逾期支付进度款的违约金的计算方式：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E278356">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12.4.6 支付分解表的编制</w:t>
      </w:r>
    </w:p>
    <w:p w14:paraId="42D3B739">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2、总价合同支付分解表的编制与审批：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1248CB6">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3、单价合同的总价项目支付分解表的编制与审批：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704226B">
      <w:pPr>
        <w:spacing w:line="400" w:lineRule="exact"/>
        <w:ind w:firstLine="482" w:firstLineChars="200"/>
        <w:rPr>
          <w:rFonts w:ascii="宋体" w:hAnsi="宋体" w:cs="宋体"/>
          <w:b/>
          <w:bCs/>
          <w:color w:val="auto"/>
          <w:sz w:val="24"/>
          <w:highlight w:val="none"/>
        </w:rPr>
      </w:pPr>
      <w:bookmarkStart w:id="492" w:name="_Toc351203645"/>
      <w:bookmarkStart w:id="493" w:name="_Toc300935015"/>
      <w:bookmarkStart w:id="494" w:name="_Toc296347218"/>
      <w:bookmarkStart w:id="495" w:name="_Toc292559424"/>
      <w:bookmarkStart w:id="496" w:name="_Toc303539172"/>
      <w:bookmarkStart w:id="497" w:name="_Toc304295593"/>
      <w:bookmarkStart w:id="498" w:name="_Toc296944558"/>
      <w:bookmarkStart w:id="499" w:name="_Toc312678053"/>
      <w:bookmarkStart w:id="500" w:name="_Toc292559929"/>
      <w:bookmarkStart w:id="501" w:name="_Toc296891047"/>
      <w:bookmarkStart w:id="502" w:name="_Toc297123564"/>
      <w:bookmarkStart w:id="503" w:name="_Toc297048405"/>
      <w:bookmarkStart w:id="504" w:name="_Toc296346720"/>
      <w:bookmarkStart w:id="505" w:name="_Toc297120519"/>
      <w:bookmarkStart w:id="506" w:name="_Toc296891259"/>
      <w:bookmarkStart w:id="507" w:name="_Toc297216223"/>
      <w:bookmarkStart w:id="508" w:name="_Toc296503219"/>
      <w:r>
        <w:rPr>
          <w:rFonts w:hint="eastAsia" w:ascii="宋体" w:hAnsi="宋体" w:cs="宋体"/>
          <w:b/>
          <w:bCs/>
          <w:color w:val="auto"/>
          <w:sz w:val="24"/>
          <w:highlight w:val="none"/>
        </w:rPr>
        <w:t>13.验收和工程试车</w:t>
      </w:r>
      <w:bookmarkEnd w:id="492"/>
    </w:p>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14:paraId="13EA7DBC">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13.1 分部分项工程验收</w:t>
      </w:r>
    </w:p>
    <w:p w14:paraId="3E663F75">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13.1.2监理人不能按时进行验收时，应提前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小时提交书面延期要求。</w:t>
      </w:r>
    </w:p>
    <w:p w14:paraId="22D347A1">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关于延期最长不得超过：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小时。</w:t>
      </w:r>
    </w:p>
    <w:p w14:paraId="4A1F062E">
      <w:pPr>
        <w:adjustRightInd w:val="0"/>
        <w:spacing w:line="400" w:lineRule="exact"/>
        <w:ind w:firstLine="480" w:firstLineChars="200"/>
        <w:jc w:val="left"/>
        <w:rPr>
          <w:rFonts w:ascii="宋体" w:hAnsi="宋体" w:cs="宋体"/>
          <w:color w:val="auto"/>
          <w:sz w:val="24"/>
          <w:highlight w:val="none"/>
        </w:rPr>
      </w:pPr>
      <w:bookmarkStart w:id="509" w:name="_Toc303539173"/>
      <w:bookmarkStart w:id="510" w:name="_Toc296503223"/>
      <w:bookmarkStart w:id="511" w:name="_Toc297120523"/>
      <w:bookmarkStart w:id="512" w:name="_Toc300935016"/>
      <w:bookmarkStart w:id="513" w:name="_Toc304295596"/>
      <w:bookmarkStart w:id="514" w:name="_Toc296347222"/>
      <w:bookmarkStart w:id="515" w:name="_Toc297216224"/>
      <w:bookmarkStart w:id="516" w:name="_Toc292559933"/>
      <w:bookmarkStart w:id="517" w:name="_Toc296346724"/>
      <w:bookmarkStart w:id="518" w:name="_Toc296891051"/>
      <w:bookmarkStart w:id="519" w:name="_Toc297048409"/>
      <w:bookmarkStart w:id="520" w:name="_Toc312678056"/>
      <w:bookmarkStart w:id="521" w:name="_Toc297123565"/>
      <w:bookmarkStart w:id="522" w:name="_Toc292559428"/>
      <w:bookmarkStart w:id="523" w:name="_Toc296944562"/>
      <w:bookmarkStart w:id="524" w:name="_Toc296891263"/>
      <w:r>
        <w:rPr>
          <w:rFonts w:hint="eastAsia" w:ascii="宋体" w:hAnsi="宋体" w:cs="宋体"/>
          <w:color w:val="auto"/>
          <w:sz w:val="24"/>
          <w:highlight w:val="none"/>
        </w:rPr>
        <w:t>13.2 竣工验收</w:t>
      </w:r>
    </w:p>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14:paraId="78F79579">
      <w:pPr>
        <w:adjustRightInd w:val="0"/>
        <w:spacing w:line="400" w:lineRule="exact"/>
        <w:ind w:firstLine="480" w:firstLineChars="200"/>
        <w:jc w:val="left"/>
        <w:rPr>
          <w:rFonts w:ascii="宋体" w:hAnsi="宋体" w:cs="宋体"/>
          <w:color w:val="auto"/>
          <w:sz w:val="24"/>
          <w:highlight w:val="none"/>
        </w:rPr>
      </w:pPr>
      <w:bookmarkStart w:id="525" w:name="_Toc280868704"/>
      <w:r>
        <w:rPr>
          <w:rFonts w:hint="eastAsia" w:ascii="宋体" w:hAnsi="宋体" w:cs="宋体"/>
          <w:color w:val="auto"/>
          <w:sz w:val="24"/>
          <w:highlight w:val="none"/>
        </w:rPr>
        <w:t>13.2.2竣工验收程序</w:t>
      </w:r>
    </w:p>
    <w:bookmarkEnd w:id="525"/>
    <w:p w14:paraId="709E56B2">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关于竣工验收程序的约定：</w:t>
      </w:r>
      <w:r>
        <w:rPr>
          <w:rFonts w:hint="eastAsia" w:ascii="宋体" w:hAnsi="宋体" w:cs="宋体"/>
          <w:color w:val="auto"/>
          <w:sz w:val="24"/>
          <w:highlight w:val="none"/>
          <w:u w:val="single"/>
        </w:rPr>
        <w:t xml:space="preserve"> 按照《桂财采〔2015〕22号）关于印发广西壮族自治区政府采购项目履约验收管理办法的通知》等有关规定，由发包人成立验收小组组织验收，验收小组须出具验收书。发包人有权邀请参加本项目的其他供应商参与验收，参与验收的供应商意见作为验收书的参考资料一并存档。若达到2次验收不通过的视为承包人违约，发包人有权解除合同</w:t>
      </w:r>
      <w:r>
        <w:rPr>
          <w:rFonts w:hint="eastAsia" w:ascii="宋体" w:hAnsi="宋体" w:cs="宋体"/>
          <w:color w:val="auto"/>
          <w:sz w:val="24"/>
          <w:highlight w:val="none"/>
        </w:rPr>
        <w:t>。</w:t>
      </w:r>
    </w:p>
    <w:p w14:paraId="2848A6BC">
      <w:pPr>
        <w:adjustRightInd w:val="0"/>
        <w:spacing w:line="400" w:lineRule="exact"/>
        <w:ind w:firstLine="480" w:firstLineChars="200"/>
        <w:jc w:val="left"/>
        <w:rPr>
          <w:rFonts w:hint="eastAsia" w:ascii="宋体" w:hAnsi="宋体" w:eastAsia="宋体" w:cs="宋体"/>
          <w:color w:val="auto"/>
          <w:sz w:val="24"/>
          <w:highlight w:val="none"/>
          <w:lang w:eastAsia="zh-CN"/>
        </w:rPr>
      </w:pPr>
      <w:r>
        <w:rPr>
          <w:rFonts w:ascii="宋体" w:hAnsi="宋体" w:eastAsia="宋体" w:cs="宋体"/>
          <w:sz w:val="24"/>
          <w:szCs w:val="24"/>
          <w:highlight w:val="none"/>
        </w:rPr>
        <w:t>发包人可委托第三方整改，费用从质保金中扣除且承包人需支付合同总价10%违约金</w:t>
      </w:r>
      <w:r>
        <w:rPr>
          <w:rFonts w:hint="eastAsia" w:ascii="宋体" w:hAnsi="宋体" w:eastAsia="宋体" w:cs="宋体"/>
          <w:sz w:val="24"/>
          <w:szCs w:val="24"/>
          <w:highlight w:val="none"/>
          <w:lang w:eastAsia="zh-CN"/>
        </w:rPr>
        <w:t>。</w:t>
      </w:r>
    </w:p>
    <w:p w14:paraId="74E99843">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发包人不按照本项约定组织竣工验收、颁发工程接收证书的违约金的计算方法：</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7A9CF45">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13.2.5移交、接收全部与部分工程</w:t>
      </w:r>
    </w:p>
    <w:p w14:paraId="47E4A557">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承包人向发包人移交工程的期限：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9E2D433">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发包人未按本合同约定接收全部或部分工程的，违约金的计算方法为：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4EE8758">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承包人未按时移交工程的，违约金的计算方法为：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8B4C53D">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13.3 工程试车</w:t>
      </w:r>
    </w:p>
    <w:p w14:paraId="21D3C34A">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13.3.1 试车程序</w:t>
      </w:r>
    </w:p>
    <w:p w14:paraId="6B0965A3">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工程试车内容：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609FC50C">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（1）单机无负荷试车费用由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承担；</w:t>
      </w:r>
    </w:p>
    <w:p w14:paraId="11F28B11">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（2）无负荷联动试车费用由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承担。</w:t>
      </w:r>
    </w:p>
    <w:p w14:paraId="058ED438">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13.3.3 投料试车</w:t>
      </w:r>
    </w:p>
    <w:p w14:paraId="01E478B5">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关于投料试车相关事项的约定：</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1CF33C5">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13.6 竣工退场</w:t>
      </w:r>
    </w:p>
    <w:p w14:paraId="1EF6BE6A">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13.6.1 竣工退场</w:t>
      </w:r>
    </w:p>
    <w:p w14:paraId="7D2D6FD9">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承包人完成竣工退场的期限：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B8F1E18">
      <w:pPr>
        <w:spacing w:line="400" w:lineRule="exact"/>
        <w:ind w:firstLine="482" w:firstLineChars="200"/>
        <w:rPr>
          <w:rFonts w:ascii="宋体" w:hAnsi="宋体" w:cs="宋体"/>
          <w:b/>
          <w:bCs/>
          <w:color w:val="auto"/>
          <w:sz w:val="24"/>
          <w:highlight w:val="none"/>
        </w:rPr>
      </w:pPr>
      <w:bookmarkStart w:id="526" w:name="_Toc351203646"/>
      <w:r>
        <w:rPr>
          <w:rFonts w:hint="eastAsia" w:ascii="宋体" w:hAnsi="宋体" w:cs="宋体"/>
          <w:b/>
          <w:bCs/>
          <w:color w:val="auto"/>
          <w:sz w:val="24"/>
          <w:highlight w:val="none"/>
        </w:rPr>
        <w:t>14.竣工结算</w:t>
      </w:r>
      <w:bookmarkEnd w:id="526"/>
    </w:p>
    <w:p w14:paraId="33F44301">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14.1 竣工付款申请</w:t>
      </w:r>
    </w:p>
    <w:p w14:paraId="03A33D83">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承包人提交竣工付款申请单的期限：</w:t>
      </w:r>
      <w:r>
        <w:rPr>
          <w:rFonts w:hint="eastAsia" w:ascii="宋体" w:hAnsi="宋体" w:cs="宋体"/>
          <w:color w:val="auto"/>
          <w:sz w:val="24"/>
          <w:highlight w:val="none"/>
          <w:u w:val="single"/>
        </w:rPr>
        <w:t>30天</w:t>
      </w:r>
      <w:r>
        <w:rPr>
          <w:rFonts w:hint="eastAsia" w:ascii="宋体" w:hAnsi="宋体" w:cs="宋体"/>
          <w:color w:val="auto"/>
          <w:sz w:val="24"/>
          <w:highlight w:val="none"/>
        </w:rPr>
        <w:t>。</w:t>
      </w:r>
    </w:p>
    <w:p w14:paraId="4F123D9C">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竣工付款申请单应包括的内容：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747D785">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14.2 竣工结算审核</w:t>
      </w:r>
    </w:p>
    <w:p w14:paraId="36EB37DC">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发包人审批竣工付款申请单的期限：</w:t>
      </w:r>
      <w:r>
        <w:rPr>
          <w:rFonts w:hint="eastAsia" w:ascii="宋体" w:hAnsi="宋体" w:cs="宋体"/>
          <w:color w:val="auto"/>
          <w:sz w:val="24"/>
          <w:highlight w:val="none"/>
          <w:u w:val="single"/>
        </w:rPr>
        <w:t>30天</w:t>
      </w:r>
      <w:r>
        <w:rPr>
          <w:rFonts w:hint="eastAsia" w:ascii="宋体" w:hAnsi="宋体" w:cs="宋体"/>
          <w:color w:val="auto"/>
          <w:sz w:val="24"/>
          <w:highlight w:val="none"/>
        </w:rPr>
        <w:t>。</w:t>
      </w:r>
    </w:p>
    <w:p w14:paraId="7B5227AB">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发包人完成竣工付款的期限：</w:t>
      </w:r>
      <w:r>
        <w:rPr>
          <w:rFonts w:hint="eastAsia" w:ascii="宋体" w:hAnsi="宋体" w:cs="宋体"/>
          <w:color w:val="auto"/>
          <w:sz w:val="24"/>
          <w:highlight w:val="none"/>
          <w:u w:val="single"/>
        </w:rPr>
        <w:t>30天</w:t>
      </w:r>
      <w:r>
        <w:rPr>
          <w:rFonts w:hint="eastAsia" w:ascii="宋体" w:hAnsi="宋体" w:cs="宋体"/>
          <w:color w:val="auto"/>
          <w:sz w:val="24"/>
          <w:highlight w:val="none"/>
        </w:rPr>
        <w:t>。</w:t>
      </w:r>
    </w:p>
    <w:p w14:paraId="3D02943A">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关于竣工付款证书异议部分复核的方式和程序：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3F23B26">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14.4 最终结清</w:t>
      </w:r>
    </w:p>
    <w:p w14:paraId="3577D751">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14.4.1 最终结清申请单</w:t>
      </w:r>
    </w:p>
    <w:p w14:paraId="67CC053D">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承包人提交最终结清申请单的份数：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99A2ABC">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承包人提交最终结算申请单的期限：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5892347B">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14.4.2 最终结清证书和支付</w:t>
      </w:r>
    </w:p>
    <w:p w14:paraId="6D46F5FE">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（1）发包人完成最终结清申请单的审批并颁发最终结清证书的期限：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66CF206">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（2）发包人完成支付的期限：</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02B5EAAE">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15.缺陷责任期与保修</w:t>
      </w:r>
    </w:p>
    <w:p w14:paraId="363F592E">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15.2缺陷责任期</w:t>
      </w:r>
    </w:p>
    <w:p w14:paraId="3CE78F4B">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缺陷责任期的具体期限：</w:t>
      </w:r>
      <w:r>
        <w:rPr>
          <w:rFonts w:hint="eastAsia" w:ascii="宋体" w:hAnsi="宋体" w:cs="宋体"/>
          <w:color w:val="auto"/>
          <w:sz w:val="24"/>
          <w:highlight w:val="none"/>
          <w:u w:val="single"/>
        </w:rPr>
        <w:t>12个月</w:t>
      </w:r>
      <w:r>
        <w:rPr>
          <w:rFonts w:hint="eastAsia" w:ascii="宋体" w:hAnsi="宋体" w:cs="宋体"/>
          <w:color w:val="auto"/>
          <w:sz w:val="24"/>
          <w:highlight w:val="none"/>
        </w:rPr>
        <w:t>。</w:t>
      </w:r>
    </w:p>
    <w:p w14:paraId="380AB177">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15.3 质量保证金</w:t>
      </w:r>
    </w:p>
    <w:p w14:paraId="747A6CB5">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关于是否扣留质量保证金的约定：本项目不收取履约保证金，质量保证金的收取及支付方式应与供应商须知履约保证金条款保持一致，若政策规定不收取履约保证金，则不扣留工程价款结算总额的3%保留金作为工程质量保证金。</w:t>
      </w:r>
    </w:p>
    <w:p w14:paraId="5B6D08AB">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在工程项目竣工前，承包人按专用合同条款第3.7条提供履约担保的，发包人不得同时预留工程质量保证金。</w:t>
      </w:r>
    </w:p>
    <w:p w14:paraId="67FBD147">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15.3.1 承包人提供质量保证金的方式</w:t>
      </w:r>
    </w:p>
    <w:p w14:paraId="313842CB">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质量保证金采用以下第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种方式：</w:t>
      </w:r>
    </w:p>
    <w:p w14:paraId="01F58851">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（1）质量保证金保函，保证金额为：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0530F161">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（2）3%的工程款；</w:t>
      </w:r>
    </w:p>
    <w:p w14:paraId="6496F19D">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（3）其他方式：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B54E4DD">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15.3.2 质量保证金的扣留 </w:t>
      </w:r>
    </w:p>
    <w:p w14:paraId="1FCA2B63">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质量保证金的扣留采取以下第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种方式：</w:t>
      </w:r>
    </w:p>
    <w:p w14:paraId="198658AF">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（1）在支付工程进度款时逐次扣留，在此情形下，质量保证金的计算基数不包括预付款的支付、扣回以及价格调整的金额；</w:t>
      </w:r>
    </w:p>
    <w:p w14:paraId="7352CD74">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（2）工程竣工结算时一次性扣留质量保证金；</w:t>
      </w:r>
    </w:p>
    <w:p w14:paraId="149F670E">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（3）其他扣留方式：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4191527">
      <w:pPr>
        <w:adjustRightIn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缺陷责任期满后30日内，发包人应组织复验并出具质量复验报告。无质量问题时，应在复验合格后15个工作日内无息退还剩余质量保证金。若承包人在接到维修通知后48小时内未到场处理，发包人有权自行委托第三方维修，相关费用从质量保证金中扣除，且不足部分由承包人补足。</w:t>
      </w:r>
    </w:p>
    <w:p w14:paraId="317942A0">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关于质量保证金的补充约定：本项目不收取履约保证金，质量保证金的收取及支付方式应与供应商须知履约保证金条款保持一致，若政策规定不收取履约保证金，则不扣留工程价款结算总额的3%保留金作为工程质量保证金。</w:t>
      </w:r>
    </w:p>
    <w:p w14:paraId="5F95E7D6">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15.4保修</w:t>
      </w:r>
    </w:p>
    <w:p w14:paraId="7AB474DC">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15.4.1 保修责任</w:t>
      </w:r>
    </w:p>
    <w:p w14:paraId="26EC94AA">
      <w:pPr>
        <w:adjustRightInd w:val="0"/>
        <w:spacing w:line="400" w:lineRule="exact"/>
        <w:ind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rPr>
        <w:t>工程保修期为：</w:t>
      </w:r>
      <w:r>
        <w:rPr>
          <w:rFonts w:hint="eastAsia" w:ascii="宋体" w:hAnsi="宋体" w:cs="宋体"/>
          <w:color w:val="auto"/>
          <w:sz w:val="24"/>
          <w:highlight w:val="none"/>
          <w:u w:val="single"/>
        </w:rPr>
        <w:t>按《工程质量保修书》执行</w:t>
      </w:r>
      <w:r>
        <w:rPr>
          <w:rFonts w:hint="eastAsia" w:ascii="宋体" w:hAnsi="宋体" w:cs="宋体"/>
          <w:color w:val="auto"/>
          <w:sz w:val="24"/>
          <w:highlight w:val="none"/>
        </w:rPr>
        <w:t>。</w:t>
      </w:r>
    </w:p>
    <w:p w14:paraId="0315F0B0">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15.4.3 修复通知</w:t>
      </w:r>
    </w:p>
    <w:p w14:paraId="0549BD8E">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承包人收到保修通知</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并到达工程现场的合理时间：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45FC2D6">
      <w:pPr>
        <w:spacing w:line="400" w:lineRule="exact"/>
        <w:ind w:firstLine="482" w:firstLineChars="200"/>
        <w:rPr>
          <w:rFonts w:ascii="宋体" w:hAnsi="宋体" w:cs="宋体"/>
          <w:b/>
          <w:bCs/>
          <w:color w:val="auto"/>
          <w:sz w:val="24"/>
          <w:highlight w:val="none"/>
        </w:rPr>
      </w:pPr>
      <w:bookmarkStart w:id="527" w:name="_Toc351203648"/>
      <w:bookmarkStart w:id="528" w:name="_Toc280868717"/>
      <w:bookmarkStart w:id="529" w:name="_Toc280868718"/>
      <w:r>
        <w:rPr>
          <w:rFonts w:hint="eastAsia" w:ascii="宋体" w:hAnsi="宋体" w:cs="宋体"/>
          <w:b/>
          <w:bCs/>
          <w:color w:val="auto"/>
          <w:sz w:val="24"/>
          <w:highlight w:val="none"/>
        </w:rPr>
        <w:t>16.违约</w:t>
      </w:r>
      <w:bookmarkEnd w:id="527"/>
    </w:p>
    <w:p w14:paraId="74DA5B4E">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16.1 发包人违约</w:t>
      </w:r>
    </w:p>
    <w:p w14:paraId="325C2A4A">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16.1.1发包人违约的情形</w:t>
      </w:r>
    </w:p>
    <w:p w14:paraId="528F1528">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发包人违约的其他情形：</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DE55A66">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16.1.2 发包人违约的责任</w:t>
      </w:r>
    </w:p>
    <w:p w14:paraId="4F304416">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发包人违约责任的承担方式和计算方法：</w:t>
      </w:r>
    </w:p>
    <w:p w14:paraId="2A1FDC4C">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（1）因发包人原因未能在计划开工日期前7天内下达开工通知的违约责任：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644D29B">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（2）因发包人原因未能按合同约定支付合同价款的违约责任：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D2E6183">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（3）发包人违反第10.1款〔变更的范围〕第（2）项约定，自行实施被取消的工作或转由他人实施的违约责任：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AB02DD0">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（4）发包人提供的材料、工程设备的规格、数量或质量不符合合同约定，或因发包人原因导致交货日期延误或交货地点变更等情况的违约责任：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8AB54BD">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（5）因发包人违反合同约定造成暂停施工的违约责任：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AEA9A07">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（6）发包人无正当理由没有在约定期限内发出复工指示，导致承包人无法复工的违约责任：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EE562D0">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（7）其他：</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B4309E0">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16.1.3 因发包人违约解除合同</w:t>
      </w:r>
    </w:p>
    <w:p w14:paraId="47A337C9">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出现发包人违约情形时，承包人需经书面催告且超过30日未解决的方可暂停施工。</w:t>
      </w:r>
    </w:p>
    <w:p w14:paraId="3D0CA563">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16.2 承包人违约</w:t>
      </w:r>
    </w:p>
    <w:p w14:paraId="34F1A477">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16.2.1 承包人违约的情形</w:t>
      </w:r>
    </w:p>
    <w:p w14:paraId="4B1B89B3">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承包人违约的其他情形：承包人擅自更换项目经理或关键岗位人员累计达3次的，视为违约。</w:t>
      </w:r>
    </w:p>
    <w:p w14:paraId="5704530D">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16.2.2承包人违约的责任</w:t>
      </w:r>
    </w:p>
    <w:p w14:paraId="2D2CDE7B">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承包人违约责任的承担方式和计算方法：</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D442172">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16.2.3 因承包人违约解除合同</w:t>
      </w:r>
    </w:p>
    <w:p w14:paraId="27076122">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关于承包人违约解除合同的特别约定：</w:t>
      </w:r>
      <w:r>
        <w:rPr>
          <w:rFonts w:hint="eastAsia" w:ascii="宋体" w:hAnsi="宋体" w:cs="宋体"/>
          <w:color w:val="auto"/>
          <w:sz w:val="24"/>
          <w:highlight w:val="none"/>
          <w:u w:val="single"/>
        </w:rPr>
        <w:t xml:space="preserve"> 承包人发生累计三次违约行为或单项违约超过15日未纠正的，发包人有权单方解除合同并没收履约担保，且承包人应承担由此造成的全部损失 </w:t>
      </w:r>
      <w:r>
        <w:rPr>
          <w:rFonts w:hint="eastAsia" w:ascii="宋体" w:hAnsi="宋体" w:cs="宋体"/>
          <w:color w:val="auto"/>
          <w:sz w:val="24"/>
          <w:highlight w:val="none"/>
        </w:rPr>
        <w:t>。</w:t>
      </w:r>
    </w:p>
    <w:p w14:paraId="5770906A">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发包人继续使用承包人在施工现场的材料、设备、临时工程、承包人文件和由承包人或以其名义编制的其他文件的费用承担方式：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0DCBDD1">
      <w:pPr>
        <w:spacing w:line="400" w:lineRule="exact"/>
        <w:ind w:firstLine="482" w:firstLineChars="200"/>
        <w:rPr>
          <w:rFonts w:ascii="宋体" w:hAnsi="宋体" w:cs="宋体"/>
          <w:b/>
          <w:bCs/>
          <w:color w:val="auto"/>
          <w:sz w:val="24"/>
          <w:highlight w:val="none"/>
        </w:rPr>
      </w:pPr>
      <w:bookmarkStart w:id="530" w:name="_Toc351203649"/>
      <w:r>
        <w:rPr>
          <w:rFonts w:hint="eastAsia" w:ascii="宋体" w:hAnsi="宋体" w:cs="宋体"/>
          <w:b/>
          <w:bCs/>
          <w:color w:val="auto"/>
          <w:sz w:val="24"/>
          <w:highlight w:val="none"/>
        </w:rPr>
        <w:t>17.不可抗力</w:t>
      </w:r>
      <w:bookmarkEnd w:id="530"/>
      <w:r>
        <w:rPr>
          <w:rFonts w:hint="eastAsia" w:ascii="宋体" w:hAnsi="宋体" w:cs="宋体"/>
          <w:b/>
          <w:bCs/>
          <w:color w:val="auto"/>
          <w:sz w:val="24"/>
          <w:highlight w:val="none"/>
        </w:rPr>
        <w:t xml:space="preserve"> </w:t>
      </w:r>
      <w:bookmarkEnd w:id="528"/>
    </w:p>
    <w:p w14:paraId="6E1E5E8B">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17.1 不可抗力的确认</w:t>
      </w:r>
    </w:p>
    <w:p w14:paraId="3A673709">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除通用合同条款约定的不可抗力事件之外，视为不可抗力的其他情形包括但不限于：持续暴雨（日降雨量达100mm以上）、8级以上台风、政府重大活动管制等经气象部门或政府文件证实的情形。</w:t>
      </w:r>
    </w:p>
    <w:p w14:paraId="17C20715">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17.4 因不可抗力解除合同</w:t>
      </w:r>
    </w:p>
    <w:p w14:paraId="07077C47">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合同解除后，发包人应在商定或确定发包人应支付款项后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天内完成款项的支付。</w:t>
      </w:r>
    </w:p>
    <w:p w14:paraId="31DBA061">
      <w:pPr>
        <w:spacing w:line="400" w:lineRule="exact"/>
        <w:ind w:firstLine="482" w:firstLineChars="200"/>
        <w:rPr>
          <w:rFonts w:ascii="宋体" w:hAnsi="宋体" w:cs="宋体"/>
          <w:b/>
          <w:bCs/>
          <w:color w:val="auto"/>
          <w:sz w:val="24"/>
          <w:highlight w:val="none"/>
        </w:rPr>
      </w:pPr>
      <w:bookmarkStart w:id="531" w:name="_Toc351203650"/>
      <w:r>
        <w:rPr>
          <w:rFonts w:hint="eastAsia" w:ascii="宋体" w:hAnsi="宋体" w:cs="宋体"/>
          <w:b/>
          <w:bCs/>
          <w:color w:val="auto"/>
          <w:sz w:val="24"/>
          <w:highlight w:val="none"/>
        </w:rPr>
        <w:t>18.保险</w:t>
      </w:r>
      <w:bookmarkEnd w:id="531"/>
    </w:p>
    <w:bookmarkEnd w:id="529"/>
    <w:p w14:paraId="414C2F64">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18.1 工程保险</w:t>
      </w:r>
    </w:p>
    <w:p w14:paraId="49D820A3">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关于工程保险的特别约定：</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03A6425">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18.3 其他保险</w:t>
      </w:r>
    </w:p>
    <w:p w14:paraId="130BFB93">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关于其他保险的约定：</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C676385">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承包人是否应为其施工设备等办理财产保险：</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8747207">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18.7 通知义务</w:t>
      </w:r>
    </w:p>
    <w:p w14:paraId="2F71C242">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关于变更保险合同时的通知义务的约定：</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D6FB665">
      <w:pPr>
        <w:spacing w:line="400" w:lineRule="exact"/>
        <w:ind w:firstLine="482" w:firstLineChars="200"/>
        <w:rPr>
          <w:rFonts w:ascii="宋体" w:hAnsi="宋体" w:cs="宋体"/>
          <w:b/>
          <w:bCs/>
          <w:color w:val="auto"/>
          <w:sz w:val="24"/>
          <w:highlight w:val="none"/>
        </w:rPr>
      </w:pPr>
      <w:bookmarkStart w:id="532" w:name="_Toc351203651"/>
      <w:r>
        <w:rPr>
          <w:rFonts w:hint="eastAsia" w:ascii="宋体" w:hAnsi="宋体" w:cs="宋体"/>
          <w:b/>
          <w:bCs/>
          <w:color w:val="auto"/>
          <w:sz w:val="24"/>
          <w:highlight w:val="none"/>
        </w:rPr>
        <w:t>20.争议解决</w:t>
      </w:r>
      <w:bookmarkEnd w:id="532"/>
    </w:p>
    <w:p w14:paraId="4D30BC0C">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20.3 争议评审</w:t>
      </w:r>
    </w:p>
    <w:p w14:paraId="2CA735E6">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合同当事人是否同意将工程争议提交争议评审小组决定：</w:t>
      </w:r>
      <w:r>
        <w:rPr>
          <w:rFonts w:hint="eastAsia" w:ascii="宋体" w:hAnsi="宋体" w:cs="宋体"/>
          <w:color w:val="auto"/>
          <w:sz w:val="24"/>
          <w:highlight w:val="none"/>
          <w:u w:val="single"/>
        </w:rPr>
        <w:t xml:space="preserve">    否    </w:t>
      </w:r>
      <w:r>
        <w:rPr>
          <w:rFonts w:hint="eastAsia" w:ascii="宋体" w:hAnsi="宋体" w:cs="宋体"/>
          <w:color w:val="auto"/>
          <w:sz w:val="24"/>
          <w:highlight w:val="none"/>
        </w:rPr>
        <w:t xml:space="preserve">。  </w:t>
      </w:r>
    </w:p>
    <w:p w14:paraId="5D613B81">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20.3.1 争议评审小组的确定</w:t>
      </w:r>
    </w:p>
    <w:p w14:paraId="2C0334B8">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争议评审小组成员的确定：</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 xml:space="preserve"> 。</w:t>
      </w:r>
    </w:p>
    <w:p w14:paraId="7E487218">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选定争议评审员的期限：</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 xml:space="preserve"> 。</w:t>
      </w:r>
    </w:p>
    <w:p w14:paraId="28963408">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争议评审小组成员的报酬承担方式：</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37C59F58">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其他事项的约定：</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544413B6">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20.3.2 争议评审小组的决定</w:t>
      </w:r>
    </w:p>
    <w:p w14:paraId="6E9AB27D">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合同当事人关于本项的约定：</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 xml:space="preserve"> 。</w:t>
      </w:r>
    </w:p>
    <w:p w14:paraId="669289A7">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20.4仲裁或诉讼</w:t>
      </w:r>
    </w:p>
    <w:p w14:paraId="0FECA74D">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因合同及合同有关事项发生的争议，梧州市</w:t>
      </w:r>
      <w:r>
        <w:rPr>
          <w:rFonts w:hint="eastAsia" w:ascii="宋体" w:hAnsi="宋体" w:cs="宋体"/>
          <w:color w:val="auto"/>
          <w:sz w:val="24"/>
          <w:highlight w:val="none"/>
          <w:lang w:val="en-US" w:eastAsia="zh-CN"/>
        </w:rPr>
        <w:t>万秀</w:t>
      </w:r>
      <w:r>
        <w:rPr>
          <w:rFonts w:hint="eastAsia" w:ascii="宋体" w:hAnsi="宋体" w:cs="宋体"/>
          <w:color w:val="auto"/>
          <w:sz w:val="24"/>
          <w:highlight w:val="none"/>
        </w:rPr>
        <w:t>区人民法院起诉。</w:t>
      </w:r>
    </w:p>
    <w:p w14:paraId="7B1987D0">
      <w:pPr>
        <w:spacing w:line="440" w:lineRule="exact"/>
        <w:rPr>
          <w:rFonts w:ascii="宋体" w:hAnsi="宋体" w:cs="宋体"/>
          <w:color w:val="auto"/>
          <w:highlight w:val="none"/>
        </w:rPr>
      </w:pPr>
      <w:r>
        <w:rPr>
          <w:rFonts w:hint="eastAsia" w:ascii="宋体" w:hAnsi="宋体" w:cs="宋体"/>
          <w:color w:val="auto"/>
          <w:sz w:val="28"/>
          <w:szCs w:val="28"/>
          <w:highlight w:val="none"/>
        </w:rPr>
        <w:br w:type="page"/>
      </w:r>
      <w:bookmarkStart w:id="533" w:name="_Toc16546"/>
      <w:r>
        <w:rPr>
          <w:rFonts w:hint="eastAsia" w:ascii="宋体" w:hAnsi="宋体" w:cs="宋体"/>
          <w:b/>
          <w:bCs/>
          <w:color w:val="auto"/>
          <w:sz w:val="24"/>
          <w:szCs w:val="32"/>
          <w:highlight w:val="none"/>
        </w:rPr>
        <w:t>附件1：</w:t>
      </w:r>
      <w:r>
        <w:rPr>
          <w:rFonts w:hint="eastAsia" w:ascii="宋体" w:hAnsi="宋体" w:cs="宋体"/>
          <w:color w:val="auto"/>
          <w:sz w:val="24"/>
          <w:szCs w:val="32"/>
          <w:highlight w:val="none"/>
        </w:rPr>
        <w:t xml:space="preserve"> </w:t>
      </w:r>
      <w:r>
        <w:rPr>
          <w:rFonts w:hint="eastAsia" w:ascii="宋体" w:hAnsi="宋体" w:cs="宋体"/>
          <w:color w:val="auto"/>
          <w:highlight w:val="none"/>
        </w:rPr>
        <w:t xml:space="preserve">   </w:t>
      </w:r>
    </w:p>
    <w:bookmarkEnd w:id="533"/>
    <w:p w14:paraId="49C74C3E">
      <w:pPr>
        <w:spacing w:beforeLines="50" w:afterLines="50" w:line="44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工程质量保修书</w:t>
      </w:r>
    </w:p>
    <w:p w14:paraId="573E9498">
      <w:pPr>
        <w:spacing w:line="40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发包人（全称）：</w:t>
      </w:r>
      <w:r>
        <w:rPr>
          <w:rFonts w:hint="eastAsia" w:ascii="宋体" w:hAnsi="宋体" w:cs="宋体"/>
          <w:color w:val="auto"/>
          <w:sz w:val="24"/>
          <w:highlight w:val="none"/>
          <w:u w:val="single"/>
          <w:lang w:eastAsia="zh-CN"/>
        </w:rPr>
        <w:t>梧州市万秀区城东镇人民政府</w:t>
      </w:r>
    </w:p>
    <w:p w14:paraId="47C1217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承包人（全称）：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5C05CCA3">
      <w:pPr>
        <w:spacing w:line="400" w:lineRule="exact"/>
        <w:ind w:firstLine="480" w:firstLineChars="200"/>
        <w:rPr>
          <w:rFonts w:ascii="宋体" w:hAnsi="宋体" w:cs="宋体"/>
          <w:color w:val="auto"/>
          <w:sz w:val="24"/>
          <w:highlight w:val="none"/>
        </w:rPr>
      </w:pPr>
    </w:p>
    <w:p w14:paraId="7ED2D20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发包人和承包人根据《中华人民共和国建筑法》和《建设工程质量管理条例》，经协商一致就</w:t>
      </w:r>
      <w:r>
        <w:rPr>
          <w:rFonts w:hint="eastAsia" w:ascii="宋体" w:hAnsi="宋体" w:cs="宋体"/>
          <w:b/>
          <w:bCs/>
          <w:color w:val="auto"/>
          <w:sz w:val="24"/>
          <w:highlight w:val="none"/>
          <w:u w:val="single"/>
          <w:lang w:eastAsia="zh-CN"/>
        </w:rPr>
        <w:t>梧州市万秀区城东镇华堂村风貌提升工程</w:t>
      </w:r>
      <w:r>
        <w:rPr>
          <w:rFonts w:hint="eastAsia" w:ascii="宋体" w:hAnsi="宋体" w:cs="宋体"/>
          <w:color w:val="auto"/>
          <w:sz w:val="24"/>
          <w:highlight w:val="none"/>
        </w:rPr>
        <w:t>（工程全称）签订工程质量保修书。</w:t>
      </w:r>
    </w:p>
    <w:p w14:paraId="787728BF">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一、工程质量保修范围和内容</w:t>
      </w:r>
    </w:p>
    <w:p w14:paraId="17E880B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承包人在质量保修期内，按照有关法律规定和合同约定，承担工程质量保修责任。</w:t>
      </w:r>
    </w:p>
    <w:p w14:paraId="5EF0965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质量保修范围包括</w:t>
      </w:r>
      <w:r>
        <w:rPr>
          <w:rFonts w:hint="eastAsia" w:ascii="宋体" w:hAnsi="宋体" w:cs="宋体"/>
          <w:color w:val="auto"/>
          <w:sz w:val="24"/>
          <w:highlight w:val="none"/>
          <w:u w:val="single"/>
        </w:rPr>
        <w:t>合同及施工图纸所包括的工程</w:t>
      </w:r>
      <w:r>
        <w:rPr>
          <w:rFonts w:hint="eastAsia" w:ascii="宋体" w:hAnsi="宋体" w:cs="宋体"/>
          <w:color w:val="auto"/>
          <w:sz w:val="24"/>
          <w:highlight w:val="none"/>
        </w:rPr>
        <w:t>，以及双方约定的其他项目。具体保修的内容，双方约定如下：</w:t>
      </w:r>
    </w:p>
    <w:p w14:paraId="39258347">
      <w:pPr>
        <w:spacing w:line="40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在承包人承包范围内，属承包人责任造成的工程质量问题，由承包人承担保修责任</w:t>
      </w:r>
      <w:r>
        <w:rPr>
          <w:rFonts w:hint="eastAsia" w:ascii="宋体" w:hAnsi="宋体" w:cs="宋体"/>
          <w:color w:val="auto"/>
          <w:sz w:val="24"/>
          <w:highlight w:val="none"/>
        </w:rPr>
        <w:t>。</w:t>
      </w:r>
    </w:p>
    <w:p w14:paraId="6D755802">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二、质量保修期</w:t>
      </w:r>
    </w:p>
    <w:p w14:paraId="6D81BB68">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根据《建设工程质量管理条例》及有关规定，工程的质量保修期如下：</w:t>
      </w:r>
    </w:p>
    <w:p w14:paraId="5C1E1C5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1.道路工程为</w:t>
      </w:r>
      <w:r>
        <w:rPr>
          <w:rFonts w:hint="eastAsia" w:ascii="宋体" w:hAnsi="宋体" w:cs="宋体"/>
          <w:color w:val="auto"/>
          <w:sz w:val="24"/>
          <w:highlight w:val="none"/>
          <w:u w:val="single"/>
        </w:rPr>
        <w:t xml:space="preserve"> 2 </w:t>
      </w:r>
      <w:r>
        <w:rPr>
          <w:rFonts w:hint="eastAsia" w:ascii="宋体" w:hAnsi="宋体" w:cs="宋体"/>
          <w:color w:val="auto"/>
          <w:sz w:val="24"/>
          <w:highlight w:val="none"/>
        </w:rPr>
        <w:t>年；</w:t>
      </w:r>
    </w:p>
    <w:p w14:paraId="6D39A07A">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2.排水（雨水）工程为</w:t>
      </w:r>
      <w:r>
        <w:rPr>
          <w:rFonts w:hint="eastAsia" w:ascii="宋体" w:hAnsi="宋体" w:cs="宋体"/>
          <w:color w:val="auto"/>
          <w:sz w:val="24"/>
          <w:highlight w:val="none"/>
          <w:u w:val="single"/>
        </w:rPr>
        <w:t xml:space="preserve"> 2 </w:t>
      </w:r>
      <w:r>
        <w:rPr>
          <w:rFonts w:hint="eastAsia" w:ascii="宋体" w:hAnsi="宋体" w:cs="宋体"/>
          <w:color w:val="auto"/>
          <w:sz w:val="24"/>
          <w:highlight w:val="none"/>
        </w:rPr>
        <w:t>年；</w:t>
      </w:r>
    </w:p>
    <w:p w14:paraId="4563382D">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3.绿化工程为</w:t>
      </w:r>
      <w:r>
        <w:rPr>
          <w:rFonts w:hint="eastAsia" w:ascii="宋体" w:hAnsi="宋体" w:cs="宋体"/>
          <w:color w:val="auto"/>
          <w:sz w:val="24"/>
          <w:highlight w:val="none"/>
          <w:u w:val="single"/>
        </w:rPr>
        <w:t>单位工程竣工验收合格后 1年</w:t>
      </w:r>
      <w:r>
        <w:rPr>
          <w:rFonts w:hint="eastAsia" w:ascii="宋体" w:hAnsi="宋体" w:cs="宋体"/>
          <w:color w:val="auto"/>
          <w:sz w:val="24"/>
          <w:highlight w:val="none"/>
        </w:rPr>
        <w:t>；</w:t>
      </w:r>
    </w:p>
    <w:p w14:paraId="3F2379B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4.地下防水工程为</w:t>
      </w:r>
      <w:r>
        <w:rPr>
          <w:rFonts w:hint="eastAsia" w:ascii="宋体" w:hAnsi="宋体" w:cs="宋体"/>
          <w:color w:val="auto"/>
          <w:sz w:val="24"/>
          <w:highlight w:val="none"/>
          <w:u w:val="single"/>
        </w:rPr>
        <w:t xml:space="preserve"> 2 </w:t>
      </w:r>
      <w:r>
        <w:rPr>
          <w:rFonts w:hint="eastAsia" w:ascii="宋体" w:hAnsi="宋体" w:cs="宋体"/>
          <w:color w:val="auto"/>
          <w:sz w:val="24"/>
          <w:highlight w:val="none"/>
        </w:rPr>
        <w:t>年；</w:t>
      </w:r>
    </w:p>
    <w:p w14:paraId="70F01FD5">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5.其他附属工程为</w:t>
      </w:r>
      <w:r>
        <w:rPr>
          <w:rFonts w:hint="eastAsia" w:ascii="宋体" w:hAnsi="宋体" w:cs="宋体"/>
          <w:color w:val="auto"/>
          <w:sz w:val="24"/>
          <w:highlight w:val="none"/>
          <w:u w:val="single"/>
        </w:rPr>
        <w:t xml:space="preserve"> 2 </w:t>
      </w:r>
      <w:r>
        <w:rPr>
          <w:rFonts w:hint="eastAsia" w:ascii="宋体" w:hAnsi="宋体" w:cs="宋体"/>
          <w:color w:val="auto"/>
          <w:sz w:val="24"/>
          <w:highlight w:val="none"/>
        </w:rPr>
        <w:t>年；</w:t>
      </w:r>
    </w:p>
    <w:p w14:paraId="4E2F6420">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6.在没有明文规定下，参照建设工程质量保修条例，双方协商为设计文件规定的该工程的合理使用年限内保修；</w:t>
      </w:r>
    </w:p>
    <w:p w14:paraId="184C024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7.其他约定：质量保修期自工程竣工验收合格之日起计算。</w:t>
      </w:r>
    </w:p>
    <w:p w14:paraId="589FAFAB">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三、缺陷责任期</w:t>
      </w:r>
    </w:p>
    <w:p w14:paraId="53FC4DF8">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工程缺陷责任期为</w:t>
      </w:r>
      <w:r>
        <w:rPr>
          <w:rFonts w:hint="eastAsia" w:ascii="宋体" w:hAnsi="宋体" w:cs="宋体"/>
          <w:color w:val="auto"/>
          <w:sz w:val="24"/>
          <w:highlight w:val="none"/>
          <w:u w:val="single"/>
        </w:rPr>
        <w:t xml:space="preserve"> 12 </w:t>
      </w:r>
      <w:r>
        <w:rPr>
          <w:rFonts w:hint="eastAsia" w:ascii="宋体" w:hAnsi="宋体" w:cs="宋体"/>
          <w:color w:val="auto"/>
          <w:sz w:val="24"/>
          <w:highlight w:val="none"/>
        </w:rPr>
        <w:t>个月（一般为12个月，最长不超过24个月），缺陷责任期自工程竣工验收合格之日起计算。单位工程先于全部工程进行验收，单位工程缺陷责任期自单位工程验收合格之日起算。</w:t>
      </w:r>
    </w:p>
    <w:p w14:paraId="688AE71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缺陷责任期终止后，发包人应退还剩余的质量保证金。保修金在验收合格满1年后无息返还。</w:t>
      </w:r>
    </w:p>
    <w:p w14:paraId="32C13B3D">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四、质量保修责任</w:t>
      </w:r>
    </w:p>
    <w:p w14:paraId="0D33DBE0">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1.属于保修范围、内容的项目，承包人应当在接到保修通知之日起7天内派人保修。承包人不在约定期限内派人保修的，发包人可以委托他人修理。</w:t>
      </w:r>
    </w:p>
    <w:p w14:paraId="7F0A613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2.发生紧急事故需抢修的，承包人在接到事故通知后，应当立即到达事故现场抢修。</w:t>
      </w:r>
    </w:p>
    <w:p w14:paraId="329252D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48F2ED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4.质量保修完成后，由发包人组织验收。</w:t>
      </w:r>
    </w:p>
    <w:p w14:paraId="08ED3561">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五、保修费用</w:t>
      </w:r>
    </w:p>
    <w:p w14:paraId="726106F5">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保修费用由造成质量缺陷的责任方承担。</w:t>
      </w:r>
    </w:p>
    <w:p w14:paraId="6E881D04">
      <w:pPr>
        <w:spacing w:line="400" w:lineRule="exact"/>
        <w:ind w:firstLine="482" w:firstLineChars="200"/>
        <w:jc w:val="left"/>
        <w:rPr>
          <w:rFonts w:ascii="宋体" w:hAnsi="宋体" w:cs="宋体"/>
          <w:color w:val="auto"/>
          <w:sz w:val="24"/>
          <w:highlight w:val="none"/>
        </w:rPr>
      </w:pPr>
      <w:r>
        <w:rPr>
          <w:rFonts w:hint="eastAsia" w:ascii="宋体" w:hAnsi="宋体" w:cs="宋体"/>
          <w:b/>
          <w:bCs/>
          <w:color w:val="auto"/>
          <w:sz w:val="24"/>
          <w:highlight w:val="none"/>
        </w:rPr>
        <w:t>六、双方约定的其他工程质量保修事项</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保修期内同一部位维修超过2次仍存在质量问题，发包人有权要求承包人支付该部位合同价200%的赔偿金 </w:t>
      </w:r>
      <w:r>
        <w:rPr>
          <w:rFonts w:hint="eastAsia" w:ascii="宋体" w:hAnsi="宋体" w:cs="宋体"/>
          <w:color w:val="auto"/>
          <w:sz w:val="24"/>
          <w:highlight w:val="none"/>
        </w:rPr>
        <w:t>。</w:t>
      </w:r>
    </w:p>
    <w:p w14:paraId="10A3707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工程质量保修书由发包人、承包人在工程竣工验收前共同签署，作为施工合同附件，其有效期限至保修期满。</w:t>
      </w:r>
    </w:p>
    <w:p w14:paraId="07C2D64C">
      <w:pPr>
        <w:spacing w:line="400" w:lineRule="exact"/>
        <w:ind w:firstLine="480" w:firstLineChars="200"/>
        <w:rPr>
          <w:rFonts w:ascii="宋体" w:hAnsi="宋体" w:cs="宋体"/>
          <w:color w:val="auto"/>
          <w:sz w:val="24"/>
          <w:highlight w:val="none"/>
        </w:rPr>
      </w:pPr>
    </w:p>
    <w:p w14:paraId="43BF7A5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承包人(公章)：</w:t>
      </w:r>
      <w:r>
        <w:rPr>
          <w:rFonts w:hint="eastAsia" w:ascii="宋体" w:hAnsi="宋体" w:cs="宋体"/>
          <w:color w:val="auto"/>
          <w:sz w:val="24"/>
          <w:highlight w:val="none"/>
          <w:u w:val="single"/>
        </w:rPr>
        <w:t xml:space="preserve">                </w:t>
      </w:r>
    </w:p>
    <w:p w14:paraId="35D2131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地  址：</w:t>
      </w:r>
      <w:r>
        <w:rPr>
          <w:rFonts w:hint="eastAsia" w:ascii="宋体" w:hAnsi="宋体" w:cs="宋体"/>
          <w:color w:val="auto"/>
          <w:sz w:val="24"/>
          <w:highlight w:val="none"/>
          <w:u w:val="single"/>
        </w:rPr>
        <w:t xml:space="preserve">                      </w:t>
      </w:r>
    </w:p>
    <w:p w14:paraId="30B3327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法定代表人(签字)：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法定代表人(签字)：</w:t>
      </w:r>
      <w:r>
        <w:rPr>
          <w:rFonts w:hint="eastAsia" w:ascii="宋体" w:hAnsi="宋体" w:cs="宋体"/>
          <w:color w:val="auto"/>
          <w:sz w:val="24"/>
          <w:highlight w:val="none"/>
          <w:u w:val="single"/>
        </w:rPr>
        <w:t xml:space="preserve">            </w:t>
      </w:r>
    </w:p>
    <w:p w14:paraId="282F56E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委托代理人(签字)：</w:t>
      </w:r>
      <w:r>
        <w:rPr>
          <w:rFonts w:hint="eastAsia" w:ascii="宋体" w:hAnsi="宋体" w:cs="宋体"/>
          <w:color w:val="auto"/>
          <w:sz w:val="24"/>
          <w:highlight w:val="none"/>
          <w:u w:val="single"/>
        </w:rPr>
        <w:t xml:space="preserve">            </w:t>
      </w:r>
    </w:p>
    <w:p w14:paraId="7F78ADC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电  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电  话：</w:t>
      </w:r>
      <w:r>
        <w:rPr>
          <w:rFonts w:hint="eastAsia" w:ascii="宋体" w:hAnsi="宋体" w:cs="宋体"/>
          <w:color w:val="auto"/>
          <w:sz w:val="24"/>
          <w:highlight w:val="none"/>
          <w:u w:val="single"/>
        </w:rPr>
        <w:t xml:space="preserve">                      </w:t>
      </w:r>
    </w:p>
    <w:p w14:paraId="01BEBB1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传  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传  真：</w:t>
      </w:r>
      <w:r>
        <w:rPr>
          <w:rFonts w:hint="eastAsia" w:ascii="宋体" w:hAnsi="宋体" w:cs="宋体"/>
          <w:color w:val="auto"/>
          <w:sz w:val="24"/>
          <w:highlight w:val="none"/>
          <w:u w:val="single"/>
        </w:rPr>
        <w:t xml:space="preserve">                      </w:t>
      </w:r>
    </w:p>
    <w:p w14:paraId="7FE9330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开户银行：</w:t>
      </w:r>
      <w:r>
        <w:rPr>
          <w:rFonts w:hint="eastAsia" w:ascii="宋体" w:hAnsi="宋体" w:cs="宋体"/>
          <w:color w:val="auto"/>
          <w:sz w:val="24"/>
          <w:highlight w:val="none"/>
          <w:u w:val="single"/>
        </w:rPr>
        <w:t xml:space="preserve">                    </w:t>
      </w:r>
    </w:p>
    <w:p w14:paraId="742BDA7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账  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  号：</w:t>
      </w:r>
      <w:r>
        <w:rPr>
          <w:rFonts w:hint="eastAsia" w:ascii="宋体" w:hAnsi="宋体" w:cs="宋体"/>
          <w:color w:val="auto"/>
          <w:sz w:val="24"/>
          <w:highlight w:val="none"/>
          <w:u w:val="single"/>
        </w:rPr>
        <w:t xml:space="preserve">                      </w:t>
      </w:r>
    </w:p>
    <w:p w14:paraId="6B288F8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邮政编码：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邮政编码：</w:t>
      </w:r>
      <w:r>
        <w:rPr>
          <w:rFonts w:hint="eastAsia" w:ascii="宋体" w:hAnsi="宋体" w:cs="宋体"/>
          <w:color w:val="auto"/>
          <w:sz w:val="24"/>
          <w:highlight w:val="none"/>
          <w:u w:val="single"/>
        </w:rPr>
        <w:t xml:space="preserve">                    </w:t>
      </w:r>
    </w:p>
    <w:p w14:paraId="7A3D9B7C">
      <w:pPr>
        <w:spacing w:line="440" w:lineRule="exact"/>
        <w:rPr>
          <w:rFonts w:ascii="宋体" w:hAnsi="宋体" w:cs="宋体"/>
          <w:color w:val="auto"/>
          <w:highlight w:val="none"/>
        </w:rPr>
      </w:pPr>
      <w:r>
        <w:rPr>
          <w:rFonts w:hint="eastAsia" w:ascii="宋体" w:hAnsi="宋体" w:cs="宋体"/>
          <w:b/>
          <w:color w:val="auto"/>
          <w:szCs w:val="21"/>
          <w:highlight w:val="none"/>
        </w:rPr>
        <w:br w:type="page"/>
      </w:r>
      <w:r>
        <w:rPr>
          <w:rFonts w:hint="eastAsia" w:ascii="宋体" w:hAnsi="宋体" w:cs="宋体"/>
          <w:b/>
          <w:bCs/>
          <w:color w:val="auto"/>
          <w:sz w:val="24"/>
          <w:szCs w:val="32"/>
          <w:highlight w:val="none"/>
        </w:rPr>
        <w:t>附件2：</w:t>
      </w:r>
    </w:p>
    <w:p w14:paraId="2D19F507">
      <w:pPr>
        <w:spacing w:beforeLines="50" w:afterLines="50" w:line="44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履约担保</w:t>
      </w:r>
    </w:p>
    <w:p w14:paraId="36397D2E">
      <w:pPr>
        <w:spacing w:line="440" w:lineRule="exact"/>
        <w:rPr>
          <w:rFonts w:ascii="宋体" w:hAnsi="宋体" w:cs="宋体"/>
          <w:color w:val="auto"/>
          <w:sz w:val="24"/>
          <w:highlight w:val="none"/>
        </w:rPr>
      </w:pPr>
      <w:r>
        <w:rPr>
          <w:rFonts w:hint="eastAsia" w:ascii="宋体" w:hAnsi="宋体" w:cs="宋体"/>
          <w:color w:val="auto"/>
          <w:sz w:val="24"/>
          <w:highlight w:val="none"/>
          <w:u w:val="single"/>
          <w:lang w:eastAsia="zh-CN"/>
        </w:rPr>
        <w:t>梧州市万秀区城东镇人民政府</w:t>
      </w:r>
      <w:r>
        <w:rPr>
          <w:rFonts w:hint="eastAsia" w:ascii="宋体" w:hAnsi="宋体" w:cs="宋体"/>
          <w:color w:val="auto"/>
          <w:sz w:val="24"/>
          <w:highlight w:val="none"/>
        </w:rPr>
        <w:t>（发包人名称）：</w:t>
      </w:r>
    </w:p>
    <w:p w14:paraId="631CA927">
      <w:pPr>
        <w:spacing w:line="440" w:lineRule="exact"/>
        <w:rPr>
          <w:rFonts w:ascii="宋体" w:hAnsi="宋体" w:cs="宋体"/>
          <w:color w:val="auto"/>
          <w:sz w:val="24"/>
          <w:highlight w:val="none"/>
        </w:rPr>
      </w:pPr>
    </w:p>
    <w:p w14:paraId="0874785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鉴于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（发包人名称，以下简称“发包人”）与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（承包人名称）（以下称“承包人”）于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（工程名称）施工及有关事项协商一致共同签订《建设工程施工合同》。我方愿意无条件地、不可撤销地就承包人履行与你方签订的合同，向你方提供连带责任担保。 </w:t>
      </w:r>
    </w:p>
    <w:p w14:paraId="07F64DF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1.担保金额人民币（大写）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），担保金额为合同价的10%。</w:t>
      </w:r>
    </w:p>
    <w:p w14:paraId="537BD77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2.担保有效期自你方与承包人签订的合同生效之日起至缺陷责任期满后180日止。</w:t>
      </w:r>
    </w:p>
    <w:p w14:paraId="183819D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3.在本担保有效期内，因承包人违反合同约定的义务给你方造成经济损失时，我方在收到你方以书面形式提出的在担保金额内的赔偿要求后，在7天内无条件支付。</w:t>
      </w:r>
    </w:p>
    <w:p w14:paraId="464A5C6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4.你方和承包人按合同约定变更合同时，我方承担本担保规定的义务不变。</w:t>
      </w:r>
    </w:p>
    <w:p w14:paraId="0C3C63C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5.因本保函发生的纠纷，可由双方协商解决，协商不成的，任何一方均可提请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仲裁委员会仲裁。</w:t>
      </w:r>
    </w:p>
    <w:p w14:paraId="47F9E46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 本保函自我方法定代表人（或其授权代理人）签字并加盖公章之日起生效。</w:t>
      </w:r>
    </w:p>
    <w:p w14:paraId="6520F969">
      <w:pPr>
        <w:spacing w:line="360" w:lineRule="auto"/>
        <w:rPr>
          <w:rFonts w:ascii="宋体" w:hAnsi="宋体" w:cs="宋体"/>
          <w:color w:val="auto"/>
          <w:sz w:val="24"/>
          <w:highlight w:val="none"/>
        </w:rPr>
      </w:pPr>
    </w:p>
    <w:p w14:paraId="5B9FEFC6">
      <w:pPr>
        <w:spacing w:line="360" w:lineRule="auto"/>
        <w:rPr>
          <w:rFonts w:ascii="宋体" w:hAnsi="宋体" w:cs="宋体"/>
          <w:color w:val="auto"/>
          <w:sz w:val="24"/>
          <w:highlight w:val="none"/>
        </w:rPr>
      </w:pPr>
      <w:r>
        <w:rPr>
          <w:rFonts w:hint="eastAsia" w:ascii="宋体" w:hAnsi="宋体" w:cs="宋体"/>
          <w:color w:val="auto"/>
          <w:sz w:val="24"/>
          <w:highlight w:val="none"/>
        </w:rPr>
        <w:t>担 保 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14:paraId="7971A714">
      <w:pPr>
        <w:spacing w:line="360" w:lineRule="auto"/>
        <w:rPr>
          <w:rFonts w:ascii="宋体" w:hAnsi="宋体" w:cs="宋体"/>
          <w:color w:val="auto"/>
          <w:sz w:val="24"/>
          <w:highlight w:val="none"/>
        </w:rPr>
      </w:pPr>
      <w:r>
        <w:rPr>
          <w:rFonts w:hint="eastAsia" w:ascii="宋体" w:hAnsi="宋体" w:cs="宋体"/>
          <w:color w:val="auto"/>
          <w:sz w:val="24"/>
          <w:highlight w:val="none"/>
        </w:rPr>
        <w:t>法定代表人或其委托代理人：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（签字）</w:t>
      </w:r>
    </w:p>
    <w:p w14:paraId="4013A28F">
      <w:pPr>
        <w:spacing w:line="360" w:lineRule="auto"/>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72EE73FA">
      <w:pPr>
        <w:spacing w:line="360" w:lineRule="auto"/>
        <w:rPr>
          <w:rFonts w:ascii="宋体" w:hAnsi="宋体" w:cs="宋体"/>
          <w:color w:val="auto"/>
          <w:sz w:val="24"/>
          <w:highlight w:val="none"/>
        </w:rPr>
      </w:pPr>
      <w:r>
        <w:rPr>
          <w:rFonts w:hint="eastAsia" w:ascii="宋体" w:hAnsi="宋体" w:cs="宋体"/>
          <w:color w:val="auto"/>
          <w:sz w:val="24"/>
          <w:highlight w:val="none"/>
        </w:rPr>
        <w:t>邮政编码：</w:t>
      </w:r>
      <w:r>
        <w:rPr>
          <w:rFonts w:hint="eastAsia" w:ascii="宋体" w:hAnsi="宋体" w:cs="宋体"/>
          <w:color w:val="auto"/>
          <w:sz w:val="24"/>
          <w:highlight w:val="none"/>
          <w:u w:val="single"/>
        </w:rPr>
        <w:t xml:space="preserve">                                      </w:t>
      </w:r>
    </w:p>
    <w:p w14:paraId="6D291B5F">
      <w:pPr>
        <w:spacing w:line="360" w:lineRule="auto"/>
        <w:rPr>
          <w:rFonts w:ascii="宋体" w:hAnsi="宋体" w:cs="宋体"/>
          <w:color w:val="auto"/>
          <w:sz w:val="24"/>
          <w:highlight w:val="none"/>
          <w:u w:val="single"/>
        </w:rPr>
      </w:pPr>
      <w:r>
        <w:rPr>
          <w:rFonts w:hint="eastAsia" w:ascii="宋体" w:hAnsi="宋体" w:cs="宋体"/>
          <w:color w:val="auto"/>
          <w:sz w:val="24"/>
          <w:highlight w:val="none"/>
        </w:rPr>
        <w:t>电    话：</w:t>
      </w:r>
      <w:r>
        <w:rPr>
          <w:rFonts w:hint="eastAsia" w:ascii="宋体" w:hAnsi="宋体" w:cs="宋体"/>
          <w:color w:val="auto"/>
          <w:sz w:val="24"/>
          <w:highlight w:val="none"/>
          <w:u w:val="single"/>
        </w:rPr>
        <w:t xml:space="preserve">                                      </w:t>
      </w:r>
    </w:p>
    <w:p w14:paraId="615BFEEB">
      <w:pPr>
        <w:spacing w:line="360" w:lineRule="auto"/>
        <w:rPr>
          <w:rFonts w:ascii="宋体" w:hAnsi="宋体" w:cs="宋体"/>
          <w:color w:val="auto"/>
          <w:sz w:val="24"/>
          <w:highlight w:val="none"/>
        </w:rPr>
      </w:pPr>
      <w:r>
        <w:rPr>
          <w:rFonts w:hint="eastAsia" w:ascii="宋体" w:hAnsi="宋体" w:cs="宋体"/>
          <w:color w:val="auto"/>
          <w:sz w:val="24"/>
          <w:highlight w:val="none"/>
        </w:rPr>
        <w:t>传    真：</w:t>
      </w:r>
      <w:r>
        <w:rPr>
          <w:rFonts w:hint="eastAsia" w:ascii="宋体" w:hAnsi="宋体" w:cs="宋体"/>
          <w:color w:val="auto"/>
          <w:sz w:val="24"/>
          <w:highlight w:val="none"/>
          <w:u w:val="single"/>
        </w:rPr>
        <w:t xml:space="preserve">                                      </w:t>
      </w:r>
    </w:p>
    <w:p w14:paraId="53FC3727">
      <w:pPr>
        <w:spacing w:line="360" w:lineRule="auto"/>
        <w:jc w:val="left"/>
        <w:rPr>
          <w:rFonts w:ascii="宋体" w:hAnsi="宋体" w:cs="宋体"/>
          <w:color w:val="auto"/>
          <w:sz w:val="24"/>
          <w:highlight w:val="none"/>
          <w:u w:val="single"/>
        </w:rPr>
      </w:pPr>
    </w:p>
    <w:p w14:paraId="32D66AA1">
      <w:pPr>
        <w:spacing w:line="360" w:lineRule="auto"/>
        <w:ind w:left="1519" w:hanging="1519" w:hangingChars="633"/>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75B7E783">
      <w:pPr>
        <w:spacing w:line="400" w:lineRule="exact"/>
        <w:jc w:val="left"/>
        <w:rPr>
          <w:rFonts w:ascii="宋体" w:hAnsi="宋体" w:cs="宋体"/>
          <w:color w:val="auto"/>
          <w:szCs w:val="21"/>
          <w:highlight w:val="none"/>
        </w:rPr>
      </w:pPr>
    </w:p>
    <w:p w14:paraId="14DE63CA">
      <w:pPr>
        <w:tabs>
          <w:tab w:val="left" w:pos="7200"/>
          <w:tab w:val="left" w:pos="7380"/>
          <w:tab w:val="left" w:pos="7560"/>
        </w:tabs>
        <w:spacing w:line="360" w:lineRule="auto"/>
        <w:rPr>
          <w:rFonts w:ascii="宋体" w:hAnsi="宋体" w:cs="宋体"/>
          <w:color w:val="auto"/>
          <w:highlight w:val="none"/>
        </w:rPr>
      </w:pPr>
      <w:r>
        <w:rPr>
          <w:rFonts w:hint="eastAsia" w:ascii="宋体" w:hAnsi="宋体" w:cs="宋体"/>
          <w:color w:val="auto"/>
          <w:szCs w:val="21"/>
          <w:highlight w:val="none"/>
        </w:rPr>
        <w:br w:type="page"/>
      </w:r>
    </w:p>
    <w:p w14:paraId="7A418A86">
      <w:pPr>
        <w:pStyle w:val="13"/>
        <w:rPr>
          <w:rFonts w:ascii="宋体" w:hAnsi="宋体" w:cs="宋体"/>
          <w:color w:val="auto"/>
          <w:highlight w:val="none"/>
        </w:rPr>
      </w:pPr>
    </w:p>
    <w:p w14:paraId="4DF3930B">
      <w:pPr>
        <w:pStyle w:val="97"/>
        <w:ind w:firstLine="883"/>
        <w:rPr>
          <w:rFonts w:ascii="宋体" w:hAnsi="宋体" w:cs="宋体"/>
          <w:b/>
          <w:color w:val="auto"/>
          <w:sz w:val="44"/>
          <w:szCs w:val="44"/>
          <w:highlight w:val="none"/>
        </w:rPr>
      </w:pPr>
    </w:p>
    <w:p w14:paraId="79C59887">
      <w:pPr>
        <w:tabs>
          <w:tab w:val="left" w:pos="3261"/>
        </w:tabs>
        <w:spacing w:line="360" w:lineRule="auto"/>
        <w:contextualSpacing/>
        <w:jc w:val="center"/>
        <w:rPr>
          <w:rFonts w:ascii="宋体" w:hAnsi="宋体" w:cs="宋体"/>
          <w:b/>
          <w:color w:val="auto"/>
          <w:sz w:val="44"/>
          <w:szCs w:val="44"/>
          <w:highlight w:val="none"/>
        </w:rPr>
      </w:pPr>
    </w:p>
    <w:p w14:paraId="71E3B4E0">
      <w:pPr>
        <w:pStyle w:val="2"/>
        <w:spacing w:before="0" w:after="0" w:line="360" w:lineRule="auto"/>
        <w:jc w:val="center"/>
        <w:rPr>
          <w:rFonts w:ascii="宋体" w:hAnsi="宋体" w:cs="宋体"/>
          <w:bCs w:val="0"/>
          <w:color w:val="auto"/>
          <w:kern w:val="2"/>
          <w:sz w:val="32"/>
          <w:szCs w:val="32"/>
          <w:highlight w:val="none"/>
        </w:rPr>
      </w:pPr>
      <w:bookmarkStart w:id="534" w:name="_Toc5496"/>
      <w:r>
        <w:rPr>
          <w:rFonts w:hint="eastAsia" w:ascii="宋体" w:hAnsi="宋体" w:cs="宋体"/>
          <w:bCs w:val="0"/>
          <w:color w:val="auto"/>
          <w:kern w:val="2"/>
          <w:sz w:val="32"/>
          <w:szCs w:val="32"/>
          <w:highlight w:val="none"/>
        </w:rPr>
        <w:t>第九章 质疑、投诉材料格式</w:t>
      </w:r>
      <w:bookmarkEnd w:id="534"/>
    </w:p>
    <w:p w14:paraId="08E819A0">
      <w:pPr>
        <w:rPr>
          <w:rFonts w:ascii="宋体" w:hAnsi="宋体"/>
          <w:color w:val="auto"/>
          <w:highlight w:val="none"/>
        </w:rPr>
      </w:pPr>
    </w:p>
    <w:p w14:paraId="77D5E2B9">
      <w:pPr>
        <w:widowControl/>
        <w:jc w:val="left"/>
        <w:rPr>
          <w:rFonts w:ascii="宋体" w:hAnsi="宋体"/>
          <w:color w:val="auto"/>
          <w:highlight w:val="none"/>
        </w:rPr>
      </w:pPr>
      <w:r>
        <w:rPr>
          <w:rFonts w:ascii="宋体" w:hAnsi="宋体"/>
          <w:color w:val="auto"/>
          <w:highlight w:val="none"/>
        </w:rPr>
        <w:br w:type="page"/>
      </w:r>
    </w:p>
    <w:p w14:paraId="164B586E">
      <w:pPr>
        <w:spacing w:beforeLines="50"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质疑函（格式）</w:t>
      </w:r>
    </w:p>
    <w:p w14:paraId="1A1E0BE7">
      <w:pPr>
        <w:pStyle w:val="18"/>
        <w:spacing w:line="360" w:lineRule="auto"/>
        <w:ind w:firstLine="482" w:firstLineChars="200"/>
        <w:contextualSpacing/>
        <w:rPr>
          <w:rFonts w:hAnsi="宋体" w:cs="宋体"/>
          <w:b/>
          <w:bCs/>
          <w:color w:val="auto"/>
          <w:kern w:val="2"/>
          <w:sz w:val="24"/>
          <w:szCs w:val="24"/>
          <w:highlight w:val="none"/>
        </w:rPr>
      </w:pPr>
      <w:r>
        <w:rPr>
          <w:rFonts w:hint="eastAsia" w:hAnsi="宋体" w:cs="宋体"/>
          <w:b/>
          <w:bCs/>
          <w:color w:val="auto"/>
          <w:kern w:val="2"/>
          <w:sz w:val="24"/>
          <w:szCs w:val="24"/>
          <w:highlight w:val="none"/>
        </w:rPr>
        <w:t>一、质疑供应商基本信息：</w:t>
      </w:r>
    </w:p>
    <w:p w14:paraId="2DC0C115">
      <w:pPr>
        <w:pStyle w:val="18"/>
        <w:spacing w:line="360" w:lineRule="auto"/>
        <w:ind w:firstLine="480" w:firstLineChars="200"/>
        <w:contextualSpacing/>
        <w:rPr>
          <w:rFonts w:hAnsi="宋体" w:cs="宋体"/>
          <w:bCs/>
          <w:color w:val="auto"/>
          <w:kern w:val="2"/>
          <w:sz w:val="24"/>
          <w:szCs w:val="24"/>
          <w:highlight w:val="none"/>
          <w:u w:val="single"/>
        </w:rPr>
      </w:pPr>
      <w:r>
        <w:rPr>
          <w:rFonts w:hint="eastAsia" w:hAnsi="宋体" w:cs="宋体"/>
          <w:bCs/>
          <w:color w:val="auto"/>
          <w:kern w:val="2"/>
          <w:sz w:val="24"/>
          <w:szCs w:val="24"/>
          <w:highlight w:val="none"/>
        </w:rPr>
        <w:t>质疑供应商：</w:t>
      </w:r>
      <w:r>
        <w:rPr>
          <w:rFonts w:hint="eastAsia" w:hAnsi="宋体" w:cs="宋体"/>
          <w:bCs/>
          <w:color w:val="auto"/>
          <w:kern w:val="2"/>
          <w:sz w:val="24"/>
          <w:szCs w:val="24"/>
          <w:highlight w:val="none"/>
          <w:u w:val="single"/>
        </w:rPr>
        <w:t xml:space="preserve">                                       </w:t>
      </w:r>
      <w:r>
        <w:rPr>
          <w:rFonts w:hint="eastAsia" w:hAnsi="宋体" w:cs="宋体"/>
          <w:bCs/>
          <w:color w:val="auto"/>
          <w:kern w:val="2"/>
          <w:sz w:val="24"/>
          <w:szCs w:val="24"/>
          <w:highlight w:val="none"/>
        </w:rPr>
        <w:t xml:space="preserve">                 </w:t>
      </w:r>
    </w:p>
    <w:p w14:paraId="0780D40B">
      <w:pPr>
        <w:pStyle w:val="18"/>
        <w:spacing w:line="360" w:lineRule="auto"/>
        <w:ind w:firstLine="480" w:firstLineChars="200"/>
        <w:contextualSpacing/>
        <w:rPr>
          <w:rFonts w:hAnsi="宋体" w:cs="宋体"/>
          <w:bCs/>
          <w:color w:val="auto"/>
          <w:kern w:val="2"/>
          <w:sz w:val="24"/>
          <w:szCs w:val="24"/>
          <w:highlight w:val="none"/>
        </w:rPr>
      </w:pPr>
      <w:r>
        <w:rPr>
          <w:rFonts w:hint="eastAsia" w:hAnsi="宋体" w:cs="宋体"/>
          <w:bCs/>
          <w:color w:val="auto"/>
          <w:kern w:val="2"/>
          <w:sz w:val="24"/>
          <w:szCs w:val="24"/>
          <w:highlight w:val="none"/>
        </w:rPr>
        <w:t>地址：</w:t>
      </w:r>
      <w:r>
        <w:rPr>
          <w:rFonts w:hint="eastAsia" w:hAnsi="宋体" w:cs="宋体"/>
          <w:bCs/>
          <w:color w:val="auto"/>
          <w:kern w:val="2"/>
          <w:sz w:val="24"/>
          <w:szCs w:val="24"/>
          <w:highlight w:val="none"/>
          <w:u w:val="single"/>
        </w:rPr>
        <w:t xml:space="preserve">                                          </w:t>
      </w:r>
      <w:r>
        <w:rPr>
          <w:rFonts w:hint="eastAsia" w:hAnsi="宋体" w:cs="宋体"/>
          <w:bCs/>
          <w:color w:val="auto"/>
          <w:kern w:val="2"/>
          <w:sz w:val="24"/>
          <w:szCs w:val="24"/>
          <w:highlight w:val="none"/>
        </w:rPr>
        <w:t>邮编：</w:t>
      </w:r>
      <w:r>
        <w:rPr>
          <w:rFonts w:hint="eastAsia" w:hAnsi="宋体" w:cs="宋体"/>
          <w:bCs/>
          <w:color w:val="auto"/>
          <w:kern w:val="2"/>
          <w:sz w:val="24"/>
          <w:szCs w:val="24"/>
          <w:highlight w:val="none"/>
          <w:u w:val="single"/>
        </w:rPr>
        <w:t xml:space="preserve">                  </w:t>
      </w:r>
    </w:p>
    <w:p w14:paraId="69EB894E">
      <w:pPr>
        <w:pStyle w:val="18"/>
        <w:spacing w:line="360" w:lineRule="auto"/>
        <w:ind w:firstLine="480" w:firstLineChars="200"/>
        <w:contextualSpacing/>
        <w:rPr>
          <w:rFonts w:hAnsi="宋体" w:cs="宋体"/>
          <w:bCs/>
          <w:color w:val="auto"/>
          <w:kern w:val="2"/>
          <w:sz w:val="24"/>
          <w:szCs w:val="24"/>
          <w:highlight w:val="none"/>
        </w:rPr>
      </w:pPr>
      <w:r>
        <w:rPr>
          <w:rFonts w:hint="eastAsia" w:hAnsi="宋体" w:cs="宋体"/>
          <w:bCs/>
          <w:color w:val="auto"/>
          <w:kern w:val="2"/>
          <w:sz w:val="24"/>
          <w:szCs w:val="24"/>
          <w:highlight w:val="none"/>
        </w:rPr>
        <w:t>联系人：</w:t>
      </w:r>
      <w:r>
        <w:rPr>
          <w:rFonts w:hint="eastAsia" w:hAnsi="宋体" w:cs="宋体"/>
          <w:bCs/>
          <w:color w:val="auto"/>
          <w:kern w:val="2"/>
          <w:sz w:val="24"/>
          <w:szCs w:val="24"/>
          <w:highlight w:val="none"/>
          <w:u w:val="single"/>
        </w:rPr>
        <w:t xml:space="preserve">                     </w:t>
      </w:r>
      <w:r>
        <w:rPr>
          <w:rFonts w:hint="eastAsia" w:hAnsi="宋体" w:cs="宋体"/>
          <w:bCs/>
          <w:color w:val="auto"/>
          <w:kern w:val="2"/>
          <w:sz w:val="24"/>
          <w:szCs w:val="24"/>
          <w:highlight w:val="none"/>
        </w:rPr>
        <w:t>联系电话：</w:t>
      </w:r>
      <w:r>
        <w:rPr>
          <w:rFonts w:hint="eastAsia" w:hAnsi="宋体" w:cs="宋体"/>
          <w:bCs/>
          <w:color w:val="auto"/>
          <w:kern w:val="2"/>
          <w:sz w:val="24"/>
          <w:szCs w:val="24"/>
          <w:highlight w:val="none"/>
          <w:u w:val="single"/>
        </w:rPr>
        <w:t xml:space="preserve">                 </w:t>
      </w:r>
    </w:p>
    <w:p w14:paraId="4840DEB3">
      <w:pPr>
        <w:pStyle w:val="18"/>
        <w:spacing w:line="360" w:lineRule="auto"/>
        <w:ind w:firstLine="480" w:firstLineChars="200"/>
        <w:contextualSpacing/>
        <w:rPr>
          <w:rFonts w:hAnsi="宋体" w:cs="宋体"/>
          <w:bCs/>
          <w:color w:val="auto"/>
          <w:kern w:val="2"/>
          <w:sz w:val="24"/>
          <w:szCs w:val="24"/>
          <w:highlight w:val="none"/>
        </w:rPr>
      </w:pPr>
      <w:r>
        <w:rPr>
          <w:rFonts w:hint="eastAsia" w:hAnsi="宋体" w:cs="宋体"/>
          <w:bCs/>
          <w:color w:val="auto"/>
          <w:kern w:val="2"/>
          <w:sz w:val="24"/>
          <w:szCs w:val="24"/>
          <w:highlight w:val="none"/>
        </w:rPr>
        <w:t>授权代表：</w:t>
      </w:r>
      <w:r>
        <w:rPr>
          <w:rFonts w:hint="eastAsia" w:hAnsi="宋体" w:cs="宋体"/>
          <w:bCs/>
          <w:color w:val="auto"/>
          <w:kern w:val="2"/>
          <w:sz w:val="24"/>
          <w:szCs w:val="24"/>
          <w:highlight w:val="none"/>
          <w:u w:val="single"/>
        </w:rPr>
        <w:t xml:space="preserve">                      </w:t>
      </w:r>
    </w:p>
    <w:p w14:paraId="0347DE03">
      <w:pPr>
        <w:pStyle w:val="18"/>
        <w:spacing w:line="360" w:lineRule="auto"/>
        <w:ind w:firstLine="480" w:firstLineChars="200"/>
        <w:contextualSpacing/>
        <w:rPr>
          <w:rFonts w:hAnsi="宋体" w:cs="宋体"/>
          <w:bCs/>
          <w:color w:val="auto"/>
          <w:kern w:val="2"/>
          <w:sz w:val="24"/>
          <w:szCs w:val="24"/>
          <w:highlight w:val="none"/>
          <w:u w:val="single"/>
        </w:rPr>
      </w:pPr>
      <w:r>
        <w:rPr>
          <w:rFonts w:hint="eastAsia" w:hAnsi="宋体" w:cs="宋体"/>
          <w:bCs/>
          <w:color w:val="auto"/>
          <w:kern w:val="2"/>
          <w:sz w:val="24"/>
          <w:szCs w:val="24"/>
          <w:highlight w:val="none"/>
        </w:rPr>
        <w:t>联系电话：</w:t>
      </w:r>
      <w:r>
        <w:rPr>
          <w:rFonts w:hint="eastAsia" w:hAnsi="宋体" w:cs="宋体"/>
          <w:bCs/>
          <w:color w:val="auto"/>
          <w:kern w:val="2"/>
          <w:sz w:val="24"/>
          <w:szCs w:val="24"/>
          <w:highlight w:val="none"/>
          <w:u w:val="single"/>
        </w:rPr>
        <w:t xml:space="preserve">                      </w:t>
      </w:r>
    </w:p>
    <w:p w14:paraId="4C1A7B82">
      <w:pPr>
        <w:pStyle w:val="18"/>
        <w:spacing w:line="360" w:lineRule="auto"/>
        <w:ind w:firstLine="480" w:firstLineChars="200"/>
        <w:contextualSpacing/>
        <w:rPr>
          <w:rFonts w:hAnsi="宋体" w:cs="宋体"/>
          <w:bCs/>
          <w:color w:val="auto"/>
          <w:kern w:val="2"/>
          <w:sz w:val="24"/>
          <w:szCs w:val="24"/>
          <w:highlight w:val="none"/>
        </w:rPr>
      </w:pPr>
      <w:r>
        <w:rPr>
          <w:rFonts w:hint="eastAsia" w:hAnsi="宋体" w:cs="宋体"/>
          <w:bCs/>
          <w:color w:val="auto"/>
          <w:kern w:val="2"/>
          <w:sz w:val="24"/>
          <w:szCs w:val="24"/>
          <w:highlight w:val="none"/>
        </w:rPr>
        <w:t>地址：</w:t>
      </w:r>
      <w:r>
        <w:rPr>
          <w:rFonts w:hint="eastAsia" w:hAnsi="宋体" w:cs="宋体"/>
          <w:bCs/>
          <w:color w:val="auto"/>
          <w:kern w:val="2"/>
          <w:sz w:val="24"/>
          <w:szCs w:val="24"/>
          <w:highlight w:val="none"/>
          <w:u w:val="single"/>
        </w:rPr>
        <w:t xml:space="preserve">                 </w:t>
      </w:r>
      <w:r>
        <w:rPr>
          <w:rFonts w:hint="eastAsia" w:hAnsi="宋体" w:cs="宋体"/>
          <w:bCs/>
          <w:color w:val="auto"/>
          <w:kern w:val="2"/>
          <w:sz w:val="24"/>
          <w:szCs w:val="24"/>
          <w:highlight w:val="none"/>
        </w:rPr>
        <w:t>邮编：</w:t>
      </w:r>
      <w:r>
        <w:rPr>
          <w:rFonts w:hint="eastAsia" w:hAnsi="宋体" w:cs="宋体"/>
          <w:bCs/>
          <w:color w:val="auto"/>
          <w:kern w:val="2"/>
          <w:sz w:val="24"/>
          <w:szCs w:val="24"/>
          <w:highlight w:val="none"/>
          <w:u w:val="single"/>
        </w:rPr>
        <w:t xml:space="preserve">                  </w:t>
      </w:r>
      <w:r>
        <w:rPr>
          <w:rFonts w:hint="eastAsia" w:hAnsi="宋体" w:cs="宋体"/>
          <w:bCs/>
          <w:color w:val="auto"/>
          <w:kern w:val="2"/>
          <w:sz w:val="24"/>
          <w:szCs w:val="24"/>
          <w:highlight w:val="none"/>
        </w:rPr>
        <w:t xml:space="preserve">     </w:t>
      </w:r>
    </w:p>
    <w:p w14:paraId="7D427290">
      <w:pPr>
        <w:pStyle w:val="18"/>
        <w:spacing w:line="360" w:lineRule="auto"/>
        <w:ind w:firstLine="482" w:firstLineChars="200"/>
        <w:contextualSpacing/>
        <w:rPr>
          <w:rFonts w:hAnsi="宋体" w:cs="宋体"/>
          <w:b/>
          <w:bCs/>
          <w:color w:val="auto"/>
          <w:kern w:val="2"/>
          <w:sz w:val="24"/>
          <w:szCs w:val="24"/>
          <w:highlight w:val="none"/>
        </w:rPr>
      </w:pPr>
      <w:r>
        <w:rPr>
          <w:rFonts w:hint="eastAsia" w:hAnsi="宋体" w:cs="宋体"/>
          <w:b/>
          <w:bCs/>
          <w:color w:val="auto"/>
          <w:kern w:val="2"/>
          <w:sz w:val="24"/>
          <w:szCs w:val="24"/>
          <w:highlight w:val="none"/>
        </w:rPr>
        <w:t>二、质疑项目基本情况：</w:t>
      </w:r>
    </w:p>
    <w:p w14:paraId="106EF462">
      <w:pPr>
        <w:pStyle w:val="18"/>
        <w:spacing w:line="360" w:lineRule="auto"/>
        <w:ind w:firstLine="480" w:firstLineChars="200"/>
        <w:contextualSpacing/>
        <w:rPr>
          <w:rFonts w:hint="eastAsia" w:hAnsi="宋体" w:eastAsia="宋体" w:cs="宋体"/>
          <w:color w:val="auto"/>
          <w:kern w:val="2"/>
          <w:sz w:val="24"/>
          <w:szCs w:val="24"/>
          <w:highlight w:val="none"/>
          <w:lang w:eastAsia="zh-CN"/>
        </w:rPr>
      </w:pPr>
      <w:r>
        <w:rPr>
          <w:rFonts w:hint="eastAsia" w:hAnsi="宋体" w:cs="宋体"/>
          <w:bCs/>
          <w:color w:val="auto"/>
          <w:kern w:val="2"/>
          <w:sz w:val="24"/>
          <w:szCs w:val="24"/>
          <w:highlight w:val="none"/>
        </w:rPr>
        <w:t>质疑</w:t>
      </w:r>
      <w:r>
        <w:rPr>
          <w:rFonts w:hint="eastAsia" w:hAnsi="宋体" w:cs="宋体"/>
          <w:color w:val="auto"/>
          <w:kern w:val="2"/>
          <w:sz w:val="24"/>
          <w:szCs w:val="24"/>
          <w:highlight w:val="none"/>
        </w:rPr>
        <w:t>项目的名称：</w:t>
      </w:r>
      <w:r>
        <w:rPr>
          <w:rFonts w:hint="eastAsia" w:hAnsi="宋体" w:cs="宋体"/>
          <w:bCs/>
          <w:color w:val="auto"/>
          <w:kern w:val="2"/>
          <w:sz w:val="24"/>
          <w:szCs w:val="24"/>
          <w:highlight w:val="none"/>
          <w:u w:val="single"/>
          <w:lang w:eastAsia="zh-CN"/>
        </w:rPr>
        <w:t>梧州市万秀区城东镇华堂村风貌提升工程</w:t>
      </w:r>
    </w:p>
    <w:p w14:paraId="6FDAFF6E">
      <w:pPr>
        <w:pStyle w:val="18"/>
        <w:spacing w:line="360" w:lineRule="auto"/>
        <w:ind w:firstLine="480" w:firstLineChars="200"/>
        <w:contextualSpacing/>
        <w:rPr>
          <w:rFonts w:hint="eastAsia" w:hAnsi="宋体" w:eastAsia="宋体" w:cs="宋体"/>
          <w:color w:val="auto"/>
          <w:kern w:val="2"/>
          <w:sz w:val="24"/>
          <w:szCs w:val="24"/>
          <w:highlight w:val="none"/>
          <w:lang w:val="en-US" w:eastAsia="zh-CN"/>
        </w:rPr>
      </w:pPr>
      <w:r>
        <w:rPr>
          <w:rFonts w:hint="eastAsia" w:hAnsi="宋体" w:cs="宋体"/>
          <w:bCs/>
          <w:color w:val="auto"/>
          <w:kern w:val="2"/>
          <w:sz w:val="24"/>
          <w:szCs w:val="24"/>
          <w:highlight w:val="none"/>
        </w:rPr>
        <w:t>质疑</w:t>
      </w:r>
      <w:r>
        <w:rPr>
          <w:rFonts w:hint="eastAsia" w:hAnsi="宋体" w:cs="宋体"/>
          <w:color w:val="auto"/>
          <w:kern w:val="2"/>
          <w:sz w:val="24"/>
          <w:szCs w:val="24"/>
          <w:highlight w:val="none"/>
        </w:rPr>
        <w:t>项目的编号：</w:t>
      </w:r>
      <w:r>
        <w:rPr>
          <w:rFonts w:hint="eastAsia" w:hAnsi="宋体" w:cs="宋体"/>
          <w:color w:val="auto"/>
          <w:kern w:val="2"/>
          <w:sz w:val="24"/>
          <w:szCs w:val="24"/>
          <w:highlight w:val="none"/>
          <w:u w:val="single"/>
          <w:lang w:eastAsia="zh-CN"/>
        </w:rPr>
        <w:t>WZZC2025-C2-030033-GXHH</w:t>
      </w:r>
    </w:p>
    <w:p w14:paraId="12708384">
      <w:pPr>
        <w:pStyle w:val="18"/>
        <w:spacing w:line="360" w:lineRule="auto"/>
        <w:ind w:firstLine="480" w:firstLineChars="200"/>
        <w:contextualSpacing/>
        <w:rPr>
          <w:rFonts w:hint="eastAsia" w:hAnsi="宋体" w:eastAsia="宋体" w:cs="宋体"/>
          <w:color w:val="auto"/>
          <w:kern w:val="2"/>
          <w:sz w:val="24"/>
          <w:szCs w:val="24"/>
          <w:highlight w:val="none"/>
          <w:lang w:eastAsia="zh-CN"/>
        </w:rPr>
      </w:pPr>
      <w:r>
        <w:rPr>
          <w:rFonts w:hint="eastAsia" w:hAnsi="宋体" w:cs="宋体"/>
          <w:color w:val="auto"/>
          <w:kern w:val="2"/>
          <w:sz w:val="24"/>
          <w:szCs w:val="24"/>
          <w:highlight w:val="none"/>
        </w:rPr>
        <w:t>采购人名称：</w:t>
      </w:r>
      <w:r>
        <w:rPr>
          <w:rFonts w:hint="eastAsia" w:hAnsi="宋体" w:cs="宋体"/>
          <w:bCs/>
          <w:color w:val="auto"/>
          <w:kern w:val="2"/>
          <w:sz w:val="24"/>
          <w:szCs w:val="24"/>
          <w:highlight w:val="none"/>
          <w:u w:val="single"/>
          <w:lang w:eastAsia="zh-CN"/>
        </w:rPr>
        <w:t>梧州市万秀区城东镇人民政府</w:t>
      </w:r>
    </w:p>
    <w:p w14:paraId="1CBE4588">
      <w:pPr>
        <w:pStyle w:val="18"/>
        <w:spacing w:line="360" w:lineRule="auto"/>
        <w:ind w:firstLine="480" w:firstLineChars="200"/>
        <w:contextualSpacing/>
        <w:rPr>
          <w:rFonts w:hAnsi="宋体" w:cs="宋体"/>
          <w:color w:val="auto"/>
          <w:kern w:val="2"/>
          <w:sz w:val="24"/>
          <w:szCs w:val="24"/>
          <w:highlight w:val="none"/>
        </w:rPr>
      </w:pPr>
      <w:r>
        <w:rPr>
          <w:rFonts w:hint="eastAsia" w:hAnsi="宋体" w:cs="宋体"/>
          <w:color w:val="auto"/>
          <w:kern w:val="2"/>
          <w:sz w:val="24"/>
          <w:szCs w:val="24"/>
          <w:highlight w:val="none"/>
        </w:rPr>
        <w:t>质疑事项：</w:t>
      </w:r>
    </w:p>
    <w:p w14:paraId="0D0FB736">
      <w:pPr>
        <w:pStyle w:val="18"/>
        <w:spacing w:line="360" w:lineRule="auto"/>
        <w:ind w:firstLine="480" w:firstLineChars="200"/>
        <w:contextualSpacing/>
        <w:rPr>
          <w:rFonts w:hAnsi="宋体" w:cs="宋体"/>
          <w:color w:val="auto"/>
          <w:kern w:val="2"/>
          <w:sz w:val="24"/>
          <w:szCs w:val="24"/>
          <w:highlight w:val="none"/>
        </w:rPr>
      </w:pPr>
      <w:r>
        <w:rPr>
          <w:rFonts w:hint="eastAsia" w:hAnsi="宋体" w:cs="宋体"/>
          <w:color w:val="auto"/>
          <w:kern w:val="2"/>
          <w:sz w:val="24"/>
          <w:szCs w:val="24"/>
          <w:highlight w:val="none"/>
        </w:rPr>
        <w:t>□采购文件   采购文件获取日期：</w:t>
      </w:r>
      <w:r>
        <w:rPr>
          <w:rFonts w:hint="eastAsia" w:hAnsi="宋体" w:cs="宋体"/>
          <w:bCs/>
          <w:color w:val="auto"/>
          <w:kern w:val="2"/>
          <w:sz w:val="24"/>
          <w:szCs w:val="24"/>
          <w:highlight w:val="none"/>
          <w:u w:val="single"/>
        </w:rPr>
        <w:t xml:space="preserve">                                   </w:t>
      </w:r>
    </w:p>
    <w:p w14:paraId="3A196B44">
      <w:pPr>
        <w:pStyle w:val="18"/>
        <w:spacing w:line="360" w:lineRule="auto"/>
        <w:ind w:firstLine="480" w:firstLineChars="200"/>
        <w:contextualSpacing/>
        <w:rPr>
          <w:rFonts w:hAnsi="宋体" w:cs="宋体"/>
          <w:color w:val="auto"/>
          <w:kern w:val="2"/>
          <w:sz w:val="24"/>
          <w:szCs w:val="24"/>
          <w:highlight w:val="none"/>
        </w:rPr>
      </w:pPr>
      <w:r>
        <w:rPr>
          <w:rFonts w:hint="eastAsia" w:hAnsi="宋体" w:cs="宋体"/>
          <w:color w:val="auto"/>
          <w:kern w:val="2"/>
          <w:sz w:val="24"/>
          <w:szCs w:val="24"/>
          <w:highlight w:val="none"/>
        </w:rPr>
        <w:t xml:space="preserve">□采购过程   </w:t>
      </w:r>
    </w:p>
    <w:p w14:paraId="6BF0A512">
      <w:pPr>
        <w:pStyle w:val="18"/>
        <w:spacing w:line="360" w:lineRule="auto"/>
        <w:ind w:firstLine="480" w:firstLineChars="200"/>
        <w:contextualSpacing/>
        <w:rPr>
          <w:rFonts w:hAnsi="宋体" w:cs="宋体"/>
          <w:bCs/>
          <w:color w:val="auto"/>
          <w:kern w:val="2"/>
          <w:sz w:val="24"/>
          <w:szCs w:val="24"/>
          <w:highlight w:val="none"/>
          <w:u w:val="single"/>
        </w:rPr>
      </w:pPr>
      <w:r>
        <w:rPr>
          <w:rFonts w:hint="eastAsia" w:hAnsi="宋体" w:cs="宋体"/>
          <w:color w:val="auto"/>
          <w:kern w:val="2"/>
          <w:sz w:val="24"/>
          <w:szCs w:val="24"/>
          <w:highlight w:val="none"/>
        </w:rPr>
        <w:t xml:space="preserve">□成交结果   </w:t>
      </w:r>
    </w:p>
    <w:p w14:paraId="7851F8D6">
      <w:pPr>
        <w:pStyle w:val="18"/>
        <w:spacing w:line="360" w:lineRule="auto"/>
        <w:ind w:firstLine="482" w:firstLineChars="200"/>
        <w:contextualSpacing/>
        <w:rPr>
          <w:rFonts w:hAnsi="宋体" w:cs="宋体"/>
          <w:b/>
          <w:color w:val="auto"/>
          <w:kern w:val="2"/>
          <w:sz w:val="24"/>
          <w:szCs w:val="24"/>
          <w:highlight w:val="none"/>
        </w:rPr>
      </w:pPr>
      <w:r>
        <w:rPr>
          <w:rFonts w:hint="eastAsia" w:hAnsi="宋体" w:cs="宋体"/>
          <w:b/>
          <w:color w:val="auto"/>
          <w:kern w:val="2"/>
          <w:sz w:val="24"/>
          <w:szCs w:val="24"/>
          <w:highlight w:val="none"/>
        </w:rPr>
        <w:t>三、质疑事项具体内容</w:t>
      </w:r>
    </w:p>
    <w:p w14:paraId="16991EF8">
      <w:pPr>
        <w:pStyle w:val="18"/>
        <w:spacing w:line="360" w:lineRule="auto"/>
        <w:ind w:firstLine="480" w:firstLineChars="200"/>
        <w:contextualSpacing/>
        <w:rPr>
          <w:rFonts w:hAnsi="宋体" w:cs="宋体"/>
          <w:color w:val="auto"/>
          <w:kern w:val="2"/>
          <w:sz w:val="24"/>
          <w:szCs w:val="24"/>
          <w:highlight w:val="none"/>
        </w:rPr>
      </w:pPr>
      <w:r>
        <w:rPr>
          <w:rFonts w:hint="eastAsia" w:hAnsi="宋体" w:cs="宋体"/>
          <w:color w:val="auto"/>
          <w:kern w:val="2"/>
          <w:sz w:val="24"/>
          <w:szCs w:val="24"/>
          <w:highlight w:val="none"/>
        </w:rPr>
        <w:t>质疑事项1：</w:t>
      </w:r>
      <w:r>
        <w:rPr>
          <w:rFonts w:hint="eastAsia" w:hAnsi="宋体" w:cs="宋体"/>
          <w:bCs/>
          <w:color w:val="auto"/>
          <w:kern w:val="2"/>
          <w:sz w:val="24"/>
          <w:szCs w:val="24"/>
          <w:highlight w:val="none"/>
          <w:u w:val="single"/>
        </w:rPr>
        <w:t xml:space="preserve">                                                            </w:t>
      </w:r>
    </w:p>
    <w:p w14:paraId="0DDE2520">
      <w:pPr>
        <w:pStyle w:val="18"/>
        <w:spacing w:line="360" w:lineRule="auto"/>
        <w:ind w:firstLine="480" w:firstLineChars="200"/>
        <w:contextualSpacing/>
        <w:rPr>
          <w:rFonts w:hAnsi="宋体" w:cs="宋体"/>
          <w:color w:val="auto"/>
          <w:kern w:val="2"/>
          <w:sz w:val="24"/>
          <w:szCs w:val="24"/>
          <w:highlight w:val="none"/>
        </w:rPr>
      </w:pPr>
      <w:r>
        <w:rPr>
          <w:rFonts w:hint="eastAsia" w:hAnsi="宋体" w:cs="宋体"/>
          <w:color w:val="auto"/>
          <w:kern w:val="2"/>
          <w:sz w:val="24"/>
          <w:szCs w:val="24"/>
          <w:highlight w:val="none"/>
        </w:rPr>
        <w:t>事实依据：</w:t>
      </w:r>
      <w:r>
        <w:rPr>
          <w:rFonts w:hint="eastAsia" w:hAnsi="宋体" w:cs="宋体"/>
          <w:bCs/>
          <w:color w:val="auto"/>
          <w:kern w:val="2"/>
          <w:sz w:val="24"/>
          <w:szCs w:val="24"/>
          <w:highlight w:val="none"/>
          <w:u w:val="single"/>
        </w:rPr>
        <w:t xml:space="preserve">                                                             </w:t>
      </w:r>
    </w:p>
    <w:p w14:paraId="5595DF59">
      <w:pPr>
        <w:pStyle w:val="18"/>
        <w:spacing w:line="360" w:lineRule="auto"/>
        <w:ind w:firstLine="480" w:firstLineChars="200"/>
        <w:contextualSpacing/>
        <w:rPr>
          <w:rFonts w:hAnsi="宋体" w:cs="宋体"/>
          <w:color w:val="auto"/>
          <w:kern w:val="2"/>
          <w:sz w:val="24"/>
          <w:szCs w:val="24"/>
          <w:highlight w:val="none"/>
        </w:rPr>
      </w:pPr>
      <w:r>
        <w:rPr>
          <w:rFonts w:hint="eastAsia" w:hAnsi="宋体" w:cs="宋体"/>
          <w:color w:val="auto"/>
          <w:kern w:val="2"/>
          <w:sz w:val="24"/>
          <w:szCs w:val="24"/>
          <w:highlight w:val="none"/>
        </w:rPr>
        <w:t>法律依据：</w:t>
      </w:r>
      <w:r>
        <w:rPr>
          <w:rFonts w:hint="eastAsia" w:hAnsi="宋体" w:cs="宋体"/>
          <w:color w:val="auto"/>
          <w:kern w:val="2"/>
          <w:sz w:val="24"/>
          <w:szCs w:val="24"/>
          <w:highlight w:val="none"/>
          <w:u w:val="single"/>
        </w:rPr>
        <w:t xml:space="preserve">                                                        </w:t>
      </w:r>
      <w:r>
        <w:rPr>
          <w:rFonts w:hint="eastAsia" w:hAnsi="宋体" w:cs="宋体"/>
          <w:bCs/>
          <w:color w:val="auto"/>
          <w:kern w:val="2"/>
          <w:sz w:val="24"/>
          <w:szCs w:val="24"/>
          <w:highlight w:val="none"/>
          <w:u w:val="single"/>
        </w:rPr>
        <w:t xml:space="preserve">     </w:t>
      </w:r>
    </w:p>
    <w:p w14:paraId="69114E94">
      <w:pPr>
        <w:pStyle w:val="18"/>
        <w:spacing w:line="360" w:lineRule="auto"/>
        <w:ind w:firstLine="480" w:firstLineChars="200"/>
        <w:contextualSpacing/>
        <w:rPr>
          <w:rFonts w:hAnsi="宋体" w:cs="宋体"/>
          <w:color w:val="auto"/>
          <w:kern w:val="2"/>
          <w:sz w:val="24"/>
          <w:szCs w:val="24"/>
          <w:highlight w:val="none"/>
        </w:rPr>
      </w:pPr>
      <w:r>
        <w:rPr>
          <w:rFonts w:hint="eastAsia" w:hAnsi="宋体" w:cs="宋体"/>
          <w:color w:val="auto"/>
          <w:kern w:val="2"/>
          <w:sz w:val="24"/>
          <w:szCs w:val="24"/>
          <w:highlight w:val="none"/>
        </w:rPr>
        <w:t>质疑事项2</w:t>
      </w:r>
    </w:p>
    <w:p w14:paraId="63D00E3B">
      <w:pPr>
        <w:pStyle w:val="18"/>
        <w:spacing w:line="360" w:lineRule="auto"/>
        <w:ind w:firstLine="480" w:firstLineChars="200"/>
        <w:contextualSpacing/>
        <w:rPr>
          <w:rFonts w:hAnsi="宋体" w:cs="宋体"/>
          <w:color w:val="auto"/>
          <w:kern w:val="2"/>
          <w:sz w:val="24"/>
          <w:szCs w:val="24"/>
          <w:highlight w:val="none"/>
        </w:rPr>
      </w:pPr>
      <w:r>
        <w:rPr>
          <w:rFonts w:hint="eastAsia" w:hAnsi="宋体" w:cs="宋体"/>
          <w:color w:val="auto"/>
          <w:kern w:val="2"/>
          <w:sz w:val="24"/>
          <w:szCs w:val="24"/>
          <w:highlight w:val="none"/>
        </w:rPr>
        <w:t>……</w:t>
      </w:r>
    </w:p>
    <w:p w14:paraId="690CC20A">
      <w:pPr>
        <w:pStyle w:val="18"/>
        <w:spacing w:line="360" w:lineRule="auto"/>
        <w:ind w:firstLine="480" w:firstLineChars="200"/>
        <w:contextualSpacing/>
        <w:rPr>
          <w:rFonts w:hAnsi="宋体" w:cs="宋体"/>
          <w:color w:val="auto"/>
          <w:kern w:val="2"/>
          <w:sz w:val="24"/>
          <w:szCs w:val="24"/>
          <w:highlight w:val="none"/>
        </w:rPr>
      </w:pPr>
      <w:r>
        <w:rPr>
          <w:rFonts w:hint="eastAsia" w:hAnsi="宋体" w:cs="宋体"/>
          <w:color w:val="auto"/>
          <w:kern w:val="2"/>
          <w:sz w:val="24"/>
          <w:szCs w:val="24"/>
          <w:highlight w:val="none"/>
        </w:rPr>
        <w:t>四、与质疑事项相关的质疑请求：</w:t>
      </w:r>
    </w:p>
    <w:p w14:paraId="7E4C6AC7">
      <w:pPr>
        <w:pStyle w:val="18"/>
        <w:spacing w:line="360" w:lineRule="auto"/>
        <w:ind w:firstLine="480" w:firstLineChars="200"/>
        <w:contextualSpacing/>
        <w:rPr>
          <w:rFonts w:hAnsi="宋体" w:cs="宋体"/>
          <w:color w:val="auto"/>
          <w:kern w:val="2"/>
          <w:sz w:val="24"/>
          <w:szCs w:val="24"/>
          <w:highlight w:val="none"/>
        </w:rPr>
      </w:pPr>
      <w:r>
        <w:rPr>
          <w:rFonts w:hint="eastAsia" w:hAnsi="宋体" w:cs="宋体"/>
          <w:color w:val="auto"/>
          <w:kern w:val="2"/>
          <w:sz w:val="24"/>
          <w:szCs w:val="24"/>
          <w:highlight w:val="none"/>
        </w:rPr>
        <w:t>请求：</w:t>
      </w:r>
      <w:r>
        <w:rPr>
          <w:rFonts w:hint="eastAsia" w:hAnsi="宋体" w:cs="宋体"/>
          <w:bCs/>
          <w:color w:val="auto"/>
          <w:kern w:val="2"/>
          <w:sz w:val="24"/>
          <w:szCs w:val="24"/>
          <w:highlight w:val="none"/>
          <w:u w:val="single"/>
        </w:rPr>
        <w:t xml:space="preserve">                                                                </w:t>
      </w:r>
    </w:p>
    <w:p w14:paraId="55DC5968">
      <w:pPr>
        <w:pStyle w:val="18"/>
        <w:spacing w:line="360" w:lineRule="auto"/>
        <w:ind w:firstLine="480" w:firstLineChars="200"/>
        <w:contextualSpacing/>
        <w:rPr>
          <w:rFonts w:hAnsi="宋体" w:cs="宋体"/>
          <w:color w:val="auto"/>
          <w:kern w:val="2"/>
          <w:sz w:val="24"/>
          <w:szCs w:val="24"/>
          <w:highlight w:val="none"/>
        </w:rPr>
      </w:pPr>
    </w:p>
    <w:p w14:paraId="433F02ED">
      <w:pPr>
        <w:pStyle w:val="18"/>
        <w:spacing w:line="360" w:lineRule="auto"/>
        <w:ind w:firstLine="480" w:firstLineChars="200"/>
        <w:contextualSpacing/>
        <w:rPr>
          <w:rFonts w:hAnsi="宋体" w:cs="宋体"/>
          <w:color w:val="auto"/>
          <w:kern w:val="2"/>
          <w:sz w:val="24"/>
          <w:szCs w:val="24"/>
          <w:highlight w:val="none"/>
        </w:rPr>
      </w:pPr>
      <w:r>
        <w:rPr>
          <w:rFonts w:hint="eastAsia" w:hAnsi="宋体" w:cs="宋体"/>
          <w:color w:val="auto"/>
          <w:kern w:val="2"/>
          <w:sz w:val="24"/>
          <w:szCs w:val="24"/>
          <w:highlight w:val="none"/>
        </w:rPr>
        <w:t>签字（签章）：                                       公章：</w:t>
      </w:r>
    </w:p>
    <w:p w14:paraId="4D1C03EC">
      <w:pPr>
        <w:pStyle w:val="18"/>
        <w:spacing w:line="360" w:lineRule="auto"/>
        <w:ind w:firstLine="480" w:firstLineChars="200"/>
        <w:contextualSpacing/>
        <w:rPr>
          <w:rFonts w:hAnsi="宋体" w:cs="宋体"/>
          <w:color w:val="auto"/>
          <w:kern w:val="2"/>
          <w:sz w:val="24"/>
          <w:szCs w:val="24"/>
          <w:highlight w:val="none"/>
        </w:rPr>
      </w:pPr>
    </w:p>
    <w:p w14:paraId="2BF70B54">
      <w:pPr>
        <w:pStyle w:val="18"/>
        <w:spacing w:line="360" w:lineRule="auto"/>
        <w:ind w:firstLine="480" w:firstLineChars="200"/>
        <w:contextualSpacing/>
        <w:rPr>
          <w:rFonts w:hAnsi="宋体" w:cs="宋体"/>
          <w:color w:val="auto"/>
          <w:kern w:val="2"/>
          <w:sz w:val="24"/>
          <w:szCs w:val="24"/>
          <w:highlight w:val="none"/>
        </w:rPr>
      </w:pPr>
      <w:r>
        <w:rPr>
          <w:rFonts w:hint="eastAsia" w:hAnsi="宋体" w:cs="宋体"/>
          <w:color w:val="auto"/>
          <w:kern w:val="2"/>
          <w:sz w:val="24"/>
          <w:szCs w:val="24"/>
          <w:highlight w:val="none"/>
        </w:rPr>
        <w:t>日期：</w:t>
      </w:r>
    </w:p>
    <w:p w14:paraId="47154A53">
      <w:pPr>
        <w:widowControl/>
        <w:jc w:val="left"/>
        <w:rPr>
          <w:rFonts w:ascii="宋体" w:hAnsi="宋体" w:cs="宋体"/>
          <w:b/>
          <w:color w:val="auto"/>
          <w:sz w:val="24"/>
          <w:highlight w:val="none"/>
        </w:rPr>
      </w:pPr>
      <w:r>
        <w:rPr>
          <w:rFonts w:ascii="宋体" w:hAnsi="宋体" w:cs="宋体"/>
          <w:b/>
          <w:color w:val="auto"/>
          <w:sz w:val="24"/>
          <w:highlight w:val="none"/>
        </w:rPr>
        <w:br w:type="page"/>
      </w:r>
    </w:p>
    <w:p w14:paraId="733F967B">
      <w:pPr>
        <w:pStyle w:val="18"/>
        <w:spacing w:line="360" w:lineRule="auto"/>
        <w:ind w:firstLine="482" w:firstLineChars="200"/>
        <w:contextualSpacing/>
        <w:rPr>
          <w:rFonts w:hAnsi="宋体" w:cs="宋体"/>
          <w:b/>
          <w:color w:val="auto"/>
          <w:kern w:val="2"/>
          <w:sz w:val="24"/>
          <w:szCs w:val="24"/>
          <w:highlight w:val="none"/>
        </w:rPr>
      </w:pPr>
    </w:p>
    <w:p w14:paraId="6C692092">
      <w:pPr>
        <w:pStyle w:val="18"/>
        <w:spacing w:line="360" w:lineRule="auto"/>
        <w:ind w:firstLine="482" w:firstLineChars="200"/>
        <w:contextualSpacing/>
        <w:rPr>
          <w:rFonts w:hAnsi="宋体" w:cs="宋体"/>
          <w:b/>
          <w:color w:val="auto"/>
          <w:kern w:val="2"/>
          <w:sz w:val="24"/>
          <w:szCs w:val="24"/>
          <w:highlight w:val="none"/>
        </w:rPr>
      </w:pPr>
      <w:r>
        <w:rPr>
          <w:rFonts w:hint="eastAsia" w:hAnsi="宋体" w:cs="宋体"/>
          <w:b/>
          <w:color w:val="auto"/>
          <w:kern w:val="2"/>
          <w:sz w:val="24"/>
          <w:szCs w:val="24"/>
          <w:highlight w:val="none"/>
        </w:rPr>
        <w:t>说明：</w:t>
      </w:r>
    </w:p>
    <w:p w14:paraId="5A1BE932">
      <w:pPr>
        <w:pStyle w:val="18"/>
        <w:spacing w:line="360" w:lineRule="auto"/>
        <w:ind w:firstLine="482" w:firstLineChars="200"/>
        <w:contextualSpacing/>
        <w:rPr>
          <w:rFonts w:hAnsi="宋体" w:cs="宋体"/>
          <w:b/>
          <w:bCs/>
          <w:color w:val="auto"/>
          <w:kern w:val="2"/>
          <w:sz w:val="24"/>
          <w:szCs w:val="24"/>
          <w:highlight w:val="none"/>
        </w:rPr>
      </w:pPr>
      <w:r>
        <w:rPr>
          <w:rFonts w:hint="eastAsia" w:hAnsi="宋体" w:cs="宋体"/>
          <w:b/>
          <w:color w:val="auto"/>
          <w:kern w:val="2"/>
          <w:sz w:val="24"/>
          <w:szCs w:val="24"/>
          <w:highlight w:val="none"/>
        </w:rPr>
        <w:t>1.供应商提出质疑时，应提交质疑函和必要的证明材料</w:t>
      </w:r>
      <w:r>
        <w:rPr>
          <w:rFonts w:hint="eastAsia" w:hAnsi="宋体" w:cs="宋体"/>
          <w:b/>
          <w:bCs/>
          <w:color w:val="auto"/>
          <w:kern w:val="2"/>
          <w:sz w:val="24"/>
          <w:szCs w:val="24"/>
          <w:highlight w:val="none"/>
        </w:rPr>
        <w:t>。</w:t>
      </w:r>
    </w:p>
    <w:p w14:paraId="54C9330E">
      <w:pPr>
        <w:pStyle w:val="18"/>
        <w:spacing w:line="360" w:lineRule="auto"/>
        <w:ind w:firstLine="482" w:firstLineChars="200"/>
        <w:contextualSpacing/>
        <w:rPr>
          <w:rFonts w:hAnsi="宋体" w:cs="宋体"/>
          <w:b/>
          <w:color w:val="auto"/>
          <w:kern w:val="2"/>
          <w:sz w:val="24"/>
          <w:szCs w:val="24"/>
          <w:highlight w:val="none"/>
        </w:rPr>
      </w:pPr>
      <w:r>
        <w:rPr>
          <w:rFonts w:hint="eastAsia" w:hAnsi="宋体" w:cs="宋体"/>
          <w:b/>
          <w:color w:val="auto"/>
          <w:kern w:val="2"/>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2D3C2B9">
      <w:pPr>
        <w:pStyle w:val="18"/>
        <w:spacing w:line="360" w:lineRule="auto"/>
        <w:ind w:firstLine="482" w:firstLineChars="200"/>
        <w:contextualSpacing/>
        <w:rPr>
          <w:rFonts w:hAnsi="宋体" w:cs="宋体"/>
          <w:b/>
          <w:color w:val="auto"/>
          <w:kern w:val="2"/>
          <w:sz w:val="24"/>
          <w:szCs w:val="24"/>
          <w:highlight w:val="none"/>
        </w:rPr>
      </w:pPr>
      <w:r>
        <w:rPr>
          <w:rFonts w:hint="eastAsia" w:hAnsi="宋体" w:cs="宋体"/>
          <w:b/>
          <w:color w:val="auto"/>
          <w:kern w:val="2"/>
          <w:sz w:val="24"/>
          <w:szCs w:val="24"/>
          <w:highlight w:val="none"/>
        </w:rPr>
        <w:t>3.质疑函的质疑事项应具体、明确，并有必要的事实依据和法律依据。</w:t>
      </w:r>
    </w:p>
    <w:p w14:paraId="1DA7ED7F">
      <w:pPr>
        <w:pStyle w:val="18"/>
        <w:spacing w:line="360" w:lineRule="auto"/>
        <w:ind w:firstLine="482" w:firstLineChars="200"/>
        <w:contextualSpacing/>
        <w:rPr>
          <w:rFonts w:hAnsi="宋体" w:cs="宋体"/>
          <w:b/>
          <w:color w:val="auto"/>
          <w:kern w:val="2"/>
          <w:sz w:val="24"/>
          <w:szCs w:val="24"/>
          <w:highlight w:val="none"/>
        </w:rPr>
      </w:pPr>
      <w:r>
        <w:rPr>
          <w:rFonts w:hint="eastAsia" w:hAnsi="宋体" w:cs="宋体"/>
          <w:b/>
          <w:color w:val="auto"/>
          <w:kern w:val="2"/>
          <w:sz w:val="24"/>
          <w:szCs w:val="24"/>
          <w:highlight w:val="none"/>
        </w:rPr>
        <w:t>4.质疑函的质疑请求应与质疑事项相关。</w:t>
      </w:r>
    </w:p>
    <w:p w14:paraId="2D4AF6AD">
      <w:pPr>
        <w:pStyle w:val="18"/>
        <w:spacing w:line="360" w:lineRule="auto"/>
        <w:ind w:firstLine="482" w:firstLineChars="200"/>
        <w:contextualSpacing/>
        <w:rPr>
          <w:rFonts w:hAnsi="宋体" w:cs="宋体"/>
          <w:b/>
          <w:color w:val="auto"/>
          <w:kern w:val="2"/>
          <w:highlight w:val="none"/>
        </w:rPr>
      </w:pPr>
      <w:r>
        <w:rPr>
          <w:rFonts w:hint="eastAsia" w:hAnsi="宋体" w:cs="宋体"/>
          <w:b/>
          <w:color w:val="auto"/>
          <w:kern w:val="2"/>
          <w:sz w:val="24"/>
          <w:szCs w:val="24"/>
          <w:highlight w:val="none"/>
        </w:rPr>
        <w:t>5.质疑供应商为法人或者其他组织的，质疑函应由法定代表人、主要负责人，或者其授权代表签字或者盖章，并加盖公章。</w:t>
      </w:r>
    </w:p>
    <w:p w14:paraId="3CBD10F4">
      <w:pPr>
        <w:pStyle w:val="18"/>
        <w:rPr>
          <w:rFonts w:hAnsi="宋体" w:cs="宋体"/>
          <w:b/>
          <w:color w:val="auto"/>
          <w:kern w:val="2"/>
          <w:sz w:val="24"/>
          <w:szCs w:val="24"/>
          <w:highlight w:val="none"/>
        </w:rPr>
      </w:pPr>
    </w:p>
    <w:p w14:paraId="5D90FBE0">
      <w:pPr>
        <w:spacing w:line="460" w:lineRule="exact"/>
        <w:jc w:val="center"/>
        <w:rPr>
          <w:rFonts w:ascii="宋体" w:hAnsi="宋体" w:cs="宋体"/>
          <w:color w:val="auto"/>
          <w:sz w:val="44"/>
          <w:highlight w:val="none"/>
        </w:rPr>
      </w:pPr>
      <w:r>
        <w:rPr>
          <w:rFonts w:hint="eastAsia" w:ascii="宋体" w:hAnsi="宋体" w:cs="宋体"/>
          <w:color w:val="auto"/>
          <w:sz w:val="44"/>
          <w:highlight w:val="none"/>
        </w:rPr>
        <w:br w:type="page"/>
      </w:r>
    </w:p>
    <w:p w14:paraId="5D2E15C2">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投诉书（格式）</w:t>
      </w:r>
    </w:p>
    <w:p w14:paraId="634A5137">
      <w:pPr>
        <w:pStyle w:val="18"/>
        <w:spacing w:line="500" w:lineRule="exact"/>
        <w:ind w:firstLine="482" w:firstLineChars="200"/>
        <w:rPr>
          <w:rFonts w:hAnsi="宋体" w:cs="宋体"/>
          <w:b/>
          <w:bCs/>
          <w:color w:val="auto"/>
          <w:kern w:val="2"/>
          <w:sz w:val="24"/>
          <w:szCs w:val="24"/>
          <w:highlight w:val="none"/>
        </w:rPr>
      </w:pPr>
      <w:r>
        <w:rPr>
          <w:rFonts w:hint="eastAsia" w:hAnsi="宋体" w:cs="宋体"/>
          <w:b/>
          <w:bCs/>
          <w:color w:val="auto"/>
          <w:kern w:val="2"/>
          <w:sz w:val="24"/>
          <w:szCs w:val="24"/>
          <w:highlight w:val="none"/>
        </w:rPr>
        <w:t>一、投诉相关主体基本情况：</w:t>
      </w:r>
    </w:p>
    <w:p w14:paraId="4FCDC664">
      <w:pPr>
        <w:pStyle w:val="18"/>
        <w:spacing w:line="500" w:lineRule="exact"/>
        <w:ind w:firstLine="480" w:firstLineChars="200"/>
        <w:rPr>
          <w:rFonts w:hAnsi="宋体" w:cs="宋体"/>
          <w:bCs/>
          <w:color w:val="auto"/>
          <w:kern w:val="2"/>
          <w:sz w:val="24"/>
          <w:szCs w:val="24"/>
          <w:highlight w:val="none"/>
          <w:u w:val="single"/>
        </w:rPr>
      </w:pPr>
      <w:r>
        <w:rPr>
          <w:rFonts w:hint="eastAsia" w:hAnsi="宋体" w:cs="宋体"/>
          <w:bCs/>
          <w:color w:val="auto"/>
          <w:kern w:val="2"/>
          <w:sz w:val="24"/>
          <w:szCs w:val="24"/>
          <w:highlight w:val="none"/>
        </w:rPr>
        <w:t>供应商：</w:t>
      </w:r>
      <w:r>
        <w:rPr>
          <w:rFonts w:hint="eastAsia" w:hAnsi="宋体" w:cs="宋体"/>
          <w:bCs/>
          <w:color w:val="auto"/>
          <w:kern w:val="2"/>
          <w:sz w:val="24"/>
          <w:szCs w:val="24"/>
          <w:highlight w:val="none"/>
          <w:u w:val="single"/>
        </w:rPr>
        <w:t xml:space="preserve">                                                                </w:t>
      </w:r>
    </w:p>
    <w:p w14:paraId="128866ED">
      <w:pPr>
        <w:pStyle w:val="18"/>
        <w:spacing w:line="500" w:lineRule="exact"/>
        <w:ind w:firstLine="480" w:firstLineChars="200"/>
        <w:rPr>
          <w:rFonts w:hAnsi="宋体" w:cs="宋体"/>
          <w:bCs/>
          <w:color w:val="auto"/>
          <w:kern w:val="2"/>
          <w:sz w:val="24"/>
          <w:szCs w:val="24"/>
          <w:highlight w:val="none"/>
        </w:rPr>
      </w:pPr>
      <w:r>
        <w:rPr>
          <w:rFonts w:hint="eastAsia" w:hAnsi="宋体" w:cs="宋体"/>
          <w:bCs/>
          <w:color w:val="auto"/>
          <w:kern w:val="2"/>
          <w:sz w:val="24"/>
          <w:szCs w:val="24"/>
          <w:highlight w:val="none"/>
        </w:rPr>
        <w:t>地址：</w:t>
      </w:r>
      <w:r>
        <w:rPr>
          <w:rFonts w:hint="eastAsia" w:hAnsi="宋体" w:cs="宋体"/>
          <w:bCs/>
          <w:color w:val="auto"/>
          <w:kern w:val="2"/>
          <w:sz w:val="24"/>
          <w:szCs w:val="24"/>
          <w:highlight w:val="none"/>
          <w:u w:val="single"/>
        </w:rPr>
        <w:t xml:space="preserve">                                          </w:t>
      </w:r>
      <w:r>
        <w:rPr>
          <w:rFonts w:hint="eastAsia" w:hAnsi="宋体" w:cs="宋体"/>
          <w:bCs/>
          <w:color w:val="auto"/>
          <w:kern w:val="2"/>
          <w:sz w:val="24"/>
          <w:szCs w:val="24"/>
          <w:highlight w:val="none"/>
        </w:rPr>
        <w:t>邮编：</w:t>
      </w:r>
      <w:r>
        <w:rPr>
          <w:rFonts w:hint="eastAsia" w:hAnsi="宋体" w:cs="宋体"/>
          <w:bCs/>
          <w:color w:val="auto"/>
          <w:kern w:val="2"/>
          <w:sz w:val="24"/>
          <w:szCs w:val="24"/>
          <w:highlight w:val="none"/>
          <w:u w:val="single"/>
        </w:rPr>
        <w:t xml:space="preserve">                 </w:t>
      </w:r>
    </w:p>
    <w:p w14:paraId="4D35F530">
      <w:pPr>
        <w:pStyle w:val="18"/>
        <w:spacing w:line="500" w:lineRule="exact"/>
        <w:ind w:firstLine="480" w:firstLineChars="200"/>
        <w:rPr>
          <w:rFonts w:hAnsi="宋体" w:cs="宋体"/>
          <w:bCs/>
          <w:color w:val="auto"/>
          <w:kern w:val="2"/>
          <w:sz w:val="24"/>
          <w:szCs w:val="24"/>
          <w:highlight w:val="none"/>
          <w:u w:val="single"/>
        </w:rPr>
      </w:pPr>
      <w:r>
        <w:rPr>
          <w:rFonts w:hint="eastAsia" w:hAnsi="宋体" w:cs="宋体"/>
          <w:bCs/>
          <w:color w:val="auto"/>
          <w:kern w:val="2"/>
          <w:sz w:val="24"/>
          <w:szCs w:val="24"/>
          <w:highlight w:val="none"/>
        </w:rPr>
        <w:t>法定代表人/主要负责人：</w:t>
      </w:r>
      <w:r>
        <w:rPr>
          <w:rFonts w:hint="eastAsia" w:hAnsi="宋体" w:cs="宋体"/>
          <w:bCs/>
          <w:color w:val="auto"/>
          <w:kern w:val="2"/>
          <w:sz w:val="24"/>
          <w:szCs w:val="24"/>
          <w:highlight w:val="none"/>
          <w:u w:val="single"/>
        </w:rPr>
        <w:t xml:space="preserve">                                                  </w:t>
      </w:r>
    </w:p>
    <w:p w14:paraId="76E51491">
      <w:pPr>
        <w:pStyle w:val="18"/>
        <w:spacing w:line="500" w:lineRule="exact"/>
        <w:ind w:firstLine="480" w:firstLineChars="200"/>
        <w:rPr>
          <w:rFonts w:hAnsi="宋体" w:cs="宋体"/>
          <w:bCs/>
          <w:color w:val="auto"/>
          <w:kern w:val="2"/>
          <w:sz w:val="24"/>
          <w:szCs w:val="24"/>
          <w:highlight w:val="none"/>
        </w:rPr>
      </w:pPr>
      <w:r>
        <w:rPr>
          <w:rFonts w:hint="eastAsia" w:hAnsi="宋体" w:cs="宋体"/>
          <w:bCs/>
          <w:color w:val="auto"/>
          <w:kern w:val="2"/>
          <w:sz w:val="24"/>
          <w:szCs w:val="24"/>
          <w:highlight w:val="none"/>
        </w:rPr>
        <w:t>联系电话：</w:t>
      </w:r>
      <w:r>
        <w:rPr>
          <w:rFonts w:hint="eastAsia" w:hAnsi="宋体" w:cs="宋体"/>
          <w:bCs/>
          <w:color w:val="auto"/>
          <w:kern w:val="2"/>
          <w:sz w:val="24"/>
          <w:szCs w:val="24"/>
          <w:highlight w:val="none"/>
          <w:u w:val="single"/>
        </w:rPr>
        <w:t xml:space="preserve">                                         </w:t>
      </w:r>
    </w:p>
    <w:p w14:paraId="493BDB05">
      <w:pPr>
        <w:pStyle w:val="18"/>
        <w:spacing w:line="500" w:lineRule="exact"/>
        <w:ind w:firstLine="480" w:firstLineChars="200"/>
        <w:rPr>
          <w:rFonts w:hAnsi="宋体" w:cs="宋体"/>
          <w:bCs/>
          <w:color w:val="auto"/>
          <w:kern w:val="2"/>
          <w:sz w:val="24"/>
          <w:szCs w:val="24"/>
          <w:highlight w:val="none"/>
          <w:u w:val="single"/>
        </w:rPr>
      </w:pPr>
      <w:r>
        <w:rPr>
          <w:rFonts w:hint="eastAsia" w:hAnsi="宋体" w:cs="宋体"/>
          <w:bCs/>
          <w:color w:val="auto"/>
          <w:kern w:val="2"/>
          <w:sz w:val="24"/>
          <w:szCs w:val="24"/>
          <w:highlight w:val="none"/>
        </w:rPr>
        <w:t>授权代表：</w:t>
      </w:r>
      <w:r>
        <w:rPr>
          <w:rFonts w:hint="eastAsia" w:hAnsi="宋体" w:cs="宋体"/>
          <w:bCs/>
          <w:color w:val="auto"/>
          <w:kern w:val="2"/>
          <w:sz w:val="24"/>
          <w:szCs w:val="24"/>
          <w:highlight w:val="none"/>
          <w:u w:val="single"/>
        </w:rPr>
        <w:t xml:space="preserve">                                         </w:t>
      </w:r>
      <w:r>
        <w:rPr>
          <w:rFonts w:hint="eastAsia" w:hAnsi="宋体" w:cs="宋体"/>
          <w:bCs/>
          <w:color w:val="auto"/>
          <w:kern w:val="2"/>
          <w:sz w:val="24"/>
          <w:szCs w:val="24"/>
          <w:highlight w:val="none"/>
        </w:rPr>
        <w:t>联系电话：</w:t>
      </w:r>
      <w:r>
        <w:rPr>
          <w:rFonts w:hint="eastAsia" w:hAnsi="宋体" w:cs="宋体"/>
          <w:bCs/>
          <w:color w:val="auto"/>
          <w:kern w:val="2"/>
          <w:sz w:val="24"/>
          <w:szCs w:val="24"/>
          <w:highlight w:val="none"/>
          <w:u w:val="single"/>
        </w:rPr>
        <w:t xml:space="preserve">           </w:t>
      </w:r>
    </w:p>
    <w:p w14:paraId="6341D8DC">
      <w:pPr>
        <w:pStyle w:val="18"/>
        <w:spacing w:line="500" w:lineRule="exact"/>
        <w:ind w:firstLine="480" w:firstLineChars="200"/>
        <w:rPr>
          <w:rFonts w:hAnsi="宋体" w:cs="宋体"/>
          <w:bCs/>
          <w:color w:val="auto"/>
          <w:kern w:val="2"/>
          <w:sz w:val="24"/>
          <w:szCs w:val="24"/>
          <w:highlight w:val="none"/>
          <w:u w:val="single"/>
        </w:rPr>
      </w:pPr>
      <w:r>
        <w:rPr>
          <w:rFonts w:hint="eastAsia" w:hAnsi="宋体" w:cs="宋体"/>
          <w:bCs/>
          <w:color w:val="auto"/>
          <w:kern w:val="2"/>
          <w:sz w:val="24"/>
          <w:szCs w:val="24"/>
          <w:highlight w:val="none"/>
        </w:rPr>
        <w:t>地址：</w:t>
      </w:r>
      <w:r>
        <w:rPr>
          <w:rFonts w:hint="eastAsia" w:hAnsi="宋体" w:cs="宋体"/>
          <w:bCs/>
          <w:color w:val="auto"/>
          <w:kern w:val="2"/>
          <w:sz w:val="24"/>
          <w:szCs w:val="24"/>
          <w:highlight w:val="none"/>
          <w:u w:val="single"/>
        </w:rPr>
        <w:t xml:space="preserve">                                                            </w:t>
      </w:r>
    </w:p>
    <w:p w14:paraId="29EADD53">
      <w:pPr>
        <w:pStyle w:val="18"/>
        <w:spacing w:line="500" w:lineRule="exact"/>
        <w:ind w:firstLine="480" w:firstLineChars="200"/>
        <w:rPr>
          <w:rFonts w:hAnsi="宋体" w:cs="宋体"/>
          <w:bCs/>
          <w:color w:val="auto"/>
          <w:kern w:val="2"/>
          <w:sz w:val="24"/>
          <w:szCs w:val="24"/>
          <w:highlight w:val="none"/>
        </w:rPr>
      </w:pPr>
      <w:r>
        <w:rPr>
          <w:rFonts w:hint="eastAsia" w:hAnsi="宋体" w:cs="宋体"/>
          <w:bCs/>
          <w:color w:val="auto"/>
          <w:kern w:val="2"/>
          <w:sz w:val="24"/>
          <w:szCs w:val="24"/>
          <w:highlight w:val="none"/>
        </w:rPr>
        <w:t>邮编：</w:t>
      </w:r>
      <w:r>
        <w:rPr>
          <w:rFonts w:hint="eastAsia" w:hAnsi="宋体" w:cs="宋体"/>
          <w:bCs/>
          <w:color w:val="auto"/>
          <w:kern w:val="2"/>
          <w:sz w:val="24"/>
          <w:szCs w:val="24"/>
          <w:highlight w:val="none"/>
          <w:u w:val="single"/>
        </w:rPr>
        <w:t xml:space="preserve">         </w:t>
      </w:r>
      <w:r>
        <w:rPr>
          <w:rFonts w:hint="eastAsia" w:hAnsi="宋体" w:cs="宋体"/>
          <w:bCs/>
          <w:color w:val="auto"/>
          <w:kern w:val="2"/>
          <w:sz w:val="24"/>
          <w:szCs w:val="24"/>
          <w:highlight w:val="none"/>
        </w:rPr>
        <w:t xml:space="preserve">   </w:t>
      </w:r>
    </w:p>
    <w:p w14:paraId="2443B237">
      <w:pPr>
        <w:pStyle w:val="18"/>
        <w:spacing w:line="500" w:lineRule="exact"/>
        <w:ind w:firstLine="480" w:firstLineChars="200"/>
        <w:rPr>
          <w:rFonts w:hAnsi="宋体" w:cs="宋体"/>
          <w:bCs/>
          <w:color w:val="auto"/>
          <w:kern w:val="2"/>
          <w:sz w:val="24"/>
          <w:szCs w:val="24"/>
          <w:highlight w:val="none"/>
        </w:rPr>
      </w:pPr>
      <w:r>
        <w:rPr>
          <w:rFonts w:hint="eastAsia" w:hAnsi="宋体" w:cs="宋体"/>
          <w:bCs/>
          <w:color w:val="auto"/>
          <w:kern w:val="2"/>
          <w:sz w:val="24"/>
          <w:szCs w:val="24"/>
          <w:highlight w:val="none"/>
        </w:rPr>
        <w:t>被投诉人1：</w:t>
      </w:r>
    </w:p>
    <w:p w14:paraId="5ABEDA35">
      <w:pPr>
        <w:pStyle w:val="18"/>
        <w:spacing w:line="500" w:lineRule="exact"/>
        <w:ind w:firstLine="480" w:firstLineChars="200"/>
        <w:rPr>
          <w:rFonts w:hAnsi="宋体" w:cs="宋体"/>
          <w:bCs/>
          <w:color w:val="auto"/>
          <w:kern w:val="2"/>
          <w:sz w:val="24"/>
          <w:szCs w:val="24"/>
          <w:highlight w:val="none"/>
          <w:u w:val="single"/>
        </w:rPr>
      </w:pPr>
      <w:r>
        <w:rPr>
          <w:rFonts w:hint="eastAsia" w:hAnsi="宋体" w:cs="宋体"/>
          <w:bCs/>
          <w:color w:val="auto"/>
          <w:kern w:val="2"/>
          <w:sz w:val="24"/>
          <w:szCs w:val="24"/>
          <w:highlight w:val="none"/>
        </w:rPr>
        <w:t>地址：</w:t>
      </w:r>
      <w:r>
        <w:rPr>
          <w:rFonts w:hint="eastAsia" w:hAnsi="宋体" w:cs="宋体"/>
          <w:bCs/>
          <w:color w:val="auto"/>
          <w:kern w:val="2"/>
          <w:sz w:val="24"/>
          <w:szCs w:val="24"/>
          <w:highlight w:val="none"/>
          <w:u w:val="single"/>
        </w:rPr>
        <w:t xml:space="preserve">                                                            </w:t>
      </w:r>
    </w:p>
    <w:p w14:paraId="4DDF6A04">
      <w:pPr>
        <w:pStyle w:val="18"/>
        <w:spacing w:line="500" w:lineRule="exact"/>
        <w:ind w:firstLine="480" w:firstLineChars="200"/>
        <w:rPr>
          <w:rFonts w:hAnsi="宋体" w:cs="宋体"/>
          <w:bCs/>
          <w:color w:val="auto"/>
          <w:kern w:val="2"/>
          <w:sz w:val="24"/>
          <w:szCs w:val="24"/>
          <w:highlight w:val="none"/>
        </w:rPr>
      </w:pPr>
      <w:r>
        <w:rPr>
          <w:rFonts w:hint="eastAsia" w:hAnsi="宋体" w:cs="宋体"/>
          <w:bCs/>
          <w:color w:val="auto"/>
          <w:kern w:val="2"/>
          <w:sz w:val="24"/>
          <w:szCs w:val="24"/>
          <w:highlight w:val="none"/>
        </w:rPr>
        <w:t>邮编：</w:t>
      </w:r>
      <w:r>
        <w:rPr>
          <w:rFonts w:hint="eastAsia" w:hAnsi="宋体" w:cs="宋体"/>
          <w:bCs/>
          <w:color w:val="auto"/>
          <w:kern w:val="2"/>
          <w:sz w:val="24"/>
          <w:szCs w:val="24"/>
          <w:highlight w:val="none"/>
          <w:u w:val="single"/>
        </w:rPr>
        <w:t xml:space="preserve">         </w:t>
      </w:r>
      <w:r>
        <w:rPr>
          <w:rFonts w:hint="eastAsia" w:hAnsi="宋体" w:cs="宋体"/>
          <w:bCs/>
          <w:color w:val="auto"/>
          <w:kern w:val="2"/>
          <w:sz w:val="24"/>
          <w:szCs w:val="24"/>
          <w:highlight w:val="none"/>
        </w:rPr>
        <w:t xml:space="preserve">  </w:t>
      </w:r>
    </w:p>
    <w:p w14:paraId="6DD82895">
      <w:pPr>
        <w:pStyle w:val="18"/>
        <w:spacing w:line="500" w:lineRule="exact"/>
        <w:ind w:firstLine="480" w:firstLineChars="200"/>
        <w:rPr>
          <w:rFonts w:hAnsi="宋体" w:cs="宋体"/>
          <w:bCs/>
          <w:color w:val="auto"/>
          <w:kern w:val="2"/>
          <w:sz w:val="24"/>
          <w:szCs w:val="24"/>
          <w:highlight w:val="none"/>
          <w:u w:val="single"/>
        </w:rPr>
      </w:pPr>
      <w:r>
        <w:rPr>
          <w:rFonts w:hint="eastAsia" w:hAnsi="宋体" w:cs="宋体"/>
          <w:bCs/>
          <w:color w:val="auto"/>
          <w:kern w:val="2"/>
          <w:sz w:val="24"/>
          <w:szCs w:val="24"/>
          <w:highlight w:val="none"/>
        </w:rPr>
        <w:t>联系人：</w:t>
      </w:r>
      <w:r>
        <w:rPr>
          <w:rFonts w:hint="eastAsia" w:hAnsi="宋体" w:cs="宋体"/>
          <w:bCs/>
          <w:color w:val="auto"/>
          <w:kern w:val="2"/>
          <w:sz w:val="24"/>
          <w:szCs w:val="24"/>
          <w:highlight w:val="none"/>
          <w:u w:val="single"/>
        </w:rPr>
        <w:t xml:space="preserve">                            </w:t>
      </w:r>
      <w:r>
        <w:rPr>
          <w:rFonts w:hint="eastAsia" w:hAnsi="宋体" w:cs="宋体"/>
          <w:bCs/>
          <w:color w:val="auto"/>
          <w:kern w:val="2"/>
          <w:sz w:val="24"/>
          <w:szCs w:val="24"/>
          <w:highlight w:val="none"/>
        </w:rPr>
        <w:t>联系电话：</w:t>
      </w:r>
      <w:r>
        <w:rPr>
          <w:rFonts w:hint="eastAsia" w:hAnsi="宋体" w:cs="宋体"/>
          <w:bCs/>
          <w:color w:val="auto"/>
          <w:kern w:val="2"/>
          <w:sz w:val="24"/>
          <w:szCs w:val="24"/>
          <w:highlight w:val="none"/>
          <w:u w:val="single"/>
        </w:rPr>
        <w:t xml:space="preserve">                </w:t>
      </w:r>
    </w:p>
    <w:p w14:paraId="53AEEFA6">
      <w:pPr>
        <w:pStyle w:val="18"/>
        <w:spacing w:line="500" w:lineRule="exact"/>
        <w:ind w:firstLine="480" w:firstLineChars="200"/>
        <w:rPr>
          <w:rFonts w:hAnsi="宋体" w:cs="宋体"/>
          <w:bCs/>
          <w:color w:val="auto"/>
          <w:kern w:val="2"/>
          <w:sz w:val="24"/>
          <w:szCs w:val="24"/>
          <w:highlight w:val="none"/>
        </w:rPr>
      </w:pPr>
      <w:r>
        <w:rPr>
          <w:rFonts w:hint="eastAsia" w:hAnsi="宋体" w:cs="宋体"/>
          <w:bCs/>
          <w:color w:val="auto"/>
          <w:kern w:val="2"/>
          <w:sz w:val="24"/>
          <w:szCs w:val="24"/>
          <w:highlight w:val="none"/>
        </w:rPr>
        <w:t>被投诉人2：</w:t>
      </w:r>
    </w:p>
    <w:p w14:paraId="1C88225C">
      <w:pPr>
        <w:pStyle w:val="18"/>
        <w:spacing w:line="500" w:lineRule="exact"/>
        <w:ind w:firstLine="480" w:firstLineChars="200"/>
        <w:rPr>
          <w:rFonts w:hAnsi="宋体" w:cs="宋体"/>
          <w:bCs/>
          <w:color w:val="auto"/>
          <w:kern w:val="2"/>
          <w:sz w:val="24"/>
          <w:szCs w:val="24"/>
          <w:highlight w:val="none"/>
        </w:rPr>
      </w:pPr>
      <w:r>
        <w:rPr>
          <w:rFonts w:hint="eastAsia" w:hAnsi="宋体" w:cs="宋体"/>
          <w:bCs/>
          <w:color w:val="auto"/>
          <w:kern w:val="2"/>
          <w:sz w:val="24"/>
          <w:szCs w:val="24"/>
          <w:highlight w:val="none"/>
        </w:rPr>
        <w:t>……</w:t>
      </w:r>
    </w:p>
    <w:p w14:paraId="25E87039">
      <w:pPr>
        <w:pStyle w:val="18"/>
        <w:spacing w:line="500" w:lineRule="exact"/>
        <w:ind w:firstLine="480" w:firstLineChars="200"/>
        <w:rPr>
          <w:rFonts w:hAnsi="宋体" w:cs="宋体"/>
          <w:bCs/>
          <w:color w:val="auto"/>
          <w:kern w:val="2"/>
          <w:sz w:val="24"/>
          <w:szCs w:val="24"/>
          <w:highlight w:val="none"/>
          <w:u w:val="single"/>
        </w:rPr>
      </w:pPr>
      <w:r>
        <w:rPr>
          <w:rFonts w:hint="eastAsia" w:hAnsi="宋体" w:cs="宋体"/>
          <w:bCs/>
          <w:color w:val="auto"/>
          <w:kern w:val="2"/>
          <w:sz w:val="24"/>
          <w:szCs w:val="24"/>
          <w:highlight w:val="none"/>
        </w:rPr>
        <w:t>相关供应商：</w:t>
      </w:r>
      <w:r>
        <w:rPr>
          <w:rFonts w:hint="eastAsia" w:hAnsi="宋体" w:cs="宋体"/>
          <w:bCs/>
          <w:color w:val="auto"/>
          <w:kern w:val="2"/>
          <w:sz w:val="24"/>
          <w:szCs w:val="24"/>
          <w:highlight w:val="none"/>
          <w:u w:val="single"/>
        </w:rPr>
        <w:t xml:space="preserve">                                              </w:t>
      </w:r>
    </w:p>
    <w:p w14:paraId="2DAE7EBA">
      <w:pPr>
        <w:pStyle w:val="18"/>
        <w:spacing w:line="500" w:lineRule="exact"/>
        <w:ind w:firstLine="480" w:firstLineChars="200"/>
        <w:rPr>
          <w:rFonts w:hAnsi="宋体" w:cs="宋体"/>
          <w:bCs/>
          <w:color w:val="auto"/>
          <w:kern w:val="2"/>
          <w:sz w:val="24"/>
          <w:szCs w:val="24"/>
          <w:highlight w:val="none"/>
          <w:u w:val="single"/>
        </w:rPr>
      </w:pPr>
      <w:r>
        <w:rPr>
          <w:rFonts w:hint="eastAsia" w:hAnsi="宋体" w:cs="宋体"/>
          <w:bCs/>
          <w:color w:val="auto"/>
          <w:kern w:val="2"/>
          <w:sz w:val="24"/>
          <w:szCs w:val="24"/>
          <w:highlight w:val="none"/>
        </w:rPr>
        <w:t>地址：</w:t>
      </w:r>
      <w:r>
        <w:rPr>
          <w:rFonts w:hint="eastAsia" w:hAnsi="宋体" w:cs="宋体"/>
          <w:bCs/>
          <w:color w:val="auto"/>
          <w:kern w:val="2"/>
          <w:sz w:val="24"/>
          <w:szCs w:val="24"/>
          <w:highlight w:val="none"/>
          <w:u w:val="single"/>
        </w:rPr>
        <w:t xml:space="preserve">                                              </w:t>
      </w:r>
      <w:r>
        <w:rPr>
          <w:rFonts w:hint="eastAsia" w:hAnsi="宋体" w:cs="宋体"/>
          <w:bCs/>
          <w:color w:val="auto"/>
          <w:kern w:val="2"/>
          <w:sz w:val="24"/>
          <w:szCs w:val="24"/>
          <w:highlight w:val="none"/>
        </w:rPr>
        <w:t>邮编：</w:t>
      </w:r>
      <w:r>
        <w:rPr>
          <w:rFonts w:hint="eastAsia" w:hAnsi="宋体" w:cs="宋体"/>
          <w:bCs/>
          <w:color w:val="auto"/>
          <w:kern w:val="2"/>
          <w:sz w:val="24"/>
          <w:szCs w:val="24"/>
          <w:highlight w:val="none"/>
          <w:u w:val="single"/>
        </w:rPr>
        <w:t xml:space="preserve">             </w:t>
      </w:r>
    </w:p>
    <w:p w14:paraId="6161A5B9">
      <w:pPr>
        <w:pStyle w:val="18"/>
        <w:spacing w:line="500" w:lineRule="exact"/>
        <w:ind w:firstLine="480" w:firstLineChars="200"/>
        <w:rPr>
          <w:rFonts w:hAnsi="宋体" w:cs="宋体"/>
          <w:bCs/>
          <w:color w:val="auto"/>
          <w:kern w:val="2"/>
          <w:sz w:val="24"/>
          <w:szCs w:val="24"/>
          <w:highlight w:val="none"/>
        </w:rPr>
      </w:pPr>
      <w:r>
        <w:rPr>
          <w:rFonts w:hint="eastAsia" w:hAnsi="宋体" w:cs="宋体"/>
          <w:bCs/>
          <w:color w:val="auto"/>
          <w:kern w:val="2"/>
          <w:sz w:val="24"/>
          <w:szCs w:val="24"/>
          <w:highlight w:val="none"/>
        </w:rPr>
        <w:t>联系人：</w:t>
      </w:r>
      <w:r>
        <w:rPr>
          <w:rFonts w:hint="eastAsia" w:hAnsi="宋体" w:cs="宋体"/>
          <w:bCs/>
          <w:color w:val="auto"/>
          <w:kern w:val="2"/>
          <w:sz w:val="24"/>
          <w:szCs w:val="24"/>
          <w:highlight w:val="none"/>
          <w:u w:val="single"/>
        </w:rPr>
        <w:t xml:space="preserve">                                </w:t>
      </w:r>
      <w:r>
        <w:rPr>
          <w:rFonts w:hint="eastAsia" w:hAnsi="宋体" w:cs="宋体"/>
          <w:bCs/>
          <w:color w:val="auto"/>
          <w:kern w:val="2"/>
          <w:sz w:val="24"/>
          <w:szCs w:val="24"/>
          <w:highlight w:val="none"/>
        </w:rPr>
        <w:t>联系电话：</w:t>
      </w:r>
      <w:r>
        <w:rPr>
          <w:rFonts w:hint="eastAsia" w:hAnsi="宋体" w:cs="宋体"/>
          <w:bCs/>
          <w:color w:val="auto"/>
          <w:kern w:val="2"/>
          <w:sz w:val="24"/>
          <w:szCs w:val="24"/>
          <w:highlight w:val="none"/>
          <w:u w:val="single"/>
        </w:rPr>
        <w:t xml:space="preserve">                </w:t>
      </w:r>
    </w:p>
    <w:p w14:paraId="74C931DB">
      <w:pPr>
        <w:pStyle w:val="18"/>
        <w:spacing w:line="500" w:lineRule="exact"/>
        <w:ind w:firstLine="482" w:firstLineChars="200"/>
        <w:rPr>
          <w:rFonts w:hAnsi="宋体" w:cs="宋体"/>
          <w:b/>
          <w:bCs/>
          <w:color w:val="auto"/>
          <w:kern w:val="2"/>
          <w:sz w:val="24"/>
          <w:szCs w:val="24"/>
          <w:highlight w:val="none"/>
        </w:rPr>
      </w:pPr>
      <w:r>
        <w:rPr>
          <w:rFonts w:hint="eastAsia" w:hAnsi="宋体" w:cs="宋体"/>
          <w:b/>
          <w:bCs/>
          <w:color w:val="auto"/>
          <w:kern w:val="2"/>
          <w:sz w:val="24"/>
          <w:szCs w:val="24"/>
          <w:highlight w:val="none"/>
        </w:rPr>
        <w:t>二、投诉项目基本情况：</w:t>
      </w:r>
    </w:p>
    <w:p w14:paraId="62CD4ABE">
      <w:pPr>
        <w:pStyle w:val="18"/>
        <w:spacing w:line="500" w:lineRule="exact"/>
        <w:ind w:firstLine="480" w:firstLineChars="200"/>
        <w:rPr>
          <w:rFonts w:hAnsi="宋体" w:cs="宋体"/>
          <w:color w:val="auto"/>
          <w:kern w:val="2"/>
          <w:sz w:val="24"/>
          <w:szCs w:val="24"/>
          <w:highlight w:val="none"/>
        </w:rPr>
      </w:pPr>
      <w:r>
        <w:rPr>
          <w:rFonts w:hint="eastAsia" w:hAnsi="宋体" w:cs="宋体"/>
          <w:bCs/>
          <w:color w:val="auto"/>
          <w:kern w:val="2"/>
          <w:sz w:val="24"/>
          <w:szCs w:val="24"/>
          <w:highlight w:val="none"/>
        </w:rPr>
        <w:t>采购</w:t>
      </w:r>
      <w:r>
        <w:rPr>
          <w:rFonts w:hint="eastAsia" w:hAnsi="宋体" w:cs="宋体"/>
          <w:color w:val="auto"/>
          <w:kern w:val="2"/>
          <w:sz w:val="24"/>
          <w:szCs w:val="24"/>
          <w:highlight w:val="none"/>
        </w:rPr>
        <w:t>项目的名称：</w:t>
      </w:r>
      <w:r>
        <w:rPr>
          <w:rFonts w:hint="eastAsia" w:hAnsi="宋体" w:cs="宋体"/>
          <w:bCs/>
          <w:color w:val="auto"/>
          <w:kern w:val="2"/>
          <w:sz w:val="24"/>
          <w:szCs w:val="24"/>
          <w:highlight w:val="none"/>
          <w:u w:val="single"/>
        </w:rPr>
        <w:t xml:space="preserve">                           </w:t>
      </w:r>
    </w:p>
    <w:p w14:paraId="58B67660">
      <w:pPr>
        <w:pStyle w:val="18"/>
        <w:spacing w:line="500" w:lineRule="exact"/>
        <w:ind w:firstLine="480" w:firstLineChars="200"/>
        <w:rPr>
          <w:rFonts w:hAnsi="宋体" w:cs="宋体"/>
          <w:color w:val="auto"/>
          <w:kern w:val="2"/>
          <w:sz w:val="24"/>
          <w:szCs w:val="24"/>
          <w:highlight w:val="none"/>
        </w:rPr>
      </w:pPr>
      <w:r>
        <w:rPr>
          <w:rFonts w:hint="eastAsia" w:hAnsi="宋体" w:cs="宋体"/>
          <w:bCs/>
          <w:color w:val="auto"/>
          <w:kern w:val="2"/>
          <w:sz w:val="24"/>
          <w:szCs w:val="24"/>
          <w:highlight w:val="none"/>
        </w:rPr>
        <w:t>采购</w:t>
      </w:r>
      <w:r>
        <w:rPr>
          <w:rFonts w:hint="eastAsia" w:hAnsi="宋体" w:cs="宋体"/>
          <w:color w:val="auto"/>
          <w:kern w:val="2"/>
          <w:sz w:val="24"/>
          <w:szCs w:val="24"/>
          <w:highlight w:val="none"/>
        </w:rPr>
        <w:t>项目的编号：</w:t>
      </w:r>
      <w:r>
        <w:rPr>
          <w:rFonts w:hint="eastAsia" w:hAnsi="宋体" w:cs="宋体"/>
          <w:bCs/>
          <w:color w:val="auto"/>
          <w:kern w:val="2"/>
          <w:sz w:val="24"/>
          <w:szCs w:val="24"/>
          <w:highlight w:val="none"/>
          <w:u w:val="single"/>
        </w:rPr>
        <w:t xml:space="preserve">                           </w:t>
      </w:r>
    </w:p>
    <w:p w14:paraId="44372E07">
      <w:pPr>
        <w:pStyle w:val="18"/>
        <w:spacing w:line="500" w:lineRule="exact"/>
        <w:ind w:firstLine="480" w:firstLineChars="200"/>
        <w:rPr>
          <w:rFonts w:hAnsi="宋体" w:cs="宋体"/>
          <w:bCs/>
          <w:color w:val="auto"/>
          <w:kern w:val="2"/>
          <w:sz w:val="24"/>
          <w:szCs w:val="24"/>
          <w:highlight w:val="none"/>
          <w:u w:val="single"/>
        </w:rPr>
      </w:pPr>
      <w:r>
        <w:rPr>
          <w:rFonts w:hint="eastAsia" w:hAnsi="宋体" w:cs="宋体"/>
          <w:color w:val="auto"/>
          <w:kern w:val="2"/>
          <w:sz w:val="24"/>
          <w:szCs w:val="24"/>
          <w:highlight w:val="none"/>
        </w:rPr>
        <w:t>采购人名称：</w:t>
      </w:r>
      <w:r>
        <w:rPr>
          <w:rFonts w:hint="eastAsia" w:hAnsi="宋体" w:cs="宋体"/>
          <w:bCs/>
          <w:color w:val="auto"/>
          <w:kern w:val="2"/>
          <w:sz w:val="24"/>
          <w:szCs w:val="24"/>
          <w:highlight w:val="none"/>
          <w:u w:val="single"/>
        </w:rPr>
        <w:t xml:space="preserve">                           </w:t>
      </w:r>
    </w:p>
    <w:p w14:paraId="2587BC30">
      <w:pPr>
        <w:pStyle w:val="18"/>
        <w:spacing w:line="500" w:lineRule="exact"/>
        <w:ind w:firstLine="480" w:firstLineChars="200"/>
        <w:rPr>
          <w:rFonts w:hAnsi="宋体" w:cs="宋体"/>
          <w:bCs/>
          <w:color w:val="auto"/>
          <w:kern w:val="2"/>
          <w:sz w:val="24"/>
          <w:szCs w:val="24"/>
          <w:highlight w:val="none"/>
          <w:u w:val="single"/>
        </w:rPr>
      </w:pPr>
      <w:r>
        <w:rPr>
          <w:rFonts w:hint="eastAsia" w:hAnsi="宋体" w:cs="宋体"/>
          <w:color w:val="auto"/>
          <w:kern w:val="2"/>
          <w:sz w:val="24"/>
          <w:szCs w:val="24"/>
          <w:highlight w:val="none"/>
        </w:rPr>
        <w:t>代理机构名称：</w:t>
      </w:r>
      <w:r>
        <w:rPr>
          <w:rFonts w:hint="eastAsia" w:hAnsi="宋体" w:cs="宋体"/>
          <w:bCs/>
          <w:color w:val="auto"/>
          <w:kern w:val="2"/>
          <w:sz w:val="24"/>
          <w:szCs w:val="24"/>
          <w:highlight w:val="none"/>
          <w:u w:val="single"/>
        </w:rPr>
        <w:t xml:space="preserve">                           </w:t>
      </w:r>
    </w:p>
    <w:p w14:paraId="03F67134">
      <w:pPr>
        <w:pStyle w:val="18"/>
        <w:spacing w:line="500" w:lineRule="exact"/>
        <w:ind w:firstLine="480" w:firstLineChars="200"/>
        <w:rPr>
          <w:rFonts w:hAnsi="宋体" w:cs="宋体"/>
          <w:bCs/>
          <w:color w:val="auto"/>
          <w:kern w:val="2"/>
          <w:sz w:val="24"/>
          <w:szCs w:val="24"/>
          <w:highlight w:val="none"/>
          <w:u w:val="single"/>
        </w:rPr>
      </w:pPr>
      <w:r>
        <w:rPr>
          <w:rFonts w:hint="eastAsia" w:hAnsi="宋体" w:cs="宋体"/>
          <w:bCs/>
          <w:color w:val="auto"/>
          <w:kern w:val="2"/>
          <w:sz w:val="24"/>
          <w:szCs w:val="24"/>
          <w:highlight w:val="none"/>
        </w:rPr>
        <w:t>招标文件公告：</w:t>
      </w:r>
      <w:r>
        <w:rPr>
          <w:rFonts w:hint="eastAsia" w:hAnsi="宋体" w:cs="宋体"/>
          <w:bCs/>
          <w:color w:val="auto"/>
          <w:kern w:val="2"/>
          <w:sz w:val="24"/>
          <w:szCs w:val="24"/>
          <w:highlight w:val="none"/>
          <w:u w:val="single"/>
        </w:rPr>
        <w:t>是/否</w:t>
      </w:r>
      <w:r>
        <w:rPr>
          <w:rFonts w:hint="eastAsia" w:hAnsi="宋体" w:cs="宋体"/>
          <w:bCs/>
          <w:color w:val="auto"/>
          <w:kern w:val="2"/>
          <w:sz w:val="24"/>
          <w:szCs w:val="24"/>
          <w:highlight w:val="none"/>
        </w:rPr>
        <w:t>公告期限：</w:t>
      </w:r>
      <w:r>
        <w:rPr>
          <w:rFonts w:hint="eastAsia" w:hAnsi="宋体" w:cs="宋体"/>
          <w:bCs/>
          <w:color w:val="auto"/>
          <w:kern w:val="2"/>
          <w:sz w:val="24"/>
          <w:szCs w:val="24"/>
          <w:highlight w:val="none"/>
          <w:u w:val="single"/>
        </w:rPr>
        <w:t xml:space="preserve">                                          </w:t>
      </w:r>
    </w:p>
    <w:p w14:paraId="7C04E158">
      <w:pPr>
        <w:pStyle w:val="18"/>
        <w:spacing w:line="500" w:lineRule="exact"/>
        <w:ind w:firstLine="480" w:firstLineChars="200"/>
        <w:rPr>
          <w:rFonts w:hAnsi="宋体" w:cs="宋体"/>
          <w:b/>
          <w:color w:val="auto"/>
          <w:kern w:val="2"/>
          <w:sz w:val="24"/>
          <w:szCs w:val="24"/>
          <w:highlight w:val="none"/>
        </w:rPr>
      </w:pPr>
      <w:r>
        <w:rPr>
          <w:rFonts w:hint="eastAsia" w:hAnsi="宋体" w:cs="宋体"/>
          <w:bCs/>
          <w:color w:val="auto"/>
          <w:kern w:val="2"/>
          <w:sz w:val="24"/>
          <w:szCs w:val="24"/>
          <w:highlight w:val="none"/>
        </w:rPr>
        <w:t>采购结果公告：</w:t>
      </w:r>
      <w:r>
        <w:rPr>
          <w:rFonts w:hint="eastAsia" w:hAnsi="宋体" w:cs="宋体"/>
          <w:bCs/>
          <w:color w:val="auto"/>
          <w:kern w:val="2"/>
          <w:sz w:val="24"/>
          <w:szCs w:val="24"/>
          <w:highlight w:val="none"/>
          <w:u w:val="single"/>
        </w:rPr>
        <w:t>是/否</w:t>
      </w:r>
      <w:r>
        <w:rPr>
          <w:rFonts w:hint="eastAsia" w:hAnsi="宋体" w:cs="宋体"/>
          <w:bCs/>
          <w:color w:val="auto"/>
          <w:kern w:val="2"/>
          <w:sz w:val="24"/>
          <w:szCs w:val="24"/>
          <w:highlight w:val="none"/>
        </w:rPr>
        <w:t>公告期限：</w:t>
      </w:r>
      <w:r>
        <w:rPr>
          <w:rFonts w:hint="eastAsia" w:hAnsi="宋体" w:cs="宋体"/>
          <w:bCs/>
          <w:color w:val="auto"/>
          <w:kern w:val="2"/>
          <w:sz w:val="24"/>
          <w:szCs w:val="24"/>
          <w:highlight w:val="none"/>
          <w:u w:val="single"/>
        </w:rPr>
        <w:t xml:space="preserve">                                          </w:t>
      </w:r>
    </w:p>
    <w:p w14:paraId="78B30D3E">
      <w:pPr>
        <w:pStyle w:val="18"/>
        <w:spacing w:line="500" w:lineRule="exact"/>
        <w:ind w:firstLine="482" w:firstLineChars="200"/>
        <w:rPr>
          <w:rFonts w:hAnsi="宋体" w:cs="宋体"/>
          <w:b/>
          <w:color w:val="auto"/>
          <w:kern w:val="2"/>
          <w:sz w:val="24"/>
          <w:szCs w:val="24"/>
          <w:highlight w:val="none"/>
        </w:rPr>
      </w:pPr>
      <w:r>
        <w:rPr>
          <w:rFonts w:hint="eastAsia" w:hAnsi="宋体" w:cs="宋体"/>
          <w:b/>
          <w:color w:val="auto"/>
          <w:kern w:val="2"/>
          <w:sz w:val="24"/>
          <w:szCs w:val="24"/>
          <w:highlight w:val="none"/>
        </w:rPr>
        <w:t>三、质疑基本情况</w:t>
      </w:r>
    </w:p>
    <w:p w14:paraId="2EBB74B4">
      <w:pPr>
        <w:pStyle w:val="18"/>
        <w:spacing w:line="500" w:lineRule="exact"/>
        <w:ind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投诉人于</w:t>
      </w:r>
      <w:r>
        <w:rPr>
          <w:rFonts w:hint="eastAsia" w:hAnsi="宋体" w:cs="宋体"/>
          <w:color w:val="auto"/>
          <w:kern w:val="2"/>
          <w:sz w:val="24"/>
          <w:szCs w:val="24"/>
          <w:highlight w:val="none"/>
          <w:u w:val="single"/>
        </w:rPr>
        <w:t xml:space="preserve">      </w:t>
      </w:r>
      <w:r>
        <w:rPr>
          <w:rFonts w:hint="eastAsia" w:hAnsi="宋体" w:cs="宋体"/>
          <w:color w:val="auto"/>
          <w:kern w:val="2"/>
          <w:sz w:val="24"/>
          <w:szCs w:val="24"/>
          <w:highlight w:val="none"/>
        </w:rPr>
        <w:t>年</w:t>
      </w:r>
      <w:r>
        <w:rPr>
          <w:rFonts w:hint="eastAsia" w:hAnsi="宋体" w:cs="宋体"/>
          <w:color w:val="auto"/>
          <w:kern w:val="2"/>
          <w:sz w:val="24"/>
          <w:szCs w:val="24"/>
          <w:highlight w:val="none"/>
          <w:u w:val="single"/>
        </w:rPr>
        <w:t xml:space="preserve">   </w:t>
      </w:r>
      <w:r>
        <w:rPr>
          <w:rFonts w:hint="eastAsia" w:hAnsi="宋体" w:cs="宋体"/>
          <w:color w:val="auto"/>
          <w:kern w:val="2"/>
          <w:sz w:val="24"/>
          <w:szCs w:val="24"/>
          <w:highlight w:val="none"/>
        </w:rPr>
        <w:t>月</w:t>
      </w:r>
      <w:r>
        <w:rPr>
          <w:rFonts w:hint="eastAsia" w:hAnsi="宋体" w:cs="宋体"/>
          <w:color w:val="auto"/>
          <w:kern w:val="2"/>
          <w:sz w:val="24"/>
          <w:szCs w:val="24"/>
          <w:highlight w:val="none"/>
          <w:u w:val="single"/>
        </w:rPr>
        <w:t xml:space="preserve">   </w:t>
      </w:r>
      <w:r>
        <w:rPr>
          <w:rFonts w:hint="eastAsia" w:hAnsi="宋体" w:cs="宋体"/>
          <w:color w:val="auto"/>
          <w:kern w:val="2"/>
          <w:sz w:val="24"/>
          <w:szCs w:val="24"/>
          <w:highlight w:val="none"/>
        </w:rPr>
        <w:t>日，向</w:t>
      </w:r>
      <w:r>
        <w:rPr>
          <w:rFonts w:hint="eastAsia" w:hAnsi="宋体" w:cs="宋体"/>
          <w:color w:val="auto"/>
          <w:kern w:val="2"/>
          <w:sz w:val="24"/>
          <w:szCs w:val="24"/>
          <w:highlight w:val="none"/>
          <w:u w:val="single"/>
        </w:rPr>
        <w:t xml:space="preserve">                                </w:t>
      </w:r>
      <w:r>
        <w:rPr>
          <w:rFonts w:hint="eastAsia" w:hAnsi="宋体" w:cs="宋体"/>
          <w:color w:val="auto"/>
          <w:kern w:val="2"/>
          <w:sz w:val="24"/>
          <w:szCs w:val="24"/>
          <w:highlight w:val="none"/>
        </w:rPr>
        <w:t>提出质疑，质疑事项为：</w:t>
      </w:r>
      <w:r>
        <w:rPr>
          <w:rFonts w:hint="eastAsia" w:hAnsi="宋体" w:cs="宋体"/>
          <w:bCs/>
          <w:color w:val="auto"/>
          <w:kern w:val="2"/>
          <w:sz w:val="24"/>
          <w:szCs w:val="24"/>
          <w:highlight w:val="none"/>
          <w:u w:val="single"/>
        </w:rPr>
        <w:t xml:space="preserve">                               </w:t>
      </w:r>
    </w:p>
    <w:p w14:paraId="32C8DE9D">
      <w:pPr>
        <w:pStyle w:val="18"/>
        <w:spacing w:line="500" w:lineRule="exact"/>
        <w:ind w:firstLine="480" w:firstLineChars="200"/>
        <w:rPr>
          <w:rFonts w:hAnsi="宋体" w:cs="宋体"/>
          <w:color w:val="auto"/>
          <w:kern w:val="2"/>
          <w:sz w:val="24"/>
          <w:szCs w:val="24"/>
          <w:highlight w:val="none"/>
        </w:rPr>
      </w:pPr>
      <w:r>
        <w:rPr>
          <w:rFonts w:hint="eastAsia" w:hAnsi="宋体" w:cs="宋体"/>
          <w:bCs/>
          <w:color w:val="auto"/>
          <w:kern w:val="2"/>
          <w:sz w:val="24"/>
          <w:szCs w:val="24"/>
          <w:highlight w:val="none"/>
          <w:u w:val="single"/>
        </w:rPr>
        <w:t>采购人/代理机构</w:t>
      </w:r>
      <w:r>
        <w:rPr>
          <w:rFonts w:hint="eastAsia" w:hAnsi="宋体" w:cs="宋体"/>
          <w:bCs/>
          <w:color w:val="auto"/>
          <w:kern w:val="2"/>
          <w:sz w:val="24"/>
          <w:szCs w:val="24"/>
          <w:highlight w:val="none"/>
        </w:rPr>
        <w:t>于</w:t>
      </w:r>
      <w:r>
        <w:rPr>
          <w:rFonts w:hint="eastAsia" w:hAnsi="宋体" w:cs="宋体"/>
          <w:color w:val="auto"/>
          <w:kern w:val="2"/>
          <w:sz w:val="24"/>
          <w:szCs w:val="24"/>
          <w:highlight w:val="none"/>
          <w:u w:val="single"/>
        </w:rPr>
        <w:t xml:space="preserve">      </w:t>
      </w:r>
      <w:r>
        <w:rPr>
          <w:rFonts w:hint="eastAsia" w:hAnsi="宋体" w:cs="宋体"/>
          <w:color w:val="auto"/>
          <w:kern w:val="2"/>
          <w:sz w:val="24"/>
          <w:szCs w:val="24"/>
          <w:highlight w:val="none"/>
        </w:rPr>
        <w:t>年</w:t>
      </w:r>
      <w:r>
        <w:rPr>
          <w:rFonts w:hint="eastAsia" w:hAnsi="宋体" w:cs="宋体"/>
          <w:color w:val="auto"/>
          <w:kern w:val="2"/>
          <w:sz w:val="24"/>
          <w:szCs w:val="24"/>
          <w:highlight w:val="none"/>
          <w:u w:val="single"/>
        </w:rPr>
        <w:t xml:space="preserve">   </w:t>
      </w:r>
      <w:r>
        <w:rPr>
          <w:rFonts w:hint="eastAsia" w:hAnsi="宋体" w:cs="宋体"/>
          <w:color w:val="auto"/>
          <w:kern w:val="2"/>
          <w:sz w:val="24"/>
          <w:szCs w:val="24"/>
          <w:highlight w:val="none"/>
        </w:rPr>
        <w:t>月</w:t>
      </w:r>
      <w:r>
        <w:rPr>
          <w:rFonts w:hint="eastAsia" w:hAnsi="宋体" w:cs="宋体"/>
          <w:color w:val="auto"/>
          <w:kern w:val="2"/>
          <w:sz w:val="24"/>
          <w:szCs w:val="24"/>
          <w:highlight w:val="none"/>
          <w:u w:val="single"/>
        </w:rPr>
        <w:t xml:space="preserve">   </w:t>
      </w:r>
      <w:r>
        <w:rPr>
          <w:rFonts w:hint="eastAsia" w:hAnsi="宋体" w:cs="宋体"/>
          <w:color w:val="auto"/>
          <w:kern w:val="2"/>
          <w:sz w:val="24"/>
          <w:szCs w:val="24"/>
          <w:highlight w:val="none"/>
        </w:rPr>
        <w:t>日，</w:t>
      </w:r>
      <w:r>
        <w:rPr>
          <w:rFonts w:hint="eastAsia" w:hAnsi="宋体" w:cs="宋体"/>
          <w:bCs/>
          <w:color w:val="auto"/>
          <w:kern w:val="2"/>
          <w:sz w:val="24"/>
          <w:szCs w:val="24"/>
          <w:highlight w:val="none"/>
        </w:rPr>
        <w:t xml:space="preserve">就质疑事项作出了答复/没有在法定期限内作出答复。 </w:t>
      </w:r>
    </w:p>
    <w:p w14:paraId="42213123">
      <w:pPr>
        <w:pStyle w:val="18"/>
        <w:spacing w:line="500" w:lineRule="exact"/>
        <w:ind w:firstLine="482" w:firstLineChars="200"/>
        <w:rPr>
          <w:rFonts w:hAnsi="宋体" w:cs="宋体"/>
          <w:b/>
          <w:color w:val="auto"/>
          <w:kern w:val="2"/>
          <w:sz w:val="24"/>
          <w:szCs w:val="24"/>
          <w:highlight w:val="none"/>
        </w:rPr>
      </w:pPr>
      <w:r>
        <w:rPr>
          <w:rFonts w:hint="eastAsia" w:hAnsi="宋体" w:cs="宋体"/>
          <w:b/>
          <w:color w:val="auto"/>
          <w:kern w:val="2"/>
          <w:sz w:val="24"/>
          <w:szCs w:val="24"/>
          <w:highlight w:val="none"/>
        </w:rPr>
        <w:t>四、投诉事项具体内容</w:t>
      </w:r>
    </w:p>
    <w:p w14:paraId="11C63F01">
      <w:pPr>
        <w:pStyle w:val="18"/>
        <w:spacing w:line="500" w:lineRule="exact"/>
        <w:ind w:firstLine="480" w:firstLineChars="200"/>
        <w:rPr>
          <w:rFonts w:hAnsi="宋体" w:cs="宋体"/>
          <w:bCs/>
          <w:color w:val="auto"/>
          <w:kern w:val="2"/>
          <w:sz w:val="24"/>
          <w:szCs w:val="24"/>
          <w:highlight w:val="none"/>
          <w:u w:val="single"/>
        </w:rPr>
      </w:pPr>
      <w:r>
        <w:rPr>
          <w:rFonts w:hint="eastAsia" w:hAnsi="宋体" w:cs="宋体"/>
          <w:color w:val="auto"/>
          <w:kern w:val="2"/>
          <w:sz w:val="24"/>
          <w:szCs w:val="24"/>
          <w:highlight w:val="none"/>
        </w:rPr>
        <w:t>投诉事项1：</w:t>
      </w:r>
      <w:r>
        <w:rPr>
          <w:rFonts w:hint="eastAsia" w:hAnsi="宋体" w:cs="宋体"/>
          <w:bCs/>
          <w:color w:val="auto"/>
          <w:kern w:val="2"/>
          <w:sz w:val="24"/>
          <w:szCs w:val="24"/>
          <w:highlight w:val="none"/>
          <w:u w:val="single"/>
        </w:rPr>
        <w:t xml:space="preserve">                                                            </w:t>
      </w:r>
    </w:p>
    <w:p w14:paraId="4A91ED9A">
      <w:pPr>
        <w:pStyle w:val="18"/>
        <w:spacing w:line="500" w:lineRule="exact"/>
        <w:ind w:firstLine="480" w:firstLineChars="200"/>
        <w:rPr>
          <w:rFonts w:hAnsi="宋体" w:cs="宋体"/>
          <w:bCs/>
          <w:color w:val="auto"/>
          <w:kern w:val="2"/>
          <w:sz w:val="24"/>
          <w:szCs w:val="24"/>
          <w:highlight w:val="none"/>
          <w:u w:val="single"/>
        </w:rPr>
      </w:pPr>
      <w:r>
        <w:rPr>
          <w:rFonts w:hint="eastAsia" w:hAnsi="宋体" w:cs="宋体"/>
          <w:bCs/>
          <w:color w:val="auto"/>
          <w:kern w:val="2"/>
          <w:sz w:val="24"/>
          <w:szCs w:val="24"/>
          <w:highlight w:val="none"/>
        </w:rPr>
        <w:t>事实依据：</w:t>
      </w:r>
      <w:r>
        <w:rPr>
          <w:rFonts w:hint="eastAsia" w:hAnsi="宋体" w:cs="宋体"/>
          <w:bCs/>
          <w:color w:val="auto"/>
          <w:kern w:val="2"/>
          <w:sz w:val="24"/>
          <w:szCs w:val="24"/>
          <w:highlight w:val="none"/>
          <w:u w:val="single"/>
        </w:rPr>
        <w:t xml:space="preserve">                                                             </w:t>
      </w:r>
    </w:p>
    <w:p w14:paraId="2D038E8B">
      <w:pPr>
        <w:pStyle w:val="18"/>
        <w:spacing w:line="500" w:lineRule="exact"/>
        <w:ind w:firstLine="480" w:firstLineChars="200"/>
        <w:rPr>
          <w:rFonts w:hAnsi="宋体" w:cs="宋体"/>
          <w:bCs/>
          <w:color w:val="auto"/>
          <w:kern w:val="2"/>
          <w:sz w:val="24"/>
          <w:szCs w:val="24"/>
          <w:highlight w:val="none"/>
          <w:u w:val="single"/>
        </w:rPr>
      </w:pPr>
      <w:r>
        <w:rPr>
          <w:rFonts w:hint="eastAsia" w:hAnsi="宋体" w:cs="宋体"/>
          <w:bCs/>
          <w:color w:val="auto"/>
          <w:kern w:val="2"/>
          <w:sz w:val="24"/>
          <w:szCs w:val="24"/>
          <w:highlight w:val="none"/>
        </w:rPr>
        <w:t>法律依据：</w:t>
      </w:r>
      <w:r>
        <w:rPr>
          <w:rFonts w:hint="eastAsia" w:hAnsi="宋体" w:cs="宋体"/>
          <w:bCs/>
          <w:color w:val="auto"/>
          <w:kern w:val="2"/>
          <w:sz w:val="24"/>
          <w:szCs w:val="24"/>
          <w:highlight w:val="none"/>
          <w:u w:val="single"/>
        </w:rPr>
        <w:t xml:space="preserve">                                                             </w:t>
      </w:r>
    </w:p>
    <w:p w14:paraId="664D0642">
      <w:pPr>
        <w:pStyle w:val="18"/>
        <w:spacing w:line="500" w:lineRule="exact"/>
        <w:ind w:firstLine="480" w:firstLineChars="200"/>
        <w:rPr>
          <w:rFonts w:hAnsi="宋体" w:cs="宋体"/>
          <w:bCs/>
          <w:color w:val="auto"/>
          <w:kern w:val="2"/>
          <w:sz w:val="24"/>
          <w:szCs w:val="24"/>
          <w:highlight w:val="none"/>
        </w:rPr>
      </w:pPr>
      <w:r>
        <w:rPr>
          <w:rFonts w:hint="eastAsia" w:hAnsi="宋体" w:cs="宋体"/>
          <w:color w:val="auto"/>
          <w:kern w:val="2"/>
          <w:sz w:val="24"/>
          <w:szCs w:val="24"/>
          <w:highlight w:val="none"/>
        </w:rPr>
        <w:t>投诉事项2</w:t>
      </w:r>
      <w:r>
        <w:rPr>
          <w:rFonts w:hint="eastAsia" w:hAnsi="宋体" w:cs="宋体"/>
          <w:bCs/>
          <w:color w:val="auto"/>
          <w:kern w:val="2"/>
          <w:sz w:val="24"/>
          <w:szCs w:val="24"/>
          <w:highlight w:val="none"/>
        </w:rPr>
        <w:t>……</w:t>
      </w:r>
    </w:p>
    <w:p w14:paraId="62F848A0">
      <w:pPr>
        <w:pStyle w:val="18"/>
        <w:spacing w:line="500" w:lineRule="exact"/>
        <w:ind w:firstLine="482" w:firstLineChars="200"/>
        <w:rPr>
          <w:rFonts w:hAnsi="宋体" w:cs="宋体"/>
          <w:b/>
          <w:color w:val="auto"/>
          <w:kern w:val="2"/>
          <w:sz w:val="24"/>
          <w:szCs w:val="24"/>
          <w:highlight w:val="none"/>
        </w:rPr>
      </w:pPr>
      <w:r>
        <w:rPr>
          <w:rFonts w:hint="eastAsia" w:hAnsi="宋体" w:cs="宋体"/>
          <w:b/>
          <w:color w:val="auto"/>
          <w:kern w:val="2"/>
          <w:sz w:val="24"/>
          <w:szCs w:val="24"/>
          <w:highlight w:val="none"/>
        </w:rPr>
        <w:t>五、与投诉事项相关的投诉请求：</w:t>
      </w:r>
    </w:p>
    <w:p w14:paraId="496CF4D7">
      <w:pPr>
        <w:pStyle w:val="18"/>
        <w:spacing w:line="400" w:lineRule="exact"/>
        <w:ind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请求：</w:t>
      </w:r>
      <w:r>
        <w:rPr>
          <w:rFonts w:hint="eastAsia" w:hAnsi="宋体" w:cs="宋体"/>
          <w:bCs/>
          <w:color w:val="auto"/>
          <w:kern w:val="2"/>
          <w:sz w:val="24"/>
          <w:szCs w:val="24"/>
          <w:highlight w:val="none"/>
          <w:u w:val="single"/>
        </w:rPr>
        <w:t xml:space="preserve">                                                                 </w:t>
      </w:r>
    </w:p>
    <w:p w14:paraId="1A39F0B4">
      <w:pPr>
        <w:pStyle w:val="18"/>
        <w:spacing w:line="360" w:lineRule="auto"/>
        <w:ind w:left="25" w:leftChars="12" w:firstLine="352" w:firstLineChars="147"/>
        <w:rPr>
          <w:rFonts w:hAnsi="宋体" w:cs="宋体"/>
          <w:color w:val="auto"/>
          <w:kern w:val="2"/>
          <w:sz w:val="24"/>
          <w:szCs w:val="24"/>
          <w:highlight w:val="none"/>
        </w:rPr>
      </w:pPr>
    </w:p>
    <w:p w14:paraId="3C3ACC79">
      <w:pPr>
        <w:pStyle w:val="18"/>
        <w:spacing w:line="360" w:lineRule="auto"/>
        <w:ind w:left="25" w:leftChars="12" w:firstLine="472" w:firstLineChars="197"/>
        <w:rPr>
          <w:rFonts w:hAnsi="宋体" w:cs="宋体"/>
          <w:color w:val="auto"/>
          <w:kern w:val="2"/>
          <w:sz w:val="24"/>
          <w:szCs w:val="24"/>
          <w:highlight w:val="none"/>
        </w:rPr>
      </w:pPr>
      <w:r>
        <w:rPr>
          <w:rFonts w:hint="eastAsia" w:hAnsi="宋体" w:cs="宋体"/>
          <w:color w:val="auto"/>
          <w:kern w:val="2"/>
          <w:sz w:val="24"/>
          <w:szCs w:val="24"/>
          <w:highlight w:val="none"/>
        </w:rPr>
        <w:t>签字（签章）：                             公章：</w:t>
      </w:r>
    </w:p>
    <w:p w14:paraId="45C8EB49">
      <w:pPr>
        <w:pStyle w:val="18"/>
        <w:spacing w:line="360" w:lineRule="auto"/>
        <w:ind w:left="25" w:leftChars="12" w:firstLine="352" w:firstLineChars="147"/>
        <w:rPr>
          <w:rFonts w:hAnsi="宋体" w:cs="宋体"/>
          <w:color w:val="auto"/>
          <w:kern w:val="2"/>
          <w:sz w:val="24"/>
          <w:szCs w:val="24"/>
          <w:highlight w:val="none"/>
        </w:rPr>
      </w:pPr>
    </w:p>
    <w:p w14:paraId="7085EFE5">
      <w:pPr>
        <w:pStyle w:val="18"/>
        <w:spacing w:line="360" w:lineRule="auto"/>
        <w:ind w:left="25" w:leftChars="12" w:firstLine="472" w:firstLineChars="197"/>
        <w:rPr>
          <w:rFonts w:hAnsi="宋体" w:cs="宋体"/>
          <w:color w:val="auto"/>
          <w:kern w:val="2"/>
          <w:sz w:val="24"/>
          <w:szCs w:val="24"/>
          <w:highlight w:val="none"/>
        </w:rPr>
      </w:pPr>
      <w:r>
        <w:rPr>
          <w:rFonts w:hint="eastAsia" w:hAnsi="宋体" w:cs="宋体"/>
          <w:color w:val="auto"/>
          <w:kern w:val="2"/>
          <w:sz w:val="24"/>
          <w:szCs w:val="24"/>
          <w:highlight w:val="none"/>
        </w:rPr>
        <w:t>日期：</w:t>
      </w:r>
    </w:p>
    <w:p w14:paraId="13264785">
      <w:pPr>
        <w:pStyle w:val="18"/>
        <w:spacing w:line="360" w:lineRule="auto"/>
        <w:ind w:left="25" w:leftChars="12" w:firstLine="472" w:firstLineChars="197"/>
        <w:rPr>
          <w:rFonts w:hAnsi="宋体" w:cs="宋体"/>
          <w:color w:val="auto"/>
          <w:kern w:val="2"/>
          <w:sz w:val="24"/>
          <w:szCs w:val="24"/>
          <w:highlight w:val="none"/>
        </w:rPr>
      </w:pPr>
    </w:p>
    <w:p w14:paraId="1BDFED1F">
      <w:pPr>
        <w:pStyle w:val="18"/>
        <w:spacing w:line="360" w:lineRule="auto"/>
        <w:rPr>
          <w:rFonts w:hAnsi="宋体" w:cs="宋体"/>
          <w:b/>
          <w:color w:val="auto"/>
          <w:kern w:val="2"/>
          <w:sz w:val="24"/>
          <w:szCs w:val="24"/>
          <w:highlight w:val="none"/>
        </w:rPr>
      </w:pPr>
      <w:r>
        <w:rPr>
          <w:rFonts w:hint="eastAsia" w:hAnsi="宋体" w:cs="宋体"/>
          <w:b/>
          <w:color w:val="auto"/>
          <w:kern w:val="2"/>
          <w:sz w:val="24"/>
          <w:szCs w:val="24"/>
          <w:highlight w:val="none"/>
        </w:rPr>
        <w:t>说明：</w:t>
      </w:r>
    </w:p>
    <w:p w14:paraId="2FD36129">
      <w:pPr>
        <w:pStyle w:val="18"/>
        <w:spacing w:line="360" w:lineRule="auto"/>
        <w:ind w:left="25" w:leftChars="12" w:firstLine="354" w:firstLineChars="147"/>
        <w:rPr>
          <w:rFonts w:hAnsi="宋体" w:cs="宋体"/>
          <w:b/>
          <w:bCs/>
          <w:color w:val="auto"/>
          <w:kern w:val="2"/>
          <w:sz w:val="24"/>
          <w:szCs w:val="24"/>
          <w:highlight w:val="none"/>
        </w:rPr>
      </w:pPr>
      <w:r>
        <w:rPr>
          <w:rFonts w:hint="eastAsia" w:hAnsi="宋体" w:cs="宋体"/>
          <w:b/>
          <w:color w:val="auto"/>
          <w:kern w:val="2"/>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auto"/>
          <w:kern w:val="2"/>
          <w:sz w:val="24"/>
          <w:szCs w:val="24"/>
          <w:highlight w:val="none"/>
        </w:rPr>
        <w:t>。</w:t>
      </w:r>
    </w:p>
    <w:p w14:paraId="2E4DFBA5">
      <w:pPr>
        <w:pStyle w:val="18"/>
        <w:spacing w:line="360" w:lineRule="auto"/>
        <w:ind w:left="25" w:leftChars="12" w:firstLine="354" w:firstLineChars="147"/>
        <w:rPr>
          <w:rFonts w:hAnsi="宋体" w:cs="宋体"/>
          <w:b/>
          <w:color w:val="auto"/>
          <w:kern w:val="2"/>
          <w:sz w:val="24"/>
          <w:szCs w:val="24"/>
          <w:highlight w:val="none"/>
        </w:rPr>
      </w:pPr>
      <w:r>
        <w:rPr>
          <w:rFonts w:hint="eastAsia" w:hAnsi="宋体" w:cs="宋体"/>
          <w:b/>
          <w:color w:val="auto"/>
          <w:kern w:val="2"/>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F424AA4">
      <w:pPr>
        <w:pStyle w:val="18"/>
        <w:spacing w:line="360" w:lineRule="auto"/>
        <w:ind w:left="25" w:leftChars="12" w:firstLine="354" w:firstLineChars="147"/>
        <w:rPr>
          <w:rFonts w:hAnsi="宋体" w:cs="宋体"/>
          <w:b/>
          <w:color w:val="auto"/>
          <w:kern w:val="2"/>
          <w:sz w:val="24"/>
          <w:szCs w:val="24"/>
          <w:highlight w:val="none"/>
        </w:rPr>
      </w:pPr>
      <w:r>
        <w:rPr>
          <w:rFonts w:hint="eastAsia" w:hAnsi="宋体" w:cs="宋体"/>
          <w:b/>
          <w:color w:val="auto"/>
          <w:kern w:val="2"/>
          <w:sz w:val="24"/>
          <w:szCs w:val="24"/>
          <w:highlight w:val="none"/>
        </w:rPr>
        <w:t>3.投诉书应简要列明质疑事项，质疑函、质疑答复等作为附件材料提供。</w:t>
      </w:r>
    </w:p>
    <w:p w14:paraId="66B6D437">
      <w:pPr>
        <w:pStyle w:val="18"/>
        <w:spacing w:line="360" w:lineRule="auto"/>
        <w:ind w:left="25" w:leftChars="12" w:firstLine="354" w:firstLineChars="147"/>
        <w:rPr>
          <w:rFonts w:hAnsi="宋体" w:cs="宋体"/>
          <w:b/>
          <w:color w:val="auto"/>
          <w:kern w:val="2"/>
          <w:sz w:val="24"/>
          <w:szCs w:val="24"/>
          <w:highlight w:val="none"/>
        </w:rPr>
      </w:pPr>
      <w:r>
        <w:rPr>
          <w:rFonts w:hint="eastAsia" w:hAnsi="宋体" w:cs="宋体"/>
          <w:b/>
          <w:color w:val="auto"/>
          <w:kern w:val="2"/>
          <w:sz w:val="24"/>
          <w:szCs w:val="24"/>
          <w:highlight w:val="none"/>
        </w:rPr>
        <w:t>4.投诉书的投诉事项应具体、明确，并有必要的事实依据和法律依据。</w:t>
      </w:r>
    </w:p>
    <w:p w14:paraId="0D092113">
      <w:pPr>
        <w:pStyle w:val="18"/>
        <w:spacing w:line="360" w:lineRule="auto"/>
        <w:ind w:left="25" w:leftChars="12" w:firstLine="354" w:firstLineChars="147"/>
        <w:rPr>
          <w:rFonts w:hAnsi="宋体" w:cs="宋体"/>
          <w:b/>
          <w:color w:val="auto"/>
          <w:kern w:val="2"/>
          <w:sz w:val="24"/>
          <w:szCs w:val="24"/>
          <w:highlight w:val="none"/>
        </w:rPr>
      </w:pPr>
      <w:r>
        <w:rPr>
          <w:rFonts w:hint="eastAsia" w:hAnsi="宋体" w:cs="宋体"/>
          <w:b/>
          <w:color w:val="auto"/>
          <w:kern w:val="2"/>
          <w:sz w:val="24"/>
          <w:szCs w:val="24"/>
          <w:highlight w:val="none"/>
        </w:rPr>
        <w:t>5.投诉书的投诉请求应与投诉事项相关。</w:t>
      </w:r>
    </w:p>
    <w:p w14:paraId="15151527">
      <w:pPr>
        <w:pStyle w:val="18"/>
        <w:spacing w:line="360" w:lineRule="auto"/>
        <w:ind w:left="25" w:leftChars="12" w:firstLine="354" w:firstLineChars="147"/>
        <w:rPr>
          <w:rFonts w:hAnsi="宋体" w:cs="宋体"/>
          <w:b/>
          <w:color w:val="auto"/>
          <w:kern w:val="2"/>
          <w:highlight w:val="none"/>
        </w:rPr>
      </w:pPr>
      <w:r>
        <w:rPr>
          <w:rFonts w:hint="eastAsia" w:hAnsi="宋体" w:cs="宋体"/>
          <w:b/>
          <w:color w:val="auto"/>
          <w:kern w:val="2"/>
          <w:sz w:val="24"/>
          <w:szCs w:val="24"/>
          <w:highlight w:val="none"/>
        </w:rPr>
        <w:t>6.投诉人为法人或者其他组织的，投诉书应由法定代表人、主要负责人，或者其授权代表签字或者盖章，并加盖公章。</w:t>
      </w:r>
    </w:p>
    <w:p w14:paraId="2844001B">
      <w:pPr>
        <w:rPr>
          <w:rFonts w:ascii="宋体" w:hAnsi="宋体" w:cs="宋体"/>
          <w:color w:val="auto"/>
          <w:highlight w:val="none"/>
        </w:rPr>
      </w:pPr>
    </w:p>
    <w:p w14:paraId="4106C92D">
      <w:pPr>
        <w:rPr>
          <w:rFonts w:ascii="宋体" w:hAnsi="宋体" w:cs="宋体"/>
          <w:color w:val="auto"/>
          <w:highlight w:val="none"/>
        </w:rPr>
      </w:pPr>
    </w:p>
    <w:sectPr>
      <w:footerReference r:id="rId7" w:type="first"/>
      <w:headerReference r:id="rId5" w:type="default"/>
      <w:footerReference r:id="rId6" w:type="default"/>
      <w:pgSz w:w="11911" w:h="16838"/>
      <w:pgMar w:top="1418" w:right="1418" w:bottom="1418" w:left="1418" w:header="851" w:footer="964"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 New Roman)">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宋体正文">
    <w:altName w:val="宋体"/>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altName w:val="微软雅黑"/>
    <w:panose1 w:val="02010601030101010101"/>
    <w:charset w:val="86"/>
    <w:family w:val="auto"/>
    <w:pitch w:val="default"/>
    <w:sig w:usb0="00000000" w:usb1="00000000" w:usb2="00000010" w:usb3="00000000" w:csb0="00040000" w:csb1="00000000"/>
  </w:font>
  <w:font w:name="¿¬Ìå">
    <w:altName w:val="Times New Roman"/>
    <w:panose1 w:val="00000000000000000000"/>
    <w:charset w:val="00"/>
    <w:family w:val="auto"/>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53EA9">
    <w:pPr>
      <w:pStyle w:val="21"/>
      <w:rPr>
        <w:rFonts w:ascii="仿宋_GB2312" w:eastAsia="仿宋_GB2312"/>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FF1E3">
    <w:pPr>
      <w:pStyle w:val="2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BE553C">
                          <w:pPr>
                            <w:pStyle w:val="2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9BE553C">
                    <w:pPr>
                      <w:pStyle w:val="21"/>
                    </w:pPr>
                    <w:r>
                      <w:fldChar w:fldCharType="begin"/>
                    </w:r>
                    <w:r>
                      <w:instrText xml:space="preserve"> PAGE  \* MERGEFORMAT </w:instrText>
                    </w:r>
                    <w:r>
                      <w:fldChar w:fldCharType="separate"/>
                    </w:r>
                    <w:r>
                      <w:t>1</w:t>
                    </w:r>
                    <w:r>
                      <w:fldChar w:fldCharType="end"/>
                    </w:r>
                  </w:p>
                </w:txbxContent>
              </v:textbox>
            </v:shape>
          </w:pict>
        </mc:Fallback>
      </mc:AlternateContent>
    </w:r>
  </w:p>
  <w:p w14:paraId="477C6CCA">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F60D4">
    <w:pPr>
      <w:pStyle w:val="21"/>
      <w:tabs>
        <w:tab w:val="clear" w:pos="4153"/>
        <w:tab w:val="clear" w:pos="8306"/>
      </w:tabs>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2841"/>
                            <w:docPartObj>
                              <w:docPartGallery w:val="autotext"/>
                            </w:docPartObj>
                          </w:sdtPr>
                          <w:sdtContent>
                            <w:p w14:paraId="6EF2473E">
                              <w:pPr>
                                <w:pStyle w:val="21"/>
                                <w:tabs>
                                  <w:tab w:val="clear" w:pos="4153"/>
                                  <w:tab w:val="clear" w:pos="8306"/>
                                </w:tabs>
                                <w:jc w:val="center"/>
                              </w:pP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lang w:val="zh-CN"/>
                                </w:rPr>
                                <w:t>1</w:t>
                              </w:r>
                              <w:r>
                                <w:rPr>
                                  <w:rFonts w:ascii="宋体" w:hAnsi="宋体"/>
                                </w:rPr>
                                <w:fldChar w:fldCharType="end"/>
                              </w:r>
                            </w:p>
                          </w:sdtContent>
                        </w:sdt>
                        <w:p w14:paraId="5CD2E84E"/>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147472841"/>
                      <w:docPartObj>
                        <w:docPartGallery w:val="autotext"/>
                      </w:docPartObj>
                    </w:sdtPr>
                    <w:sdtContent>
                      <w:p w14:paraId="6EF2473E">
                        <w:pPr>
                          <w:pStyle w:val="21"/>
                          <w:tabs>
                            <w:tab w:val="clear" w:pos="4153"/>
                            <w:tab w:val="clear" w:pos="8306"/>
                          </w:tabs>
                          <w:jc w:val="center"/>
                        </w:pP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lang w:val="zh-CN"/>
                          </w:rPr>
                          <w:t>1</w:t>
                        </w:r>
                        <w:r>
                          <w:rPr>
                            <w:rFonts w:ascii="宋体" w:hAnsi="宋体"/>
                          </w:rPr>
                          <w:fldChar w:fldCharType="end"/>
                        </w:r>
                      </w:p>
                    </w:sdtContent>
                  </w:sdt>
                  <w:p w14:paraId="5CD2E84E"/>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615DF">
    <w:pPr>
      <w:pStyle w:val="2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0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D86225">
                          <w:pPr>
                            <w:pStyle w:val="21"/>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1">
                      <a:spAutoFit/>
                    </wps:bodyPr>
                  </wps:wsp>
                </a:graphicData>
              </a:graphic>
            </wp:anchor>
          </w:drawing>
        </mc:Choice>
        <mc:Fallback>
          <w:pict>
            <v:shape id="文本框 409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9H5iRzAEAAJwDAAAOAAAAAAAAAAEAIAAAAB4BAABkcnMvZTJv&#10;RG9jLnhtbFBLBQYAAAAABgAGAFkBAABcBQAAAAA=&#10;">
              <v:fill on="f" focussize="0,0"/>
              <v:stroke on="f"/>
              <v:imagedata o:title=""/>
              <o:lock v:ext="edit" aspectratio="f"/>
              <v:textbox inset="0mm,0mm,0mm,0mm" style="mso-fit-shape-to-text:t;">
                <w:txbxContent>
                  <w:p w14:paraId="4CD86225">
                    <w:pPr>
                      <w:pStyle w:val="21"/>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D860D">
    <w:pPr>
      <w:pStyle w:val="22"/>
      <w:tabs>
        <w:tab w:val="clear" w:pos="4153"/>
        <w:tab w:val="clear" w:pos="8306"/>
      </w:tabs>
      <w:rPr>
        <w:rFonts w:ascii="宋体" w:hAnsi="宋体"/>
        <w:color w:val="auto"/>
        <w:kern w:val="2"/>
        <w:highlight w:val="none"/>
      </w:rPr>
    </w:pPr>
    <w:r>
      <w:rPr>
        <w:rFonts w:hint="eastAsia" w:ascii="宋体" w:hAnsi="宋体" w:cs="仿宋"/>
        <w:bCs/>
        <w:color w:val="auto"/>
        <w:kern w:val="2"/>
        <w:highlight w:val="none"/>
        <w:lang w:eastAsia="zh-CN"/>
      </w:rPr>
      <w:t>梧州市万秀区城东镇华堂村风貌提升工程</w:t>
    </w:r>
    <w:r>
      <w:rPr>
        <w:rFonts w:hint="eastAsia" w:ascii="宋体" w:hAnsi="宋体" w:cs="仿宋"/>
        <w:bCs/>
        <w:color w:val="auto"/>
        <w:kern w:val="2"/>
        <w:highlight w:val="none"/>
      </w:rPr>
      <w:t>（项目编号：</w:t>
    </w:r>
    <w:r>
      <w:rPr>
        <w:rFonts w:hint="eastAsia" w:ascii="宋体" w:hAnsi="宋体" w:cs="仿宋"/>
        <w:bCs/>
        <w:color w:val="auto"/>
        <w:kern w:val="2"/>
        <w:highlight w:val="none"/>
        <w:lang w:eastAsia="zh-CN"/>
      </w:rPr>
      <w:t>WZZC2025-C2-030033-GXHH</w:t>
    </w:r>
    <w:r>
      <w:rPr>
        <w:rFonts w:hint="eastAsia" w:ascii="宋体" w:hAnsi="宋体" w:cs="仿宋"/>
        <w:bCs/>
        <w:color w:val="auto"/>
        <w:kern w:val="2"/>
        <w:highlight w:val="none"/>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519DA1"/>
    <w:multiLevelType w:val="singleLevel"/>
    <w:tmpl w:val="B7519DA1"/>
    <w:lvl w:ilvl="0" w:tentative="0">
      <w:start w:val="3"/>
      <w:numFmt w:val="decimal"/>
      <w:suff w:val="nothing"/>
      <w:lvlText w:val="（%1）"/>
      <w:lvlJc w:val="left"/>
    </w:lvl>
  </w:abstractNum>
  <w:abstractNum w:abstractNumId="1">
    <w:nsid w:val="657F8617"/>
    <w:multiLevelType w:val="singleLevel"/>
    <w:tmpl w:val="657F8617"/>
    <w:lvl w:ilvl="0" w:tentative="0">
      <w:start w:val="1"/>
      <w:numFmt w:val="decimal"/>
      <w:suff w:val="nothing"/>
      <w:lvlText w:val="（%1）"/>
      <w:lvlJc w:val="left"/>
    </w:lvl>
  </w:abstractNum>
  <w:abstractNum w:abstractNumId="2">
    <w:nsid w:val="7FF7084E"/>
    <w:multiLevelType w:val="singleLevel"/>
    <w:tmpl w:val="7FF7084E"/>
    <w:lvl w:ilvl="0" w:tentative="0">
      <w:start w:val="2"/>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dit="readOnly" w:enforcement="0"/>
  <w:defaultTabStop w:val="420"/>
  <w:drawingGridHorizontalSpacing w:val="210"/>
  <w:drawingGridVerticalSpacing w:val="-7946"/>
  <w:displayHorizontalDrawingGridEvery w:val="1"/>
  <w:displayVerticalDrawingGridEvery w:val="1"/>
  <w:noPunctuationKerning w:val="1"/>
  <w:characterSpacingControl w:val="compressPunctuation"/>
  <w:hdrShapeDefaults>
    <o:shapelayout v:ext="edit">
      <o:idmap v:ext="edit" data="3,4,5,6,7"/>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zZTQ0MzkwMmYyZDc3NDc0NDllNTZmYTY2ZTYwOTMifQ=="/>
    <w:docVar w:name="KSO_WPS_MARK_KEY" w:val="78991176-0e16-4ce6-9976-3a9ce0fcae2e"/>
  </w:docVars>
  <w:rsids>
    <w:rsidRoot w:val="004F1E6F"/>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A4D"/>
    <w:rsid w:val="00011BC9"/>
    <w:rsid w:val="00012854"/>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4463"/>
    <w:rsid w:val="00025461"/>
    <w:rsid w:val="00025636"/>
    <w:rsid w:val="00025E36"/>
    <w:rsid w:val="00026855"/>
    <w:rsid w:val="00026886"/>
    <w:rsid w:val="0002785D"/>
    <w:rsid w:val="000329E0"/>
    <w:rsid w:val="000352E9"/>
    <w:rsid w:val="00035494"/>
    <w:rsid w:val="00036125"/>
    <w:rsid w:val="00036A07"/>
    <w:rsid w:val="0003780B"/>
    <w:rsid w:val="00040571"/>
    <w:rsid w:val="00040973"/>
    <w:rsid w:val="0004156E"/>
    <w:rsid w:val="00041713"/>
    <w:rsid w:val="0004440C"/>
    <w:rsid w:val="00046B5E"/>
    <w:rsid w:val="000470CB"/>
    <w:rsid w:val="00047578"/>
    <w:rsid w:val="000509D9"/>
    <w:rsid w:val="00051ACB"/>
    <w:rsid w:val="000533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FD"/>
    <w:rsid w:val="00070949"/>
    <w:rsid w:val="000711E4"/>
    <w:rsid w:val="000724D9"/>
    <w:rsid w:val="00072AED"/>
    <w:rsid w:val="00073F47"/>
    <w:rsid w:val="0007492F"/>
    <w:rsid w:val="00074ED8"/>
    <w:rsid w:val="00075B7E"/>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A13F3"/>
    <w:rsid w:val="000A23B1"/>
    <w:rsid w:val="000A2B0E"/>
    <w:rsid w:val="000A398F"/>
    <w:rsid w:val="000A3BB7"/>
    <w:rsid w:val="000A448C"/>
    <w:rsid w:val="000A509C"/>
    <w:rsid w:val="000A54A7"/>
    <w:rsid w:val="000A6007"/>
    <w:rsid w:val="000A65A6"/>
    <w:rsid w:val="000A70E3"/>
    <w:rsid w:val="000A7275"/>
    <w:rsid w:val="000A772A"/>
    <w:rsid w:val="000A7A12"/>
    <w:rsid w:val="000A7A72"/>
    <w:rsid w:val="000B1202"/>
    <w:rsid w:val="000B1801"/>
    <w:rsid w:val="000B1D0C"/>
    <w:rsid w:val="000B2273"/>
    <w:rsid w:val="000B2585"/>
    <w:rsid w:val="000B2BC6"/>
    <w:rsid w:val="000B2D03"/>
    <w:rsid w:val="000B3815"/>
    <w:rsid w:val="000B3C7B"/>
    <w:rsid w:val="000B4321"/>
    <w:rsid w:val="000B6A6B"/>
    <w:rsid w:val="000B6C95"/>
    <w:rsid w:val="000B79FC"/>
    <w:rsid w:val="000B7BD1"/>
    <w:rsid w:val="000C02B1"/>
    <w:rsid w:val="000C1679"/>
    <w:rsid w:val="000C1EE3"/>
    <w:rsid w:val="000C3AE7"/>
    <w:rsid w:val="000C3CC9"/>
    <w:rsid w:val="000C6DE4"/>
    <w:rsid w:val="000C7202"/>
    <w:rsid w:val="000D0A89"/>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A1B"/>
    <w:rsid w:val="000F2A95"/>
    <w:rsid w:val="000F3281"/>
    <w:rsid w:val="000F32FD"/>
    <w:rsid w:val="000F3733"/>
    <w:rsid w:val="000F5F8B"/>
    <w:rsid w:val="000F6153"/>
    <w:rsid w:val="000F63C8"/>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3678"/>
    <w:rsid w:val="00113C3E"/>
    <w:rsid w:val="00115E11"/>
    <w:rsid w:val="00115EEE"/>
    <w:rsid w:val="00115F56"/>
    <w:rsid w:val="00116CA9"/>
    <w:rsid w:val="00116F38"/>
    <w:rsid w:val="001170A4"/>
    <w:rsid w:val="00117AE7"/>
    <w:rsid w:val="00117CBD"/>
    <w:rsid w:val="0012006A"/>
    <w:rsid w:val="00121979"/>
    <w:rsid w:val="00122064"/>
    <w:rsid w:val="00124341"/>
    <w:rsid w:val="00124492"/>
    <w:rsid w:val="00124B12"/>
    <w:rsid w:val="001250A0"/>
    <w:rsid w:val="001263B8"/>
    <w:rsid w:val="0012763E"/>
    <w:rsid w:val="00130217"/>
    <w:rsid w:val="00130783"/>
    <w:rsid w:val="00130A47"/>
    <w:rsid w:val="00130D7C"/>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4F57"/>
    <w:rsid w:val="00185544"/>
    <w:rsid w:val="00185617"/>
    <w:rsid w:val="00186823"/>
    <w:rsid w:val="00186FE1"/>
    <w:rsid w:val="00187A14"/>
    <w:rsid w:val="0019171E"/>
    <w:rsid w:val="00192368"/>
    <w:rsid w:val="001923A0"/>
    <w:rsid w:val="001928B1"/>
    <w:rsid w:val="00193537"/>
    <w:rsid w:val="00193846"/>
    <w:rsid w:val="00195424"/>
    <w:rsid w:val="001955FF"/>
    <w:rsid w:val="00196D6E"/>
    <w:rsid w:val="00197EDD"/>
    <w:rsid w:val="001A02B3"/>
    <w:rsid w:val="001A04BB"/>
    <w:rsid w:val="001A08D0"/>
    <w:rsid w:val="001A1B39"/>
    <w:rsid w:val="001A2120"/>
    <w:rsid w:val="001A28C6"/>
    <w:rsid w:val="001A2E69"/>
    <w:rsid w:val="001A3126"/>
    <w:rsid w:val="001A3C34"/>
    <w:rsid w:val="001A3EDE"/>
    <w:rsid w:val="001A4222"/>
    <w:rsid w:val="001A50EA"/>
    <w:rsid w:val="001A5BA2"/>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6512"/>
    <w:rsid w:val="001B65D7"/>
    <w:rsid w:val="001B6752"/>
    <w:rsid w:val="001B6768"/>
    <w:rsid w:val="001B6F1F"/>
    <w:rsid w:val="001B7CD7"/>
    <w:rsid w:val="001B7ECC"/>
    <w:rsid w:val="001C025B"/>
    <w:rsid w:val="001C115F"/>
    <w:rsid w:val="001C1EAB"/>
    <w:rsid w:val="001C25A7"/>
    <w:rsid w:val="001C318C"/>
    <w:rsid w:val="001C35C4"/>
    <w:rsid w:val="001C4287"/>
    <w:rsid w:val="001C4479"/>
    <w:rsid w:val="001C5190"/>
    <w:rsid w:val="001C6081"/>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B63"/>
    <w:rsid w:val="001E522E"/>
    <w:rsid w:val="001E5A94"/>
    <w:rsid w:val="001E5F6F"/>
    <w:rsid w:val="001F0373"/>
    <w:rsid w:val="001F2A2E"/>
    <w:rsid w:val="001F3356"/>
    <w:rsid w:val="001F3C63"/>
    <w:rsid w:val="001F4460"/>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14C7"/>
    <w:rsid w:val="0021302C"/>
    <w:rsid w:val="00213B1C"/>
    <w:rsid w:val="00214202"/>
    <w:rsid w:val="002148E3"/>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1043"/>
    <w:rsid w:val="00251C4A"/>
    <w:rsid w:val="0025271C"/>
    <w:rsid w:val="002529E4"/>
    <w:rsid w:val="002533CD"/>
    <w:rsid w:val="002535EA"/>
    <w:rsid w:val="00254EAB"/>
    <w:rsid w:val="002557AF"/>
    <w:rsid w:val="0025589C"/>
    <w:rsid w:val="00255B62"/>
    <w:rsid w:val="002566B1"/>
    <w:rsid w:val="002575E3"/>
    <w:rsid w:val="00257A74"/>
    <w:rsid w:val="002603C1"/>
    <w:rsid w:val="002609A1"/>
    <w:rsid w:val="002612B1"/>
    <w:rsid w:val="002618B7"/>
    <w:rsid w:val="00266165"/>
    <w:rsid w:val="002662FE"/>
    <w:rsid w:val="00266F2C"/>
    <w:rsid w:val="002701D8"/>
    <w:rsid w:val="0027125E"/>
    <w:rsid w:val="00271767"/>
    <w:rsid w:val="00272293"/>
    <w:rsid w:val="002723C8"/>
    <w:rsid w:val="00273C2A"/>
    <w:rsid w:val="00273CBE"/>
    <w:rsid w:val="002746B1"/>
    <w:rsid w:val="00274BAD"/>
    <w:rsid w:val="00282D56"/>
    <w:rsid w:val="002835B0"/>
    <w:rsid w:val="00283BE2"/>
    <w:rsid w:val="00283C74"/>
    <w:rsid w:val="0028407E"/>
    <w:rsid w:val="0028410F"/>
    <w:rsid w:val="00284572"/>
    <w:rsid w:val="00285221"/>
    <w:rsid w:val="00286FB5"/>
    <w:rsid w:val="00287763"/>
    <w:rsid w:val="00287FCB"/>
    <w:rsid w:val="00290606"/>
    <w:rsid w:val="002909B2"/>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B013E"/>
    <w:rsid w:val="002B058D"/>
    <w:rsid w:val="002B0C16"/>
    <w:rsid w:val="002B2AC5"/>
    <w:rsid w:val="002B3528"/>
    <w:rsid w:val="002B3539"/>
    <w:rsid w:val="002B4532"/>
    <w:rsid w:val="002B5042"/>
    <w:rsid w:val="002B511C"/>
    <w:rsid w:val="002B69CC"/>
    <w:rsid w:val="002B6D71"/>
    <w:rsid w:val="002C0C1C"/>
    <w:rsid w:val="002C54C2"/>
    <w:rsid w:val="002C5D34"/>
    <w:rsid w:val="002C5D7F"/>
    <w:rsid w:val="002C60BB"/>
    <w:rsid w:val="002C661A"/>
    <w:rsid w:val="002D0D6F"/>
    <w:rsid w:val="002D25FC"/>
    <w:rsid w:val="002D4AC6"/>
    <w:rsid w:val="002D5BF5"/>
    <w:rsid w:val="002D5E95"/>
    <w:rsid w:val="002D5EE8"/>
    <w:rsid w:val="002D7360"/>
    <w:rsid w:val="002D7648"/>
    <w:rsid w:val="002D780A"/>
    <w:rsid w:val="002E109C"/>
    <w:rsid w:val="002E193E"/>
    <w:rsid w:val="002E1A94"/>
    <w:rsid w:val="002E1D55"/>
    <w:rsid w:val="002E26C4"/>
    <w:rsid w:val="002E30A5"/>
    <w:rsid w:val="002E47E4"/>
    <w:rsid w:val="002E4BF9"/>
    <w:rsid w:val="002E4D61"/>
    <w:rsid w:val="002E5FED"/>
    <w:rsid w:val="002E68A7"/>
    <w:rsid w:val="002E6E6C"/>
    <w:rsid w:val="002F0522"/>
    <w:rsid w:val="002F0B85"/>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83D"/>
    <w:rsid w:val="00310CC1"/>
    <w:rsid w:val="00311B60"/>
    <w:rsid w:val="00312504"/>
    <w:rsid w:val="00313026"/>
    <w:rsid w:val="00313913"/>
    <w:rsid w:val="0031421F"/>
    <w:rsid w:val="00314B31"/>
    <w:rsid w:val="00315A65"/>
    <w:rsid w:val="003165D7"/>
    <w:rsid w:val="00317BA7"/>
    <w:rsid w:val="00320BE2"/>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EA1"/>
    <w:rsid w:val="00335FA2"/>
    <w:rsid w:val="0033691E"/>
    <w:rsid w:val="00336A6A"/>
    <w:rsid w:val="00336CCB"/>
    <w:rsid w:val="003411D1"/>
    <w:rsid w:val="003416BA"/>
    <w:rsid w:val="00342148"/>
    <w:rsid w:val="00342F99"/>
    <w:rsid w:val="0034575A"/>
    <w:rsid w:val="00345F57"/>
    <w:rsid w:val="00350458"/>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728"/>
    <w:rsid w:val="003A60E7"/>
    <w:rsid w:val="003A7092"/>
    <w:rsid w:val="003A72A1"/>
    <w:rsid w:val="003A7611"/>
    <w:rsid w:val="003A7D1F"/>
    <w:rsid w:val="003B0B6A"/>
    <w:rsid w:val="003B22F7"/>
    <w:rsid w:val="003B29CF"/>
    <w:rsid w:val="003B3A90"/>
    <w:rsid w:val="003B534F"/>
    <w:rsid w:val="003B5E4F"/>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6112"/>
    <w:rsid w:val="00416AC8"/>
    <w:rsid w:val="00417AE0"/>
    <w:rsid w:val="00417BAA"/>
    <w:rsid w:val="0042042B"/>
    <w:rsid w:val="00420B45"/>
    <w:rsid w:val="00420D7A"/>
    <w:rsid w:val="00421257"/>
    <w:rsid w:val="00422193"/>
    <w:rsid w:val="004223DE"/>
    <w:rsid w:val="00422A10"/>
    <w:rsid w:val="00424D17"/>
    <w:rsid w:val="00425DFD"/>
    <w:rsid w:val="004263A3"/>
    <w:rsid w:val="00426591"/>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0D2"/>
    <w:rsid w:val="00434B70"/>
    <w:rsid w:val="004360C8"/>
    <w:rsid w:val="004371D5"/>
    <w:rsid w:val="0044006B"/>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117B"/>
    <w:rsid w:val="00464AB7"/>
    <w:rsid w:val="00465DE5"/>
    <w:rsid w:val="00467EF8"/>
    <w:rsid w:val="00472429"/>
    <w:rsid w:val="004725E5"/>
    <w:rsid w:val="00472751"/>
    <w:rsid w:val="00473128"/>
    <w:rsid w:val="00473263"/>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5D9"/>
    <w:rsid w:val="00486D60"/>
    <w:rsid w:val="00491FA1"/>
    <w:rsid w:val="00492A25"/>
    <w:rsid w:val="004938A3"/>
    <w:rsid w:val="0049558B"/>
    <w:rsid w:val="00496350"/>
    <w:rsid w:val="00496862"/>
    <w:rsid w:val="0049797C"/>
    <w:rsid w:val="004A00E1"/>
    <w:rsid w:val="004A0943"/>
    <w:rsid w:val="004A1405"/>
    <w:rsid w:val="004A1FC6"/>
    <w:rsid w:val="004A2E5F"/>
    <w:rsid w:val="004A38C2"/>
    <w:rsid w:val="004A3C03"/>
    <w:rsid w:val="004A3DB7"/>
    <w:rsid w:val="004A5088"/>
    <w:rsid w:val="004A5255"/>
    <w:rsid w:val="004A6CB0"/>
    <w:rsid w:val="004A70FF"/>
    <w:rsid w:val="004A7EDE"/>
    <w:rsid w:val="004A7F51"/>
    <w:rsid w:val="004B0D93"/>
    <w:rsid w:val="004B1FA4"/>
    <w:rsid w:val="004B29AC"/>
    <w:rsid w:val="004B35DF"/>
    <w:rsid w:val="004B3627"/>
    <w:rsid w:val="004B4922"/>
    <w:rsid w:val="004B57DF"/>
    <w:rsid w:val="004B5976"/>
    <w:rsid w:val="004B7137"/>
    <w:rsid w:val="004B722E"/>
    <w:rsid w:val="004B72E8"/>
    <w:rsid w:val="004C01A5"/>
    <w:rsid w:val="004C0412"/>
    <w:rsid w:val="004C0DBA"/>
    <w:rsid w:val="004C1142"/>
    <w:rsid w:val="004C2138"/>
    <w:rsid w:val="004C3940"/>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D2A"/>
    <w:rsid w:val="004F1E6F"/>
    <w:rsid w:val="004F243F"/>
    <w:rsid w:val="004F252C"/>
    <w:rsid w:val="004F36A3"/>
    <w:rsid w:val="004F3E0C"/>
    <w:rsid w:val="004F4308"/>
    <w:rsid w:val="004F7160"/>
    <w:rsid w:val="00500258"/>
    <w:rsid w:val="00500B2D"/>
    <w:rsid w:val="00501A99"/>
    <w:rsid w:val="00503180"/>
    <w:rsid w:val="005038A4"/>
    <w:rsid w:val="00505450"/>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39D"/>
    <w:rsid w:val="005224EE"/>
    <w:rsid w:val="00522879"/>
    <w:rsid w:val="00523BB1"/>
    <w:rsid w:val="0052570E"/>
    <w:rsid w:val="005260CD"/>
    <w:rsid w:val="00526265"/>
    <w:rsid w:val="0052655D"/>
    <w:rsid w:val="005265E0"/>
    <w:rsid w:val="00526BC3"/>
    <w:rsid w:val="00531761"/>
    <w:rsid w:val="0053248F"/>
    <w:rsid w:val="0053332A"/>
    <w:rsid w:val="0053358A"/>
    <w:rsid w:val="00534668"/>
    <w:rsid w:val="00534DDD"/>
    <w:rsid w:val="00535291"/>
    <w:rsid w:val="00535A94"/>
    <w:rsid w:val="00537874"/>
    <w:rsid w:val="0053795F"/>
    <w:rsid w:val="00537D3D"/>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B5D"/>
    <w:rsid w:val="005706D5"/>
    <w:rsid w:val="00570757"/>
    <w:rsid w:val="00573733"/>
    <w:rsid w:val="00573F8B"/>
    <w:rsid w:val="00574554"/>
    <w:rsid w:val="00574E06"/>
    <w:rsid w:val="005751BB"/>
    <w:rsid w:val="00576089"/>
    <w:rsid w:val="005764B1"/>
    <w:rsid w:val="00576852"/>
    <w:rsid w:val="00576D06"/>
    <w:rsid w:val="00577287"/>
    <w:rsid w:val="005779E4"/>
    <w:rsid w:val="00577F9F"/>
    <w:rsid w:val="00580EC7"/>
    <w:rsid w:val="00581132"/>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52B"/>
    <w:rsid w:val="005A2A8F"/>
    <w:rsid w:val="005A3204"/>
    <w:rsid w:val="005A3341"/>
    <w:rsid w:val="005A3C3D"/>
    <w:rsid w:val="005A46EC"/>
    <w:rsid w:val="005A5EAE"/>
    <w:rsid w:val="005A6407"/>
    <w:rsid w:val="005A726C"/>
    <w:rsid w:val="005B07EC"/>
    <w:rsid w:val="005B0B95"/>
    <w:rsid w:val="005B2B11"/>
    <w:rsid w:val="005B32A4"/>
    <w:rsid w:val="005B3371"/>
    <w:rsid w:val="005B338D"/>
    <w:rsid w:val="005B36D7"/>
    <w:rsid w:val="005B3BAF"/>
    <w:rsid w:val="005B4DA3"/>
    <w:rsid w:val="005B5BEE"/>
    <w:rsid w:val="005B77D2"/>
    <w:rsid w:val="005C019B"/>
    <w:rsid w:val="005C08D0"/>
    <w:rsid w:val="005C1AED"/>
    <w:rsid w:val="005C30F5"/>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41B0"/>
    <w:rsid w:val="005D6B59"/>
    <w:rsid w:val="005D784B"/>
    <w:rsid w:val="005E03E4"/>
    <w:rsid w:val="005E0454"/>
    <w:rsid w:val="005E05F6"/>
    <w:rsid w:val="005E2442"/>
    <w:rsid w:val="005E3111"/>
    <w:rsid w:val="005E3C4A"/>
    <w:rsid w:val="005E3F85"/>
    <w:rsid w:val="005E4384"/>
    <w:rsid w:val="005E4A5F"/>
    <w:rsid w:val="005E57B0"/>
    <w:rsid w:val="005E5B01"/>
    <w:rsid w:val="005E6D3B"/>
    <w:rsid w:val="005F009E"/>
    <w:rsid w:val="005F0DF1"/>
    <w:rsid w:val="005F1516"/>
    <w:rsid w:val="005F229E"/>
    <w:rsid w:val="005F2564"/>
    <w:rsid w:val="005F3822"/>
    <w:rsid w:val="005F4635"/>
    <w:rsid w:val="005F4900"/>
    <w:rsid w:val="005F4E52"/>
    <w:rsid w:val="005F6D58"/>
    <w:rsid w:val="005F7383"/>
    <w:rsid w:val="0060058E"/>
    <w:rsid w:val="00601F77"/>
    <w:rsid w:val="00602A3C"/>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14DE"/>
    <w:rsid w:val="0062169D"/>
    <w:rsid w:val="0062181E"/>
    <w:rsid w:val="0062211B"/>
    <w:rsid w:val="00622BB7"/>
    <w:rsid w:val="00622C1E"/>
    <w:rsid w:val="00623389"/>
    <w:rsid w:val="00623DAA"/>
    <w:rsid w:val="00623FAF"/>
    <w:rsid w:val="006265C4"/>
    <w:rsid w:val="0062678A"/>
    <w:rsid w:val="006270AF"/>
    <w:rsid w:val="00634367"/>
    <w:rsid w:val="00640082"/>
    <w:rsid w:val="00640291"/>
    <w:rsid w:val="00640EFE"/>
    <w:rsid w:val="00641D6D"/>
    <w:rsid w:val="00641FAC"/>
    <w:rsid w:val="00643664"/>
    <w:rsid w:val="00643CAA"/>
    <w:rsid w:val="00644F16"/>
    <w:rsid w:val="006455EB"/>
    <w:rsid w:val="006456C2"/>
    <w:rsid w:val="00645A65"/>
    <w:rsid w:val="006477F0"/>
    <w:rsid w:val="006478E4"/>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72"/>
    <w:rsid w:val="006A1780"/>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43B"/>
    <w:rsid w:val="006B6805"/>
    <w:rsid w:val="006B6DE0"/>
    <w:rsid w:val="006B7C6C"/>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5AF3"/>
    <w:rsid w:val="006F5C43"/>
    <w:rsid w:val="006F61D8"/>
    <w:rsid w:val="006F62B7"/>
    <w:rsid w:val="006F70BC"/>
    <w:rsid w:val="006F734B"/>
    <w:rsid w:val="006F7E7C"/>
    <w:rsid w:val="0070174E"/>
    <w:rsid w:val="007018DB"/>
    <w:rsid w:val="00701DE6"/>
    <w:rsid w:val="00702740"/>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4044"/>
    <w:rsid w:val="007248D3"/>
    <w:rsid w:val="00724DF8"/>
    <w:rsid w:val="00725137"/>
    <w:rsid w:val="00725378"/>
    <w:rsid w:val="007264D4"/>
    <w:rsid w:val="00727A43"/>
    <w:rsid w:val="00727FF2"/>
    <w:rsid w:val="00730550"/>
    <w:rsid w:val="00730C2A"/>
    <w:rsid w:val="00731434"/>
    <w:rsid w:val="00731E59"/>
    <w:rsid w:val="007323E0"/>
    <w:rsid w:val="00732911"/>
    <w:rsid w:val="00733721"/>
    <w:rsid w:val="00733DE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27F7"/>
    <w:rsid w:val="00753C4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986"/>
    <w:rsid w:val="00772A90"/>
    <w:rsid w:val="00772F8D"/>
    <w:rsid w:val="0077408D"/>
    <w:rsid w:val="00774270"/>
    <w:rsid w:val="007743F6"/>
    <w:rsid w:val="00775679"/>
    <w:rsid w:val="0077574F"/>
    <w:rsid w:val="00775823"/>
    <w:rsid w:val="007777CC"/>
    <w:rsid w:val="00777B32"/>
    <w:rsid w:val="0078051E"/>
    <w:rsid w:val="00781089"/>
    <w:rsid w:val="007838F3"/>
    <w:rsid w:val="007856FE"/>
    <w:rsid w:val="00785F46"/>
    <w:rsid w:val="007865F4"/>
    <w:rsid w:val="00786D5C"/>
    <w:rsid w:val="00786E96"/>
    <w:rsid w:val="00787DFF"/>
    <w:rsid w:val="00787F93"/>
    <w:rsid w:val="00791E6D"/>
    <w:rsid w:val="00791EB5"/>
    <w:rsid w:val="00791FF2"/>
    <w:rsid w:val="00793696"/>
    <w:rsid w:val="007955DA"/>
    <w:rsid w:val="00796F65"/>
    <w:rsid w:val="007A11C2"/>
    <w:rsid w:val="007A18BB"/>
    <w:rsid w:val="007A27DD"/>
    <w:rsid w:val="007A41BF"/>
    <w:rsid w:val="007A490A"/>
    <w:rsid w:val="007A7B95"/>
    <w:rsid w:val="007B0297"/>
    <w:rsid w:val="007B02FA"/>
    <w:rsid w:val="007B0F53"/>
    <w:rsid w:val="007B21AE"/>
    <w:rsid w:val="007B2570"/>
    <w:rsid w:val="007B3113"/>
    <w:rsid w:val="007B3304"/>
    <w:rsid w:val="007B3911"/>
    <w:rsid w:val="007B7490"/>
    <w:rsid w:val="007C0525"/>
    <w:rsid w:val="007C13F7"/>
    <w:rsid w:val="007C218D"/>
    <w:rsid w:val="007C2D28"/>
    <w:rsid w:val="007C3E22"/>
    <w:rsid w:val="007C5B90"/>
    <w:rsid w:val="007C6079"/>
    <w:rsid w:val="007C6218"/>
    <w:rsid w:val="007C6484"/>
    <w:rsid w:val="007C67C6"/>
    <w:rsid w:val="007C78BE"/>
    <w:rsid w:val="007C7E59"/>
    <w:rsid w:val="007D0476"/>
    <w:rsid w:val="007D0B91"/>
    <w:rsid w:val="007D1386"/>
    <w:rsid w:val="007D1452"/>
    <w:rsid w:val="007D3DCB"/>
    <w:rsid w:val="007D460C"/>
    <w:rsid w:val="007D4996"/>
    <w:rsid w:val="007D4AD3"/>
    <w:rsid w:val="007D5D19"/>
    <w:rsid w:val="007D5FDC"/>
    <w:rsid w:val="007D6176"/>
    <w:rsid w:val="007D6D68"/>
    <w:rsid w:val="007E32DA"/>
    <w:rsid w:val="007E4998"/>
    <w:rsid w:val="007E4A9C"/>
    <w:rsid w:val="007E6914"/>
    <w:rsid w:val="007E7F78"/>
    <w:rsid w:val="007F0179"/>
    <w:rsid w:val="007F2C13"/>
    <w:rsid w:val="007F2CEC"/>
    <w:rsid w:val="007F3435"/>
    <w:rsid w:val="007F55DE"/>
    <w:rsid w:val="007F762D"/>
    <w:rsid w:val="007F78F0"/>
    <w:rsid w:val="007F78FF"/>
    <w:rsid w:val="008001C5"/>
    <w:rsid w:val="00800F6C"/>
    <w:rsid w:val="00801065"/>
    <w:rsid w:val="00802C0B"/>
    <w:rsid w:val="008051FC"/>
    <w:rsid w:val="008055A9"/>
    <w:rsid w:val="008056C4"/>
    <w:rsid w:val="008057FD"/>
    <w:rsid w:val="00805D8B"/>
    <w:rsid w:val="00810BB6"/>
    <w:rsid w:val="00810E8E"/>
    <w:rsid w:val="00812C44"/>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34DB"/>
    <w:rsid w:val="00833B7F"/>
    <w:rsid w:val="00833E8E"/>
    <w:rsid w:val="00834906"/>
    <w:rsid w:val="00836075"/>
    <w:rsid w:val="00836417"/>
    <w:rsid w:val="00836A3E"/>
    <w:rsid w:val="00837526"/>
    <w:rsid w:val="00837F20"/>
    <w:rsid w:val="008407A7"/>
    <w:rsid w:val="0084322B"/>
    <w:rsid w:val="00843F81"/>
    <w:rsid w:val="00844087"/>
    <w:rsid w:val="00844526"/>
    <w:rsid w:val="008448F1"/>
    <w:rsid w:val="0084519E"/>
    <w:rsid w:val="00845CAE"/>
    <w:rsid w:val="00846370"/>
    <w:rsid w:val="008477E7"/>
    <w:rsid w:val="00847C2B"/>
    <w:rsid w:val="00850272"/>
    <w:rsid w:val="008506B9"/>
    <w:rsid w:val="00851822"/>
    <w:rsid w:val="008532BF"/>
    <w:rsid w:val="008539B2"/>
    <w:rsid w:val="00853BF4"/>
    <w:rsid w:val="00854294"/>
    <w:rsid w:val="0085572E"/>
    <w:rsid w:val="0085788B"/>
    <w:rsid w:val="00857A9E"/>
    <w:rsid w:val="00857DE2"/>
    <w:rsid w:val="00863A8E"/>
    <w:rsid w:val="0086407F"/>
    <w:rsid w:val="008645E3"/>
    <w:rsid w:val="00864E79"/>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80106"/>
    <w:rsid w:val="00880F95"/>
    <w:rsid w:val="00882B44"/>
    <w:rsid w:val="008838AD"/>
    <w:rsid w:val="008864B3"/>
    <w:rsid w:val="008865E5"/>
    <w:rsid w:val="008871B0"/>
    <w:rsid w:val="00890B57"/>
    <w:rsid w:val="008916BA"/>
    <w:rsid w:val="0089217C"/>
    <w:rsid w:val="00892790"/>
    <w:rsid w:val="008931DA"/>
    <w:rsid w:val="00893671"/>
    <w:rsid w:val="008946DC"/>
    <w:rsid w:val="00895838"/>
    <w:rsid w:val="00895A1E"/>
    <w:rsid w:val="00895A72"/>
    <w:rsid w:val="00895CDF"/>
    <w:rsid w:val="00896679"/>
    <w:rsid w:val="00896D8C"/>
    <w:rsid w:val="008A0FC9"/>
    <w:rsid w:val="008A1956"/>
    <w:rsid w:val="008A1A7C"/>
    <w:rsid w:val="008A2CE2"/>
    <w:rsid w:val="008A40D3"/>
    <w:rsid w:val="008A469C"/>
    <w:rsid w:val="008A51D1"/>
    <w:rsid w:val="008A5DCE"/>
    <w:rsid w:val="008A75D3"/>
    <w:rsid w:val="008B05DD"/>
    <w:rsid w:val="008B07B8"/>
    <w:rsid w:val="008B17E8"/>
    <w:rsid w:val="008B2E7C"/>
    <w:rsid w:val="008B321A"/>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03C2"/>
    <w:rsid w:val="008D12FB"/>
    <w:rsid w:val="008D3B2D"/>
    <w:rsid w:val="008D58D9"/>
    <w:rsid w:val="008D5AD4"/>
    <w:rsid w:val="008D695E"/>
    <w:rsid w:val="008D6DD5"/>
    <w:rsid w:val="008D6E59"/>
    <w:rsid w:val="008D7155"/>
    <w:rsid w:val="008D76E0"/>
    <w:rsid w:val="008E0B29"/>
    <w:rsid w:val="008E141A"/>
    <w:rsid w:val="008E1A44"/>
    <w:rsid w:val="008E1E55"/>
    <w:rsid w:val="008E28E6"/>
    <w:rsid w:val="008E3232"/>
    <w:rsid w:val="008E3674"/>
    <w:rsid w:val="008E3B6C"/>
    <w:rsid w:val="008E3DE7"/>
    <w:rsid w:val="008E562C"/>
    <w:rsid w:val="008E6540"/>
    <w:rsid w:val="008E77D4"/>
    <w:rsid w:val="008E7ADD"/>
    <w:rsid w:val="008F05CC"/>
    <w:rsid w:val="008F091F"/>
    <w:rsid w:val="008F17B2"/>
    <w:rsid w:val="008F22B3"/>
    <w:rsid w:val="008F357B"/>
    <w:rsid w:val="008F3B1D"/>
    <w:rsid w:val="008F44CA"/>
    <w:rsid w:val="008F49D3"/>
    <w:rsid w:val="008F62C1"/>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7AF"/>
    <w:rsid w:val="009238FD"/>
    <w:rsid w:val="00923998"/>
    <w:rsid w:val="00923DB4"/>
    <w:rsid w:val="0092420B"/>
    <w:rsid w:val="0092430E"/>
    <w:rsid w:val="00924570"/>
    <w:rsid w:val="00924A46"/>
    <w:rsid w:val="00926112"/>
    <w:rsid w:val="0092625F"/>
    <w:rsid w:val="00926B28"/>
    <w:rsid w:val="00926D9C"/>
    <w:rsid w:val="00927028"/>
    <w:rsid w:val="00927763"/>
    <w:rsid w:val="00927A2D"/>
    <w:rsid w:val="00927B37"/>
    <w:rsid w:val="00931917"/>
    <w:rsid w:val="009321B1"/>
    <w:rsid w:val="00932ED7"/>
    <w:rsid w:val="009333CF"/>
    <w:rsid w:val="0093422D"/>
    <w:rsid w:val="0093483B"/>
    <w:rsid w:val="00934CF9"/>
    <w:rsid w:val="00934DD7"/>
    <w:rsid w:val="009369A9"/>
    <w:rsid w:val="00936CF7"/>
    <w:rsid w:val="00937783"/>
    <w:rsid w:val="00937EAD"/>
    <w:rsid w:val="00937F28"/>
    <w:rsid w:val="00940FE1"/>
    <w:rsid w:val="00942306"/>
    <w:rsid w:val="00942384"/>
    <w:rsid w:val="009424B8"/>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5FBB"/>
    <w:rsid w:val="0095694B"/>
    <w:rsid w:val="00956BD5"/>
    <w:rsid w:val="00956D84"/>
    <w:rsid w:val="009577B5"/>
    <w:rsid w:val="009608E6"/>
    <w:rsid w:val="00960F57"/>
    <w:rsid w:val="00961C90"/>
    <w:rsid w:val="00965443"/>
    <w:rsid w:val="00965954"/>
    <w:rsid w:val="00965A21"/>
    <w:rsid w:val="00965E55"/>
    <w:rsid w:val="0096608E"/>
    <w:rsid w:val="00966522"/>
    <w:rsid w:val="00966C33"/>
    <w:rsid w:val="00966FCB"/>
    <w:rsid w:val="00970F18"/>
    <w:rsid w:val="00971CF1"/>
    <w:rsid w:val="00971F5D"/>
    <w:rsid w:val="009721E9"/>
    <w:rsid w:val="00973772"/>
    <w:rsid w:val="0097471B"/>
    <w:rsid w:val="0097560A"/>
    <w:rsid w:val="00975E1E"/>
    <w:rsid w:val="00975E70"/>
    <w:rsid w:val="009761DE"/>
    <w:rsid w:val="009766FA"/>
    <w:rsid w:val="00977CD6"/>
    <w:rsid w:val="0098048B"/>
    <w:rsid w:val="00980DF9"/>
    <w:rsid w:val="00981150"/>
    <w:rsid w:val="0098243D"/>
    <w:rsid w:val="00982D26"/>
    <w:rsid w:val="00983B6E"/>
    <w:rsid w:val="00983FE5"/>
    <w:rsid w:val="009849E9"/>
    <w:rsid w:val="009859E4"/>
    <w:rsid w:val="00987812"/>
    <w:rsid w:val="00990225"/>
    <w:rsid w:val="00992A13"/>
    <w:rsid w:val="00994AAD"/>
    <w:rsid w:val="00994DE1"/>
    <w:rsid w:val="00995150"/>
    <w:rsid w:val="00995D67"/>
    <w:rsid w:val="009A013B"/>
    <w:rsid w:val="009A01A8"/>
    <w:rsid w:val="009A02F4"/>
    <w:rsid w:val="009A06BF"/>
    <w:rsid w:val="009A0D17"/>
    <w:rsid w:val="009A2494"/>
    <w:rsid w:val="009A295D"/>
    <w:rsid w:val="009A32B1"/>
    <w:rsid w:val="009A33A3"/>
    <w:rsid w:val="009A36F2"/>
    <w:rsid w:val="009A40C3"/>
    <w:rsid w:val="009A40D5"/>
    <w:rsid w:val="009A57D0"/>
    <w:rsid w:val="009A6559"/>
    <w:rsid w:val="009A68FC"/>
    <w:rsid w:val="009A6CE4"/>
    <w:rsid w:val="009A7514"/>
    <w:rsid w:val="009A7E7A"/>
    <w:rsid w:val="009B1584"/>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1AF6"/>
    <w:rsid w:val="009C2913"/>
    <w:rsid w:val="009C2BD4"/>
    <w:rsid w:val="009C5AFE"/>
    <w:rsid w:val="009C609C"/>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5F8B"/>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A0010C"/>
    <w:rsid w:val="00A004DF"/>
    <w:rsid w:val="00A00FD5"/>
    <w:rsid w:val="00A012C0"/>
    <w:rsid w:val="00A019A8"/>
    <w:rsid w:val="00A01B03"/>
    <w:rsid w:val="00A01B89"/>
    <w:rsid w:val="00A02C66"/>
    <w:rsid w:val="00A02C84"/>
    <w:rsid w:val="00A0464C"/>
    <w:rsid w:val="00A050BB"/>
    <w:rsid w:val="00A054E0"/>
    <w:rsid w:val="00A05D91"/>
    <w:rsid w:val="00A0740B"/>
    <w:rsid w:val="00A07ED3"/>
    <w:rsid w:val="00A10CA8"/>
    <w:rsid w:val="00A11042"/>
    <w:rsid w:val="00A12579"/>
    <w:rsid w:val="00A133D8"/>
    <w:rsid w:val="00A13812"/>
    <w:rsid w:val="00A15655"/>
    <w:rsid w:val="00A160B0"/>
    <w:rsid w:val="00A1740C"/>
    <w:rsid w:val="00A20069"/>
    <w:rsid w:val="00A2244D"/>
    <w:rsid w:val="00A2253D"/>
    <w:rsid w:val="00A2267F"/>
    <w:rsid w:val="00A22CDB"/>
    <w:rsid w:val="00A247B8"/>
    <w:rsid w:val="00A2495A"/>
    <w:rsid w:val="00A24C7A"/>
    <w:rsid w:val="00A24D8F"/>
    <w:rsid w:val="00A25B8B"/>
    <w:rsid w:val="00A25C5D"/>
    <w:rsid w:val="00A2689F"/>
    <w:rsid w:val="00A26ECA"/>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1C60"/>
    <w:rsid w:val="00A61ECB"/>
    <w:rsid w:val="00A6410C"/>
    <w:rsid w:val="00A647B1"/>
    <w:rsid w:val="00A64DEF"/>
    <w:rsid w:val="00A654D2"/>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930"/>
    <w:rsid w:val="00A863F7"/>
    <w:rsid w:val="00A86604"/>
    <w:rsid w:val="00A87519"/>
    <w:rsid w:val="00A9246D"/>
    <w:rsid w:val="00A92CCA"/>
    <w:rsid w:val="00A93BD0"/>
    <w:rsid w:val="00A93CC2"/>
    <w:rsid w:val="00A974CC"/>
    <w:rsid w:val="00AA1067"/>
    <w:rsid w:val="00AA2001"/>
    <w:rsid w:val="00AA2B5C"/>
    <w:rsid w:val="00AA32D2"/>
    <w:rsid w:val="00AA4016"/>
    <w:rsid w:val="00AA4C1F"/>
    <w:rsid w:val="00AA5328"/>
    <w:rsid w:val="00AA5393"/>
    <w:rsid w:val="00AA63D4"/>
    <w:rsid w:val="00AB03FD"/>
    <w:rsid w:val="00AB2000"/>
    <w:rsid w:val="00AB2E94"/>
    <w:rsid w:val="00AB38CB"/>
    <w:rsid w:val="00AB3BEC"/>
    <w:rsid w:val="00AB44E4"/>
    <w:rsid w:val="00AB4AEB"/>
    <w:rsid w:val="00AB4E5F"/>
    <w:rsid w:val="00AB5352"/>
    <w:rsid w:val="00AB56AE"/>
    <w:rsid w:val="00AB62D5"/>
    <w:rsid w:val="00AB65B5"/>
    <w:rsid w:val="00AB6DCD"/>
    <w:rsid w:val="00AB6EE0"/>
    <w:rsid w:val="00AC17A2"/>
    <w:rsid w:val="00AC40B7"/>
    <w:rsid w:val="00AC531F"/>
    <w:rsid w:val="00AC5B36"/>
    <w:rsid w:val="00AC6377"/>
    <w:rsid w:val="00AC66A4"/>
    <w:rsid w:val="00AC6CB1"/>
    <w:rsid w:val="00AC7D6D"/>
    <w:rsid w:val="00AD0091"/>
    <w:rsid w:val="00AD23EF"/>
    <w:rsid w:val="00AD2662"/>
    <w:rsid w:val="00AD307B"/>
    <w:rsid w:val="00AD4014"/>
    <w:rsid w:val="00AD41B3"/>
    <w:rsid w:val="00AD5721"/>
    <w:rsid w:val="00AD5C4D"/>
    <w:rsid w:val="00AD69F0"/>
    <w:rsid w:val="00AD7127"/>
    <w:rsid w:val="00AD730C"/>
    <w:rsid w:val="00AE123A"/>
    <w:rsid w:val="00AE1539"/>
    <w:rsid w:val="00AE28A7"/>
    <w:rsid w:val="00AE2A98"/>
    <w:rsid w:val="00AE2CF2"/>
    <w:rsid w:val="00AE3012"/>
    <w:rsid w:val="00AE33A6"/>
    <w:rsid w:val="00AE3729"/>
    <w:rsid w:val="00AE4138"/>
    <w:rsid w:val="00AE4CCE"/>
    <w:rsid w:val="00AE5C6A"/>
    <w:rsid w:val="00AE6317"/>
    <w:rsid w:val="00AE6B62"/>
    <w:rsid w:val="00AE7280"/>
    <w:rsid w:val="00AF033A"/>
    <w:rsid w:val="00AF1699"/>
    <w:rsid w:val="00AF1FD3"/>
    <w:rsid w:val="00AF2910"/>
    <w:rsid w:val="00AF34B8"/>
    <w:rsid w:val="00AF3896"/>
    <w:rsid w:val="00AF3FC2"/>
    <w:rsid w:val="00AF7311"/>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7AD"/>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504A"/>
    <w:rsid w:val="00B25EE6"/>
    <w:rsid w:val="00B3115A"/>
    <w:rsid w:val="00B31825"/>
    <w:rsid w:val="00B31A5C"/>
    <w:rsid w:val="00B33B06"/>
    <w:rsid w:val="00B33C19"/>
    <w:rsid w:val="00B35A15"/>
    <w:rsid w:val="00B35B45"/>
    <w:rsid w:val="00B36A99"/>
    <w:rsid w:val="00B42264"/>
    <w:rsid w:val="00B434B2"/>
    <w:rsid w:val="00B43D45"/>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53D7"/>
    <w:rsid w:val="00B662FF"/>
    <w:rsid w:val="00B66679"/>
    <w:rsid w:val="00B70145"/>
    <w:rsid w:val="00B71A92"/>
    <w:rsid w:val="00B721D8"/>
    <w:rsid w:val="00B730CA"/>
    <w:rsid w:val="00B747C5"/>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2F4"/>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4342"/>
    <w:rsid w:val="00BF4704"/>
    <w:rsid w:val="00BF4FFC"/>
    <w:rsid w:val="00BF5050"/>
    <w:rsid w:val="00BF50D1"/>
    <w:rsid w:val="00BF5422"/>
    <w:rsid w:val="00BF59B1"/>
    <w:rsid w:val="00BF6A78"/>
    <w:rsid w:val="00BF7695"/>
    <w:rsid w:val="00BF79B4"/>
    <w:rsid w:val="00BF7C61"/>
    <w:rsid w:val="00C00037"/>
    <w:rsid w:val="00C01427"/>
    <w:rsid w:val="00C014C7"/>
    <w:rsid w:val="00C047AB"/>
    <w:rsid w:val="00C058AF"/>
    <w:rsid w:val="00C075B6"/>
    <w:rsid w:val="00C124C1"/>
    <w:rsid w:val="00C128AE"/>
    <w:rsid w:val="00C12BA8"/>
    <w:rsid w:val="00C136D6"/>
    <w:rsid w:val="00C13902"/>
    <w:rsid w:val="00C13D5B"/>
    <w:rsid w:val="00C141D7"/>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B19"/>
    <w:rsid w:val="00C413CB"/>
    <w:rsid w:val="00C42752"/>
    <w:rsid w:val="00C42973"/>
    <w:rsid w:val="00C44C69"/>
    <w:rsid w:val="00C4712A"/>
    <w:rsid w:val="00C5034F"/>
    <w:rsid w:val="00C50830"/>
    <w:rsid w:val="00C52479"/>
    <w:rsid w:val="00C5266E"/>
    <w:rsid w:val="00C52C59"/>
    <w:rsid w:val="00C5349E"/>
    <w:rsid w:val="00C539FF"/>
    <w:rsid w:val="00C544BD"/>
    <w:rsid w:val="00C54D3D"/>
    <w:rsid w:val="00C55A30"/>
    <w:rsid w:val="00C56384"/>
    <w:rsid w:val="00C60F8C"/>
    <w:rsid w:val="00C61794"/>
    <w:rsid w:val="00C62A48"/>
    <w:rsid w:val="00C62AC4"/>
    <w:rsid w:val="00C62B59"/>
    <w:rsid w:val="00C62F96"/>
    <w:rsid w:val="00C631E1"/>
    <w:rsid w:val="00C638D8"/>
    <w:rsid w:val="00C63AE7"/>
    <w:rsid w:val="00C63D26"/>
    <w:rsid w:val="00C6540A"/>
    <w:rsid w:val="00C668A1"/>
    <w:rsid w:val="00C67223"/>
    <w:rsid w:val="00C707B8"/>
    <w:rsid w:val="00C712AC"/>
    <w:rsid w:val="00C71C15"/>
    <w:rsid w:val="00C71F3D"/>
    <w:rsid w:val="00C72999"/>
    <w:rsid w:val="00C72F53"/>
    <w:rsid w:val="00C74035"/>
    <w:rsid w:val="00C748EA"/>
    <w:rsid w:val="00C77818"/>
    <w:rsid w:val="00C8063F"/>
    <w:rsid w:val="00C80F2C"/>
    <w:rsid w:val="00C81282"/>
    <w:rsid w:val="00C827B4"/>
    <w:rsid w:val="00C83214"/>
    <w:rsid w:val="00C8329F"/>
    <w:rsid w:val="00C84F8A"/>
    <w:rsid w:val="00C85BA4"/>
    <w:rsid w:val="00C8618F"/>
    <w:rsid w:val="00C8625D"/>
    <w:rsid w:val="00C90372"/>
    <w:rsid w:val="00C9041F"/>
    <w:rsid w:val="00C9166B"/>
    <w:rsid w:val="00C91A45"/>
    <w:rsid w:val="00C91FB4"/>
    <w:rsid w:val="00C92150"/>
    <w:rsid w:val="00C92328"/>
    <w:rsid w:val="00C92D42"/>
    <w:rsid w:val="00C938C2"/>
    <w:rsid w:val="00C93F8A"/>
    <w:rsid w:val="00C94EA1"/>
    <w:rsid w:val="00C9511B"/>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53E8"/>
    <w:rsid w:val="00CB594A"/>
    <w:rsid w:val="00CB5CB2"/>
    <w:rsid w:val="00CB6979"/>
    <w:rsid w:val="00CB7DDE"/>
    <w:rsid w:val="00CC0A3D"/>
    <w:rsid w:val="00CC1585"/>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5DAD"/>
    <w:rsid w:val="00CD72C5"/>
    <w:rsid w:val="00CD79A7"/>
    <w:rsid w:val="00CE0789"/>
    <w:rsid w:val="00CE0E8D"/>
    <w:rsid w:val="00CE1A03"/>
    <w:rsid w:val="00CE2346"/>
    <w:rsid w:val="00CE25B2"/>
    <w:rsid w:val="00CE268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7074"/>
    <w:rsid w:val="00CF7390"/>
    <w:rsid w:val="00CF7495"/>
    <w:rsid w:val="00D01CF9"/>
    <w:rsid w:val="00D0334D"/>
    <w:rsid w:val="00D0374D"/>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85A"/>
    <w:rsid w:val="00D259B0"/>
    <w:rsid w:val="00D26C3F"/>
    <w:rsid w:val="00D27026"/>
    <w:rsid w:val="00D27185"/>
    <w:rsid w:val="00D30BE7"/>
    <w:rsid w:val="00D30EF8"/>
    <w:rsid w:val="00D32518"/>
    <w:rsid w:val="00D33488"/>
    <w:rsid w:val="00D33AB3"/>
    <w:rsid w:val="00D33F24"/>
    <w:rsid w:val="00D34160"/>
    <w:rsid w:val="00D346B8"/>
    <w:rsid w:val="00D34DCA"/>
    <w:rsid w:val="00D35AC8"/>
    <w:rsid w:val="00D36F87"/>
    <w:rsid w:val="00D37E4E"/>
    <w:rsid w:val="00D400A4"/>
    <w:rsid w:val="00D40DEF"/>
    <w:rsid w:val="00D417D8"/>
    <w:rsid w:val="00D41F78"/>
    <w:rsid w:val="00D42E6C"/>
    <w:rsid w:val="00D4351C"/>
    <w:rsid w:val="00D43B80"/>
    <w:rsid w:val="00D44988"/>
    <w:rsid w:val="00D45B4C"/>
    <w:rsid w:val="00D45BA4"/>
    <w:rsid w:val="00D471AF"/>
    <w:rsid w:val="00D4724F"/>
    <w:rsid w:val="00D50519"/>
    <w:rsid w:val="00D512C8"/>
    <w:rsid w:val="00D51601"/>
    <w:rsid w:val="00D51ECB"/>
    <w:rsid w:val="00D5264C"/>
    <w:rsid w:val="00D52BBC"/>
    <w:rsid w:val="00D537FE"/>
    <w:rsid w:val="00D53CC9"/>
    <w:rsid w:val="00D54A6A"/>
    <w:rsid w:val="00D54B8F"/>
    <w:rsid w:val="00D55951"/>
    <w:rsid w:val="00D559F0"/>
    <w:rsid w:val="00D57EB6"/>
    <w:rsid w:val="00D608C0"/>
    <w:rsid w:val="00D60D6D"/>
    <w:rsid w:val="00D6128C"/>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A7722"/>
    <w:rsid w:val="00DB145E"/>
    <w:rsid w:val="00DB1A94"/>
    <w:rsid w:val="00DB1D52"/>
    <w:rsid w:val="00DB1E2B"/>
    <w:rsid w:val="00DB1F62"/>
    <w:rsid w:val="00DB21E7"/>
    <w:rsid w:val="00DB2E03"/>
    <w:rsid w:val="00DB3742"/>
    <w:rsid w:val="00DB3E9B"/>
    <w:rsid w:val="00DB3F4B"/>
    <w:rsid w:val="00DB5375"/>
    <w:rsid w:val="00DB559B"/>
    <w:rsid w:val="00DB67C1"/>
    <w:rsid w:val="00DB6C0B"/>
    <w:rsid w:val="00DB70F4"/>
    <w:rsid w:val="00DB748A"/>
    <w:rsid w:val="00DC009D"/>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A1D"/>
    <w:rsid w:val="00DE15B2"/>
    <w:rsid w:val="00DE1A9A"/>
    <w:rsid w:val="00DE3D2C"/>
    <w:rsid w:val="00DE5E82"/>
    <w:rsid w:val="00DE5FA6"/>
    <w:rsid w:val="00DE6792"/>
    <w:rsid w:val="00DE6AA1"/>
    <w:rsid w:val="00DE7AAB"/>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1C9C"/>
    <w:rsid w:val="00E0219D"/>
    <w:rsid w:val="00E04C0F"/>
    <w:rsid w:val="00E0570B"/>
    <w:rsid w:val="00E10343"/>
    <w:rsid w:val="00E10913"/>
    <w:rsid w:val="00E10B87"/>
    <w:rsid w:val="00E121CE"/>
    <w:rsid w:val="00E1478B"/>
    <w:rsid w:val="00E14FAC"/>
    <w:rsid w:val="00E15007"/>
    <w:rsid w:val="00E16277"/>
    <w:rsid w:val="00E16EC7"/>
    <w:rsid w:val="00E219CE"/>
    <w:rsid w:val="00E24071"/>
    <w:rsid w:val="00E24EBC"/>
    <w:rsid w:val="00E2522C"/>
    <w:rsid w:val="00E2552F"/>
    <w:rsid w:val="00E2599B"/>
    <w:rsid w:val="00E2710C"/>
    <w:rsid w:val="00E27428"/>
    <w:rsid w:val="00E305B4"/>
    <w:rsid w:val="00E31AFA"/>
    <w:rsid w:val="00E31CB7"/>
    <w:rsid w:val="00E324EE"/>
    <w:rsid w:val="00E32990"/>
    <w:rsid w:val="00E34DB1"/>
    <w:rsid w:val="00E35931"/>
    <w:rsid w:val="00E359FF"/>
    <w:rsid w:val="00E36BD1"/>
    <w:rsid w:val="00E402C5"/>
    <w:rsid w:val="00E402F4"/>
    <w:rsid w:val="00E405F1"/>
    <w:rsid w:val="00E4178B"/>
    <w:rsid w:val="00E417DB"/>
    <w:rsid w:val="00E43054"/>
    <w:rsid w:val="00E43655"/>
    <w:rsid w:val="00E44440"/>
    <w:rsid w:val="00E46013"/>
    <w:rsid w:val="00E47099"/>
    <w:rsid w:val="00E47284"/>
    <w:rsid w:val="00E4730A"/>
    <w:rsid w:val="00E477C3"/>
    <w:rsid w:val="00E517A5"/>
    <w:rsid w:val="00E51E16"/>
    <w:rsid w:val="00E53730"/>
    <w:rsid w:val="00E5438D"/>
    <w:rsid w:val="00E54511"/>
    <w:rsid w:val="00E54E50"/>
    <w:rsid w:val="00E55288"/>
    <w:rsid w:val="00E57577"/>
    <w:rsid w:val="00E62043"/>
    <w:rsid w:val="00E626B9"/>
    <w:rsid w:val="00E627C9"/>
    <w:rsid w:val="00E630F3"/>
    <w:rsid w:val="00E6332F"/>
    <w:rsid w:val="00E637C9"/>
    <w:rsid w:val="00E6402D"/>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1257"/>
    <w:rsid w:val="00E92154"/>
    <w:rsid w:val="00E923CF"/>
    <w:rsid w:val="00E93685"/>
    <w:rsid w:val="00E93B65"/>
    <w:rsid w:val="00E93C8C"/>
    <w:rsid w:val="00E95111"/>
    <w:rsid w:val="00E95FDF"/>
    <w:rsid w:val="00EA14C8"/>
    <w:rsid w:val="00EA2110"/>
    <w:rsid w:val="00EA283A"/>
    <w:rsid w:val="00EA2C90"/>
    <w:rsid w:val="00EA2E07"/>
    <w:rsid w:val="00EA383B"/>
    <w:rsid w:val="00EA48F3"/>
    <w:rsid w:val="00EA60BF"/>
    <w:rsid w:val="00EA7365"/>
    <w:rsid w:val="00EA763F"/>
    <w:rsid w:val="00EA77E9"/>
    <w:rsid w:val="00EB05D0"/>
    <w:rsid w:val="00EB1151"/>
    <w:rsid w:val="00EB1D49"/>
    <w:rsid w:val="00EB23D9"/>
    <w:rsid w:val="00EB39A0"/>
    <w:rsid w:val="00EB559F"/>
    <w:rsid w:val="00EB566C"/>
    <w:rsid w:val="00EB5F3D"/>
    <w:rsid w:val="00EC1CEB"/>
    <w:rsid w:val="00EC1DC0"/>
    <w:rsid w:val="00EC1DC2"/>
    <w:rsid w:val="00EC21EC"/>
    <w:rsid w:val="00EC24B8"/>
    <w:rsid w:val="00EC268C"/>
    <w:rsid w:val="00EC3753"/>
    <w:rsid w:val="00EC4E71"/>
    <w:rsid w:val="00EC5F1C"/>
    <w:rsid w:val="00ED0365"/>
    <w:rsid w:val="00ED0865"/>
    <w:rsid w:val="00ED1C60"/>
    <w:rsid w:val="00ED2EB9"/>
    <w:rsid w:val="00ED32D5"/>
    <w:rsid w:val="00ED3722"/>
    <w:rsid w:val="00ED3A31"/>
    <w:rsid w:val="00ED4469"/>
    <w:rsid w:val="00ED5424"/>
    <w:rsid w:val="00ED5F23"/>
    <w:rsid w:val="00ED6DC0"/>
    <w:rsid w:val="00ED7A7A"/>
    <w:rsid w:val="00EE0327"/>
    <w:rsid w:val="00EE038C"/>
    <w:rsid w:val="00EE28C5"/>
    <w:rsid w:val="00EE2F09"/>
    <w:rsid w:val="00EE47C5"/>
    <w:rsid w:val="00EE490C"/>
    <w:rsid w:val="00EE4E57"/>
    <w:rsid w:val="00EE5738"/>
    <w:rsid w:val="00EE58BD"/>
    <w:rsid w:val="00EE5E59"/>
    <w:rsid w:val="00EE6549"/>
    <w:rsid w:val="00EE73D0"/>
    <w:rsid w:val="00EE7CB0"/>
    <w:rsid w:val="00EF08A8"/>
    <w:rsid w:val="00EF167B"/>
    <w:rsid w:val="00EF30BF"/>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051"/>
    <w:rsid w:val="00F0692C"/>
    <w:rsid w:val="00F069EA"/>
    <w:rsid w:val="00F070E5"/>
    <w:rsid w:val="00F07DDE"/>
    <w:rsid w:val="00F11675"/>
    <w:rsid w:val="00F12557"/>
    <w:rsid w:val="00F13599"/>
    <w:rsid w:val="00F13B28"/>
    <w:rsid w:val="00F14E01"/>
    <w:rsid w:val="00F156A0"/>
    <w:rsid w:val="00F15730"/>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36B2"/>
    <w:rsid w:val="00F43813"/>
    <w:rsid w:val="00F43FEE"/>
    <w:rsid w:val="00F45A72"/>
    <w:rsid w:val="00F46723"/>
    <w:rsid w:val="00F4706D"/>
    <w:rsid w:val="00F476E1"/>
    <w:rsid w:val="00F47D1D"/>
    <w:rsid w:val="00F47F29"/>
    <w:rsid w:val="00F50016"/>
    <w:rsid w:val="00F50058"/>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5171"/>
    <w:rsid w:val="00F6560D"/>
    <w:rsid w:val="00F65C23"/>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288F"/>
    <w:rsid w:val="00F84033"/>
    <w:rsid w:val="00F84802"/>
    <w:rsid w:val="00F85B72"/>
    <w:rsid w:val="00F86540"/>
    <w:rsid w:val="00F865CE"/>
    <w:rsid w:val="00F8766F"/>
    <w:rsid w:val="00F91082"/>
    <w:rsid w:val="00F9116D"/>
    <w:rsid w:val="00F91A9A"/>
    <w:rsid w:val="00F9203B"/>
    <w:rsid w:val="00F93ABB"/>
    <w:rsid w:val="00F94D79"/>
    <w:rsid w:val="00F95C3A"/>
    <w:rsid w:val="00F9658C"/>
    <w:rsid w:val="00F97A7F"/>
    <w:rsid w:val="00FA0889"/>
    <w:rsid w:val="00FA16E7"/>
    <w:rsid w:val="00FA31C7"/>
    <w:rsid w:val="00FA472D"/>
    <w:rsid w:val="00FB0CBF"/>
    <w:rsid w:val="00FB18F6"/>
    <w:rsid w:val="00FB2A52"/>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23A"/>
    <w:rsid w:val="00FC6524"/>
    <w:rsid w:val="00FC75AC"/>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1C9B"/>
    <w:rsid w:val="00FF1D49"/>
    <w:rsid w:val="00FF203B"/>
    <w:rsid w:val="00FF2562"/>
    <w:rsid w:val="00FF3A41"/>
    <w:rsid w:val="00FF3E5B"/>
    <w:rsid w:val="00FF57E4"/>
    <w:rsid w:val="00FF78E5"/>
    <w:rsid w:val="0111748B"/>
    <w:rsid w:val="018727B9"/>
    <w:rsid w:val="01AF3D99"/>
    <w:rsid w:val="02511F9D"/>
    <w:rsid w:val="02550C99"/>
    <w:rsid w:val="02A5573D"/>
    <w:rsid w:val="03A314B8"/>
    <w:rsid w:val="03D82B98"/>
    <w:rsid w:val="03F83E8B"/>
    <w:rsid w:val="0492732B"/>
    <w:rsid w:val="05044FD5"/>
    <w:rsid w:val="057D6BA8"/>
    <w:rsid w:val="05C56868"/>
    <w:rsid w:val="0773068B"/>
    <w:rsid w:val="07B72767"/>
    <w:rsid w:val="08077E72"/>
    <w:rsid w:val="08602EE2"/>
    <w:rsid w:val="086B47A6"/>
    <w:rsid w:val="08882DD0"/>
    <w:rsid w:val="088E3CD3"/>
    <w:rsid w:val="08F17FDE"/>
    <w:rsid w:val="08F31AAA"/>
    <w:rsid w:val="09226B0F"/>
    <w:rsid w:val="09290DF8"/>
    <w:rsid w:val="09986D97"/>
    <w:rsid w:val="09CC2AAC"/>
    <w:rsid w:val="09D26E76"/>
    <w:rsid w:val="09E2580B"/>
    <w:rsid w:val="0A652D3E"/>
    <w:rsid w:val="0AB74D9C"/>
    <w:rsid w:val="0B326F2A"/>
    <w:rsid w:val="0BB4635D"/>
    <w:rsid w:val="0BDC4B87"/>
    <w:rsid w:val="0C1E2888"/>
    <w:rsid w:val="0C92213C"/>
    <w:rsid w:val="0D84032B"/>
    <w:rsid w:val="0DC517A2"/>
    <w:rsid w:val="0E7A2B4C"/>
    <w:rsid w:val="0F0F3F6F"/>
    <w:rsid w:val="0F2A74C4"/>
    <w:rsid w:val="0FA1450C"/>
    <w:rsid w:val="0FD70683"/>
    <w:rsid w:val="10A27F31"/>
    <w:rsid w:val="10F92125"/>
    <w:rsid w:val="11131439"/>
    <w:rsid w:val="11140D0D"/>
    <w:rsid w:val="11847051"/>
    <w:rsid w:val="11927058"/>
    <w:rsid w:val="11DA398C"/>
    <w:rsid w:val="12F42BA4"/>
    <w:rsid w:val="134F66BB"/>
    <w:rsid w:val="13882BF9"/>
    <w:rsid w:val="13AF4F03"/>
    <w:rsid w:val="13E901E3"/>
    <w:rsid w:val="1410303C"/>
    <w:rsid w:val="14736E66"/>
    <w:rsid w:val="147F458F"/>
    <w:rsid w:val="14D958EC"/>
    <w:rsid w:val="1534169A"/>
    <w:rsid w:val="15BB2916"/>
    <w:rsid w:val="15C03E03"/>
    <w:rsid w:val="162A25EB"/>
    <w:rsid w:val="1661103F"/>
    <w:rsid w:val="16C3745D"/>
    <w:rsid w:val="16FD2A55"/>
    <w:rsid w:val="17067C1A"/>
    <w:rsid w:val="17117A8B"/>
    <w:rsid w:val="17366761"/>
    <w:rsid w:val="177C01F0"/>
    <w:rsid w:val="17CE6630"/>
    <w:rsid w:val="18AE0D86"/>
    <w:rsid w:val="1921046B"/>
    <w:rsid w:val="1961477C"/>
    <w:rsid w:val="19741FD7"/>
    <w:rsid w:val="1AFF0AFE"/>
    <w:rsid w:val="1B086846"/>
    <w:rsid w:val="1B4F19F8"/>
    <w:rsid w:val="1BEC75F7"/>
    <w:rsid w:val="1BEE7F95"/>
    <w:rsid w:val="1C226F03"/>
    <w:rsid w:val="1CBA0FA6"/>
    <w:rsid w:val="1CFC7225"/>
    <w:rsid w:val="1D9854F5"/>
    <w:rsid w:val="1DC43018"/>
    <w:rsid w:val="1EC54B3F"/>
    <w:rsid w:val="1ECC44FA"/>
    <w:rsid w:val="1F063325"/>
    <w:rsid w:val="1F3E6060"/>
    <w:rsid w:val="1F71456F"/>
    <w:rsid w:val="1FBC5DF5"/>
    <w:rsid w:val="1FF90588"/>
    <w:rsid w:val="207C511D"/>
    <w:rsid w:val="20C3623F"/>
    <w:rsid w:val="21722C92"/>
    <w:rsid w:val="21781212"/>
    <w:rsid w:val="218C669E"/>
    <w:rsid w:val="21B83F86"/>
    <w:rsid w:val="21F235CB"/>
    <w:rsid w:val="221178A8"/>
    <w:rsid w:val="221213CF"/>
    <w:rsid w:val="22327A92"/>
    <w:rsid w:val="22963C78"/>
    <w:rsid w:val="231D53A2"/>
    <w:rsid w:val="234B49EE"/>
    <w:rsid w:val="236D5383"/>
    <w:rsid w:val="23B7504C"/>
    <w:rsid w:val="23F36A58"/>
    <w:rsid w:val="243A0633"/>
    <w:rsid w:val="24571307"/>
    <w:rsid w:val="24640B89"/>
    <w:rsid w:val="24F06295"/>
    <w:rsid w:val="25110A2A"/>
    <w:rsid w:val="256C0944"/>
    <w:rsid w:val="25DE37A7"/>
    <w:rsid w:val="26446DE3"/>
    <w:rsid w:val="269669E7"/>
    <w:rsid w:val="26D7699F"/>
    <w:rsid w:val="27AE55C0"/>
    <w:rsid w:val="2810627B"/>
    <w:rsid w:val="285D7B6B"/>
    <w:rsid w:val="289724F8"/>
    <w:rsid w:val="296C5BF2"/>
    <w:rsid w:val="298A5BB9"/>
    <w:rsid w:val="29A16BD4"/>
    <w:rsid w:val="29F5611C"/>
    <w:rsid w:val="2A067935"/>
    <w:rsid w:val="2AF04C32"/>
    <w:rsid w:val="2B774624"/>
    <w:rsid w:val="2C372028"/>
    <w:rsid w:val="2C390172"/>
    <w:rsid w:val="2C7A72BE"/>
    <w:rsid w:val="2C9A7D75"/>
    <w:rsid w:val="2CC17412"/>
    <w:rsid w:val="2CF35FD9"/>
    <w:rsid w:val="2D0A5E6F"/>
    <w:rsid w:val="2D947BEA"/>
    <w:rsid w:val="2DE851F8"/>
    <w:rsid w:val="2E230831"/>
    <w:rsid w:val="2E9067E6"/>
    <w:rsid w:val="2E9976CE"/>
    <w:rsid w:val="2F3F5C82"/>
    <w:rsid w:val="2F401D3C"/>
    <w:rsid w:val="2F5B24E1"/>
    <w:rsid w:val="2F6A44C2"/>
    <w:rsid w:val="2FA95C88"/>
    <w:rsid w:val="3041370F"/>
    <w:rsid w:val="30B05A06"/>
    <w:rsid w:val="3105430C"/>
    <w:rsid w:val="312B50A3"/>
    <w:rsid w:val="32453A27"/>
    <w:rsid w:val="3263064A"/>
    <w:rsid w:val="327C1720"/>
    <w:rsid w:val="32A43132"/>
    <w:rsid w:val="32AC0C06"/>
    <w:rsid w:val="33231A92"/>
    <w:rsid w:val="33344EF5"/>
    <w:rsid w:val="3422003D"/>
    <w:rsid w:val="3442156A"/>
    <w:rsid w:val="344F1CC6"/>
    <w:rsid w:val="346C4000"/>
    <w:rsid w:val="35020CF9"/>
    <w:rsid w:val="35323592"/>
    <w:rsid w:val="3537750C"/>
    <w:rsid w:val="3537798C"/>
    <w:rsid w:val="35C13FC9"/>
    <w:rsid w:val="364257B6"/>
    <w:rsid w:val="36CD0B0F"/>
    <w:rsid w:val="36CE5337"/>
    <w:rsid w:val="36E04F7F"/>
    <w:rsid w:val="373B602E"/>
    <w:rsid w:val="374365F8"/>
    <w:rsid w:val="37B26A07"/>
    <w:rsid w:val="37EA5922"/>
    <w:rsid w:val="3810372D"/>
    <w:rsid w:val="38276B93"/>
    <w:rsid w:val="386E1832"/>
    <w:rsid w:val="38AC3431"/>
    <w:rsid w:val="38BD416F"/>
    <w:rsid w:val="38C239DC"/>
    <w:rsid w:val="39133709"/>
    <w:rsid w:val="392F2E16"/>
    <w:rsid w:val="39A131D7"/>
    <w:rsid w:val="39E00529"/>
    <w:rsid w:val="3A090C14"/>
    <w:rsid w:val="3A0B64A7"/>
    <w:rsid w:val="3A485400"/>
    <w:rsid w:val="3A574DDA"/>
    <w:rsid w:val="3A890E8D"/>
    <w:rsid w:val="3AD3075A"/>
    <w:rsid w:val="3AEC6CD7"/>
    <w:rsid w:val="3AEF12CB"/>
    <w:rsid w:val="3AF74C02"/>
    <w:rsid w:val="3B4834A4"/>
    <w:rsid w:val="3BD00225"/>
    <w:rsid w:val="3C0059A5"/>
    <w:rsid w:val="3C134E78"/>
    <w:rsid w:val="3C931ABD"/>
    <w:rsid w:val="3CFC2AEE"/>
    <w:rsid w:val="3DEC7285"/>
    <w:rsid w:val="3DF6345D"/>
    <w:rsid w:val="3DF6798C"/>
    <w:rsid w:val="3E2B5515"/>
    <w:rsid w:val="3E3839DE"/>
    <w:rsid w:val="3E3F6DA4"/>
    <w:rsid w:val="3E4D4F28"/>
    <w:rsid w:val="3EE13701"/>
    <w:rsid w:val="3F1A4BB3"/>
    <w:rsid w:val="3F57272F"/>
    <w:rsid w:val="40192BA6"/>
    <w:rsid w:val="40CC4EFC"/>
    <w:rsid w:val="40E12FE8"/>
    <w:rsid w:val="41766EA9"/>
    <w:rsid w:val="42550A18"/>
    <w:rsid w:val="428D1CB5"/>
    <w:rsid w:val="429D496A"/>
    <w:rsid w:val="42E36B0E"/>
    <w:rsid w:val="42F473A1"/>
    <w:rsid w:val="4341505C"/>
    <w:rsid w:val="43444075"/>
    <w:rsid w:val="43E81080"/>
    <w:rsid w:val="441E62C0"/>
    <w:rsid w:val="44EB306C"/>
    <w:rsid w:val="45307029"/>
    <w:rsid w:val="45325D14"/>
    <w:rsid w:val="45811C7C"/>
    <w:rsid w:val="45906116"/>
    <w:rsid w:val="45C7085C"/>
    <w:rsid w:val="46097500"/>
    <w:rsid w:val="46120A5E"/>
    <w:rsid w:val="465350A0"/>
    <w:rsid w:val="468B3EFB"/>
    <w:rsid w:val="470A6193"/>
    <w:rsid w:val="47385210"/>
    <w:rsid w:val="476A1AE5"/>
    <w:rsid w:val="47DC4F5C"/>
    <w:rsid w:val="48681B97"/>
    <w:rsid w:val="48B40671"/>
    <w:rsid w:val="499B5738"/>
    <w:rsid w:val="499F244D"/>
    <w:rsid w:val="49D722FD"/>
    <w:rsid w:val="4A973F3F"/>
    <w:rsid w:val="4A9C151B"/>
    <w:rsid w:val="4AF96BC7"/>
    <w:rsid w:val="4B5A416B"/>
    <w:rsid w:val="4B862A85"/>
    <w:rsid w:val="4BAC011F"/>
    <w:rsid w:val="4BD00440"/>
    <w:rsid w:val="4BF92A1F"/>
    <w:rsid w:val="4C373048"/>
    <w:rsid w:val="4C5025D4"/>
    <w:rsid w:val="4C843359"/>
    <w:rsid w:val="4CEF36E2"/>
    <w:rsid w:val="4CEF4DC5"/>
    <w:rsid w:val="4D5B14E9"/>
    <w:rsid w:val="4DA31FC0"/>
    <w:rsid w:val="4DFF0198"/>
    <w:rsid w:val="4E257655"/>
    <w:rsid w:val="4E8E7871"/>
    <w:rsid w:val="4F372380"/>
    <w:rsid w:val="4F372FFB"/>
    <w:rsid w:val="4F552641"/>
    <w:rsid w:val="501C6CBB"/>
    <w:rsid w:val="5025116D"/>
    <w:rsid w:val="508C2CB2"/>
    <w:rsid w:val="509251CF"/>
    <w:rsid w:val="51F4595F"/>
    <w:rsid w:val="52395ECD"/>
    <w:rsid w:val="52756157"/>
    <w:rsid w:val="52C10D75"/>
    <w:rsid w:val="53177392"/>
    <w:rsid w:val="53C27FF8"/>
    <w:rsid w:val="54093C27"/>
    <w:rsid w:val="549E1A80"/>
    <w:rsid w:val="54AD765E"/>
    <w:rsid w:val="54C658F4"/>
    <w:rsid w:val="550C4BD7"/>
    <w:rsid w:val="55376701"/>
    <w:rsid w:val="554C1D56"/>
    <w:rsid w:val="55572986"/>
    <w:rsid w:val="55C062DD"/>
    <w:rsid w:val="565340FA"/>
    <w:rsid w:val="56C43C09"/>
    <w:rsid w:val="5723343E"/>
    <w:rsid w:val="572A6AD0"/>
    <w:rsid w:val="572E5D14"/>
    <w:rsid w:val="573D7EAB"/>
    <w:rsid w:val="575812C4"/>
    <w:rsid w:val="5813465D"/>
    <w:rsid w:val="594A2AEB"/>
    <w:rsid w:val="59AA36DA"/>
    <w:rsid w:val="5A2F2CC8"/>
    <w:rsid w:val="5ABD4ED3"/>
    <w:rsid w:val="5B1D730F"/>
    <w:rsid w:val="5B45014B"/>
    <w:rsid w:val="5BA26962"/>
    <w:rsid w:val="5C10702D"/>
    <w:rsid w:val="5C152601"/>
    <w:rsid w:val="5C487568"/>
    <w:rsid w:val="5C591F03"/>
    <w:rsid w:val="5C8A1B2F"/>
    <w:rsid w:val="5CC04E72"/>
    <w:rsid w:val="5D914004"/>
    <w:rsid w:val="5E927ECD"/>
    <w:rsid w:val="5F561B72"/>
    <w:rsid w:val="606007BB"/>
    <w:rsid w:val="60AB4D25"/>
    <w:rsid w:val="60AC7F66"/>
    <w:rsid w:val="60AF76D8"/>
    <w:rsid w:val="60CB53F6"/>
    <w:rsid w:val="612B4F61"/>
    <w:rsid w:val="61942EC3"/>
    <w:rsid w:val="61B807C5"/>
    <w:rsid w:val="61BF10D9"/>
    <w:rsid w:val="61DA3D4C"/>
    <w:rsid w:val="620860BA"/>
    <w:rsid w:val="62375E95"/>
    <w:rsid w:val="624D53FA"/>
    <w:rsid w:val="627817B8"/>
    <w:rsid w:val="62942E84"/>
    <w:rsid w:val="62AC22DC"/>
    <w:rsid w:val="637833E8"/>
    <w:rsid w:val="63902642"/>
    <w:rsid w:val="64834B05"/>
    <w:rsid w:val="64B1461A"/>
    <w:rsid w:val="64E45EF7"/>
    <w:rsid w:val="65903189"/>
    <w:rsid w:val="65C5379C"/>
    <w:rsid w:val="660E0537"/>
    <w:rsid w:val="662809AB"/>
    <w:rsid w:val="664F01C9"/>
    <w:rsid w:val="6691014E"/>
    <w:rsid w:val="66C87CCE"/>
    <w:rsid w:val="66D44D17"/>
    <w:rsid w:val="671D183F"/>
    <w:rsid w:val="677435B2"/>
    <w:rsid w:val="67EF75F1"/>
    <w:rsid w:val="68DE4FFE"/>
    <w:rsid w:val="69124F16"/>
    <w:rsid w:val="694A5205"/>
    <w:rsid w:val="69561038"/>
    <w:rsid w:val="69701E94"/>
    <w:rsid w:val="69CD5C14"/>
    <w:rsid w:val="69CF0D33"/>
    <w:rsid w:val="6ABD1215"/>
    <w:rsid w:val="6B20545A"/>
    <w:rsid w:val="6B9946B3"/>
    <w:rsid w:val="6C662189"/>
    <w:rsid w:val="6C7007C7"/>
    <w:rsid w:val="6CDC1F9A"/>
    <w:rsid w:val="6DE76850"/>
    <w:rsid w:val="6E075319"/>
    <w:rsid w:val="6E103324"/>
    <w:rsid w:val="6E391EF1"/>
    <w:rsid w:val="6E420FDA"/>
    <w:rsid w:val="6FB20BD4"/>
    <w:rsid w:val="6FB650F7"/>
    <w:rsid w:val="6FBA59BE"/>
    <w:rsid w:val="6FC36CCC"/>
    <w:rsid w:val="6FD40C52"/>
    <w:rsid w:val="6FE734D5"/>
    <w:rsid w:val="70296B3E"/>
    <w:rsid w:val="70611204"/>
    <w:rsid w:val="7064403B"/>
    <w:rsid w:val="70A03AD5"/>
    <w:rsid w:val="71741C9C"/>
    <w:rsid w:val="71994E0D"/>
    <w:rsid w:val="71BA664B"/>
    <w:rsid w:val="73445350"/>
    <w:rsid w:val="734463A5"/>
    <w:rsid w:val="740B6F86"/>
    <w:rsid w:val="74B36F66"/>
    <w:rsid w:val="74D72778"/>
    <w:rsid w:val="74D7619B"/>
    <w:rsid w:val="74FA2C30"/>
    <w:rsid w:val="754D5C4B"/>
    <w:rsid w:val="75B461D0"/>
    <w:rsid w:val="75BC5076"/>
    <w:rsid w:val="75E12DDE"/>
    <w:rsid w:val="761B5373"/>
    <w:rsid w:val="769B08D7"/>
    <w:rsid w:val="76C240A7"/>
    <w:rsid w:val="76EF3F3F"/>
    <w:rsid w:val="76F854DD"/>
    <w:rsid w:val="775246B7"/>
    <w:rsid w:val="77BD2F8C"/>
    <w:rsid w:val="781E69D1"/>
    <w:rsid w:val="78E13F00"/>
    <w:rsid w:val="78E34FC2"/>
    <w:rsid w:val="795B0086"/>
    <w:rsid w:val="7A011223"/>
    <w:rsid w:val="7A263B6B"/>
    <w:rsid w:val="7AF46346"/>
    <w:rsid w:val="7B0F5EBF"/>
    <w:rsid w:val="7B130FB9"/>
    <w:rsid w:val="7BF64EDE"/>
    <w:rsid w:val="7C377F63"/>
    <w:rsid w:val="7C400C1E"/>
    <w:rsid w:val="7D166E9A"/>
    <w:rsid w:val="7D717AD0"/>
    <w:rsid w:val="7DD11708"/>
    <w:rsid w:val="7E1C20FA"/>
    <w:rsid w:val="7EA107FE"/>
    <w:rsid w:val="7EBD579E"/>
    <w:rsid w:val="7EC167BD"/>
    <w:rsid w:val="7EF71157"/>
    <w:rsid w:val="7F246C24"/>
    <w:rsid w:val="7F272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nhideWhenUsed="0" w:uiPriority="9"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42"/>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43"/>
    <w:qFormat/>
    <w:uiPriority w:val="9"/>
    <w:pPr>
      <w:keepNext/>
      <w:keepLines/>
      <w:spacing w:before="280" w:after="290" w:line="376" w:lineRule="auto"/>
      <w:outlineLvl w:val="4"/>
    </w:pPr>
    <w:rPr>
      <w:b/>
      <w:bCs/>
      <w:sz w:val="28"/>
      <w:szCs w:val="28"/>
    </w:rPr>
  </w:style>
  <w:style w:type="paragraph" w:styleId="8">
    <w:name w:val="heading 8"/>
    <w:basedOn w:val="1"/>
    <w:next w:val="1"/>
    <w:link w:val="44"/>
    <w:qFormat/>
    <w:uiPriority w:val="9"/>
    <w:pPr>
      <w:keepNext/>
      <w:keepLines/>
      <w:spacing w:before="240" w:after="64" w:line="320" w:lineRule="auto"/>
      <w:outlineLvl w:val="7"/>
    </w:pPr>
    <w:rPr>
      <w:rFonts w:ascii="等线 Light" w:hAnsi="等线 Light" w:eastAsia="等线 Light"/>
      <w:sz w:val="24"/>
    </w:rPr>
  </w:style>
  <w:style w:type="character" w:default="1" w:styleId="32">
    <w:name w:val="Default Paragraph Font"/>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9">
    <w:name w:val="index 8"/>
    <w:basedOn w:val="1"/>
    <w:next w:val="1"/>
    <w:qFormat/>
    <w:uiPriority w:val="0"/>
    <w:pPr>
      <w:ind w:left="2940"/>
    </w:pPr>
  </w:style>
  <w:style w:type="paragraph" w:styleId="10">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1">
    <w:name w:val="annotation text"/>
    <w:basedOn w:val="1"/>
    <w:link w:val="45"/>
    <w:qFormat/>
    <w:uiPriority w:val="0"/>
    <w:pPr>
      <w:jc w:val="left"/>
    </w:pPr>
  </w:style>
  <w:style w:type="paragraph" w:styleId="12">
    <w:name w:val="Body Text 3"/>
    <w:basedOn w:val="1"/>
    <w:link w:val="46"/>
    <w:qFormat/>
    <w:uiPriority w:val="99"/>
    <w:pPr>
      <w:spacing w:after="120"/>
    </w:pPr>
    <w:rPr>
      <w:sz w:val="16"/>
      <w:szCs w:val="16"/>
    </w:rPr>
  </w:style>
  <w:style w:type="paragraph" w:styleId="13">
    <w:name w:val="Body Text"/>
    <w:basedOn w:val="1"/>
    <w:next w:val="1"/>
    <w:link w:val="39"/>
    <w:qFormat/>
    <w:uiPriority w:val="99"/>
  </w:style>
  <w:style w:type="paragraph" w:styleId="14">
    <w:name w:val="Body Text Indent"/>
    <w:basedOn w:val="1"/>
    <w:link w:val="47"/>
    <w:qFormat/>
    <w:uiPriority w:val="0"/>
    <w:pPr>
      <w:ind w:firstLine="830" w:firstLineChars="352"/>
    </w:pPr>
    <w:rPr>
      <w:rFonts w:ascii="仿宋_GB2312" w:eastAsia="仿宋_GB2312"/>
      <w:kern w:val="0"/>
      <w:sz w:val="32"/>
      <w:szCs w:val="20"/>
    </w:rPr>
  </w:style>
  <w:style w:type="paragraph" w:styleId="15">
    <w:name w:val="List 2"/>
    <w:basedOn w:val="1"/>
    <w:qFormat/>
    <w:uiPriority w:val="0"/>
    <w:pPr>
      <w:ind w:left="100" w:leftChars="200" w:hanging="200" w:hangingChars="200"/>
      <w:contextualSpacing/>
    </w:pPr>
  </w:style>
  <w:style w:type="paragraph" w:styleId="16">
    <w:name w:val="Block Text"/>
    <w:basedOn w:val="1"/>
    <w:unhideWhenUsed/>
    <w:qFormat/>
    <w:uiPriority w:val="99"/>
    <w:pPr>
      <w:spacing w:line="480" w:lineRule="atLeast"/>
      <w:ind w:left="-57" w:right="69"/>
    </w:pPr>
    <w:rPr>
      <w:rFonts w:ascii="宋体" w:hAnsi="Times New Roman" w:eastAsia="宋体"/>
      <w:b/>
      <w:sz w:val="24"/>
      <w:szCs w:val="20"/>
    </w:rPr>
  </w:style>
  <w:style w:type="paragraph" w:styleId="17">
    <w:name w:val="toc 3"/>
    <w:basedOn w:val="1"/>
    <w:next w:val="1"/>
    <w:qFormat/>
    <w:uiPriority w:val="0"/>
    <w:pPr>
      <w:ind w:left="840" w:leftChars="400"/>
    </w:pPr>
  </w:style>
  <w:style w:type="paragraph" w:styleId="18">
    <w:name w:val="Plain Text"/>
    <w:basedOn w:val="1"/>
    <w:link w:val="48"/>
    <w:qFormat/>
    <w:uiPriority w:val="0"/>
    <w:rPr>
      <w:rFonts w:ascii="宋体" w:hAnsi="Courier New"/>
      <w:kern w:val="0"/>
      <w:sz w:val="20"/>
      <w:szCs w:val="21"/>
    </w:rPr>
  </w:style>
  <w:style w:type="paragraph" w:styleId="19">
    <w:name w:val="Date"/>
    <w:basedOn w:val="1"/>
    <w:next w:val="1"/>
    <w:link w:val="49"/>
    <w:qFormat/>
    <w:uiPriority w:val="99"/>
    <w:pPr>
      <w:ind w:left="100" w:leftChars="2500"/>
    </w:pPr>
  </w:style>
  <w:style w:type="paragraph" w:styleId="20">
    <w:name w:val="Balloon Text"/>
    <w:basedOn w:val="1"/>
    <w:link w:val="50"/>
    <w:qFormat/>
    <w:uiPriority w:val="0"/>
    <w:rPr>
      <w:sz w:val="18"/>
      <w:szCs w:val="18"/>
    </w:rPr>
  </w:style>
  <w:style w:type="paragraph" w:styleId="21">
    <w:name w:val="footer"/>
    <w:basedOn w:val="1"/>
    <w:next w:val="1"/>
    <w:link w:val="51"/>
    <w:qFormat/>
    <w:uiPriority w:val="99"/>
    <w:pPr>
      <w:tabs>
        <w:tab w:val="center" w:pos="4153"/>
        <w:tab w:val="right" w:pos="8306"/>
      </w:tabs>
      <w:snapToGrid w:val="0"/>
      <w:jc w:val="left"/>
    </w:pPr>
    <w:rPr>
      <w:kern w:val="0"/>
      <w:sz w:val="18"/>
      <w:szCs w:val="18"/>
    </w:rPr>
  </w:style>
  <w:style w:type="paragraph" w:styleId="22">
    <w:name w:val="header"/>
    <w:basedOn w:val="1"/>
    <w:link w:val="52"/>
    <w:qFormat/>
    <w:uiPriority w:val="99"/>
    <w:pPr>
      <w:pBdr>
        <w:bottom w:val="single" w:color="auto" w:sz="6" w:space="1"/>
      </w:pBdr>
      <w:tabs>
        <w:tab w:val="center" w:pos="4153"/>
        <w:tab w:val="right" w:pos="8306"/>
      </w:tabs>
      <w:snapToGrid w:val="0"/>
      <w:jc w:val="center"/>
    </w:pPr>
    <w:rPr>
      <w:kern w:val="0"/>
      <w:sz w:val="18"/>
      <w:szCs w:val="18"/>
    </w:rPr>
  </w:style>
  <w:style w:type="paragraph" w:styleId="23">
    <w:name w:val="toc 1"/>
    <w:basedOn w:val="1"/>
    <w:next w:val="1"/>
    <w:qFormat/>
    <w:uiPriority w:val="0"/>
  </w:style>
  <w:style w:type="paragraph" w:styleId="24">
    <w:name w:val="List"/>
    <w:basedOn w:val="1"/>
    <w:qFormat/>
    <w:uiPriority w:val="0"/>
    <w:pPr>
      <w:ind w:left="200" w:hanging="200" w:hangingChars="200"/>
      <w:contextualSpacing/>
    </w:pPr>
  </w:style>
  <w:style w:type="paragraph" w:styleId="25">
    <w:name w:val="toc 2"/>
    <w:basedOn w:val="1"/>
    <w:next w:val="1"/>
    <w:qFormat/>
    <w:uiPriority w:val="0"/>
    <w:pPr>
      <w:tabs>
        <w:tab w:val="right" w:leader="dot" w:pos="8296"/>
      </w:tabs>
      <w:ind w:left="420" w:leftChars="200"/>
    </w:pPr>
  </w:style>
  <w:style w:type="paragraph" w:styleId="26">
    <w:name w:val="Normal (Web)"/>
    <w:basedOn w:val="1"/>
    <w:qFormat/>
    <w:uiPriority w:val="0"/>
    <w:rPr>
      <w:rFonts w:ascii="Calibri" w:hAnsi="Calibri"/>
      <w:kern w:val="0"/>
      <w:sz w:val="24"/>
    </w:rPr>
  </w:style>
  <w:style w:type="paragraph" w:styleId="27">
    <w:name w:val="Title"/>
    <w:basedOn w:val="1"/>
    <w:next w:val="1"/>
    <w:qFormat/>
    <w:uiPriority w:val="0"/>
    <w:pPr>
      <w:spacing w:before="240" w:after="60"/>
      <w:jc w:val="center"/>
      <w:outlineLvl w:val="0"/>
    </w:pPr>
    <w:rPr>
      <w:rFonts w:ascii="Cambria" w:hAnsi="Cambria"/>
      <w:b/>
      <w:bCs/>
      <w:sz w:val="32"/>
      <w:szCs w:val="32"/>
    </w:rPr>
  </w:style>
  <w:style w:type="paragraph" w:styleId="28">
    <w:name w:val="annotation subject"/>
    <w:basedOn w:val="11"/>
    <w:next w:val="11"/>
    <w:link w:val="53"/>
    <w:qFormat/>
    <w:uiPriority w:val="99"/>
    <w:rPr>
      <w:b/>
      <w:bCs/>
    </w:rPr>
  </w:style>
  <w:style w:type="paragraph" w:styleId="29">
    <w:name w:val="Body Text First Indent"/>
    <w:basedOn w:val="13"/>
    <w:next w:val="1"/>
    <w:unhideWhenUsed/>
    <w:qFormat/>
    <w:uiPriority w:val="99"/>
    <w:pPr>
      <w:ind w:firstLine="420" w:firstLineChars="100"/>
    </w:pPr>
  </w:style>
  <w:style w:type="table" w:styleId="31">
    <w:name w:val="Table Grid"/>
    <w:basedOn w:val="3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3">
    <w:name w:val="Strong"/>
    <w:basedOn w:val="32"/>
    <w:qFormat/>
    <w:uiPriority w:val="0"/>
    <w:rPr>
      <w:b/>
    </w:rPr>
  </w:style>
  <w:style w:type="character" w:styleId="34">
    <w:name w:val="endnote reference"/>
    <w:qFormat/>
    <w:uiPriority w:val="0"/>
    <w:rPr>
      <w:vertAlign w:val="superscript"/>
    </w:rPr>
  </w:style>
  <w:style w:type="character" w:styleId="35">
    <w:name w:val="page number"/>
    <w:basedOn w:val="32"/>
    <w:qFormat/>
    <w:uiPriority w:val="0"/>
  </w:style>
  <w:style w:type="character" w:styleId="36">
    <w:name w:val="FollowedHyperlink"/>
    <w:qFormat/>
    <w:uiPriority w:val="0"/>
    <w:rPr>
      <w:color w:val="800080"/>
      <w:u w:val="single"/>
    </w:rPr>
  </w:style>
  <w:style w:type="character" w:styleId="37">
    <w:name w:val="Hyperlink"/>
    <w:qFormat/>
    <w:uiPriority w:val="0"/>
    <w:rPr>
      <w:color w:val="0000FF"/>
      <w:u w:val="single"/>
    </w:rPr>
  </w:style>
  <w:style w:type="character" w:styleId="38">
    <w:name w:val="annotation reference"/>
    <w:basedOn w:val="32"/>
    <w:qFormat/>
    <w:uiPriority w:val="0"/>
    <w:rPr>
      <w:sz w:val="21"/>
      <w:szCs w:val="21"/>
    </w:rPr>
  </w:style>
  <w:style w:type="character" w:customStyle="1" w:styleId="39">
    <w:name w:val="正文文本 Char1"/>
    <w:link w:val="13"/>
    <w:qFormat/>
    <w:uiPriority w:val="0"/>
    <w:rPr>
      <w:kern w:val="2"/>
      <w:sz w:val="21"/>
      <w:szCs w:val="24"/>
    </w:rPr>
  </w:style>
  <w:style w:type="character" w:customStyle="1" w:styleId="40">
    <w:name w:val="标题 1 Char"/>
    <w:link w:val="2"/>
    <w:qFormat/>
    <w:uiPriority w:val="9"/>
    <w:rPr>
      <w:b/>
      <w:bCs/>
      <w:kern w:val="44"/>
      <w:sz w:val="44"/>
      <w:szCs w:val="44"/>
    </w:rPr>
  </w:style>
  <w:style w:type="character" w:customStyle="1" w:styleId="41">
    <w:name w:val="标题 2 Char1"/>
    <w:link w:val="3"/>
    <w:qFormat/>
    <w:uiPriority w:val="9"/>
    <w:rPr>
      <w:rFonts w:ascii="Cambria" w:hAnsi="Cambria" w:eastAsia="宋体" w:cs="Times New Roman"/>
      <w:b/>
      <w:bCs/>
      <w:kern w:val="2"/>
      <w:sz w:val="32"/>
      <w:szCs w:val="32"/>
    </w:rPr>
  </w:style>
  <w:style w:type="character" w:customStyle="1" w:styleId="42">
    <w:name w:val="标题 3 Char"/>
    <w:link w:val="4"/>
    <w:qFormat/>
    <w:uiPriority w:val="9"/>
    <w:rPr>
      <w:b/>
      <w:bCs/>
      <w:kern w:val="2"/>
      <w:sz w:val="32"/>
      <w:szCs w:val="32"/>
    </w:rPr>
  </w:style>
  <w:style w:type="character" w:customStyle="1" w:styleId="43">
    <w:name w:val="标题 5 Char"/>
    <w:link w:val="6"/>
    <w:qFormat/>
    <w:uiPriority w:val="9"/>
    <w:rPr>
      <w:rFonts w:ascii="Times New Roman" w:hAnsi="Times New Roman"/>
      <w:b/>
      <w:bCs/>
      <w:kern w:val="2"/>
      <w:sz w:val="28"/>
      <w:szCs w:val="28"/>
    </w:rPr>
  </w:style>
  <w:style w:type="character" w:customStyle="1" w:styleId="44">
    <w:name w:val="标题 8 Char1"/>
    <w:link w:val="8"/>
    <w:qFormat/>
    <w:uiPriority w:val="9"/>
    <w:rPr>
      <w:rFonts w:ascii="等线 Light" w:hAnsi="等线 Light" w:eastAsia="等线 Light" w:cs="Times New Roman"/>
      <w:kern w:val="2"/>
      <w:sz w:val="24"/>
      <w:szCs w:val="24"/>
    </w:rPr>
  </w:style>
  <w:style w:type="character" w:customStyle="1" w:styleId="45">
    <w:name w:val="批注文字 Char1"/>
    <w:link w:val="11"/>
    <w:qFormat/>
    <w:uiPriority w:val="0"/>
    <w:rPr>
      <w:rFonts w:ascii="Times New Roman" w:hAnsi="Times New Roman"/>
      <w:kern w:val="2"/>
      <w:sz w:val="21"/>
      <w:szCs w:val="24"/>
    </w:rPr>
  </w:style>
  <w:style w:type="character" w:customStyle="1" w:styleId="46">
    <w:name w:val="正文文本 3 Char"/>
    <w:link w:val="12"/>
    <w:qFormat/>
    <w:uiPriority w:val="99"/>
    <w:rPr>
      <w:kern w:val="2"/>
      <w:sz w:val="16"/>
      <w:szCs w:val="16"/>
    </w:rPr>
  </w:style>
  <w:style w:type="character" w:customStyle="1" w:styleId="47">
    <w:name w:val="正文文本缩进 Char"/>
    <w:link w:val="14"/>
    <w:qFormat/>
    <w:uiPriority w:val="0"/>
    <w:rPr>
      <w:rFonts w:ascii="仿宋_GB2312" w:hAnsi="Times New Roman" w:eastAsia="仿宋_GB2312" w:cs="Times New Roman"/>
      <w:sz w:val="32"/>
      <w:szCs w:val="20"/>
    </w:rPr>
  </w:style>
  <w:style w:type="character" w:customStyle="1" w:styleId="48">
    <w:name w:val="纯文本 Char1"/>
    <w:link w:val="18"/>
    <w:qFormat/>
    <w:uiPriority w:val="0"/>
    <w:rPr>
      <w:rFonts w:ascii="宋体" w:hAnsi="Courier New" w:eastAsia="宋体" w:cs="Courier New"/>
      <w:szCs w:val="21"/>
    </w:rPr>
  </w:style>
  <w:style w:type="character" w:customStyle="1" w:styleId="49">
    <w:name w:val="日期 Char"/>
    <w:link w:val="19"/>
    <w:qFormat/>
    <w:uiPriority w:val="99"/>
    <w:rPr>
      <w:rFonts w:ascii="Times New Roman" w:hAnsi="Times New Roman"/>
      <w:kern w:val="2"/>
      <w:sz w:val="21"/>
      <w:szCs w:val="24"/>
    </w:rPr>
  </w:style>
  <w:style w:type="character" w:customStyle="1" w:styleId="50">
    <w:name w:val="批注框文本 Char"/>
    <w:link w:val="20"/>
    <w:semiHidden/>
    <w:qFormat/>
    <w:uiPriority w:val="0"/>
    <w:rPr>
      <w:kern w:val="2"/>
      <w:sz w:val="18"/>
      <w:szCs w:val="18"/>
    </w:rPr>
  </w:style>
  <w:style w:type="character" w:customStyle="1" w:styleId="51">
    <w:name w:val="页脚 Char"/>
    <w:link w:val="21"/>
    <w:qFormat/>
    <w:uiPriority w:val="99"/>
    <w:rPr>
      <w:sz w:val="18"/>
      <w:szCs w:val="18"/>
    </w:rPr>
  </w:style>
  <w:style w:type="character" w:customStyle="1" w:styleId="52">
    <w:name w:val="页眉 Char"/>
    <w:link w:val="22"/>
    <w:qFormat/>
    <w:uiPriority w:val="99"/>
    <w:rPr>
      <w:sz w:val="18"/>
      <w:szCs w:val="18"/>
    </w:rPr>
  </w:style>
  <w:style w:type="character" w:customStyle="1" w:styleId="53">
    <w:name w:val="批注主题 Char"/>
    <w:link w:val="28"/>
    <w:qFormat/>
    <w:uiPriority w:val="99"/>
    <w:rPr>
      <w:rFonts w:ascii="Times New Roman" w:hAnsi="Times New Roman"/>
      <w:b/>
      <w:bCs/>
      <w:kern w:val="2"/>
      <w:sz w:val="21"/>
      <w:szCs w:val="24"/>
    </w:rPr>
  </w:style>
  <w:style w:type="paragraph" w:customStyle="1" w:styleId="54">
    <w:name w:val="正文1"/>
    <w:basedOn w:val="1"/>
    <w:qFormat/>
    <w:uiPriority w:val="0"/>
    <w:pPr>
      <w:spacing w:line="360" w:lineRule="auto"/>
      <w:ind w:firstLine="200" w:firstLineChars="200"/>
      <w:jc w:val="left"/>
    </w:pPr>
    <w:rPr>
      <w:rFonts w:ascii="Times New Roman)" w:hAnsi="Times New Roman)" w:eastAsia="宋体正文"/>
      <w:color w:val="000000"/>
      <w:kern w:val="0"/>
      <w:sz w:val="24"/>
      <w:lang w:eastAsia="en-US" w:bidi="en-US"/>
    </w:rPr>
  </w:style>
  <w:style w:type="character" w:customStyle="1" w:styleId="55">
    <w:name w:val="纯文本 字符2"/>
    <w:qFormat/>
    <w:uiPriority w:val="0"/>
    <w:rPr>
      <w:rFonts w:ascii="宋体" w:hAnsi="Courier New" w:eastAsia="宋体" w:cs="Courier New"/>
      <w:szCs w:val="21"/>
    </w:rPr>
  </w:style>
  <w:style w:type="character" w:customStyle="1" w:styleId="56">
    <w:name w:val="apple-style-span"/>
    <w:qFormat/>
    <w:uiPriority w:val="0"/>
  </w:style>
  <w:style w:type="character" w:customStyle="1" w:styleId="57">
    <w:name w:val="标题 2 Char"/>
    <w:qFormat/>
    <w:uiPriority w:val="9"/>
    <w:rPr>
      <w:rFonts w:ascii="Cambria" w:hAnsi="Cambria" w:eastAsia="宋体" w:cs="Times New Roman"/>
      <w:b/>
      <w:bCs/>
      <w:kern w:val="2"/>
      <w:sz w:val="32"/>
      <w:szCs w:val="32"/>
    </w:rPr>
  </w:style>
  <w:style w:type="character" w:customStyle="1" w:styleId="58">
    <w:name w:val="纯文本 字符"/>
    <w:qFormat/>
    <w:uiPriority w:val="0"/>
    <w:rPr>
      <w:rFonts w:ascii="宋体" w:hAnsi="Courier New" w:eastAsia="宋体" w:cs="Courier New"/>
      <w:szCs w:val="21"/>
    </w:rPr>
  </w:style>
  <w:style w:type="character" w:customStyle="1" w:styleId="59">
    <w:name w:val="纯文本 字符1"/>
    <w:qFormat/>
    <w:uiPriority w:val="0"/>
    <w:rPr>
      <w:rFonts w:ascii="宋体" w:hAnsi="Courier New"/>
    </w:rPr>
  </w:style>
  <w:style w:type="character" w:customStyle="1" w:styleId="60">
    <w:name w:val="标题 8 Char"/>
    <w:qFormat/>
    <w:uiPriority w:val="0"/>
    <w:rPr>
      <w:rFonts w:ascii="Arial" w:hAnsi="Arial" w:eastAsia="黑体"/>
      <w:kern w:val="2"/>
      <w:sz w:val="24"/>
      <w:szCs w:val="24"/>
    </w:rPr>
  </w:style>
  <w:style w:type="character" w:customStyle="1" w:styleId="61">
    <w:name w:val="纯文本 Char"/>
    <w:qFormat/>
    <w:uiPriority w:val="0"/>
    <w:rPr>
      <w:rFonts w:ascii="宋体" w:hAnsi="Courier New" w:eastAsia="宋体" w:cs="Courier New"/>
      <w:szCs w:val="21"/>
    </w:rPr>
  </w:style>
  <w:style w:type="character" w:customStyle="1" w:styleId="62">
    <w:name w:val="正文文本 Char"/>
    <w:qFormat/>
    <w:uiPriority w:val="99"/>
    <w:rPr>
      <w:rFonts w:ascii="Times New Roman" w:hAnsi="Times New Roman"/>
      <w:kern w:val="2"/>
      <w:sz w:val="21"/>
      <w:szCs w:val="24"/>
    </w:rPr>
  </w:style>
  <w:style w:type="character" w:customStyle="1" w:styleId="63">
    <w:name w:val="批注文字 字符1"/>
    <w:qFormat/>
    <w:uiPriority w:val="0"/>
    <w:rPr>
      <w:rFonts w:ascii="Times New Roman" w:hAnsi="Times New Roman"/>
      <w:kern w:val="2"/>
      <w:sz w:val="21"/>
      <w:szCs w:val="24"/>
    </w:rPr>
  </w:style>
  <w:style w:type="character" w:customStyle="1" w:styleId="64">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5">
    <w:name w:val="标题 1 字符1"/>
    <w:qFormat/>
    <w:uiPriority w:val="0"/>
    <w:rPr>
      <w:b/>
      <w:bCs/>
      <w:kern w:val="44"/>
      <w:sz w:val="44"/>
      <w:szCs w:val="44"/>
    </w:rPr>
  </w:style>
  <w:style w:type="character" w:customStyle="1" w:styleId="66">
    <w:name w:val="正文文本 字符"/>
    <w:qFormat/>
    <w:uiPriority w:val="0"/>
    <w:rPr>
      <w:rFonts w:ascii="Times New Roman" w:hAnsi="Times New Roman"/>
      <w:kern w:val="2"/>
      <w:sz w:val="21"/>
      <w:szCs w:val="24"/>
    </w:rPr>
  </w:style>
  <w:style w:type="character" w:customStyle="1" w:styleId="67">
    <w:name w:val="批注文字 字符"/>
    <w:qFormat/>
    <w:uiPriority w:val="0"/>
    <w:rPr>
      <w:rFonts w:ascii="Times New Roman" w:hAnsi="Times New Roman"/>
      <w:kern w:val="2"/>
      <w:sz w:val="21"/>
      <w:szCs w:val="24"/>
    </w:rPr>
  </w:style>
  <w:style w:type="character" w:customStyle="1" w:styleId="68">
    <w:name w:val="textcontents"/>
    <w:qFormat/>
    <w:uiPriority w:val="0"/>
  </w:style>
  <w:style w:type="character" w:customStyle="1" w:styleId="69">
    <w:name w:val="批注文字 Char"/>
    <w:qFormat/>
    <w:uiPriority w:val="0"/>
    <w:rPr>
      <w:rFonts w:ascii="Times New Roman" w:hAnsi="Times New Roman"/>
      <w:kern w:val="2"/>
      <w:sz w:val="21"/>
      <w:szCs w:val="24"/>
    </w:rPr>
  </w:style>
  <w:style w:type="paragraph" w:customStyle="1" w:styleId="70">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styleId="71">
    <w:name w:val="List Paragraph"/>
    <w:basedOn w:val="1"/>
    <w:qFormat/>
    <w:uiPriority w:val="99"/>
    <w:pPr>
      <w:ind w:firstLine="420" w:firstLineChars="200"/>
    </w:pPr>
  </w:style>
  <w:style w:type="paragraph" w:customStyle="1" w:styleId="72">
    <w:name w:val="默认段落字体 Para Char Char Char Char Char Char Char Char Char1 Char Char Char Char"/>
    <w:basedOn w:val="1"/>
    <w:qFormat/>
    <w:uiPriority w:val="0"/>
    <w:rPr>
      <w:rFonts w:ascii="Tahoma" w:hAnsi="Tahoma"/>
      <w:sz w:val="24"/>
      <w:szCs w:val="20"/>
    </w:rPr>
  </w:style>
  <w:style w:type="paragraph" w:customStyle="1" w:styleId="73">
    <w:name w:val="Table Paragraph"/>
    <w:basedOn w:val="1"/>
    <w:qFormat/>
    <w:uiPriority w:val="1"/>
    <w:pPr>
      <w:jc w:val="left"/>
    </w:pPr>
    <w:rPr>
      <w:rFonts w:ascii="Calibri" w:hAnsi="Calibri"/>
      <w:kern w:val="0"/>
      <w:sz w:val="22"/>
      <w:szCs w:val="22"/>
      <w:lang w:eastAsia="en-US"/>
    </w:rPr>
  </w:style>
  <w:style w:type="paragraph" w:customStyle="1" w:styleId="74">
    <w:name w:val="Char Char Char Char"/>
    <w:basedOn w:val="1"/>
    <w:qFormat/>
    <w:uiPriority w:val="0"/>
    <w:pPr>
      <w:widowControl/>
      <w:spacing w:after="160" w:line="240" w:lineRule="exact"/>
      <w:jc w:val="left"/>
    </w:pPr>
  </w:style>
  <w:style w:type="character" w:customStyle="1" w:styleId="75">
    <w:name w:val="未处理的提及"/>
    <w:unhideWhenUsed/>
    <w:qFormat/>
    <w:uiPriority w:val="99"/>
    <w:rPr>
      <w:color w:val="605E5C"/>
      <w:shd w:val="clear" w:color="auto" w:fill="E1DFDD"/>
    </w:rPr>
  </w:style>
  <w:style w:type="paragraph" w:customStyle="1" w:styleId="76">
    <w:name w:val="TOC Heading"/>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77">
    <w:name w:val="正文2 Char Char"/>
    <w:link w:val="78"/>
    <w:qFormat/>
    <w:uiPriority w:val="0"/>
    <w:rPr>
      <w:sz w:val="24"/>
    </w:rPr>
  </w:style>
  <w:style w:type="paragraph" w:customStyle="1" w:styleId="78">
    <w:name w:val="正文2"/>
    <w:basedOn w:val="1"/>
    <w:link w:val="77"/>
    <w:qFormat/>
    <w:uiPriority w:val="0"/>
    <w:pPr>
      <w:adjustRightInd w:val="0"/>
      <w:spacing w:before="156" w:line="360" w:lineRule="auto"/>
      <w:ind w:firstLine="510" w:firstLineChars="200"/>
    </w:pPr>
    <w:rPr>
      <w:kern w:val="0"/>
      <w:sz w:val="24"/>
      <w:szCs w:val="20"/>
    </w:rPr>
  </w:style>
  <w:style w:type="paragraph" w:customStyle="1" w:styleId="79">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80">
    <w:name w:val="正文缩进1"/>
    <w:basedOn w:val="1"/>
    <w:next w:val="14"/>
    <w:qFormat/>
    <w:uiPriority w:val="0"/>
    <w:pPr>
      <w:autoSpaceDE w:val="0"/>
      <w:autoSpaceDN w:val="0"/>
      <w:adjustRightInd w:val="0"/>
      <w:snapToGrid w:val="0"/>
      <w:spacing w:after="120" w:line="360" w:lineRule="auto"/>
      <w:ind w:left="420" w:leftChars="200" w:firstLine="480" w:firstLineChars="200"/>
    </w:pPr>
    <w:rPr>
      <w:sz w:val="24"/>
      <w:szCs w:val="21"/>
    </w:rPr>
  </w:style>
  <w:style w:type="character" w:customStyle="1" w:styleId="81">
    <w:name w:val="标题 1 字符"/>
    <w:qFormat/>
    <w:uiPriority w:val="9"/>
    <w:rPr>
      <w:b/>
      <w:bCs/>
      <w:kern w:val="44"/>
      <w:sz w:val="44"/>
      <w:szCs w:val="44"/>
    </w:rPr>
  </w:style>
  <w:style w:type="character" w:customStyle="1" w:styleId="82">
    <w:name w:val="标题 2 字符"/>
    <w:qFormat/>
    <w:uiPriority w:val="9"/>
    <w:rPr>
      <w:rFonts w:ascii="Cambria" w:hAnsi="Cambria"/>
      <w:b/>
      <w:bCs/>
      <w:kern w:val="2"/>
      <w:sz w:val="32"/>
      <w:szCs w:val="32"/>
    </w:rPr>
  </w:style>
  <w:style w:type="character" w:customStyle="1" w:styleId="83">
    <w:name w:val="标题 3 字符"/>
    <w:qFormat/>
    <w:uiPriority w:val="9"/>
    <w:rPr>
      <w:b/>
      <w:bCs/>
      <w:kern w:val="2"/>
      <w:sz w:val="32"/>
      <w:szCs w:val="32"/>
    </w:rPr>
  </w:style>
  <w:style w:type="character" w:customStyle="1" w:styleId="84">
    <w:name w:val="标题 5 字符"/>
    <w:qFormat/>
    <w:uiPriority w:val="9"/>
    <w:rPr>
      <w:b/>
      <w:bCs/>
      <w:kern w:val="2"/>
      <w:sz w:val="28"/>
      <w:szCs w:val="28"/>
    </w:rPr>
  </w:style>
  <w:style w:type="character" w:customStyle="1" w:styleId="85">
    <w:name w:val="标题 8 字符"/>
    <w:qFormat/>
    <w:uiPriority w:val="9"/>
    <w:rPr>
      <w:rFonts w:ascii="等线 Light" w:hAnsi="等线 Light" w:eastAsia="等线 Light"/>
      <w:kern w:val="2"/>
      <w:sz w:val="24"/>
      <w:szCs w:val="24"/>
    </w:rPr>
  </w:style>
  <w:style w:type="character" w:customStyle="1" w:styleId="86">
    <w:name w:val="批注文字 字符2"/>
    <w:qFormat/>
    <w:uiPriority w:val="0"/>
    <w:rPr>
      <w:kern w:val="2"/>
      <w:sz w:val="21"/>
      <w:szCs w:val="24"/>
    </w:rPr>
  </w:style>
  <w:style w:type="character" w:customStyle="1" w:styleId="87">
    <w:name w:val="正文文本 3 字符"/>
    <w:qFormat/>
    <w:uiPriority w:val="99"/>
    <w:rPr>
      <w:kern w:val="2"/>
      <w:sz w:val="16"/>
      <w:szCs w:val="16"/>
    </w:rPr>
  </w:style>
  <w:style w:type="character" w:customStyle="1" w:styleId="88">
    <w:name w:val="正文文本 字符1"/>
    <w:qFormat/>
    <w:uiPriority w:val="0"/>
    <w:rPr>
      <w:kern w:val="2"/>
      <w:sz w:val="21"/>
      <w:szCs w:val="24"/>
    </w:rPr>
  </w:style>
  <w:style w:type="character" w:customStyle="1" w:styleId="89">
    <w:name w:val="正文文本缩进 字符"/>
    <w:qFormat/>
    <w:uiPriority w:val="0"/>
    <w:rPr>
      <w:rFonts w:ascii="仿宋_GB2312" w:eastAsia="仿宋_GB2312"/>
      <w:sz w:val="32"/>
    </w:rPr>
  </w:style>
  <w:style w:type="character" w:customStyle="1" w:styleId="90">
    <w:name w:val="纯文本 字符3"/>
    <w:qFormat/>
    <w:uiPriority w:val="0"/>
    <w:rPr>
      <w:rFonts w:ascii="宋体" w:hAnsi="Courier New"/>
      <w:szCs w:val="21"/>
    </w:rPr>
  </w:style>
  <w:style w:type="character" w:customStyle="1" w:styleId="91">
    <w:name w:val="日期 字符"/>
    <w:qFormat/>
    <w:uiPriority w:val="99"/>
    <w:rPr>
      <w:kern w:val="2"/>
      <w:sz w:val="21"/>
      <w:szCs w:val="24"/>
    </w:rPr>
  </w:style>
  <w:style w:type="character" w:customStyle="1" w:styleId="92">
    <w:name w:val="页脚 字符"/>
    <w:qFormat/>
    <w:uiPriority w:val="99"/>
    <w:rPr>
      <w:sz w:val="18"/>
      <w:szCs w:val="18"/>
    </w:rPr>
  </w:style>
  <w:style w:type="character" w:customStyle="1" w:styleId="93">
    <w:name w:val="页眉 字符"/>
    <w:qFormat/>
    <w:uiPriority w:val="99"/>
    <w:rPr>
      <w:sz w:val="18"/>
      <w:szCs w:val="18"/>
    </w:rPr>
  </w:style>
  <w:style w:type="character" w:customStyle="1" w:styleId="94">
    <w:name w:val="批注主题 字符"/>
    <w:qFormat/>
    <w:uiPriority w:val="99"/>
    <w:rPr>
      <w:rFonts w:ascii="Times New Roman" w:hAnsi="Times New Roman"/>
      <w:b/>
      <w:bCs/>
      <w:kern w:val="2"/>
      <w:sz w:val="21"/>
      <w:szCs w:val="24"/>
    </w:rPr>
  </w:style>
  <w:style w:type="paragraph" w:customStyle="1" w:styleId="95">
    <w:name w:val="_Style 94"/>
    <w:basedOn w:val="1"/>
    <w:unhideWhenUsed/>
    <w:qFormat/>
    <w:uiPriority w:val="99"/>
  </w:style>
  <w:style w:type="paragraph" w:customStyle="1" w:styleId="96">
    <w:name w:val="_Style 95"/>
    <w:basedOn w:val="1"/>
    <w:unhideWhenUsed/>
    <w:qFormat/>
    <w:uiPriority w:val="99"/>
  </w:style>
  <w:style w:type="paragraph" w:customStyle="1" w:styleId="97">
    <w:name w:val="首行缩进"/>
    <w:basedOn w:val="1"/>
    <w:qFormat/>
    <w:uiPriority w:val="0"/>
    <w:pPr>
      <w:ind w:firstLine="480" w:firstLineChars="200"/>
    </w:pPr>
    <w:rPr>
      <w:lang w:val="zh-CN"/>
    </w:rPr>
  </w:style>
  <w:style w:type="character" w:customStyle="1" w:styleId="98">
    <w:name w:val="NormalCharacter"/>
    <w:semiHidden/>
    <w:qFormat/>
    <w:uiPriority w:val="0"/>
    <w:rPr>
      <w:rFonts w:ascii="Calibri" w:hAnsi="Calibri" w:eastAsia="宋体" w:cs="Times New Roman"/>
    </w:rPr>
  </w:style>
  <w:style w:type="paragraph" w:customStyle="1" w:styleId="99">
    <w:name w:val="样式29"/>
    <w:basedOn w:val="100"/>
    <w:qFormat/>
    <w:uiPriority w:val="0"/>
    <w:rPr>
      <w:rFonts w:eastAsia="楷体_GB2312"/>
    </w:rPr>
  </w:style>
  <w:style w:type="paragraph" w:customStyle="1" w:styleId="100">
    <w:name w:val="样式9 Char"/>
    <w:basedOn w:val="1"/>
    <w:qFormat/>
    <w:uiPriority w:val="0"/>
    <w:pPr>
      <w:spacing w:line="440" w:lineRule="exact"/>
      <w:ind w:firstLine="200" w:firstLineChars="200"/>
    </w:pPr>
    <w:rPr>
      <w:spacing w:val="6"/>
      <w:sz w:val="24"/>
    </w:rPr>
  </w:style>
  <w:style w:type="paragraph" w:customStyle="1" w:styleId="101">
    <w:name w:val="Default"/>
    <w:qFormat/>
    <w:uiPriority w:val="0"/>
    <w:pPr>
      <w:autoSpaceDE w:val="0"/>
      <w:autoSpaceDN w:val="0"/>
      <w:adjustRightInd w:val="0"/>
    </w:pPr>
    <w:rPr>
      <w:rFonts w:ascii="Arial" w:hAnsi="Arial" w:eastAsia="宋体" w:cs="Arial"/>
      <w:color w:val="000000"/>
      <w:sz w:val="24"/>
      <w:szCs w:val="24"/>
      <w:lang w:val="en-US" w:eastAsia="zh-CN" w:bidi="ar-SA"/>
    </w:rPr>
  </w:style>
  <w:style w:type="paragraph" w:customStyle="1" w:styleId="10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3">
    <w:name w:val="样式7"/>
    <w:basedOn w:val="1"/>
    <w:qFormat/>
    <w:uiPriority w:val="0"/>
    <w:pPr>
      <w:spacing w:line="480" w:lineRule="exact"/>
      <w:jc w:val="center"/>
    </w:pPr>
    <w:rPr>
      <w:rFonts w:eastAsia="方正大标宋简体"/>
      <w:spacing w:val="6"/>
      <w:sz w:val="44"/>
    </w:rPr>
  </w:style>
  <w:style w:type="paragraph" w:customStyle="1" w:styleId="104">
    <w:name w:val="标题 5（有编号）（绿盟科技）"/>
    <w:basedOn w:val="1"/>
    <w:next w:val="105"/>
    <w:qFormat/>
    <w:uiPriority w:val="99"/>
    <w:pPr>
      <w:keepNext/>
      <w:keepLines/>
      <w:spacing w:before="280" w:after="156" w:line="377" w:lineRule="auto"/>
      <w:outlineLvl w:val="4"/>
    </w:pPr>
    <w:rPr>
      <w:rFonts w:ascii="Arial" w:hAnsi="Arial" w:eastAsia="黑体" w:cs="Arial"/>
      <w:b/>
      <w:bCs/>
      <w:sz w:val="24"/>
    </w:rPr>
  </w:style>
  <w:style w:type="paragraph" w:customStyle="1" w:styleId="105">
    <w:name w:val="正文（绿盟科技）"/>
    <w:qFormat/>
    <w:uiPriority w:val="99"/>
    <w:pPr>
      <w:spacing w:line="300" w:lineRule="auto"/>
    </w:pPr>
    <w:rPr>
      <w:rFonts w:ascii="Arial" w:hAnsi="Arial" w:eastAsia="宋体" w:cs="Arial"/>
      <w:sz w:val="21"/>
      <w:szCs w:val="21"/>
      <w:lang w:val="en-US" w:eastAsia="zh-CN" w:bidi="ar-SA"/>
    </w:rPr>
  </w:style>
  <w:style w:type="paragraph" w:customStyle="1" w:styleId="106">
    <w:name w:val="head4"/>
    <w:basedOn w:val="1"/>
    <w:qFormat/>
    <w:uiPriority w:val="0"/>
    <w:pPr>
      <w:widowControl/>
      <w:overflowPunct w:val="0"/>
      <w:autoSpaceDE w:val="0"/>
      <w:autoSpaceDN w:val="0"/>
      <w:adjustRightInd w:val="0"/>
      <w:spacing w:before="120" w:line="360" w:lineRule="auto"/>
      <w:textAlignment w:val="baseline"/>
    </w:pPr>
    <w:rPr>
      <w:rFonts w:ascii="¿¬Ìå" w:hAnsi="¿¬Ìå"/>
      <w:kern w:val="0"/>
      <w:sz w:val="24"/>
    </w:rPr>
  </w:style>
  <w:style w:type="paragraph" w:customStyle="1" w:styleId="107">
    <w:name w:val="正文_1"/>
    <w:qFormat/>
    <w:uiPriority w:val="99"/>
    <w:pPr>
      <w:widowControl w:val="0"/>
      <w:jc w:val="both"/>
    </w:pPr>
    <w:rPr>
      <w:rFonts w:ascii="Times New Roman" w:hAnsi="Times New Roman" w:eastAsia="宋体" w:cs="Times New Roman"/>
      <w:kern w:val="2"/>
      <w:sz w:val="21"/>
      <w:szCs w:val="21"/>
      <w:lang w:val="en-US" w:eastAsia="zh-CN" w:bidi="ar-SA"/>
    </w:rPr>
  </w:style>
  <w:style w:type="paragraph" w:styleId="108">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9">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110">
    <w:name w:val="alpha_contract_review_append_comment_a37d5c6cbe23495ca881d0fc7575f432"/>
    <w:basedOn w:val="32"/>
    <w:qFormat/>
    <w:uiPriority w:val="0"/>
  </w:style>
  <w:style w:type="character" w:customStyle="1" w:styleId="111">
    <w:name w:val="alpha_contract_review_append_comment_b5b16fcbaa98468da19ed64fa2b9c83e"/>
    <w:basedOn w:val="32"/>
    <w:qFormat/>
    <w:uiPriority w:val="0"/>
  </w:style>
  <w:style w:type="character" w:customStyle="1" w:styleId="112">
    <w:name w:val="alpha_contract_review_append_comment_f51fbf60075449d482e24b2190ab0268"/>
    <w:basedOn w:val="32"/>
    <w:qFormat/>
    <w:uiPriority w:val="0"/>
  </w:style>
  <w:style w:type="character" w:customStyle="1" w:styleId="113">
    <w:name w:val="contractReviewCommentRevision_38bce60cc41a4bb4bdd6c06aa1ee9f93"/>
    <w:basedOn w:val="32"/>
    <w:qFormat/>
    <w:uiPriority w:val="0"/>
  </w:style>
  <w:style w:type="character" w:customStyle="1" w:styleId="114">
    <w:name w:val="alpha_contract_review_append_comment_38bce60cc41a4bb4bdd6c06aa1ee9f93"/>
    <w:basedOn w:val="32"/>
    <w:qFormat/>
    <w:uiPriority w:val="0"/>
  </w:style>
  <w:style w:type="character" w:customStyle="1" w:styleId="115">
    <w:name w:val="contractReviewCommentRevision_237f0b677afd44078a9142aaeecfd648"/>
    <w:basedOn w:val="32"/>
    <w:qFormat/>
    <w:uiPriority w:val="0"/>
  </w:style>
  <w:style w:type="character" w:customStyle="1" w:styleId="116">
    <w:name w:val="alpha_contract_review_append_comment_237f0b677afd44078a9142aaeecfd648"/>
    <w:basedOn w:val="32"/>
    <w:qFormat/>
    <w:uiPriority w:val="0"/>
  </w:style>
  <w:style w:type="character" w:customStyle="1" w:styleId="117">
    <w:name w:val="contractReviewCommentRevision_01b37c750f8b4c6e971aeec5cee68bf1"/>
    <w:basedOn w:val="32"/>
    <w:qFormat/>
    <w:uiPriority w:val="0"/>
  </w:style>
  <w:style w:type="character" w:customStyle="1" w:styleId="118">
    <w:name w:val="alpha_contract_review_append_comment_01b37c750f8b4c6e971aeec5cee68bf1"/>
    <w:basedOn w:val="32"/>
    <w:qFormat/>
    <w:uiPriority w:val="0"/>
  </w:style>
  <w:style w:type="character" w:customStyle="1" w:styleId="119">
    <w:name w:val="alpha_contract_review_append_comment_76be1c389f184a66a5cdee6ec0b39d64"/>
    <w:basedOn w:val="32"/>
    <w:qFormat/>
    <w:uiPriority w:val="0"/>
  </w:style>
  <w:style w:type="character" w:customStyle="1" w:styleId="120">
    <w:name w:val="contractReviewCommentRevision_d2ec3e4969ec43d7a2b0199a3600e515"/>
    <w:basedOn w:val="32"/>
    <w:qFormat/>
    <w:uiPriority w:val="0"/>
  </w:style>
  <w:style w:type="character" w:customStyle="1" w:styleId="121">
    <w:name w:val="alpha_contract_review_append_comment_d2ec3e4969ec43d7a2b0199a3600e515"/>
    <w:basedOn w:val="32"/>
    <w:qFormat/>
    <w:uiPriority w:val="0"/>
  </w:style>
  <w:style w:type="character" w:customStyle="1" w:styleId="122">
    <w:name w:val="alpha_contract_review_append_comment_171d4494629646fea5ff9f3b834a656e"/>
    <w:basedOn w:val="32"/>
    <w:qFormat/>
    <w:uiPriority w:val="0"/>
  </w:style>
  <w:style w:type="character" w:customStyle="1" w:styleId="123">
    <w:name w:val="alpha_contract_review_append_comment_e69824ace6fd48d4ad638572532b4494"/>
    <w:basedOn w:val="32"/>
    <w:qFormat/>
    <w:uiPriority w:val="0"/>
  </w:style>
  <w:style w:type="character" w:customStyle="1" w:styleId="124">
    <w:name w:val="contractReviewCommentRevision_e69824ace6fd48d4ad638572532b4494"/>
    <w:basedOn w:val="32"/>
    <w:qFormat/>
    <w:uiPriority w:val="0"/>
  </w:style>
  <w:style w:type="character" w:customStyle="1" w:styleId="125">
    <w:name w:val="alpha_contract_review_append_comment_51d8ee98eb114015abe14e75034db237"/>
    <w:basedOn w:val="32"/>
    <w:qFormat/>
    <w:uiPriority w:val="0"/>
  </w:style>
  <w:style w:type="character" w:customStyle="1" w:styleId="126">
    <w:name w:val="alpha_contract_review_append_comment_c3458e46a05c4d08bea1abf51b6133be"/>
    <w:basedOn w:val="32"/>
    <w:qFormat/>
    <w:uiPriority w:val="0"/>
  </w:style>
  <w:style w:type="character" w:customStyle="1" w:styleId="127">
    <w:name w:val="contractReviewCommentRevision_c3458e46a05c4d08bea1abf51b6133be"/>
    <w:basedOn w:val="32"/>
    <w:qFormat/>
    <w:uiPriority w:val="0"/>
  </w:style>
  <w:style w:type="character" w:customStyle="1" w:styleId="128">
    <w:name w:val="alpha_contract_review_append_comment_4b188cee2c9f4a21a753c916da337f90"/>
    <w:basedOn w:val="32"/>
    <w:qFormat/>
    <w:uiPriority w:val="0"/>
  </w:style>
  <w:style w:type="character" w:customStyle="1" w:styleId="129">
    <w:name w:val="alpha_contract_review_append_comment_6755a0c707d54c0eb609249a2487fe84"/>
    <w:basedOn w:val="32"/>
    <w:qFormat/>
    <w:uiPriority w:val="0"/>
  </w:style>
  <w:style w:type="character" w:customStyle="1" w:styleId="130">
    <w:name w:val="alpha_contract_review_append_comment_04e97e69c7884357b60a99129dd3632d"/>
    <w:basedOn w:val="32"/>
    <w:qFormat/>
    <w:uiPriority w:val="0"/>
  </w:style>
  <w:style w:type="character" w:customStyle="1" w:styleId="131">
    <w:name w:val="alpha_contract_review_append_comment_4e428f3b48a443c285afb8e675058f28"/>
    <w:basedOn w:val="32"/>
    <w:qFormat/>
    <w:uiPriority w:val="0"/>
  </w:style>
  <w:style w:type="character" w:customStyle="1" w:styleId="132">
    <w:name w:val="contractReviewCommentRevision_4e428f3b48a443c285afb8e675058f28"/>
    <w:basedOn w:val="32"/>
    <w:qFormat/>
    <w:uiPriority w:val="0"/>
  </w:style>
  <w:style w:type="character" w:customStyle="1" w:styleId="133">
    <w:name w:val="alpha_contract_review_append_comment_84eb718b6309430893cf70dd86eb849f"/>
    <w:basedOn w:val="32"/>
    <w:qFormat/>
    <w:uiPriority w:val="0"/>
  </w:style>
  <w:style w:type="character" w:customStyle="1" w:styleId="134">
    <w:name w:val="contractReviewCommentRevision_84eb718b6309430893cf70dd86eb849f"/>
    <w:basedOn w:val="32"/>
    <w:qFormat/>
    <w:uiPriority w:val="0"/>
  </w:style>
  <w:style w:type="character" w:customStyle="1" w:styleId="135">
    <w:name w:val="alpha_contract_review_append_comment_cb5c5a97e6cc4566b943019cc81439da"/>
    <w:basedOn w:val="32"/>
    <w:qFormat/>
    <w:uiPriority w:val="0"/>
  </w:style>
  <w:style w:type="character" w:customStyle="1" w:styleId="136">
    <w:name w:val="contractReviewCommentRevision_cb5c5a97e6cc4566b943019cc81439da"/>
    <w:basedOn w:val="32"/>
    <w:qFormat/>
    <w:uiPriority w:val="0"/>
  </w:style>
  <w:style w:type="character" w:customStyle="1" w:styleId="137">
    <w:name w:val="alpha_contract_review_append_comment_b6faa090f5c54cdf824c3166a2c792b5"/>
    <w:basedOn w:val="32"/>
    <w:qFormat/>
    <w:uiPriority w:val="0"/>
  </w:style>
  <w:style w:type="character" w:customStyle="1" w:styleId="138">
    <w:name w:val="alpha_contract_review_append_comment_0828e0ef3f2d4740bb3192cf30e632e1"/>
    <w:basedOn w:val="32"/>
    <w:qFormat/>
    <w:uiPriority w:val="0"/>
  </w:style>
  <w:style w:type="character" w:customStyle="1" w:styleId="139">
    <w:name w:val="contractReviewCommentRevision_0828e0ef3f2d4740bb3192cf30e632e1"/>
    <w:basedOn w:val="32"/>
    <w:qFormat/>
    <w:uiPriority w:val="0"/>
  </w:style>
  <w:style w:type="character" w:customStyle="1" w:styleId="140">
    <w:name w:val="alpha_contract_review_append_comment_3487228147194cc8bd845a39f9b31278"/>
    <w:basedOn w:val="32"/>
    <w:qFormat/>
    <w:uiPriority w:val="0"/>
  </w:style>
  <w:style w:type="character" w:customStyle="1" w:styleId="141">
    <w:name w:val="alpha_contract_review_append_comment_14e07a7d1f6744ccb198807662f7c0ef"/>
    <w:basedOn w:val="32"/>
    <w:qFormat/>
    <w:uiPriority w:val="0"/>
  </w:style>
  <w:style w:type="character" w:customStyle="1" w:styleId="142">
    <w:name w:val="contractReviewCommentRevision_6995186c58ef451f943efa9e4b0b9a0b"/>
    <w:basedOn w:val="32"/>
    <w:qFormat/>
    <w:uiPriority w:val="0"/>
  </w:style>
  <w:style w:type="character" w:customStyle="1" w:styleId="143">
    <w:name w:val="alpha_contract_review_append_comment_6995186c58ef451f943efa9e4b0b9a0b"/>
    <w:basedOn w:val="32"/>
    <w:qFormat/>
    <w:uiPriority w:val="0"/>
  </w:style>
  <w:style w:type="character" w:customStyle="1" w:styleId="144">
    <w:name w:val="contractReviewCommentRevision_6f4c751626874035bcf826c77e29eb9d"/>
    <w:basedOn w:val="32"/>
    <w:qFormat/>
    <w:uiPriority w:val="0"/>
  </w:style>
  <w:style w:type="character" w:customStyle="1" w:styleId="145">
    <w:name w:val="alpha_contract_review_append_comment_6f4c751626874035bcf826c77e29eb9d"/>
    <w:basedOn w:val="32"/>
    <w:qFormat/>
    <w:uiPriority w:val="0"/>
  </w:style>
  <w:style w:type="character" w:customStyle="1" w:styleId="146">
    <w:name w:val="alpha_contract_review_append_comment_bc90cc6afb944ce4a0be76b069c3a06e"/>
    <w:basedOn w:val="32"/>
    <w:qFormat/>
    <w:uiPriority w:val="0"/>
  </w:style>
  <w:style w:type="character" w:customStyle="1" w:styleId="147">
    <w:name w:val="alpha_contract_review_append_comment_fc0a48b986b943bc8c8cd4fa23a769bb"/>
    <w:basedOn w:val="32"/>
    <w:qFormat/>
    <w:uiPriority w:val="0"/>
  </w:style>
  <w:style w:type="character" w:customStyle="1" w:styleId="148">
    <w:name w:val="alpha_contract_review_append_comment_3dea6b7280464106af6ee49b487f9c1a"/>
    <w:basedOn w:val="32"/>
    <w:qFormat/>
    <w:uiPriority w:val="0"/>
  </w:style>
  <w:style w:type="character" w:customStyle="1" w:styleId="149">
    <w:name w:val="contractReviewCommentRevision_3dea6b7280464106af6ee49b487f9c1a"/>
    <w:basedOn w:val="32"/>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101</Pages>
  <Words>17550</Words>
  <Characters>18592</Characters>
  <Lines>517</Lines>
  <Paragraphs>145</Paragraphs>
  <TotalTime>24</TotalTime>
  <ScaleCrop>false</ScaleCrop>
  <LinksUpToDate>false</LinksUpToDate>
  <CharactersWithSpaces>18756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2024-10-29T14:23:00Z</dcterms:created>
  <dc:creator>唐冰</dc:creator>
  <cp:lastModifiedBy>鱼春</cp:lastModifiedBy>
  <cp:lastPrinted>2022-07-15T09:23:00Z</cp:lastPrinted>
  <dcterms:modified xsi:type="dcterms:W3CDTF">2025-11-27T15:08:50Z</dcterms:modified>
  <dc:title>竞争性谈判文件规范</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578611B2641046A9A33E8BA920C523DD_13</vt:lpwstr>
  </property>
  <property fmtid="{D5CDD505-2E9C-101B-9397-08002B2CF9AE}" pid="4" name="KSOTemplateDocerSaveRecord">
    <vt:lpwstr>eyJoZGlkIjoiYTEwMDAxM2M3Y2E5YjMwZDQwNTlmNWM0M2NmNWI1ZjgiLCJ1c2VySWQiOiI5Mjg5MzEzMjAifQ==</vt:lpwstr>
  </property>
</Properties>
</file>