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53A0B">
      <w:pPr>
        <w:snapToGrid w:val="0"/>
        <w:spacing w:before="120" w:beforeLines="50" w:line="360" w:lineRule="auto"/>
        <w:jc w:val="center"/>
        <w:rPr>
          <w:rFonts w:ascii="仿宋" w:hAnsi="仿宋" w:eastAsia="仿宋" w:cs="仿宋"/>
          <w:b/>
          <w:bCs/>
          <w:color w:val="auto"/>
          <w:sz w:val="72"/>
          <w:szCs w:val="72"/>
          <w:highlight w:val="none"/>
        </w:rPr>
      </w:pPr>
      <w:r>
        <w:rPr>
          <w:rFonts w:ascii="仿宋_GB2312" w:hAnsi="宋体" w:eastAsia="仿宋_GB2312"/>
          <w:color w:val="auto"/>
          <w:sz w:val="32"/>
          <w:szCs w:val="32"/>
          <w:highlight w:val="none"/>
        </w:rPr>
        <w:drawing>
          <wp:inline distT="0" distB="0" distL="114300" distR="114300">
            <wp:extent cx="5238750" cy="2581275"/>
            <wp:effectExtent l="0" t="0" r="3810" b="9525"/>
            <wp:docPr id="1" name="图片 1" descr="9cbcad4d6e02db1f65fa23ea7abf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bcad4d6e02db1f65fa23ea7abf56d"/>
                    <pic:cNvPicPr>
                      <a:picLocks noChangeAspect="1"/>
                    </pic:cNvPicPr>
                  </pic:nvPicPr>
                  <pic:blipFill>
                    <a:blip r:embed="rId11"/>
                    <a:stretch>
                      <a:fillRect/>
                    </a:stretch>
                  </pic:blipFill>
                  <pic:spPr>
                    <a:xfrm>
                      <a:off x="0" y="0"/>
                      <a:ext cx="5238750" cy="2581275"/>
                    </a:xfrm>
                    <a:prstGeom prst="rect">
                      <a:avLst/>
                    </a:prstGeom>
                    <a:noFill/>
                    <a:ln>
                      <a:noFill/>
                    </a:ln>
                  </pic:spPr>
                </pic:pic>
              </a:graphicData>
            </a:graphic>
          </wp:inline>
        </w:drawing>
      </w:r>
    </w:p>
    <w:p w14:paraId="3E9B549B">
      <w:pPr>
        <w:snapToGrid w:val="0"/>
        <w:spacing w:before="120" w:beforeLines="50"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72"/>
          <w:szCs w:val="72"/>
          <w:highlight w:val="none"/>
        </w:rPr>
        <w:t>竞争性谈判文件</w:t>
      </w:r>
    </w:p>
    <w:p w14:paraId="5F6DD62E">
      <w:pPr>
        <w:spacing w:before="240" w:beforeLines="100" w:after="120" w:afterLines="50" w:line="360" w:lineRule="auto"/>
        <w:jc w:val="center"/>
        <w:rPr>
          <w:rFonts w:ascii="仿宋" w:hAnsi="仿宋" w:eastAsia="仿宋" w:cs="仿宋"/>
          <w:color w:val="auto"/>
          <w:szCs w:val="21"/>
          <w:highlight w:val="none"/>
        </w:rPr>
      </w:pPr>
      <w:r>
        <w:rPr>
          <w:rFonts w:hint="eastAsia" w:ascii="仿宋" w:hAnsi="仿宋" w:eastAsia="仿宋" w:cs="仿宋"/>
          <w:color w:val="auto"/>
          <w:sz w:val="24"/>
          <w:highlight w:val="none"/>
        </w:rPr>
        <w:t>（全流程电子化评标）</w:t>
      </w:r>
    </w:p>
    <w:p w14:paraId="4B749AE5">
      <w:pPr>
        <w:spacing w:line="360" w:lineRule="auto"/>
        <w:rPr>
          <w:rFonts w:ascii="仿宋" w:hAnsi="仿宋" w:eastAsia="仿宋" w:cs="仿宋"/>
          <w:b/>
          <w:color w:val="auto"/>
          <w:sz w:val="32"/>
          <w:szCs w:val="32"/>
          <w:highlight w:val="none"/>
        </w:rPr>
      </w:pPr>
    </w:p>
    <w:p w14:paraId="3D0B9BA9">
      <w:pPr>
        <w:spacing w:line="360" w:lineRule="auto"/>
        <w:jc w:val="center"/>
        <w:rPr>
          <w:rFonts w:ascii="仿宋" w:hAnsi="仿宋" w:eastAsia="仿宋" w:cs="仿宋"/>
          <w:b/>
          <w:color w:val="auto"/>
          <w:sz w:val="32"/>
          <w:szCs w:val="32"/>
          <w:highlight w:val="none"/>
        </w:rPr>
      </w:pPr>
    </w:p>
    <w:p w14:paraId="4C6A88B2">
      <w:pPr>
        <w:rPr>
          <w:rFonts w:ascii="仿宋" w:hAnsi="仿宋" w:eastAsia="仿宋" w:cs="仿宋"/>
          <w:b/>
          <w:color w:val="auto"/>
          <w:sz w:val="32"/>
          <w:szCs w:val="32"/>
          <w:highlight w:val="none"/>
        </w:rPr>
      </w:pPr>
    </w:p>
    <w:p w14:paraId="7E34B840">
      <w:pPr>
        <w:pStyle w:val="5"/>
        <w:rPr>
          <w:color w:val="auto"/>
          <w:highlight w:val="none"/>
        </w:rPr>
      </w:pPr>
    </w:p>
    <w:p w14:paraId="0C1BD5C4">
      <w:pPr>
        <w:snapToGrid w:val="0"/>
        <w:spacing w:line="360" w:lineRule="auto"/>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项目</w:t>
      </w:r>
      <w:r>
        <w:rPr>
          <w:rFonts w:hint="eastAsia" w:ascii="仿宋" w:hAnsi="仿宋" w:eastAsia="仿宋" w:cs="仿宋"/>
          <w:b/>
          <w:bCs/>
          <w:color w:val="auto"/>
          <w:w w:val="95"/>
          <w:kern w:val="0"/>
          <w:sz w:val="32"/>
          <w:szCs w:val="32"/>
          <w:highlight w:val="none"/>
        </w:rPr>
        <w:t>名称</w:t>
      </w:r>
      <w:r>
        <w:rPr>
          <w:rFonts w:hint="eastAsia" w:ascii="仿宋" w:hAnsi="仿宋" w:eastAsia="仿宋" w:cs="仿宋"/>
          <w:b/>
          <w:bCs/>
          <w:color w:val="auto"/>
          <w:kern w:val="0"/>
          <w:sz w:val="32"/>
          <w:szCs w:val="32"/>
          <w:highlight w:val="none"/>
        </w:rPr>
        <w:t>：梧州市公安局交通警察支队增设电子监控设备货物采购项目</w:t>
      </w:r>
    </w:p>
    <w:p w14:paraId="753EF851">
      <w:pPr>
        <w:snapToGrid w:val="0"/>
        <w:spacing w:line="360" w:lineRule="auto"/>
        <w:jc w:val="center"/>
        <w:rPr>
          <w:rFonts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项目</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w w:val="95"/>
          <w:sz w:val="32"/>
          <w:szCs w:val="32"/>
          <w:highlight w:val="none"/>
        </w:rPr>
        <w:t>：WZZC2025-J1-990196-GXDR</w:t>
      </w:r>
    </w:p>
    <w:p w14:paraId="41DF4F72">
      <w:pPr>
        <w:snapToGrid w:val="0"/>
        <w:spacing w:line="360" w:lineRule="auto"/>
        <w:jc w:val="center"/>
        <w:rPr>
          <w:rFonts w:ascii="仿宋" w:hAnsi="仿宋" w:eastAsia="仿宋" w:cs="仿宋"/>
          <w:b/>
          <w:bCs/>
          <w:color w:val="auto"/>
          <w:w w:val="95"/>
          <w:kern w:val="0"/>
          <w:sz w:val="32"/>
          <w:szCs w:val="32"/>
          <w:highlight w:val="none"/>
        </w:rPr>
      </w:pPr>
      <w:r>
        <w:rPr>
          <w:rFonts w:hint="eastAsia" w:ascii="仿宋" w:hAnsi="仿宋" w:eastAsia="仿宋" w:cs="仿宋"/>
          <w:b/>
          <w:bCs/>
          <w:color w:val="auto"/>
          <w:w w:val="95"/>
          <w:kern w:val="0"/>
          <w:sz w:val="32"/>
          <w:szCs w:val="32"/>
          <w:highlight w:val="none"/>
        </w:rPr>
        <w:t>采购人：梧州市公安局交通警察支队</w:t>
      </w:r>
    </w:p>
    <w:p w14:paraId="102E43A2">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bCs/>
          <w:color w:val="auto"/>
          <w:w w:val="95"/>
          <w:kern w:val="0"/>
          <w:sz w:val="32"/>
          <w:szCs w:val="32"/>
          <w:highlight w:val="none"/>
        </w:rPr>
        <w:t>采购代理机构：广西大融合工程咨询有限公司</w:t>
      </w:r>
    </w:p>
    <w:p w14:paraId="4C501FE9">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2025年</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月</w:t>
      </w:r>
    </w:p>
    <w:p w14:paraId="586C0A0F">
      <w:pPr>
        <w:spacing w:line="360" w:lineRule="auto"/>
        <w:rPr>
          <w:rFonts w:ascii="仿宋" w:hAnsi="仿宋" w:eastAsia="仿宋" w:cs="仿宋"/>
          <w:b/>
          <w:color w:val="auto"/>
          <w:sz w:val="32"/>
          <w:szCs w:val="32"/>
          <w:highlight w:val="none"/>
        </w:rPr>
        <w:sectPr>
          <w:headerReference r:id="rId3" w:type="first"/>
          <w:footerReference r:id="rId5" w:type="first"/>
          <w:footerReference r:id="rId4" w:type="default"/>
          <w:pgSz w:w="11911" w:h="16838"/>
          <w:pgMar w:top="1338" w:right="1502" w:bottom="850" w:left="1678" w:header="1077" w:footer="720" w:gutter="0"/>
          <w:pgNumType w:start="1"/>
          <w:cols w:space="720" w:num="1"/>
          <w:docGrid w:linePitch="312" w:charSpace="0"/>
        </w:sectPr>
      </w:pPr>
    </w:p>
    <w:p w14:paraId="43E2FC13">
      <w:pPr>
        <w:spacing w:line="360" w:lineRule="auto"/>
        <w:rPr>
          <w:rFonts w:ascii="仿宋" w:hAnsi="仿宋" w:eastAsia="仿宋" w:cs="仿宋"/>
          <w:b/>
          <w:color w:val="auto"/>
          <w:sz w:val="32"/>
          <w:szCs w:val="32"/>
          <w:highlight w:val="none"/>
        </w:rPr>
      </w:pPr>
    </w:p>
    <w:p w14:paraId="4250462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0E5E4FA1">
      <w:pPr>
        <w:pStyle w:val="23"/>
        <w:rPr>
          <w:color w:val="auto"/>
          <w:highlight w:val="none"/>
        </w:rPr>
      </w:pPr>
    </w:p>
    <w:p w14:paraId="4157AF64">
      <w:pPr>
        <w:pStyle w:val="23"/>
        <w:keepNext w:val="0"/>
        <w:keepLines w:val="0"/>
        <w:pageBreakBefore w:val="0"/>
        <w:widowControl w:val="0"/>
        <w:tabs>
          <w:tab w:val="right" w:leader="dot" w:pos="8731"/>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b/>
          <w:color w:val="auto"/>
          <w:sz w:val="24"/>
          <w:highlight w:val="none"/>
        </w:rPr>
        <w:fldChar w:fldCharType="begin"/>
      </w:r>
      <w:r>
        <w:rPr>
          <w:rFonts w:ascii="仿宋" w:hAnsi="仿宋" w:eastAsia="仿宋" w:cs="仿宋"/>
          <w:b/>
          <w:color w:val="auto"/>
          <w:sz w:val="24"/>
          <w:highlight w:val="none"/>
        </w:rPr>
        <w:instrText xml:space="preserve">TOC \o "1-2" \h \u </w:instrText>
      </w:r>
      <w:r>
        <w:rPr>
          <w:rFonts w:ascii="仿宋" w:hAnsi="仿宋" w:eastAsia="仿宋" w:cs="仿宋"/>
          <w:b/>
          <w:color w:val="auto"/>
          <w:sz w:val="24"/>
          <w:highlight w:val="none"/>
        </w:rPr>
        <w:fldChar w:fldCharType="separate"/>
      </w: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_Toc31660 </w:instrText>
      </w:r>
      <w:r>
        <w:rPr>
          <w:rFonts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竞争性谈判公告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_Toc31660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76ECCF16">
      <w:pPr>
        <w:pStyle w:val="23"/>
        <w:keepNext w:val="0"/>
        <w:keepLines w:val="0"/>
        <w:pageBreakBefore w:val="0"/>
        <w:widowControl w:val="0"/>
        <w:tabs>
          <w:tab w:val="right" w:leader="dot" w:pos="8731"/>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_Toc7778 </w:instrText>
      </w:r>
      <w:r>
        <w:rPr>
          <w:rFonts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第二章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_Toc7778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277E8841">
      <w:pPr>
        <w:pStyle w:val="23"/>
        <w:keepNext w:val="0"/>
        <w:keepLines w:val="0"/>
        <w:pageBreakBefore w:val="0"/>
        <w:widowControl w:val="0"/>
        <w:tabs>
          <w:tab w:val="right" w:leader="dot" w:pos="8731"/>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_Toc25427 </w:instrText>
      </w:r>
      <w:r>
        <w:rPr>
          <w:rFonts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第三章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_Toc25427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1C42BE13">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_Toc10486 </w:instrText>
      </w:r>
      <w:r>
        <w:rPr>
          <w:rFonts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第一节 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_Toc10486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730DAAE7">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_Toc1947 </w:instrText>
      </w:r>
      <w:r>
        <w:rPr>
          <w:rFonts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第二节 供应商须知正文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_Toc1947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7704486F">
      <w:pPr>
        <w:pStyle w:val="23"/>
        <w:keepNext w:val="0"/>
        <w:keepLines w:val="0"/>
        <w:pageBreakBefore w:val="0"/>
        <w:widowControl w:val="0"/>
        <w:tabs>
          <w:tab w:val="right" w:leader="dot" w:pos="8731"/>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_Toc22070 </w:instrText>
      </w:r>
      <w:r>
        <w:rPr>
          <w:rFonts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第四章 评审程序、评审方法和成交标准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_Toc22070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3ACEA188">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_Toc32565 </w:instrText>
      </w:r>
      <w:r>
        <w:rPr>
          <w:rFonts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第一节 评审程序和评审方法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_Toc32565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5CB00F5C">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_Toc2165 </w:instrText>
      </w:r>
      <w:r>
        <w:rPr>
          <w:rFonts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第二节 评审原则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_Toc2165 \h </w:instrText>
      </w:r>
      <w:r>
        <w:rPr>
          <w:color w:val="auto"/>
          <w:sz w:val="24"/>
          <w:szCs w:val="24"/>
          <w:highlight w:val="none"/>
        </w:rPr>
        <w:fldChar w:fldCharType="separate"/>
      </w:r>
      <w:r>
        <w:rPr>
          <w:color w:val="auto"/>
          <w:sz w:val="24"/>
          <w:szCs w:val="24"/>
          <w:highlight w:val="none"/>
        </w:rPr>
        <w:t>66</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1F92F6C5">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_Toc22509 </w:instrText>
      </w:r>
      <w:r>
        <w:rPr>
          <w:rFonts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第三节 评标报告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_Toc22509 \h </w:instrText>
      </w:r>
      <w:r>
        <w:rPr>
          <w:color w:val="auto"/>
          <w:sz w:val="24"/>
          <w:szCs w:val="24"/>
          <w:highlight w:val="none"/>
        </w:rPr>
        <w:fldChar w:fldCharType="separate"/>
      </w:r>
      <w:r>
        <w:rPr>
          <w:color w:val="auto"/>
          <w:sz w:val="24"/>
          <w:szCs w:val="24"/>
          <w:highlight w:val="none"/>
        </w:rPr>
        <w:t>67</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5C321AED">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_Toc11 </w:instrText>
      </w:r>
      <w:r>
        <w:rPr>
          <w:rFonts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第四节 评审过程的保密与录像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 \h </w:instrText>
      </w:r>
      <w:r>
        <w:rPr>
          <w:color w:val="auto"/>
          <w:sz w:val="24"/>
          <w:szCs w:val="24"/>
          <w:highlight w:val="none"/>
        </w:rPr>
        <w:fldChar w:fldCharType="separate"/>
      </w:r>
      <w:r>
        <w:rPr>
          <w:color w:val="auto"/>
          <w:sz w:val="24"/>
          <w:szCs w:val="24"/>
          <w:highlight w:val="none"/>
        </w:rPr>
        <w:t>68</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69A6C686">
      <w:pPr>
        <w:pStyle w:val="23"/>
        <w:keepNext w:val="0"/>
        <w:keepLines w:val="0"/>
        <w:pageBreakBefore w:val="0"/>
        <w:widowControl w:val="0"/>
        <w:tabs>
          <w:tab w:val="right" w:leader="dot" w:pos="8731"/>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_Toc31628 </w:instrText>
      </w:r>
      <w:r>
        <w:rPr>
          <w:rFonts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第五章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_Toc31628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578BF918">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_Toc18218 </w:instrText>
      </w:r>
      <w:r>
        <w:rPr>
          <w:rFonts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第一节 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_Toc18218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3971963B">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_Toc7392 </w:instrText>
      </w:r>
      <w:r>
        <w:rPr>
          <w:rFonts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第二节 资格证明文件格式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_Toc7392 \h </w:instrText>
      </w:r>
      <w:r>
        <w:rPr>
          <w:color w:val="auto"/>
          <w:sz w:val="24"/>
          <w:szCs w:val="24"/>
          <w:highlight w:val="none"/>
        </w:rPr>
        <w:fldChar w:fldCharType="separate"/>
      </w:r>
      <w:r>
        <w:rPr>
          <w:color w:val="auto"/>
          <w:sz w:val="24"/>
          <w:szCs w:val="24"/>
          <w:highlight w:val="none"/>
        </w:rPr>
        <w:t>71</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21C4C3C7">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_Toc22845 </w:instrText>
      </w:r>
      <w:r>
        <w:rPr>
          <w:rFonts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第三节 商务技术文件格式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_Toc22845 \h </w:instrText>
      </w:r>
      <w:r>
        <w:rPr>
          <w:color w:val="auto"/>
          <w:sz w:val="24"/>
          <w:szCs w:val="24"/>
          <w:highlight w:val="none"/>
        </w:rPr>
        <w:fldChar w:fldCharType="separate"/>
      </w:r>
      <w:r>
        <w:rPr>
          <w:color w:val="auto"/>
          <w:sz w:val="24"/>
          <w:szCs w:val="24"/>
          <w:highlight w:val="none"/>
        </w:rPr>
        <w:t>80</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4E36033A">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_Toc30231 </w:instrText>
      </w:r>
      <w:r>
        <w:rPr>
          <w:rFonts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第四节 报价文件格式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_Toc30231 \h </w:instrText>
      </w:r>
      <w:r>
        <w:rPr>
          <w:color w:val="auto"/>
          <w:sz w:val="24"/>
          <w:szCs w:val="24"/>
          <w:highlight w:val="none"/>
        </w:rPr>
        <w:fldChar w:fldCharType="separate"/>
      </w:r>
      <w:r>
        <w:rPr>
          <w:color w:val="auto"/>
          <w:sz w:val="24"/>
          <w:szCs w:val="24"/>
          <w:highlight w:val="none"/>
        </w:rPr>
        <w:t>96</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2FD9EC1A">
      <w:pPr>
        <w:pStyle w:val="25"/>
        <w:keepNext w:val="0"/>
        <w:keepLines w:val="0"/>
        <w:pageBreakBefore w:val="0"/>
        <w:widowControl w:val="0"/>
        <w:tabs>
          <w:tab w:val="right" w:leader="dot" w:pos="8731"/>
          <w:tab w:val="clear" w:pos="8296"/>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_Toc19049 </w:instrText>
      </w:r>
      <w:r>
        <w:rPr>
          <w:rFonts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第五节 其他文书、文件格式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_Toc19049 \h </w:instrText>
      </w:r>
      <w:r>
        <w:rPr>
          <w:color w:val="auto"/>
          <w:sz w:val="24"/>
          <w:szCs w:val="24"/>
          <w:highlight w:val="none"/>
        </w:rPr>
        <w:fldChar w:fldCharType="separate"/>
      </w:r>
      <w:r>
        <w:rPr>
          <w:color w:val="auto"/>
          <w:sz w:val="24"/>
          <w:szCs w:val="24"/>
          <w:highlight w:val="none"/>
        </w:rPr>
        <w:t>101</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0C8DDD5A">
      <w:pPr>
        <w:pStyle w:val="23"/>
        <w:keepNext w:val="0"/>
        <w:keepLines w:val="0"/>
        <w:pageBreakBefore w:val="0"/>
        <w:widowControl w:val="0"/>
        <w:tabs>
          <w:tab w:val="right" w:leader="dot" w:pos="8731"/>
        </w:tabs>
        <w:kinsoku/>
        <w:wordWrap/>
        <w:overflowPunct/>
        <w:topLinePunct w:val="0"/>
        <w:autoSpaceDE/>
        <w:autoSpaceDN/>
        <w:bidi w:val="0"/>
        <w:adjustRightInd/>
        <w:snapToGrid/>
        <w:spacing w:line="360" w:lineRule="auto"/>
        <w:ind w:left="0" w:leftChars="0"/>
        <w:textAlignment w:val="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_Toc10949 </w:instrText>
      </w:r>
      <w:r>
        <w:rPr>
          <w:rFonts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第六章 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_Toc10949 \h </w:instrText>
      </w:r>
      <w:r>
        <w:rPr>
          <w:color w:val="auto"/>
          <w:sz w:val="24"/>
          <w:szCs w:val="24"/>
          <w:highlight w:val="none"/>
        </w:rPr>
        <w:fldChar w:fldCharType="separate"/>
      </w:r>
      <w:r>
        <w:rPr>
          <w:color w:val="auto"/>
          <w:sz w:val="24"/>
          <w:szCs w:val="24"/>
          <w:highlight w:val="none"/>
        </w:rPr>
        <w:t>104</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0BA572A8">
      <w:pPr>
        <w:pStyle w:val="23"/>
        <w:keepNext w:val="0"/>
        <w:keepLines w:val="0"/>
        <w:pageBreakBefore w:val="0"/>
        <w:widowControl w:val="0"/>
        <w:tabs>
          <w:tab w:val="right" w:leader="dot" w:pos="8731"/>
        </w:tabs>
        <w:kinsoku/>
        <w:wordWrap/>
        <w:overflowPunct/>
        <w:topLinePunct w:val="0"/>
        <w:autoSpaceDE/>
        <w:autoSpaceDN/>
        <w:bidi w:val="0"/>
        <w:adjustRightInd/>
        <w:snapToGrid/>
        <w:spacing w:line="360" w:lineRule="auto"/>
        <w:ind w:left="0" w:leftChars="0"/>
        <w:textAlignment w:val="auto"/>
        <w:rPr>
          <w:color w:val="auto"/>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 HYPERLINK \l _Toc6119 </w:instrText>
      </w:r>
      <w:r>
        <w:rPr>
          <w:rFonts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第七章 质疑、投诉材料格式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_Toc6119 \h </w:instrText>
      </w:r>
      <w:r>
        <w:rPr>
          <w:color w:val="auto"/>
          <w:sz w:val="24"/>
          <w:szCs w:val="24"/>
          <w:highlight w:val="none"/>
        </w:rPr>
        <w:fldChar w:fldCharType="separate"/>
      </w:r>
      <w:r>
        <w:rPr>
          <w:color w:val="auto"/>
          <w:sz w:val="24"/>
          <w:szCs w:val="24"/>
          <w:highlight w:val="none"/>
        </w:rPr>
        <w:t>114</w:t>
      </w:r>
      <w:r>
        <w:rPr>
          <w:color w:val="auto"/>
          <w:sz w:val="24"/>
          <w:szCs w:val="24"/>
          <w:highlight w:val="none"/>
        </w:rPr>
        <w:fldChar w:fldCharType="end"/>
      </w:r>
      <w:r>
        <w:rPr>
          <w:rFonts w:ascii="仿宋" w:hAnsi="仿宋" w:eastAsia="仿宋" w:cs="仿宋"/>
          <w:color w:val="auto"/>
          <w:sz w:val="24"/>
          <w:szCs w:val="24"/>
          <w:highlight w:val="none"/>
        </w:rPr>
        <w:fldChar w:fldCharType="end"/>
      </w:r>
    </w:p>
    <w:p w14:paraId="39DB1038">
      <w:pPr>
        <w:pStyle w:val="25"/>
        <w:spacing w:line="400" w:lineRule="exact"/>
        <w:rPr>
          <w:rFonts w:ascii="仿宋" w:hAnsi="仿宋" w:eastAsia="仿宋" w:cs="仿宋"/>
          <w:b/>
          <w:color w:val="auto"/>
          <w:sz w:val="24"/>
          <w:highlight w:val="none"/>
        </w:rPr>
      </w:pPr>
      <w:r>
        <w:rPr>
          <w:rFonts w:ascii="仿宋" w:hAnsi="仿宋" w:eastAsia="仿宋" w:cs="仿宋"/>
          <w:color w:val="auto"/>
          <w:highlight w:val="none"/>
        </w:rPr>
        <w:fldChar w:fldCharType="end"/>
      </w:r>
    </w:p>
    <w:p w14:paraId="5C39DEEB">
      <w:pPr>
        <w:spacing w:line="400" w:lineRule="exact"/>
        <w:rPr>
          <w:rFonts w:ascii="仿宋" w:hAnsi="仿宋" w:eastAsia="仿宋" w:cs="仿宋"/>
          <w:b/>
          <w:color w:val="auto"/>
          <w:sz w:val="24"/>
          <w:highlight w:val="none"/>
        </w:rPr>
        <w:sectPr>
          <w:footerReference r:id="rId6" w:type="default"/>
          <w:pgSz w:w="11911" w:h="16838"/>
          <w:pgMar w:top="1338" w:right="1502" w:bottom="850" w:left="1678" w:header="1077" w:footer="720" w:gutter="0"/>
          <w:pgNumType w:start="1"/>
          <w:cols w:space="720" w:num="1"/>
          <w:docGrid w:linePitch="312" w:charSpace="0"/>
        </w:sectPr>
      </w:pPr>
    </w:p>
    <w:p w14:paraId="34B2B21E">
      <w:pPr>
        <w:pStyle w:val="2"/>
        <w:spacing w:before="0" w:after="0" w:line="360" w:lineRule="auto"/>
        <w:jc w:val="center"/>
        <w:rPr>
          <w:rFonts w:ascii="仿宋" w:hAnsi="仿宋" w:eastAsia="仿宋" w:cs="仿宋"/>
          <w:color w:val="auto"/>
          <w:highlight w:val="none"/>
        </w:rPr>
      </w:pPr>
      <w:bookmarkStart w:id="0" w:name="_Toc31660"/>
      <w:bookmarkStart w:id="1" w:name="_Toc14594"/>
      <w:r>
        <w:rPr>
          <w:rFonts w:hint="eastAsia" w:ascii="仿宋" w:hAnsi="仿宋" w:eastAsia="仿宋" w:cs="仿宋"/>
          <w:color w:val="auto"/>
          <w:sz w:val="32"/>
          <w:szCs w:val="32"/>
          <w:highlight w:val="none"/>
        </w:rPr>
        <w:t>第一章 竞争性谈判公告</w:t>
      </w:r>
      <w:bookmarkEnd w:id="0"/>
      <w:bookmarkEnd w:id="1"/>
      <w:bookmarkStart w:id="2" w:name="_Toc35393629"/>
      <w:bookmarkStart w:id="3" w:name="_Toc44229878"/>
      <w:bookmarkStart w:id="4" w:name="_Toc28359012"/>
      <w:bookmarkStart w:id="5" w:name="_Toc28359089"/>
      <w:bookmarkStart w:id="6" w:name="_Toc35393798"/>
      <w:bookmarkStart w:id="7" w:name="_Toc28359081"/>
      <w:bookmarkStart w:id="8" w:name="_Toc35393623"/>
      <w:bookmarkStart w:id="9" w:name="_Toc35393792"/>
      <w:bookmarkStart w:id="10" w:name="_Toc28359004"/>
    </w:p>
    <w:tbl>
      <w:tblPr>
        <w:tblStyle w:val="3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3"/>
      </w:tblGrid>
      <w:tr w14:paraId="6E6F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3" w:type="dxa"/>
          </w:tcPr>
          <w:p w14:paraId="6A9F2397">
            <w:pPr>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12EF1D1">
            <w:pPr>
              <w:wordWrap w:val="0"/>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梧州市公安局交通警察支队增设电子监控设备货物采购项目 </w:t>
            </w:r>
            <w:r>
              <w:rPr>
                <w:rFonts w:hint="eastAsia" w:ascii="仿宋" w:hAnsi="仿宋" w:eastAsia="仿宋" w:cs="仿宋"/>
                <w:color w:val="auto"/>
                <w:sz w:val="24"/>
                <w:highlight w:val="none"/>
              </w:rPr>
              <w:t>的潜在供应商应在</w:t>
            </w:r>
            <w:r>
              <w:rPr>
                <w:rFonts w:hint="eastAsia" w:ascii="仿宋" w:hAnsi="仿宋" w:eastAsia="仿宋" w:cs="仿宋"/>
                <w:color w:val="auto"/>
                <w:sz w:val="24"/>
                <w:highlight w:val="none"/>
                <w:u w:val="single"/>
              </w:rPr>
              <w:t>政采云平台（https：//www.zcygov.cn/）</w:t>
            </w:r>
            <w:r>
              <w:rPr>
                <w:rFonts w:hint="eastAsia" w:ascii="仿宋" w:hAnsi="仿宋" w:eastAsia="仿宋" w:cs="仿宋"/>
                <w:color w:val="auto"/>
                <w:sz w:val="24"/>
                <w:highlight w:val="none"/>
              </w:rPr>
              <w:t>获取（下载）竞争性谈判文件，并于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日9时00分</w:t>
            </w:r>
            <w:r>
              <w:rPr>
                <w:rFonts w:hint="eastAsia" w:ascii="仿宋" w:hAnsi="仿宋" w:eastAsia="仿宋" w:cs="仿宋"/>
                <w:color w:val="auto"/>
                <w:sz w:val="24"/>
                <w:highlight w:val="none"/>
              </w:rPr>
              <w:t>（北京时间）前提交响应文件。</w:t>
            </w:r>
          </w:p>
        </w:tc>
      </w:tr>
    </w:tbl>
    <w:p w14:paraId="4AD2DB34">
      <w:pPr>
        <w:rPr>
          <w:rFonts w:ascii="仿宋" w:hAnsi="仿宋" w:eastAsia="仿宋" w:cs="仿宋"/>
          <w:color w:val="auto"/>
          <w:highlight w:val="none"/>
        </w:rPr>
      </w:pPr>
    </w:p>
    <w:p w14:paraId="0748055E">
      <w:pPr>
        <w:snapToGrid w:val="0"/>
        <w:spacing w:line="324"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bookmarkEnd w:id="2"/>
      <w:bookmarkEnd w:id="3"/>
      <w:bookmarkEnd w:id="4"/>
      <w:bookmarkEnd w:id="5"/>
      <w:bookmarkEnd w:id="6"/>
    </w:p>
    <w:p w14:paraId="6971316A">
      <w:pPr>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项目编号：WZZC2025-J1-990196-GXDR</w:t>
      </w:r>
    </w:p>
    <w:p w14:paraId="43725DED">
      <w:pPr>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项目名称：梧州市公安局交通警察支队增设电子监控设备货物采购项目</w:t>
      </w:r>
    </w:p>
    <w:p w14:paraId="38D64FC7">
      <w:pPr>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预（概）算：壹佰贰拾玖万元整（￥1,290,000.00） </w:t>
      </w:r>
    </w:p>
    <w:p w14:paraId="3C427194">
      <w:pPr>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最高限价：壹佰贰拾捌万捌仟捌佰柒拾壹元整（￥1,288,871.00）</w:t>
      </w:r>
    </w:p>
    <w:p w14:paraId="54A7612D">
      <w:pPr>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采购需求：根据实际交通流量情况，增设电子监控设备。如需进一步了解详细内容，详见竞争性谈判采购文件。 </w:t>
      </w:r>
    </w:p>
    <w:p w14:paraId="223012DC">
      <w:pPr>
        <w:wordWrap w:val="0"/>
        <w:snapToGrid w:val="0"/>
        <w:spacing w:line="324" w:lineRule="auto"/>
        <w:ind w:firstLine="480" w:firstLineChars="200"/>
        <w:rPr>
          <w:rFonts w:ascii="仿宋" w:hAnsi="仿宋" w:eastAsia="仿宋" w:cs="仿宋"/>
          <w:color w:val="auto"/>
          <w:sz w:val="24"/>
          <w:highlight w:val="none"/>
          <w:u w:val="single"/>
        </w:rPr>
      </w:pPr>
      <w:bookmarkStart w:id="11" w:name="_Toc28359013"/>
      <w:bookmarkStart w:id="12" w:name="_Toc35393630"/>
      <w:bookmarkStart w:id="13" w:name="_Toc44229879"/>
      <w:bookmarkStart w:id="14" w:name="_Toc35393799"/>
      <w:bookmarkStart w:id="15" w:name="_Toc28359090"/>
      <w:r>
        <w:rPr>
          <w:rFonts w:hint="eastAsia" w:ascii="仿宋" w:hAnsi="仿宋" w:eastAsia="仿宋" w:cs="仿宋"/>
          <w:color w:val="auto"/>
          <w:sz w:val="24"/>
          <w:highlight w:val="none"/>
        </w:rPr>
        <w:t>合同履行期限：自签订合同之日起30个日历日内交付全部货物并安装调试完毕交付使用。</w:t>
      </w:r>
    </w:p>
    <w:p w14:paraId="2A433F8A">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本项目是否接受联合体：□是，√否。</w:t>
      </w:r>
    </w:p>
    <w:p w14:paraId="516306DA">
      <w:pPr>
        <w:wordWrap w:val="0"/>
        <w:snapToGrid w:val="0"/>
        <w:spacing w:line="324"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kern w:val="44"/>
          <w:sz w:val="24"/>
          <w:highlight w:val="none"/>
        </w:rPr>
        <w:t>二、供应商的资格条件</w:t>
      </w:r>
      <w:bookmarkEnd w:id="11"/>
      <w:bookmarkEnd w:id="12"/>
      <w:bookmarkEnd w:id="13"/>
      <w:bookmarkEnd w:id="14"/>
      <w:bookmarkEnd w:id="15"/>
    </w:p>
    <w:p w14:paraId="5987BACC">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3AEEC607">
      <w:pPr>
        <w:wordWrap w:val="0"/>
        <w:snapToGrid w:val="0"/>
        <w:spacing w:line="324"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2.本项目基本资格要求：</w:t>
      </w:r>
      <w:r>
        <w:rPr>
          <w:rFonts w:hint="eastAsia" w:ascii="仿宋" w:hAnsi="仿宋" w:eastAsia="仿宋" w:cs="仿宋"/>
          <w:color w:val="auto"/>
          <w:sz w:val="24"/>
          <w:highlight w:val="none"/>
        </w:rPr>
        <w:t>国内注册（指按国家有关规定要求注册的），生产或经营技术性能达到本次采购要求且具备法人资格的供应商</w:t>
      </w:r>
      <w:r>
        <w:rPr>
          <w:rFonts w:hint="eastAsia" w:ascii="仿宋" w:hAnsi="仿宋" w:eastAsia="仿宋" w:cs="仿宋"/>
          <w:color w:val="auto"/>
          <w:sz w:val="24"/>
          <w:highlight w:val="none"/>
          <w:lang w:eastAsia="zh-CN"/>
        </w:rPr>
        <w:t>。</w:t>
      </w:r>
    </w:p>
    <w:p w14:paraId="38B51203">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根据《〈政府采购法实施条例〉释义》，银行、保险、石油石化、电力、电信等有行业特殊情况的，在取得分公司营业执照后可以分支机构名义参与政府采购活动（但需提供总公司的有关文件或制度等能证明总公司授权其独立开展业务或提供总公司出具的授权其参与本项目投标的授权文件），但同一上级公司的两个分支机构不得同时参加投标。采购文件中涉及的“法定代表人”在前述特殊行业中即对应为“分支机构负责人”。</w:t>
      </w:r>
    </w:p>
    <w:p w14:paraId="54EC76CA">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落实政府采购政策需满足的资格要求：</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专门面向为中小企业。</w:t>
      </w:r>
    </w:p>
    <w:p w14:paraId="7CA404F6">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本项目不接受联合体。</w:t>
      </w:r>
    </w:p>
    <w:p w14:paraId="313D2AE3">
      <w:pPr>
        <w:wordWrap w:val="0"/>
        <w:snapToGrid w:val="0"/>
        <w:spacing w:line="324"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三、获取竞争性谈判文件</w:t>
      </w:r>
      <w:bookmarkEnd w:id="7"/>
      <w:bookmarkEnd w:id="8"/>
      <w:bookmarkEnd w:id="9"/>
      <w:bookmarkEnd w:id="10"/>
    </w:p>
    <w:p w14:paraId="0CD2BEF3">
      <w:pPr>
        <w:wordWrap w:val="0"/>
        <w:snapToGrid w:val="0"/>
        <w:spacing w:line="324" w:lineRule="auto"/>
        <w:ind w:firstLine="480" w:firstLineChars="200"/>
        <w:rPr>
          <w:rFonts w:ascii="仿宋" w:hAnsi="仿宋" w:eastAsia="仿宋" w:cs="仿宋"/>
          <w:color w:val="auto"/>
          <w:sz w:val="24"/>
          <w:highlight w:val="none"/>
        </w:rPr>
      </w:pPr>
      <w:bookmarkStart w:id="16" w:name="_Toc35393793"/>
      <w:bookmarkStart w:id="17" w:name="_Toc28359082"/>
      <w:bookmarkStart w:id="18" w:name="_Toc28359005"/>
      <w:bookmarkStart w:id="19" w:name="_Toc35393624"/>
      <w:r>
        <w:rPr>
          <w:rFonts w:hint="eastAsia" w:ascii="仿宋" w:hAnsi="仿宋" w:eastAsia="仿宋" w:cs="仿宋"/>
          <w:color w:val="auto"/>
          <w:sz w:val="24"/>
          <w:highlight w:val="none"/>
        </w:rPr>
        <w:t>时间：2025年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日至2025年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日，每天上午00:00至12:00，下午12:00至23:59。</w:t>
      </w:r>
    </w:p>
    <w:p w14:paraId="5333D199">
      <w:pPr>
        <w:wordWrap w:val="0"/>
        <w:snapToGrid w:val="0"/>
        <w:spacing w:line="324"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获取方式：网上下载。本项目不发放纸质采购文件，供应商可自行在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仿宋" w:hAnsi="仿宋" w:eastAsia="仿宋" w:cs="仿宋"/>
          <w:color w:val="auto"/>
          <w:sz w:val="24"/>
          <w:highlight w:val="none"/>
        </w:rPr>
        <w:t>“政采云”平台（http：//www.zcygov.cn）下载采购文件（操作路径：登录“政采云”平台-项目采购-获取采购文件-找到本项目-点击“申请获取采购文件”），电子响应文件制作需要基于“政采云”平台（http：//www.zcygov.cn）获取的采购文件编制。</w:t>
      </w:r>
    </w:p>
    <w:p w14:paraId="15E5BACC">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售价：0元。</w:t>
      </w:r>
    </w:p>
    <w:p w14:paraId="76C0518B">
      <w:pPr>
        <w:wordWrap w:val="0"/>
        <w:snapToGrid w:val="0"/>
        <w:spacing w:line="324"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w:t>
      </w:r>
      <w:bookmarkEnd w:id="16"/>
      <w:bookmarkEnd w:id="17"/>
      <w:bookmarkEnd w:id="18"/>
      <w:bookmarkEnd w:id="19"/>
      <w:r>
        <w:rPr>
          <w:rFonts w:hint="eastAsia" w:ascii="仿宋" w:hAnsi="仿宋" w:eastAsia="仿宋" w:cs="仿宋"/>
          <w:b/>
          <w:bCs/>
          <w:color w:val="auto"/>
          <w:sz w:val="24"/>
          <w:highlight w:val="none"/>
        </w:rPr>
        <w:t>响应文件提交</w:t>
      </w:r>
    </w:p>
    <w:p w14:paraId="2DD1DED4">
      <w:pPr>
        <w:wordWrap w:val="0"/>
        <w:snapToGrid w:val="0"/>
        <w:spacing w:line="324"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1.首次响应文件提交截止时间</w:t>
      </w:r>
      <w:r>
        <w:rPr>
          <w:rFonts w:hint="eastAsia" w:ascii="仿宋" w:hAnsi="仿宋" w:eastAsia="仿宋" w:cs="仿宋"/>
          <w:bCs/>
          <w:color w:val="auto"/>
          <w:sz w:val="24"/>
          <w:highlight w:val="none"/>
        </w:rPr>
        <w:t>：2025年</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15</w:t>
      </w:r>
      <w:r>
        <w:rPr>
          <w:rFonts w:hint="eastAsia" w:ascii="仿宋" w:hAnsi="仿宋" w:eastAsia="仿宋" w:cs="仿宋"/>
          <w:bCs/>
          <w:color w:val="auto"/>
          <w:sz w:val="24"/>
          <w:highlight w:val="none"/>
        </w:rPr>
        <w:t>日9时00分</w:t>
      </w:r>
    </w:p>
    <w:p w14:paraId="3BBBDD94">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2.首次响应文件提交地点：“政采云”平台（https：//www.zcygov.cn）</w:t>
      </w:r>
    </w:p>
    <w:p w14:paraId="12943B1F">
      <w:pPr>
        <w:wordWrap w:val="0"/>
        <w:snapToGrid w:val="0"/>
        <w:spacing w:line="324"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五、开启（首次响应文件开启时间）</w:t>
      </w:r>
    </w:p>
    <w:p w14:paraId="1BF5A994">
      <w:pPr>
        <w:wordWrap w:val="0"/>
        <w:snapToGrid w:val="0"/>
        <w:spacing w:line="324"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1.时间</w:t>
      </w:r>
      <w:r>
        <w:rPr>
          <w:rFonts w:hint="eastAsia" w:ascii="仿宋" w:hAnsi="仿宋" w:eastAsia="仿宋" w:cs="仿宋"/>
          <w:bCs/>
          <w:color w:val="auto"/>
          <w:sz w:val="24"/>
          <w:highlight w:val="none"/>
        </w:rPr>
        <w:t>（北京时间）</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2025年</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15</w:t>
      </w:r>
      <w:r>
        <w:rPr>
          <w:rFonts w:hint="eastAsia" w:ascii="仿宋" w:hAnsi="仿宋" w:eastAsia="仿宋" w:cs="仿宋"/>
          <w:bCs/>
          <w:color w:val="auto"/>
          <w:sz w:val="24"/>
          <w:highlight w:val="none"/>
        </w:rPr>
        <w:t>日9时00分</w:t>
      </w:r>
      <w:r>
        <w:rPr>
          <w:rFonts w:hint="eastAsia" w:ascii="仿宋" w:hAnsi="仿宋" w:eastAsia="仿宋" w:cs="仿宋"/>
          <w:color w:val="auto"/>
          <w:sz w:val="24"/>
          <w:highlight w:val="none"/>
        </w:rPr>
        <w:t>后</w:t>
      </w:r>
    </w:p>
    <w:p w14:paraId="3700512B">
      <w:pPr>
        <w:wordWrap w:val="0"/>
        <w:snapToGrid w:val="0"/>
        <w:spacing w:line="324"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2.地点：“政采云”平台开标大厅</w:t>
      </w:r>
    </w:p>
    <w:p w14:paraId="58C93826">
      <w:pPr>
        <w:wordWrap w:val="0"/>
        <w:snapToGrid w:val="0"/>
        <w:spacing w:line="324" w:lineRule="auto"/>
        <w:ind w:firstLine="482" w:firstLineChars="200"/>
        <w:rPr>
          <w:rFonts w:ascii="仿宋" w:hAnsi="仿宋" w:eastAsia="仿宋" w:cs="仿宋"/>
          <w:b/>
          <w:bCs/>
          <w:color w:val="auto"/>
          <w:sz w:val="24"/>
          <w:highlight w:val="none"/>
        </w:rPr>
      </w:pPr>
      <w:bookmarkStart w:id="20" w:name="_Toc35393625"/>
      <w:bookmarkStart w:id="21" w:name="_Toc28359007"/>
      <w:bookmarkStart w:id="22" w:name="_Toc28359084"/>
      <w:bookmarkStart w:id="23" w:name="_Toc35393794"/>
      <w:r>
        <w:rPr>
          <w:rFonts w:hint="eastAsia" w:ascii="仿宋" w:hAnsi="仿宋" w:eastAsia="仿宋" w:cs="仿宋"/>
          <w:b/>
          <w:bCs/>
          <w:color w:val="auto"/>
          <w:sz w:val="24"/>
          <w:highlight w:val="none"/>
        </w:rPr>
        <w:t>六、公告期限</w:t>
      </w:r>
      <w:bookmarkEnd w:id="20"/>
      <w:bookmarkEnd w:id="21"/>
      <w:bookmarkEnd w:id="22"/>
      <w:bookmarkEnd w:id="23"/>
    </w:p>
    <w:p w14:paraId="2C65A12F">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0069C6AC">
      <w:pPr>
        <w:wordWrap w:val="0"/>
        <w:snapToGrid w:val="0"/>
        <w:spacing w:line="324" w:lineRule="auto"/>
        <w:ind w:firstLine="482" w:firstLineChars="200"/>
        <w:rPr>
          <w:rFonts w:ascii="仿宋" w:hAnsi="仿宋" w:eastAsia="仿宋" w:cs="仿宋"/>
          <w:b/>
          <w:bCs/>
          <w:color w:val="auto"/>
          <w:sz w:val="24"/>
          <w:highlight w:val="none"/>
        </w:rPr>
      </w:pPr>
      <w:bookmarkStart w:id="24" w:name="_Toc35393795"/>
      <w:bookmarkStart w:id="25" w:name="_Toc35393626"/>
      <w:r>
        <w:rPr>
          <w:rFonts w:hint="eastAsia" w:ascii="仿宋" w:hAnsi="仿宋" w:eastAsia="仿宋" w:cs="仿宋"/>
          <w:b/>
          <w:bCs/>
          <w:color w:val="auto"/>
          <w:sz w:val="24"/>
          <w:highlight w:val="none"/>
        </w:rPr>
        <w:t>七、其他补充事宜</w:t>
      </w:r>
      <w:bookmarkEnd w:id="24"/>
      <w:bookmarkEnd w:id="25"/>
    </w:p>
    <w:p w14:paraId="4A9B1B68">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1.谈判保证金：本项目需要交纳谈判保证金。</w:t>
      </w:r>
    </w:p>
    <w:p w14:paraId="338F08F7">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投标保证金金额：</w:t>
      </w:r>
      <w:r>
        <w:rPr>
          <w:rFonts w:hint="eastAsia" w:ascii="仿宋" w:hAnsi="仿宋" w:eastAsia="仿宋" w:cs="仿宋"/>
          <w:color w:val="auto"/>
          <w:sz w:val="24"/>
          <w:highlight w:val="none"/>
          <w:u w:val="single"/>
        </w:rPr>
        <w:t>壹万元整（￥10,000.00）</w:t>
      </w:r>
      <w:r>
        <w:rPr>
          <w:rFonts w:hint="eastAsia" w:ascii="仿宋" w:hAnsi="仿宋" w:eastAsia="仿宋" w:cs="仿宋"/>
          <w:color w:val="auto"/>
          <w:sz w:val="24"/>
          <w:highlight w:val="none"/>
        </w:rPr>
        <w:t>；</w:t>
      </w:r>
    </w:p>
    <w:p w14:paraId="3F52F3A3">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投标保证金形式：银行转账、银行保函、电子保函、保险保证、担保保函等非现金形式提交。</w:t>
      </w:r>
    </w:p>
    <w:p w14:paraId="53E69BED">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投标保证金有效期：与投标有效期一致。</w:t>
      </w:r>
    </w:p>
    <w:p w14:paraId="796317DE">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1B6A97D">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（1）银行转账的必须从基本账户转出，投标文件中请提供转账汇款凭证复印件并加盖单位公章，并同时提供开户许可证或基本存款账户信息证明并加盖单位公章。</w:t>
      </w:r>
    </w:p>
    <w:p w14:paraId="342E017F">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递交截止时间：投标文件递交的截止时间；</w:t>
      </w:r>
    </w:p>
    <w:p w14:paraId="1866C17C">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用途：项目名称（可简写）投标保证金。</w:t>
      </w:r>
    </w:p>
    <w:p w14:paraId="5BEFE20D">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（2）采用银行转账形式的，投标人应于提交投标文件截止时间前将投标保证金交至以下账户：</w:t>
      </w:r>
    </w:p>
    <w:p w14:paraId="41D7973E">
      <w:pPr>
        <w:wordWrap w:val="0"/>
        <w:snapToGrid w:val="0"/>
        <w:spacing w:line="324"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开户名称：广西大融合工程咨询有限公司</w:t>
      </w:r>
    </w:p>
    <w:p w14:paraId="37517766">
      <w:pPr>
        <w:wordWrap w:val="0"/>
        <w:snapToGrid w:val="0"/>
        <w:spacing w:line="324"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开户银行：中国建设银行股份有限公司梧州河西支行</w:t>
      </w:r>
    </w:p>
    <w:p w14:paraId="72EF81FE">
      <w:pPr>
        <w:wordWrap w:val="0"/>
        <w:snapToGrid w:val="0"/>
        <w:spacing w:line="324"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账 号：45050 16486 56000 00893</w:t>
      </w:r>
    </w:p>
    <w:p w14:paraId="410521A6">
      <w:pPr>
        <w:wordWrap w:val="0"/>
        <w:snapToGrid w:val="0"/>
        <w:spacing w:line="32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（3）采用支票、汇票、本票或者保函等形式的，投标人应于提交投标文件截止时间前递交单独密封的支票、汇票、本票或者保函（电子保函除外）原件至我公司财务处。</w:t>
      </w:r>
    </w:p>
    <w:p w14:paraId="03A8CFDE">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（4）投标保证金以银行保函形式提交的，出具保函或保证保险的银行和保险公司须为中国境内注册的合法有效机构。</w:t>
      </w:r>
    </w:p>
    <w:p w14:paraId="5A6B8AE0">
      <w:pPr>
        <w:wordWrap w:val="0"/>
        <w:snapToGrid w:val="0"/>
        <w:spacing w:line="324" w:lineRule="auto"/>
        <w:ind w:firstLine="480" w:firstLineChars="200"/>
        <w:rPr>
          <w:rFonts w:ascii="仿宋" w:hAnsi="仿宋" w:eastAsia="仿宋" w:cs="仿宋"/>
          <w:color w:val="auto"/>
          <w:kern w:val="0"/>
          <w:sz w:val="24"/>
          <w:highlight w:val="none"/>
        </w:rPr>
      </w:pPr>
      <w:bookmarkStart w:id="26" w:name="_Hlk37429585"/>
      <w:bookmarkStart w:id="27" w:name="_Hlk37429595"/>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网上查询地址：</w:t>
      </w:r>
      <w:bookmarkEnd w:id="26"/>
      <w:bookmarkEnd w:id="27"/>
      <w:bookmarkStart w:id="28" w:name="_Hlk37429674"/>
      <w:r>
        <w:rPr>
          <w:rFonts w:hint="eastAsia" w:ascii="仿宋" w:hAnsi="仿宋" w:eastAsia="仿宋" w:cs="仿宋"/>
          <w:color w:val="auto"/>
          <w:kern w:val="0"/>
          <w:sz w:val="24"/>
          <w:highlight w:val="none"/>
        </w:rPr>
        <w:t>中国政府采购网、广西壮族自治区政府采购网、梧州市政府采购网</w:t>
      </w:r>
    </w:p>
    <w:p w14:paraId="2EE1D147">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本项目需要落实的政府采购政策：</w:t>
      </w:r>
      <w:bookmarkEnd w:id="28"/>
      <w:r>
        <w:rPr>
          <w:rFonts w:hint="eastAsia" w:ascii="仿宋" w:hAnsi="仿宋" w:eastAsia="仿宋" w:cs="仿宋"/>
          <w:color w:val="auto"/>
          <w:kern w:val="0"/>
          <w:sz w:val="24"/>
          <w:highlight w:val="none"/>
        </w:rPr>
        <w:t>（1）《政府采购促进中小企业发展管理办法》（财库〔2020〕46号）；（2）《关于政府采购支持监狱企业发展有关问题的通知》（财库〔2014〕68号）；（3）《关于促进残疾人就业政府采购政策的通知》（财库〔2017〕141号）；（4）《财政部国家发展改革委关于印发〈节能产品政府采购实施意见〉的通知》（财库〔2004〕185号）；（5）《财政部、国家环保总局联合印发&lt;关于环境标志产品政府采购实施的意见&gt;》（财库〔2006〕90号）。</w:t>
      </w:r>
    </w:p>
    <w:p w14:paraId="0FA0B87D">
      <w:pPr>
        <w:wordWrap w:val="0"/>
        <w:snapToGrid w:val="0"/>
        <w:spacing w:line="324"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在线投标响应（电子投标）说明</w:t>
      </w:r>
      <w:r>
        <w:rPr>
          <w:rFonts w:hint="eastAsia" w:ascii="仿宋" w:hAnsi="仿宋" w:eastAsia="仿宋" w:cs="仿宋"/>
          <w:color w:val="auto"/>
          <w:kern w:val="0"/>
          <w:sz w:val="24"/>
          <w:highlight w:val="none"/>
          <w:lang w:eastAsia="zh-CN"/>
        </w:rPr>
        <w:t>：</w:t>
      </w:r>
    </w:p>
    <w:p w14:paraId="5B699A46">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实行电子标，供应商应按照本项目采购文件和政采云平台的要求编制、加密并提交响应文件。供应商在使用系统参与谈判过程中遇到涉及平台使用的任何问题，可致电政采云平台技术支持热线咨询，联系方式：95763。</w:t>
      </w:r>
    </w:p>
    <w:p w14:paraId="3E9A9173">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（2）供应商应及时熟悉掌握电子标系统操作指南（见政采云电子卖场首页右上角-服务中心-帮助文档-项目采购）：https：//service.zcygov.cn/#/knowledges/tree?tag=AG1DtGwBFdiHxlNdhY0r。</w:t>
      </w:r>
    </w:p>
    <w:p w14:paraId="610624A0">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（3）供应商应及时完成CA申领和绑定（见广西壮族自治区政府采购网-办事服务-下载专区-政采云CA证书办理操作指南）。</w:t>
      </w:r>
    </w:p>
    <w:p w14:paraId="614D8B56">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14:paraId="2064B7AE">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（5）因未注册入库、未办理CA数字证书、CA证书故障、操作不当等原因造成无法参与或谈判失败等后果由供应商自行承担。</w:t>
      </w:r>
    </w:p>
    <w:p w14:paraId="5CDC7D8F">
      <w:pPr>
        <w:wordWrap w:val="0"/>
        <w:snapToGrid w:val="0"/>
        <w:spacing w:line="324"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响应文件网上递交截止后，政采云（电子标系统）自动提取所有响应文件，各供应商须在开启程序开始后30分钟内对上传政采云的响应文件进行解密，所有供应商在规定的解密时限内解密完成或解密时限结束后，采购代理机构开启响应文件；供应商超过解密时限的，系统默认自动放弃。</w:t>
      </w:r>
    </w:p>
    <w:p w14:paraId="0D66CDF8">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2B1A80D">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参加本次采购活动，</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响应文件需提供法人无犯罪记录承诺书加盖公章。</w:t>
      </w:r>
    </w:p>
    <w:p w14:paraId="614CCC05">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A2C9368">
      <w:pPr>
        <w:wordWrap w:val="0"/>
        <w:snapToGrid w:val="0"/>
        <w:spacing w:line="324"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kern w:val="44"/>
          <w:sz w:val="24"/>
          <w:highlight w:val="none"/>
        </w:rPr>
        <w:t>八、凡对本次采购提出询问，请按以下方式联系</w:t>
      </w:r>
    </w:p>
    <w:p w14:paraId="7747AB1D">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1.采购单位：梧州市公安局交通警察支队</w:t>
      </w:r>
    </w:p>
    <w:p w14:paraId="31C96584">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址：广西梧州市长洲区红岭路30号</w:t>
      </w:r>
    </w:p>
    <w:p w14:paraId="6D5945EA">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 系 人：林警官        </w:t>
      </w:r>
    </w:p>
    <w:p w14:paraId="619F1401">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联系电话：0774-2063813</w:t>
      </w:r>
    </w:p>
    <w:p w14:paraId="4CA7D955">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2.采购代理机构：广西大融合工程咨询有限公司</w:t>
      </w:r>
    </w:p>
    <w:p w14:paraId="65EA11EC">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址：梧州市长洲区西环路上段16号丰业山庄B区41幢</w:t>
      </w:r>
    </w:p>
    <w:p w14:paraId="43868AE6">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项目联系人：李工          </w:t>
      </w:r>
    </w:p>
    <w:p w14:paraId="7C89D867">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联系电话：0774-3888098 </w:t>
      </w:r>
    </w:p>
    <w:p w14:paraId="42EA2135">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3.监督管理部门</w:t>
      </w:r>
    </w:p>
    <w:p w14:paraId="1B56012F">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名称：梧州市财政局政府采购监督管理科 </w:t>
      </w:r>
    </w:p>
    <w:p w14:paraId="22C3A726">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联系电话：0774-3856434      </w:t>
      </w:r>
    </w:p>
    <w:p w14:paraId="6CC1A30B">
      <w:pPr>
        <w:wordWrap w:val="0"/>
        <w:snapToGrid w:val="0"/>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地址：梧州市长洲区三龙大道红岭大厦22楼</w:t>
      </w:r>
    </w:p>
    <w:p w14:paraId="4980A88F">
      <w:pPr>
        <w:snapToGrid w:val="0"/>
        <w:spacing w:line="324" w:lineRule="auto"/>
        <w:ind w:firstLine="480" w:firstLineChars="200"/>
        <w:rPr>
          <w:rFonts w:ascii="仿宋" w:hAnsi="仿宋" w:eastAsia="仿宋" w:cs="仿宋"/>
          <w:color w:val="auto"/>
          <w:sz w:val="24"/>
          <w:highlight w:val="none"/>
        </w:rPr>
      </w:pPr>
    </w:p>
    <w:p w14:paraId="1B86EB41">
      <w:pPr>
        <w:pStyle w:val="11"/>
        <w:snapToGrid w:val="0"/>
        <w:spacing w:line="324" w:lineRule="auto"/>
        <w:ind w:firstLine="480" w:firstLineChars="200"/>
        <w:rPr>
          <w:rFonts w:ascii="仿宋" w:hAnsi="仿宋" w:eastAsia="仿宋" w:cs="仿宋"/>
          <w:color w:val="auto"/>
          <w:sz w:val="24"/>
          <w:highlight w:val="none"/>
          <w:u w:val="single"/>
        </w:rPr>
      </w:pPr>
    </w:p>
    <w:p w14:paraId="3CBA1813">
      <w:pPr>
        <w:pStyle w:val="11"/>
        <w:snapToGrid w:val="0"/>
        <w:spacing w:line="324" w:lineRule="auto"/>
        <w:ind w:firstLine="480" w:firstLineChars="200"/>
        <w:jc w:val="right"/>
        <w:rPr>
          <w:rFonts w:ascii="仿宋" w:hAnsi="仿宋" w:eastAsia="仿宋" w:cs="仿宋"/>
          <w:color w:val="auto"/>
          <w:sz w:val="24"/>
          <w:highlight w:val="none"/>
          <w:u w:val="single"/>
        </w:rPr>
      </w:pPr>
    </w:p>
    <w:p w14:paraId="0B52A86C">
      <w:pPr>
        <w:snapToGrid w:val="0"/>
        <w:spacing w:line="324"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梧州市公安局交通警察支队</w:t>
      </w:r>
    </w:p>
    <w:p w14:paraId="4BF354B7">
      <w:pPr>
        <w:snapToGrid w:val="0"/>
        <w:spacing w:line="324"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广西大融合工程咨询有限公司</w:t>
      </w:r>
    </w:p>
    <w:p w14:paraId="3E825B50">
      <w:pPr>
        <w:wordWrap w:val="0"/>
        <w:snapToGrid w:val="0"/>
        <w:spacing w:line="324" w:lineRule="auto"/>
        <w:ind w:firstLine="6840" w:firstLineChars="2850"/>
        <w:jc w:val="right"/>
        <w:rPr>
          <w:rFonts w:ascii="仿宋" w:hAnsi="仿宋" w:eastAsia="仿宋" w:cs="仿宋"/>
          <w:color w:val="auto"/>
          <w:sz w:val="24"/>
          <w:highlight w:val="none"/>
        </w:rPr>
      </w:pPr>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p>
    <w:p w14:paraId="2CBDCB2F">
      <w:pPr>
        <w:snapToGrid w:val="0"/>
        <w:spacing w:line="324" w:lineRule="auto"/>
        <w:ind w:firstLine="6840" w:firstLineChars="2850"/>
        <w:jc w:val="right"/>
        <w:rPr>
          <w:rFonts w:ascii="仿宋" w:hAnsi="仿宋" w:eastAsia="仿宋" w:cs="仿宋"/>
          <w:color w:val="auto"/>
          <w:sz w:val="24"/>
          <w:highlight w:val="none"/>
        </w:rPr>
        <w:sectPr>
          <w:footerReference r:id="rId7" w:type="default"/>
          <w:pgSz w:w="11911" w:h="16838"/>
          <w:pgMar w:top="1338" w:right="1502" w:bottom="850" w:left="1678" w:header="1077" w:footer="720" w:gutter="0"/>
          <w:pgNumType w:start="1"/>
          <w:cols w:space="720" w:num="1"/>
        </w:sectPr>
      </w:pPr>
    </w:p>
    <w:p w14:paraId="4AC322D3">
      <w:pPr>
        <w:pStyle w:val="2"/>
        <w:spacing w:before="0" w:after="0" w:line="360" w:lineRule="auto"/>
        <w:jc w:val="center"/>
        <w:rPr>
          <w:rFonts w:ascii="仿宋" w:hAnsi="仿宋" w:eastAsia="仿宋" w:cs="仿宋"/>
          <w:b/>
          <w:bCs/>
          <w:color w:val="auto"/>
          <w:sz w:val="32"/>
          <w:szCs w:val="32"/>
          <w:highlight w:val="none"/>
        </w:rPr>
      </w:pPr>
      <w:bookmarkStart w:id="29" w:name="_Toc7778"/>
      <w:bookmarkStart w:id="30" w:name="_Toc22197"/>
      <w:r>
        <w:rPr>
          <w:rFonts w:hint="eastAsia" w:ascii="仿宋" w:hAnsi="仿宋" w:eastAsia="仿宋" w:cs="仿宋"/>
          <w:b/>
          <w:bCs/>
          <w:color w:val="auto"/>
          <w:sz w:val="32"/>
          <w:szCs w:val="32"/>
          <w:highlight w:val="none"/>
        </w:rPr>
        <w:t>第二章 采购需求</w:t>
      </w:r>
      <w:bookmarkEnd w:id="29"/>
      <w:bookmarkEnd w:id="30"/>
    </w:p>
    <w:p w14:paraId="1C7426D9">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一、采购项目编号：</w:t>
      </w:r>
    </w:p>
    <w:p w14:paraId="05AC8F19">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二、采购项目类别：货物类</w:t>
      </w:r>
    </w:p>
    <w:p w14:paraId="572CA247">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三、采购项目需求一览表：</w:t>
      </w:r>
    </w:p>
    <w:p w14:paraId="2ADC1833">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说明：</w:t>
      </w:r>
    </w:p>
    <w:p w14:paraId="60E9132D">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本章中的“采购内容”为实质性采购内容，性能不满足的视为负偏离，</w:t>
      </w:r>
      <w:r>
        <w:rPr>
          <w:rFonts w:hint="eastAsia" w:ascii="仿宋" w:hAnsi="仿宋" w:eastAsia="仿宋" w:cs="仿宋"/>
          <w:bCs/>
          <w:color w:val="auto"/>
          <w:sz w:val="24"/>
          <w:highlight w:val="none"/>
          <w:lang w:val="en-US" w:eastAsia="zh-CN"/>
        </w:rPr>
        <w:t>出现</w:t>
      </w:r>
      <w:r>
        <w:rPr>
          <w:rFonts w:hint="eastAsia" w:ascii="仿宋" w:hAnsi="仿宋" w:eastAsia="仿宋" w:cs="仿宋"/>
          <w:bCs/>
          <w:color w:val="auto"/>
          <w:sz w:val="24"/>
          <w:highlight w:val="none"/>
        </w:rPr>
        <w:t>负偏离</w:t>
      </w:r>
      <w:r>
        <w:rPr>
          <w:rFonts w:hint="eastAsia" w:ascii="仿宋" w:hAnsi="仿宋" w:eastAsia="仿宋" w:cs="仿宋"/>
          <w:bCs/>
          <w:color w:val="auto"/>
          <w:sz w:val="24"/>
          <w:highlight w:val="none"/>
          <w:lang w:val="en-US" w:eastAsia="zh-CN"/>
        </w:rPr>
        <w:t>项视为</w:t>
      </w:r>
      <w:r>
        <w:rPr>
          <w:rFonts w:hint="eastAsia" w:ascii="仿宋" w:hAnsi="仿宋" w:eastAsia="仿宋" w:cs="仿宋"/>
          <w:bCs/>
          <w:color w:val="auto"/>
          <w:sz w:val="24"/>
          <w:highlight w:val="none"/>
        </w:rPr>
        <w:t>竞标无效；参考型号规格或配置技术参数中标记“▲”的参数要求，供应商</w:t>
      </w:r>
      <w:r>
        <w:rPr>
          <w:rFonts w:hint="eastAsia" w:ascii="仿宋" w:hAnsi="仿宋" w:eastAsia="仿宋" w:cs="仿宋"/>
          <w:bCs/>
          <w:color w:val="auto"/>
          <w:sz w:val="24"/>
          <w:highlight w:val="none"/>
          <w:u w:val="none"/>
          <w:lang w:eastAsia="zh-CN"/>
        </w:rPr>
        <w:t>需提供国家有关部委机关出具的检测(检验)</w:t>
      </w:r>
      <w:r>
        <w:rPr>
          <w:rFonts w:hint="eastAsia" w:ascii="仿宋" w:hAnsi="仿宋" w:eastAsia="仿宋" w:cs="仿宋"/>
          <w:bCs/>
          <w:color w:val="auto"/>
          <w:sz w:val="24"/>
          <w:highlight w:val="none"/>
          <w:u w:val="none"/>
          <w:lang w:val="en-US" w:eastAsia="zh-CN"/>
        </w:rPr>
        <w:t>报告复印件</w:t>
      </w:r>
      <w:r>
        <w:rPr>
          <w:rFonts w:hint="eastAsia" w:ascii="仿宋" w:hAnsi="仿宋" w:eastAsia="仿宋" w:cs="仿宋"/>
          <w:bCs/>
          <w:color w:val="auto"/>
          <w:sz w:val="24"/>
          <w:highlight w:val="none"/>
          <w:u w:val="none"/>
          <w:lang w:eastAsia="zh-CN"/>
        </w:rPr>
        <w:t>等证明材料</w:t>
      </w:r>
      <w:r>
        <w:rPr>
          <w:rFonts w:hint="eastAsia" w:ascii="仿宋" w:hAnsi="仿宋" w:eastAsia="仿宋" w:cs="仿宋"/>
          <w:b w:val="0"/>
          <w:bCs/>
          <w:color w:val="auto"/>
          <w:sz w:val="24"/>
          <w:highlight w:val="none"/>
          <w:u w:val="none"/>
          <w:lang w:eastAsia="zh-CN"/>
        </w:rPr>
        <w:t>（</w:t>
      </w:r>
      <w:r>
        <w:rPr>
          <w:rFonts w:hint="eastAsia" w:ascii="仿宋" w:hAnsi="仿宋" w:eastAsia="仿宋" w:cs="仿宋"/>
          <w:b w:val="0"/>
          <w:bCs/>
          <w:color w:val="auto"/>
          <w:sz w:val="24"/>
          <w:highlight w:val="none"/>
          <w:u w:val="none"/>
          <w:lang w:val="en-US" w:eastAsia="zh-CN"/>
        </w:rPr>
        <w:t>必须提供，</w:t>
      </w:r>
      <w:r>
        <w:rPr>
          <w:rFonts w:hint="eastAsia" w:ascii="仿宋" w:hAnsi="仿宋" w:eastAsia="仿宋" w:cs="仿宋"/>
          <w:b w:val="0"/>
          <w:bCs/>
          <w:color w:val="auto"/>
          <w:kern w:val="0"/>
          <w:sz w:val="24"/>
          <w:highlight w:val="none"/>
          <w:lang w:val="zh-CN"/>
        </w:rPr>
        <w:t>否则其响应作无效响应处理</w:t>
      </w:r>
      <w:r>
        <w:rPr>
          <w:rFonts w:hint="eastAsia" w:ascii="仿宋" w:hAnsi="仿宋" w:eastAsia="仿宋" w:cs="仿宋"/>
          <w:b w:val="0"/>
          <w:bCs/>
          <w:color w:val="auto"/>
          <w:sz w:val="24"/>
          <w:highlight w:val="none"/>
          <w:u w:val="none"/>
          <w:lang w:eastAsia="zh-CN"/>
        </w:rPr>
        <w:t>）</w:t>
      </w:r>
      <w:r>
        <w:rPr>
          <w:rFonts w:hint="eastAsia" w:ascii="仿宋" w:hAnsi="仿宋" w:eastAsia="仿宋" w:cs="仿宋"/>
          <w:bCs/>
          <w:color w:val="auto"/>
          <w:sz w:val="24"/>
          <w:highlight w:val="none"/>
          <w:lang w:eastAsia="zh-CN"/>
        </w:rPr>
        <w:t>。</w:t>
      </w:r>
    </w:p>
    <w:p w14:paraId="6EC3F18D">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2、本章中“采购内容”不明确或有误的，请以详细正确的技术参数及配置同时填写竞标报价表和技术响应表。</w:t>
      </w:r>
    </w:p>
    <w:p w14:paraId="3E9F7EDA">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3、凡在“采购内容”中表述为“标配”或“标准配置”的设备，供应商应在响应文件中将其标配参数详细列明。</w:t>
      </w:r>
    </w:p>
    <w:p w14:paraId="3219C72B">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4、表中的外形尺寸和重量仅供参考。</w:t>
      </w:r>
    </w:p>
    <w:p w14:paraId="768F5200">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5、供应商所竞标的产品必须是符合国家和行业标准的全新产品，所提供的货物或服务必须符合国家和行业标准。</w:t>
      </w:r>
    </w:p>
    <w:p w14:paraId="331B0CC0">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6、本章中的采购内容，应视为保证涉及设备运行所需的最低要求</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如有遗漏，供应商竞标时应在响应文件中予以补充；否则，一旦成交将视为供应商认同遗漏部分并按要求提供。</w:t>
      </w:r>
    </w:p>
    <w:p w14:paraId="0280A847">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投标人的投标货物须使用政府强制采购的节能产品，投标人须在投标文件中提供所投标产品的节能产品认证证书复印件（加盖投标人电子签章），否则谈判无效。</w:t>
      </w:r>
    </w:p>
    <w:p w14:paraId="692C5AA4">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8、成交供应商须承诺：成交供应商负责本项目</w:t>
      </w:r>
      <w:r>
        <w:rPr>
          <w:rFonts w:hint="eastAsia" w:ascii="仿宋" w:hAnsi="仿宋" w:eastAsia="仿宋" w:cs="仿宋"/>
          <w:bCs/>
          <w:color w:val="auto"/>
          <w:sz w:val="24"/>
          <w:highlight w:val="none"/>
        </w:rPr>
        <w:t>所有设备安装、调试及无缝对接支队现有智能交通管控平台，保证</w:t>
      </w:r>
      <w:r>
        <w:rPr>
          <w:rFonts w:hint="eastAsia" w:ascii="仿宋" w:hAnsi="仿宋" w:eastAsia="仿宋" w:cs="仿宋"/>
          <w:color w:val="auto"/>
          <w:sz w:val="24"/>
          <w:highlight w:val="none"/>
        </w:rPr>
        <w:t>前端设备的视频、车辆过车抓拍记录、车辆过车抓拍图片、车辆违法行为记录、车辆违法行为单张图片、车辆违法行为合成图片、违法停车提醒记录等数据，能够在智能交通管控平台存储、转发、调用；在完成系统调试后，相应设备的实时视频可预览、可解码上墙，历史录像可查询、可回放，过车记录、违法记录可查询、可导出，可实时布控；过车数据可通过智能交通平台实时推送至公安集成指挥平台实现缉查布控业务，违法停车提醒信息记录可通过智能交通平台实时推送至公安集成指挥平台实现预违停短信告知业务；机动车违法行为数据可在当日内通过智能交通平台推送至公安集成指挥平台实现非现场违法数据审核业务</w:t>
      </w:r>
      <w:r>
        <w:rPr>
          <w:rFonts w:hint="eastAsia" w:ascii="仿宋" w:hAnsi="仿宋" w:eastAsia="仿宋" w:cs="仿宋"/>
          <w:b w:val="0"/>
          <w:bCs/>
          <w:color w:val="auto"/>
          <w:sz w:val="24"/>
          <w:highlight w:val="none"/>
          <w:u w:val="none"/>
          <w:lang w:eastAsia="zh-CN"/>
        </w:rPr>
        <w:t>（</w:t>
      </w:r>
      <w:r>
        <w:rPr>
          <w:rFonts w:hint="eastAsia" w:ascii="仿宋" w:hAnsi="仿宋" w:eastAsia="仿宋" w:cs="仿宋"/>
          <w:b w:val="0"/>
          <w:bCs/>
          <w:color w:val="auto"/>
          <w:sz w:val="24"/>
          <w:highlight w:val="none"/>
          <w:u w:val="none"/>
          <w:lang w:val="en-US" w:eastAsia="zh-CN"/>
        </w:rPr>
        <w:t>必须提供，</w:t>
      </w:r>
      <w:r>
        <w:rPr>
          <w:rFonts w:hint="eastAsia" w:ascii="仿宋" w:hAnsi="仿宋" w:eastAsia="仿宋" w:cs="仿宋"/>
          <w:b w:val="0"/>
          <w:bCs/>
          <w:color w:val="auto"/>
          <w:kern w:val="0"/>
          <w:sz w:val="24"/>
          <w:highlight w:val="none"/>
          <w:lang w:val="zh-CN"/>
        </w:rPr>
        <w:t>否则其响应作无效响应处理</w:t>
      </w:r>
      <w:r>
        <w:rPr>
          <w:rFonts w:hint="eastAsia" w:ascii="仿宋" w:hAnsi="仿宋" w:eastAsia="仿宋" w:cs="仿宋"/>
          <w:b w:val="0"/>
          <w:bCs/>
          <w:color w:val="auto"/>
          <w:sz w:val="24"/>
          <w:highlight w:val="none"/>
          <w:u w:val="none"/>
          <w:lang w:eastAsia="zh-CN"/>
        </w:rPr>
        <w:t>）</w:t>
      </w:r>
      <w:r>
        <w:rPr>
          <w:rFonts w:hint="eastAsia" w:ascii="仿宋" w:hAnsi="仿宋" w:eastAsia="仿宋" w:cs="仿宋"/>
          <w:color w:val="auto"/>
          <w:sz w:val="24"/>
          <w:highlight w:val="none"/>
          <w:lang w:eastAsia="zh-CN"/>
        </w:rPr>
        <w:t>。</w:t>
      </w:r>
    </w:p>
    <w:p w14:paraId="1CB16E26">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、本项目的核心产品为：</w:t>
      </w:r>
      <w:r>
        <w:rPr>
          <w:rFonts w:hint="eastAsia" w:ascii="仿宋" w:hAnsi="仿宋" w:eastAsia="仿宋" w:cs="仿宋"/>
          <w:bCs/>
          <w:color w:val="auto"/>
          <w:sz w:val="24"/>
          <w:highlight w:val="none"/>
          <w:u w:val="single"/>
        </w:rPr>
        <w:t>云存储管理设备</w:t>
      </w:r>
      <w:r>
        <w:rPr>
          <w:rFonts w:hint="eastAsia" w:ascii="仿宋" w:hAnsi="仿宋" w:eastAsia="仿宋" w:cs="仿宋"/>
          <w:color w:val="auto"/>
          <w:sz w:val="24"/>
          <w:highlight w:val="none"/>
          <w:u w:val="single"/>
        </w:rPr>
        <w:t>。</w:t>
      </w:r>
    </w:p>
    <w:p w14:paraId="042D6195">
      <w:pPr>
        <w:rPr>
          <w:rFonts w:ascii="仿宋" w:hAnsi="仿宋" w:eastAsia="仿宋" w:cs="仿宋"/>
          <w:color w:val="auto"/>
          <w:sz w:val="24"/>
          <w:szCs w:val="32"/>
          <w:highlight w:val="none"/>
        </w:rPr>
      </w:pPr>
    </w:p>
    <w:p w14:paraId="5A9BEB1D">
      <w:pPr>
        <w:rPr>
          <w:color w:val="auto"/>
          <w:highlight w:val="none"/>
        </w:rPr>
      </w:pPr>
    </w:p>
    <w:p w14:paraId="68FC5B8A">
      <w:pPr>
        <w:rPr>
          <w:color w:val="auto"/>
          <w:highlight w:val="none"/>
        </w:rPr>
      </w:pPr>
    </w:p>
    <w:p w14:paraId="1E4817B7">
      <w:pPr>
        <w:spacing w:line="560" w:lineRule="exact"/>
        <w:jc w:val="center"/>
        <w:rPr>
          <w:rFonts w:ascii="楷体" w:hAnsi="楷体" w:eastAsia="楷体"/>
          <w:color w:val="auto"/>
          <w:sz w:val="32"/>
          <w:szCs w:val="32"/>
          <w:highlight w:val="none"/>
        </w:rPr>
      </w:pPr>
      <w:r>
        <w:rPr>
          <w:rFonts w:hint="eastAsia" w:ascii="楷体" w:hAnsi="楷体" w:eastAsia="楷体"/>
          <w:color w:val="auto"/>
          <w:sz w:val="32"/>
          <w:szCs w:val="32"/>
          <w:highlight w:val="none"/>
        </w:rPr>
        <w:br w:type="page"/>
      </w:r>
      <w:r>
        <w:rPr>
          <w:rFonts w:hint="eastAsia" w:ascii="仿宋" w:hAnsi="仿宋" w:eastAsia="仿宋" w:cs="仿宋"/>
          <w:b/>
          <w:bCs/>
          <w:color w:val="auto"/>
          <w:sz w:val="32"/>
          <w:szCs w:val="32"/>
          <w:highlight w:val="none"/>
        </w:rPr>
        <w:t>技术商务要求</w:t>
      </w:r>
    </w:p>
    <w:p w14:paraId="29E89AD1">
      <w:pPr>
        <w:pStyle w:val="83"/>
        <w:numPr>
          <w:ilvl w:val="0"/>
          <w:numId w:val="0"/>
        </w:numPr>
        <w:spacing w:line="560" w:lineRule="exact"/>
        <w:ind w:left="720" w:leftChars="0" w:hanging="720" w:firstLineChars="0"/>
        <w:jc w:val="center"/>
        <w:rPr>
          <w:rFonts w:ascii="仿宋" w:hAnsi="仿宋" w:eastAsia="仿宋" w:cs="仿宋"/>
          <w:color w:val="auto"/>
          <w:sz w:val="28"/>
          <w:szCs w:val="28"/>
          <w:highlight w:val="none"/>
        </w:rPr>
      </w:pPr>
      <w:r>
        <w:rPr>
          <w:rFonts w:hint="default" w:ascii="仿宋" w:hAnsi="仿宋" w:eastAsia="仿宋" w:cs="仿宋"/>
          <w:color w:val="auto"/>
          <w:kern w:val="2"/>
          <w:sz w:val="28"/>
          <w:szCs w:val="28"/>
          <w:highlight w:val="none"/>
          <w:lang w:val="en-US" w:eastAsia="zh-CN" w:bidi="ar-SA"/>
        </w:rPr>
        <w:t>（1）</w:t>
      </w:r>
      <w:r>
        <w:rPr>
          <w:rFonts w:hint="eastAsia" w:ascii="仿宋" w:hAnsi="仿宋" w:eastAsia="仿宋" w:cs="仿宋"/>
          <w:color w:val="auto"/>
          <w:sz w:val="28"/>
          <w:szCs w:val="28"/>
          <w:highlight w:val="none"/>
        </w:rPr>
        <w:t>技术要求</w:t>
      </w:r>
    </w:p>
    <w:tbl>
      <w:tblPr>
        <w:tblStyle w:val="31"/>
        <w:tblW w:w="0" w:type="auto"/>
        <w:tblInd w:w="93" w:type="dxa"/>
        <w:tblLayout w:type="autofit"/>
        <w:tblCellMar>
          <w:top w:w="0" w:type="dxa"/>
          <w:left w:w="108" w:type="dxa"/>
          <w:bottom w:w="0" w:type="dxa"/>
          <w:right w:w="108" w:type="dxa"/>
        </w:tblCellMar>
      </w:tblPr>
      <w:tblGrid>
        <w:gridCol w:w="550"/>
        <w:gridCol w:w="757"/>
        <w:gridCol w:w="998"/>
        <w:gridCol w:w="601"/>
        <w:gridCol w:w="4403"/>
        <w:gridCol w:w="550"/>
        <w:gridCol w:w="497"/>
        <w:gridCol w:w="498"/>
      </w:tblGrid>
      <w:tr w14:paraId="7BB7847D">
        <w:tblPrEx>
          <w:tblCellMar>
            <w:top w:w="0" w:type="dxa"/>
            <w:left w:w="108" w:type="dxa"/>
            <w:bottom w:w="0" w:type="dxa"/>
            <w:right w:w="108" w:type="dxa"/>
          </w:tblCellMar>
        </w:tblPrEx>
        <w:trPr>
          <w:trHeight w:val="840" w:hRule="atLeast"/>
        </w:trPr>
        <w:tc>
          <w:tcPr>
            <w:tcW w:w="0" w:type="auto"/>
            <w:gridSpan w:val="8"/>
            <w:tcBorders>
              <w:top w:val="nil"/>
              <w:left w:val="nil"/>
              <w:bottom w:val="nil"/>
              <w:right w:val="nil"/>
            </w:tcBorders>
            <w:shd w:val="clear" w:color="auto" w:fill="auto"/>
            <w:noWrap/>
            <w:vAlign w:val="center"/>
          </w:tcPr>
          <w:p w14:paraId="5805F2FC">
            <w:pPr>
              <w:keepNext w:val="0"/>
              <w:keepLines w:val="0"/>
              <w:pageBreakBefore w:val="0"/>
              <w:kinsoku/>
              <w:overflowPunct/>
              <w:topLinePunct w:val="0"/>
              <w:autoSpaceDE/>
              <w:autoSpaceDN/>
              <w:bidi w:val="0"/>
              <w:adjustRightInd/>
              <w:spacing w:line="360" w:lineRule="auto"/>
              <w:ind w:firstLine="0" w:firstLineChars="0"/>
              <w:jc w:val="center"/>
              <w:rPr>
                <w:rFonts w:ascii="宋体" w:hAnsi="宋体" w:cs="宋体"/>
                <w:b/>
                <w:bCs/>
                <w:color w:val="auto"/>
                <w:sz w:val="40"/>
                <w:szCs w:val="40"/>
                <w:highlight w:val="none"/>
              </w:rPr>
            </w:pPr>
            <w:r>
              <w:rPr>
                <w:rFonts w:hint="eastAsia" w:ascii="仿宋" w:hAnsi="仿宋" w:eastAsia="仿宋" w:cs="仿宋"/>
                <w:color w:val="auto"/>
                <w:sz w:val="28"/>
                <w:szCs w:val="28"/>
                <w:highlight w:val="none"/>
              </w:rPr>
              <w:br w:type="page"/>
            </w:r>
            <w:r>
              <w:rPr>
                <w:rFonts w:hint="eastAsia" w:ascii="宋体" w:hAnsi="宋体" w:cs="宋体"/>
                <w:b/>
                <w:bCs/>
                <w:color w:val="auto"/>
                <w:kern w:val="0"/>
                <w:sz w:val="40"/>
                <w:szCs w:val="40"/>
                <w:highlight w:val="none"/>
                <w:lang w:bidi="ar"/>
              </w:rPr>
              <w:t>梧州市公安局交警支队增设电子监控设备货物采购项目政府采购计划表</w:t>
            </w:r>
          </w:p>
        </w:tc>
      </w:tr>
      <w:tr w14:paraId="5B9F5B8F">
        <w:tblPrEx>
          <w:tblCellMar>
            <w:top w:w="0" w:type="dxa"/>
            <w:left w:w="108" w:type="dxa"/>
            <w:bottom w:w="0" w:type="dxa"/>
            <w:right w:w="108" w:type="dxa"/>
          </w:tblCellMar>
        </w:tblPrEx>
        <w:trPr>
          <w:trHeight w:val="620" w:hRule="atLeast"/>
        </w:trPr>
        <w:tc>
          <w:tcPr>
            <w:tcW w:w="0" w:type="auto"/>
            <w:gridSpan w:val="7"/>
            <w:tcBorders>
              <w:top w:val="single" w:color="000000" w:sz="4" w:space="0"/>
              <w:left w:val="single" w:color="000000" w:sz="4" w:space="0"/>
              <w:bottom w:val="single" w:color="000000" w:sz="4" w:space="0"/>
              <w:right w:val="nil"/>
            </w:tcBorders>
            <w:shd w:val="clear" w:color="auto" w:fill="auto"/>
            <w:noWrap/>
            <w:vAlign w:val="center"/>
          </w:tcPr>
          <w:p w14:paraId="6A777E4D">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F923D">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BDADA09">
        <w:tblPrEx>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E17246">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CBFB6">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18ED3">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8E769">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采购品目编码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5966A">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参考型号规格或配置技术参数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C6A10">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89DF4">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8FA13">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color w:val="auto"/>
                <w:sz w:val="24"/>
                <w:highlight w:val="none"/>
              </w:rPr>
            </w:pPr>
          </w:p>
        </w:tc>
      </w:tr>
      <w:tr w14:paraId="3362D80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6B9EB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D603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梧州市公安局交通警察支队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05DB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1600万电子警察抓拍一体机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E850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CA835">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1、包含摄像机、镜头(像面尺寸：1.1英寸；</w:t>
            </w:r>
          </w:p>
          <w:p w14:paraId="04A4C863">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镜头焦距：16mm；</w:t>
            </w:r>
          </w:p>
          <w:p w14:paraId="61A8C762">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镜头像素：1600W；</w:t>
            </w:r>
          </w:p>
          <w:p w14:paraId="204ECD97">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光圈孔径：F1.4；</w:t>
            </w:r>
          </w:p>
          <w:p w14:paraId="06C1D506">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红外功能：支持；</w:t>
            </w:r>
          </w:p>
          <w:p w14:paraId="340BC779">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光学总长：96.6mm±0.5mm(in air)；</w:t>
            </w:r>
          </w:p>
          <w:p w14:paraId="2CF1D4E3">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机械后焦：11.72±0.2mm(in air)；</w:t>
            </w:r>
          </w:p>
          <w:p w14:paraId="7ED48374">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视场角：1.1英寸：61.4°×51.2°×33.8°（@17.56×14.47×9.94mm）1英寸：56.8°×50°×26.8°（@16.1×14.13×7.45mm）；</w:t>
            </w:r>
          </w:p>
          <w:p w14:paraId="59173FFA">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接口类型：C；</w:t>
            </w:r>
          </w:p>
          <w:p w14:paraId="1039E4CC">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毛重：0.44kg±0.01kg；</w:t>
            </w:r>
          </w:p>
          <w:p w14:paraId="17B816A5">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外形尺寸：Ф46.7×79.1mm；</w:t>
            </w:r>
          </w:p>
          <w:p w14:paraId="360E5D01">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工作温度：-30℃~+70℃；</w:t>
            </w:r>
          </w:p>
          <w:p w14:paraId="72F07932">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工作湿度：95%RH)、室外防护罩、电源适配器等组成。</w:t>
            </w:r>
          </w:p>
          <w:p w14:paraId="0AD321D4">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2、采用1.1英寸图像传感器，像素≥1600万，视频分辨率不低于5320×3040，抓图分辨率不低于5320×3040。</w:t>
            </w:r>
          </w:p>
          <w:p w14:paraId="65443CEB">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3、支持通过视频触发进行车辆抓拍，支持车牌识别、车身颜色识别、车型识别，通行车辆信息捕获和违章检测功能；支持≥5个车道机动车违法监测抓拍。</w:t>
            </w:r>
          </w:p>
          <w:p w14:paraId="49EE47F7">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4、具有倾斜护罩去除鬼影效果。</w:t>
            </w:r>
          </w:p>
          <w:p w14:paraId="055EE1AD">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5、支持单快门、双快门(半帧率/全帧率)、三快门共三种快门方式；具有抓拍快门、视频快门、识别快门共三种快门方式；支持快门自适应，支持快门1/25s~1/100000s可调。</w:t>
            </w:r>
          </w:p>
          <w:p w14:paraId="18F8674B">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6、支持配合外接补光灯控制使用，支持自动模式配置(时控、光控)，支持轮流闪，关联闪，支持卡口违章分开补光，视频补光。</w:t>
            </w:r>
          </w:p>
          <w:p w14:paraId="2D2C75D6">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电子警察模式下支持闯红灯、压白线、逆行、超速、黄牌占道、违法停车、不按导向箭头行驶、违法变道、压黄线、有车占道、不按车道行驶、违法左转、违法右转、违法掉头、压停止线、左转不礼让直行、大弯小转、车辆排队加塞、右转不礼让横向直行、右转不礼让直行行人、禁货、黄网格违法停车、不按规定使用转向灯等违法行为行为检测；卡口模式下支持黄牌占道、超速、欠速、压白线、逆行、有车占道、违法变道、压黄线、不按车道行驶、主驾驶员不系安全带、副驾驶员不系安全带、驾驶员抽烟、驾驶员打电话、车辆排队加塞、禁货、违法停车、车牌污损等违法行为检测。</w:t>
            </w:r>
          </w:p>
          <w:p w14:paraId="28616324">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8、支持大场景5车道闯红灯抓拍，闯红灯抓拍第一/二张图车牌清晰可见，其中第一张图车辆在停止线前，第二张图车辆越过停止线，第三张图车辆较第二张有明显位移，第二张图车牌像素可达100。</w:t>
            </w:r>
          </w:p>
          <w:p w14:paraId="586CBAEE">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9、支持配合外接补光灯控制使用，支持闪光灯和频闪灯同步补光。</w:t>
            </w:r>
          </w:p>
          <w:p w14:paraId="64CD7286">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10、支持自动采集车道、车流量、平均速度、车辆类型、占有率、平均车头时距、平均排队长度、时间段等交通信息数据并进行统计，支持自动上传采集的交通信息数据，上传时间间隔可设置。</w:t>
            </w:r>
          </w:p>
          <w:p w14:paraId="63D82B56">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11、支持自动画线功能，可自动识别并画出车道线、抓拍检测线。</w:t>
            </w:r>
          </w:p>
          <w:p w14:paraId="771C49C5">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12、支持对信号灯不亮进行检测，检测到该异常后可进行报警；支持对信号灯整个灯组都亮度不足进行检测，检测到该异常后可进行报警。</w:t>
            </w:r>
          </w:p>
          <w:p w14:paraId="0CFFE6BB">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13、Web界面支持配置合成图的时间，合成图时间可选择第1张或者最后1张的时间在OSD上进行叠加。</w:t>
            </w:r>
          </w:p>
          <w:p w14:paraId="63FC0A41">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14、支持透明串口传输功能，开启摄像机透明串口服务功能后，在补光灯串口只连接本摄像机的情况下，可直接采用外部补光灯调试软件对补光灯进行参数读取和调试。</w:t>
            </w:r>
          </w:p>
          <w:p w14:paraId="7339B899">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15、具有2个独立MAC、物理隔离的RJ-45以太网口，支持10/100/1000M网络数据传输。</w:t>
            </w:r>
          </w:p>
          <w:p w14:paraId="52B317EC">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16、提供其他外部接口包括不仅限于7个外置灯接口，2个USB3.0接口，1个北斗接口，4个RS-232接口，2个RS-485接口，4个报警输入接口，2个报警输出接口，1个音频输入接口，1个音频输出接口。</w:t>
            </w:r>
          </w:p>
          <w:p w14:paraId="76206F0F">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17、支持非法登录监测并报警输出。</w:t>
            </w:r>
          </w:p>
          <w:p w14:paraId="014F2966">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18、支持防火墙设置，只允许特定IP、MAC 地址，特定设备端口进行访问，并具有防半连接，网络访问，禁止ping功能。</w:t>
            </w:r>
          </w:p>
          <w:p w14:paraId="3B4D166A">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19、支持HTTP\RTSP\HTTPS\SSH端口修改功能。</w:t>
            </w:r>
          </w:p>
          <w:p w14:paraId="399B6FA1">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20、支持会话连接超限，并报警提示功能；支持安全异常监测并进行报警输出设置功能，包括非法可执行程序尝试运行、会话ID暴力破解，Web路径暴力破解。</w:t>
            </w:r>
          </w:p>
          <w:p w14:paraId="3D3FEBF5">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21、支持密码重置功能，可设置密码更新周期，周期可设置30天、60天、90天、180天、自定义与无期限等。</w:t>
            </w:r>
          </w:p>
          <w:p w14:paraId="4532499D">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22、具有网络防雷和防浪涌功能。</w:t>
            </w:r>
          </w:p>
          <w:p w14:paraId="4AA99CBE">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23、供电方式：100–240VAC（50Hz），功耗≤35W。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BB26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D752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FDA84D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02867743">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0DC54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EF18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4302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900万电子警察抓拍一体机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EA6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B711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1、包含摄像机、镜头（像面尺寸：1.1英寸；</w:t>
            </w:r>
          </w:p>
          <w:p w14:paraId="1E655E4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镜头焦距：16mm；</w:t>
            </w:r>
          </w:p>
          <w:p w14:paraId="5E33BF7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镜头像素：1200万像素；</w:t>
            </w:r>
          </w:p>
          <w:p w14:paraId="7C97B5B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光圈孔径：F1.0；</w:t>
            </w:r>
          </w:p>
          <w:p w14:paraId="3734FF2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红外功能：不支持；</w:t>
            </w:r>
          </w:p>
          <w:p w14:paraId="0F2CED0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光学总长：113.3mm；</w:t>
            </w:r>
          </w:p>
          <w:p w14:paraId="3B4BB77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机械后焦：11.65mm(in air)；</w:t>
            </w:r>
          </w:p>
          <w:p w14:paraId="1826562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视场角：1.1英寸：59.9°×50.1°×34.9°@17.55mm*14.47mm*9.936mm；1英寸：55°*49°*26.3° @16.1mm*14.13mm*7.45mm；</w:t>
            </w:r>
          </w:p>
          <w:p w14:paraId="4526904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畸变：-6%（1.1"）；</w:t>
            </w:r>
          </w:p>
          <w:p w14:paraId="3B0C621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接口类型：C接口；</w:t>
            </w:r>
          </w:p>
          <w:p w14:paraId="547D56B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产品尺寸：Φ64mm*103.9mm；</w:t>
            </w:r>
          </w:p>
          <w:p w14:paraId="70D59EA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毛重：800g；</w:t>
            </w:r>
          </w:p>
          <w:p w14:paraId="3E9FF1F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工作温度：-30℃~+70℃；</w:t>
            </w:r>
          </w:p>
          <w:p w14:paraId="0D1EC6B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工作湿度：≤95%RH)、室外防护罩、电源适配器等组成。</w:t>
            </w:r>
          </w:p>
          <w:p w14:paraId="4B46393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2、采用1.1英寸图像传感器，像素≥900万，视频分辨率不低于4096×2336，抓图分辨率不低于4096×2336。</w:t>
            </w:r>
          </w:p>
          <w:p w14:paraId="71460CB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3、支持通过视频触发进行车辆抓拍，支持车牌识别、车身颜色识别、车型识别，通行车辆信息捕获和违章检测功能。</w:t>
            </w:r>
          </w:p>
          <w:p w14:paraId="644DC92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4、支持粤港澳三地车牌识别。</w:t>
            </w:r>
          </w:p>
          <w:p w14:paraId="2FE59F0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5、支持检测并跟踪指定区域内不少于220个目标，目标包括机动车、非机动车以及行人等。</w:t>
            </w:r>
          </w:p>
          <w:p w14:paraId="2A21969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安全模块扫描，可检测并显示音视频加密传输、安全预警、可信保护、攻击防御等模块启用状态；支持用户及服务检测扫描，包括用户状态、配置安全、登陆认证等，并会根据扫描结果进行优化建议提醒。</w:t>
            </w:r>
          </w:p>
          <w:p w14:paraId="01A5D38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电子警察模式下支持闯红灯、压白线、逆行、超速、黄牌占道、违法停车、不按导向箭头行驶、违法变道、压黄线、有车占道、不按车道行驶、违法左转、违法右转、违法掉头、压停止线、左转不礼让直行、大弯小转、车辆排队加塞、右转不礼让横向直行、右转不礼让直行行人、禁货、黄网格违法停车、不按规定使用转向灯、未礼让行人等违法行为行为检测；卡口模式下支持黄牌占道、超速、欠速、压白线、逆行、有车占道、违法变道、压黄线、不按车道行驶、主驾驶员不系安全带、副驾驶员不系安全带、驾驶员抽烟、驾驶员打电话、车辆排队加塞、禁货、违法停车、车牌污损等违法行为检测。</w:t>
            </w:r>
          </w:p>
          <w:p w14:paraId="177EF0E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8、支持透雾模式的开启和关闭，可分别设置早晨/傍晚/白天/夜晚等不同场景下的透雾模式状态。</w:t>
            </w:r>
          </w:p>
          <w:p w14:paraId="6665EC1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9、支持配合外接补光灯控制使用，支持闪光灯和频闪灯同步补光。</w:t>
            </w:r>
          </w:p>
          <w:p w14:paraId="7AFC718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10、支持自动采集车道、车流量、平均速度、车辆类型、占有率、平均车头时距、平均排队长度、时间段等交通信息数据并进行统计，支持自动上传采集的交通信息数据，上传时间间隔可设置。</w:t>
            </w:r>
          </w:p>
          <w:p w14:paraId="6A0373E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11、支持自动画线功能，可自动识别并画出车道线、抓拍检测线。</w:t>
            </w:r>
          </w:p>
          <w:p w14:paraId="48EF7EA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12、支持设置视频3D降噪功能，包括视频空域3D降噪及视频时域3D降噪，降噪等级0~100可分别设置，可通过菜单启用或关闭。</w:t>
            </w:r>
          </w:p>
          <w:p w14:paraId="6B1AC28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13、Web界面支持配置合成图的时间，合成图时间可选择第1张或者最后1张的时间在OSD上进行叠加。</w:t>
            </w:r>
          </w:p>
          <w:p w14:paraId="166E26E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14、支持透明串口传输功能，开启摄像机透明串口服务功能后，在补光灯串口只连接本摄像机的情况下，可直接采用外部补光灯调试软件对补光灯进行参数读取和调试。</w:t>
            </w:r>
          </w:p>
          <w:p w14:paraId="3E52B1F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15、具有2个独立MAC、物理隔离的RJ-45以太网口，支持10/100/1000M网络数据传输。</w:t>
            </w:r>
          </w:p>
          <w:p w14:paraId="1ABAA1F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16、提供其他外部接口包括不仅限于7个外置灯接口，2个USB3.0接口，1个北斗接口，4个RS-232接口，2个RS-485接口，4个报警输入接口，2个报警输出接口，1个音频输入接口，1个音频输出接口。</w:t>
            </w:r>
          </w:p>
          <w:p w14:paraId="6CAF97B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17、支持非法登录监测并报警输出。</w:t>
            </w:r>
          </w:p>
          <w:p w14:paraId="3B62AE2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18、支持防火墙设置，只允许特定IP、MAC 地址，特定设备端口进行访问，并具有防半连接，网络访问，禁止ping功能。</w:t>
            </w:r>
          </w:p>
          <w:p w14:paraId="62BEFCC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19、支持HTTP\RTSP\HTTPS\SSH端口修改功能。</w:t>
            </w:r>
          </w:p>
          <w:p w14:paraId="3B17432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20、支持会话连接超限，并报警提示功能；支持安全异常监测并进行报警输出设置功能，包括非法可执行程序尝试运行、会话ID暴力破解，Web路径暴力破解。</w:t>
            </w:r>
          </w:p>
          <w:p w14:paraId="25BB6FA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21、支持密码重置功能，可设置密码更新周期，周期可设置30天、60天、90天、180天、自定义与无期限等。</w:t>
            </w:r>
          </w:p>
          <w:p w14:paraId="488267A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22、具有网络防雷和防浪涌功能。</w:t>
            </w:r>
          </w:p>
          <w:p w14:paraId="52EF0B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23、供电方式：100–240VAC（50Hz），功耗≤15W。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FFF6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E3F6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1C0F61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46B6E97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B71E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DCF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4472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900万卡口抓拍一体机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4B6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DB6D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1、包含摄像机、镜头(像面尺寸：1.1英寸；</w:t>
            </w:r>
          </w:p>
          <w:p w14:paraId="7175A29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镜头焦距：25mm；</w:t>
            </w:r>
          </w:p>
          <w:p w14:paraId="1E4F04C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镜头像素：1200W；</w:t>
            </w:r>
          </w:p>
          <w:p w14:paraId="59D434D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光圈孔径：F1.4；</w:t>
            </w:r>
          </w:p>
          <w:p w14:paraId="44571E9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红外功能：不支持；</w:t>
            </w:r>
          </w:p>
          <w:p w14:paraId="7356352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光学总长：98.10 mm±0.3(In air)；</w:t>
            </w:r>
          </w:p>
          <w:p w14:paraId="3B45749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机械后焦：Near: 14.14 mm±0.1 (In air)Far:12.89±0.1 (In air)；</w:t>
            </w:r>
          </w:p>
          <w:p w14:paraId="2EFB53D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视场角：1.1": 41°× 33° × 24°；</w:t>
            </w:r>
          </w:p>
          <w:p w14:paraId="278C812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接口类型：C；</w:t>
            </w:r>
          </w:p>
          <w:p w14:paraId="7F25E11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毛重：0.397kg±0.005kg；</w:t>
            </w:r>
          </w:p>
          <w:p w14:paraId="2AA34E3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外形尺寸：Ø47mm × 84.6mm；</w:t>
            </w:r>
          </w:p>
          <w:p w14:paraId="5A552F2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工作温度：-30℃~+70℃；</w:t>
            </w:r>
          </w:p>
          <w:p w14:paraId="4F645DF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工作湿度：95%RH)、室外防护罩、电源适配器等组成。</w:t>
            </w:r>
          </w:p>
          <w:p w14:paraId="4695BC9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2、采用1.1英寸图像传感器，像素≥900万，视频分辨率不低于4096×2336，抓图分辨率不低于4096×2336。</w:t>
            </w:r>
          </w:p>
          <w:p w14:paraId="1B85F12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3、支持通过视频触发进行车辆抓拍，支持车牌识别、车身颜色识别、车型识别，通行车辆信息捕获和违章检测功能。</w:t>
            </w:r>
          </w:p>
          <w:p w14:paraId="2C50873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4、支持粤港澳三地车牌识别。</w:t>
            </w:r>
          </w:p>
          <w:p w14:paraId="262B66A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5、支持检测并跟踪指定区域内不少于220个目标，目标包括机动车、非机动车以及行人等。</w:t>
            </w:r>
          </w:p>
          <w:p w14:paraId="2A58EB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安全模块扫描，可检测并显示音视频加密传输、安全预警、可信保护、攻击防御等模块启用状态；支持用户及服务检测扫描，包括用户状态、配置安全、登陆认证等，并会根据扫描结果进行优化建议提醒。</w:t>
            </w:r>
          </w:p>
          <w:p w14:paraId="09A94D1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电子警察模式下支持闯红灯、压白线、逆行、超速、黄牌占道、违法停车、不按导向箭头行驶、违法变道、压黄线、有车占道、不按车道行驶、违法左转、违法右转、违法掉头、压停止线、左转不礼让直行、大弯小转、车辆排队加塞、右转不礼让横向直行、右转不礼让直行行人、禁货、黄网格违法停车、不按规定使用转向灯、未礼让行人等违法行为行为检测；卡口模式下支持黄牌占道、超速、欠速、压白线、逆行、有车占道、违法变道、压黄线、不按车道行驶、主驾驶员不系安全带、副驾驶员不系安全带、驾驶员抽烟、驾驶员打电话、车辆排队加塞、禁货、违法停车、车牌污损等违法行为检测。</w:t>
            </w:r>
          </w:p>
          <w:p w14:paraId="26FCE66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8、支持透雾模式的开启和关闭，可分别设置早晨/傍晚/白天/夜晚等不同场景下的透雾模式状态。</w:t>
            </w:r>
          </w:p>
          <w:p w14:paraId="20C4D9C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9、支持配合外接补光灯控制使用，支持闪光灯和频闪灯同步补光。</w:t>
            </w:r>
          </w:p>
          <w:p w14:paraId="13F4756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10、支持自动采集车道、车流量、平均速度、车辆类型、占有率、平均车头时距、平均排队长度、时间段等交通信息数据并进行统计，支持自动上传采集的交通信息数据，上传时间间隔可设置。</w:t>
            </w:r>
          </w:p>
          <w:p w14:paraId="3712E14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11、支持自动画线功能，可自动识别并画出车道线、抓拍检测线。</w:t>
            </w:r>
          </w:p>
          <w:p w14:paraId="53774AF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12、支持设置视频3D降噪功能，包括视频空域3D降噪及视频时域3D降噪，降噪等级0~100可分别设置，可通过菜单启用或关闭。</w:t>
            </w:r>
          </w:p>
          <w:p w14:paraId="47AFE4E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13、Web界面支持配置合成图的时间，合成图时间可选择第1张或者最后1张的时间在OSD上进行叠加。</w:t>
            </w:r>
          </w:p>
          <w:p w14:paraId="4DABB5B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14、支持透明串口传输功能，开启摄像机透明串口服务功能后，在补光灯串口只连接本摄像机的情况下，可直接采用外部补光灯调试软件对补光灯进行参数读取和调试。</w:t>
            </w:r>
          </w:p>
          <w:p w14:paraId="66A7A5C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15、具有2个独立MAC、物理隔离的RJ-45以太网口，支持10/100/1000M网络数据传输。</w:t>
            </w:r>
          </w:p>
          <w:p w14:paraId="39092C5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16、提供其他外部接口包括不仅限于7个外置灯接口，2个USB3.0接口，1个北斗接口，4个RS-232接口，2个RS-485接口，4个报警输入接口，2个报警输出接口，1个音频输入接口，1个音频输出接口。</w:t>
            </w:r>
          </w:p>
          <w:p w14:paraId="1D5A852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17、支持非法登录监测并报警输出。</w:t>
            </w:r>
          </w:p>
          <w:p w14:paraId="625DD5F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18、支持防火墙设置，只允许特定IP、MAC 地址，特定设备端口进行访问，并具有防半连接，网络访问，禁止ping功能。</w:t>
            </w:r>
          </w:p>
          <w:p w14:paraId="3709ED9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19、支持HTTP\RTSP\HTTPS\SSH端口修改功能。</w:t>
            </w:r>
          </w:p>
          <w:p w14:paraId="45E20AA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20、支持会话连接超限，并报警提示功能；支持安全异常监测并进行报警输出设置功能，包括非法可执行程序尝试运行、会话ID暴力破解，Web路径暴力破解。</w:t>
            </w:r>
          </w:p>
          <w:p w14:paraId="24047F0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21、支持密码重置功能，可设置密码更新周期，周期可设置30天、60天、90天、180天、自定义与无期限等。</w:t>
            </w:r>
          </w:p>
          <w:p w14:paraId="24776FD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22、具有网络防雷和防浪涌功能。</w:t>
            </w:r>
          </w:p>
          <w:p w14:paraId="392F93E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23、供电方式：100–240VAC（50Hz），功耗≤15W。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3543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F7E7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4893D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155A93F4">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22F50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8B2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C06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900万不礼让行人抓拍一体机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86A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623B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1、包含摄像机、镜头(像面尺寸：1.1英寸；</w:t>
            </w:r>
          </w:p>
          <w:p w14:paraId="4F50F29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镜头焦距：16mm；</w:t>
            </w:r>
          </w:p>
          <w:p w14:paraId="0C31254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镜头像素：1200万像素；</w:t>
            </w:r>
          </w:p>
          <w:p w14:paraId="4EDD646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光圈孔径：F1.0；</w:t>
            </w:r>
          </w:p>
          <w:p w14:paraId="0F3F90D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红外功能：不支持；</w:t>
            </w:r>
          </w:p>
          <w:p w14:paraId="6FF7CE0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光学总长：113.3mm；</w:t>
            </w:r>
          </w:p>
          <w:p w14:paraId="7943979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机械后焦：11.65mm(in air)；</w:t>
            </w:r>
          </w:p>
          <w:p w14:paraId="6960A8C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视场角：1.1英寸：59.9°×50.1°×34.9°@17.55mm*14.47mm*9.936mm；1英寸：55°*49°*26.3° @16.1mm*14.13mm*7.45mm；</w:t>
            </w:r>
          </w:p>
          <w:p w14:paraId="6361C57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畸变：-6%（1.1"）；</w:t>
            </w:r>
          </w:p>
          <w:p w14:paraId="4B11627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接口类型：C接口；</w:t>
            </w:r>
          </w:p>
          <w:p w14:paraId="46081D4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产品尺寸：Φ64mm*103.9mm；</w:t>
            </w:r>
          </w:p>
          <w:p w14:paraId="7FE4BD4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毛重：800g；</w:t>
            </w:r>
          </w:p>
          <w:p w14:paraId="13B2CCC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工作温度：-30℃~+70℃；</w:t>
            </w:r>
          </w:p>
          <w:p w14:paraId="546DBEB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工作湿度：≤95%RH)、室外防护罩、电源适配器等组成。</w:t>
            </w:r>
          </w:p>
          <w:p w14:paraId="0DEED14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、采用1.1英寸图像传感器，像素≥900万，视频分辨率不低于4096×2336，抓图分辨率不低于4096×2336。</w:t>
            </w:r>
          </w:p>
          <w:p w14:paraId="097FD1F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3、支持通过视频触发进行车辆抓拍，支持车牌识别、车身颜色识别、车型识别，通行车辆信息捕获和违章检测功能。</w:t>
            </w:r>
          </w:p>
          <w:p w14:paraId="5656AEE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4、支持粤港澳三地车牌识别。</w:t>
            </w:r>
          </w:p>
          <w:p w14:paraId="5279B0B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5、支持检测并跟踪指定区域内不少于220个目标，目标包括机动车、非机动车以及行人等。</w:t>
            </w:r>
          </w:p>
          <w:p w14:paraId="38918B5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安全模块扫描，可检测并显示音视频加密传输、安全预警、可信保护、攻击防御等模块启用状态；支持用户及服务检测扫描，包括用户状态、配置安全、登陆认证等，并会根据扫描结果进行优化建议提醒。</w:t>
            </w:r>
          </w:p>
          <w:p w14:paraId="0A704F4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电子警察模式下支持闯红灯、压白线、逆行、超速、黄牌占道、违法停车、不按导向箭头行驶、违法变道、压黄线、有车占道、不按车道行驶、违法左转、违法右转、违法掉头、压停止线、左转不礼让直行、大弯小转、车辆排队加塞、右转不礼让横向直行、右转不礼让直行行人、禁货、黄网格违法停车、不按规定使用转向灯、未礼让行人等违法行为行为检测；卡口模式下支持黄牌占道、超速、欠速、压白线、逆行、有车占道、违法变道、压黄线、不按车道行驶、主驾驶员不系安全带、副驾驶员不系安全带、驾驶员抽烟、驾驶员打电话、车辆排队加塞、禁货、违法停车、车牌污损等违法行为检测。</w:t>
            </w:r>
          </w:p>
          <w:p w14:paraId="4F3BC45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8、支持透雾模式的开启和关闭，可分别设置早晨/傍晚/白天/夜晚等不同场景下的透雾模式状态。</w:t>
            </w:r>
          </w:p>
          <w:p w14:paraId="76EFE41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9、支持配合外接补光灯控制使用，支持闪光灯和频闪灯同步补光。</w:t>
            </w:r>
          </w:p>
          <w:p w14:paraId="159CFC5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10、支持自动采集车道、车流量、平均速度、车辆类型、占有率、平均车头时距、平均排队长度、时间段等交通信息数据并进行统计，支持自动上传采集的交通信息数据，上传时间间隔可设置。</w:t>
            </w:r>
          </w:p>
          <w:p w14:paraId="3A078E2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11、支持自动画线功能，可自动识别并画出车道线、抓拍检测线。</w:t>
            </w:r>
          </w:p>
          <w:p w14:paraId="157C5FA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12、支持设置视频3D降噪功能，包括视频空域3D降噪及视频时域3D降噪，降噪等级0~100可分别设置，可通过菜单启用或关闭。</w:t>
            </w:r>
          </w:p>
          <w:p w14:paraId="4A04CB3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13、Web界面支持配置合成图的时间，合成图时间可选择第1张或者最后1张的时间在OSD上进行叠加。</w:t>
            </w:r>
          </w:p>
          <w:p w14:paraId="2281882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14、支持透明串口传输功能，开启摄像机透明串口服务功能后，在补光灯串口只连接本摄像机的情况下，可直接采用外部补光灯调试软件对补光灯进行参数读取和调试。</w:t>
            </w:r>
          </w:p>
          <w:p w14:paraId="75A28FA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15、具有2个独立MAC、物理隔离的RJ-45以太网口，支持10/100/1000M网络数据传输。</w:t>
            </w:r>
          </w:p>
          <w:p w14:paraId="08E7563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16、提供其他外部接口包括不仅限于7个外置灯接口，2个USB3.0接口，1个北斗接口，4个RS-232接口，2个RS-485接口，4个报警输入接口，2个报警输出接口，1个音频输入接口，1个音频输出接口。</w:t>
            </w:r>
          </w:p>
          <w:p w14:paraId="26A0E11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17、支持非法登录监测并报警输出。</w:t>
            </w:r>
          </w:p>
          <w:p w14:paraId="6E9A257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18、支持防火墙设置，只允许特定IP、MAC 地址，特定设备端口进行访问，并具有防半连接，网络访问，禁止ping功能。</w:t>
            </w:r>
          </w:p>
          <w:p w14:paraId="34BA5FF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19、支持HTTP\RTSP\HTTPS\SSH端口修改功能。</w:t>
            </w:r>
          </w:p>
          <w:p w14:paraId="7A8CB28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20、支持会话连接超限，并报警提示功能；支持安全异常监测并进行报警输出设置功能，包括非法可执行程序尝试运行、会话ID暴力破解，Web路径暴力破解。</w:t>
            </w:r>
          </w:p>
          <w:p w14:paraId="0EEDBF7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21、支持密码重置功能，可设置密码更新周期，周期可设置30天、60天、90天、180天、自定义与无期限等。</w:t>
            </w:r>
          </w:p>
          <w:p w14:paraId="58CD86E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22、具有网络防雷和防浪涌功能。</w:t>
            </w:r>
          </w:p>
          <w:p w14:paraId="591AA5A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23、供电方式：100–240VAC（50Hz），功耗≤15W。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F212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29D8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AB0E5E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73C952F6">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0EE60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F6A1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C9A6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路面监控球机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6AD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7688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1、采用≥400万像素1/2.8英寸CMOS传感器，主码流分辨率满足2560×1440。</w:t>
            </w:r>
          </w:p>
          <w:p w14:paraId="11ED5F2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2、内置GPU芯片,支持深度学习算法,有效提升检测准确率。</w:t>
            </w:r>
          </w:p>
          <w:p w14:paraId="332275D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3、采用电动变焦镜头，焦距范围满足：4.8mm-154mm；≥32倍光学变倍，≥16倍数字变倍。</w:t>
            </w:r>
          </w:p>
          <w:p w14:paraId="5735A4A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4、采用红外灯补光，补光距离≥150米。</w:t>
            </w:r>
          </w:p>
          <w:p w14:paraId="271D036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5、云台支持水平方向360°连续旋转，垂直方向-20°～90°自动翻转180°后连续监视,无监视盲区。</w:t>
            </w:r>
          </w:p>
          <w:p w14:paraId="561BBD0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6、可对车灯进行强光抑制，可识别距离≥250m处的车辆轮廓；当监控画面中有车辆经过时，可对车灯进行强光抑制，可看清车辆轮廓；当监控画面中无车辆经过时，可使整体画面亮度提高，可看清监控画面中道路场景、标志、标线。</w:t>
            </w:r>
          </w:p>
          <w:p w14:paraId="38FF396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7、支持螺仪防抖功能：在幅度≤±0.3 度和频率（1-10）Hz 范围内的抖动，开启陀螺仪防抖能使视频图像有明显改善。</w:t>
            </w:r>
          </w:p>
          <w:p w14:paraId="3CA1099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8、支持雨刷功能。</w:t>
            </w:r>
          </w:p>
          <w:p w14:paraId="52B2E38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9、提供其他外部接口包括不仅限于1个音频输入接口、1个音频输出接口、2个报警输入接口、1个报警输出接口、1个自适应百兆网络接口。</w:t>
            </w:r>
          </w:p>
          <w:p w14:paraId="3E2D8E8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10、供电方式：DC24V/2.5A±25%，AC24V/3A±25%。</w:t>
            </w:r>
          </w:p>
          <w:p w14:paraId="12ADDCB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11、防护等级≥IP66。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EB12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4926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C621E2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334A7C2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2ED9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F687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F52D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违停检测球机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139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90AB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1、传感器类型≥1/1.8英寸CMOS，像素≥400万，分辨率≥2560×1440。</w:t>
            </w:r>
          </w:p>
          <w:p w14:paraId="68EB4C9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2、采用电动变焦镜头，焦距范围满足：6.0mm-190mm；≥31倍光学变倍，≥16倍数字变倍。</w:t>
            </w:r>
          </w:p>
          <w:p w14:paraId="68BFD6F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3、采用红外灯补光，补光距离≥250米。</w:t>
            </w:r>
          </w:p>
          <w:p w14:paraId="1334F1C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4、支持可视域功能。</w:t>
            </w:r>
          </w:p>
          <w:p w14:paraId="20B19E8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支持违法停车检测应用，抓拍距离半径≥70m（单场景）、≥160m（多预置位巡航），支持A\B\C\D类违法停车抓拍；支持可自适应的多场景巡航检测；支持车辆类型、车身颜色、车标、车系、车牌、车牌颜色等多种机动车属性识别。</w:t>
            </w:r>
          </w:p>
          <w:p w14:paraId="7CCD9B1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6、支持卡口抓拍应用，包含卡口、压白线、压黄线、逆行、违法变道、车辆排队加塞、有车占道、黄牌占道、不按车道行驶、超速、禁货、欠速、主驾驶员不系安全带、交通拥堵等。</w:t>
            </w:r>
          </w:p>
          <w:p w14:paraId="21F2C09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7、支持电子警察应用，包含卡口、压白线、压黄线、逆行、违法变道、车辆排队加塞、有车占道、黄牌占道、不按车道行驶、超速、禁货、违法掉头、违法倒车、未礼让行人、不按导向箭头行驶等。</w:t>
            </w:r>
          </w:p>
          <w:p w14:paraId="64DAAD9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8、支持车辆类型、车身颜色、车标、车系、车牌、车牌颜色等多种机动车属性识别。</w:t>
            </w:r>
          </w:p>
          <w:p w14:paraId="09F0E06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9、支持电子防抖。</w:t>
            </w:r>
          </w:p>
          <w:p w14:paraId="5DCE1AD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10、支持电子透雾。</w:t>
            </w:r>
          </w:p>
          <w:p w14:paraId="487DF58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11、提供其他外部接口包括不仅限于1个音频输入接口、1个音频输出接口、7个报警输入接口、2个报警输出接口、1个自适应百兆网络接口。</w:t>
            </w:r>
          </w:p>
          <w:p w14:paraId="1BD2541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12、供电方式：DC36V/3A±25%。</w:t>
            </w:r>
          </w:p>
          <w:p w14:paraId="2A94C89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13、防护等级：≥IP67。</w:t>
            </w:r>
          </w:p>
          <w:p w14:paraId="2D67A3F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14、提供球机安装支架、电源。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E986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F239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6B3828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52CE9562">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E47FA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CA4B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169F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多功能补光灯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78A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049F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1、集成LED和气体放电光源。</w:t>
            </w:r>
          </w:p>
          <w:p w14:paraId="2C61A20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2、支持暖光LED频闪、暖光LED爆闪、白光氙气爆闪、红外氙气爆闪四种模式。支持在红外模式下气体放电爆闪时，LED爆闪同步闪光。</w:t>
            </w:r>
          </w:p>
          <w:p w14:paraId="34C90BE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3、支持LED亮度等级0-99级可调。</w:t>
            </w:r>
          </w:p>
          <w:p w14:paraId="4995114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4、LED光源色温：3000K-6500K。</w:t>
            </w:r>
          </w:p>
          <w:p w14:paraId="3BF3375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5、支持通过光敏进行红外和白光切换。</w:t>
            </w:r>
          </w:p>
          <w:p w14:paraId="73C11EC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6、支持滤光片未启用情况下，遮挡面积占爆闪灯总面积≤5%。</w:t>
            </w:r>
          </w:p>
          <w:p w14:paraId="29D4582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7、支持LED频闪熄灭时，叶片自动切换成白光模式。</w:t>
            </w:r>
          </w:p>
          <w:p w14:paraId="3E02534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8、在距离补光灯20米处，LED频闪亮度等级20级时，中心光斑的照度不得超过40lx。</w:t>
            </w:r>
          </w:p>
          <w:p w14:paraId="2BB1A8B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9、支持在白光模式下触发氙气爆闪时，LED爆闪不闪光。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939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B510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550971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51640B8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0FDEF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BA6C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F7E6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暖光LED频闪灯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4D8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CDCA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1、光源：可见光（波长350-780nm）。</w:t>
            </w:r>
          </w:p>
          <w:p w14:paraId="58D75AE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2、色温≤3500K。</w:t>
            </w:r>
          </w:p>
          <w:p w14:paraId="69551EA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3、中心光照度：≤5lx（20m平均光照度），≤20lx（20m有效光照度）。</w:t>
            </w:r>
          </w:p>
          <w:p w14:paraId="4980737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4、触发方式：开关量。</w:t>
            </w:r>
          </w:p>
          <w:p w14:paraId="43FA6BC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5、光斑覆盖范围：≥1个车道。</w:t>
            </w:r>
          </w:p>
          <w:p w14:paraId="39ECF1C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6、补光距离满足：16m-26m。</w:t>
            </w:r>
          </w:p>
          <w:p w14:paraId="243316D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7、频率：100Hz；支持视频同步补光功能。</w:t>
            </w:r>
          </w:p>
          <w:p w14:paraId="06B5939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8、灯珠数量≥16颗。</w:t>
            </w:r>
          </w:p>
          <w:p w14:paraId="5E678FB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9、光通量≥800lm。</w:t>
            </w:r>
          </w:p>
          <w:p w14:paraId="1395928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10、支持通过相机远程控制亮度，控制补光灯点亮和熄灭。</w:t>
            </w:r>
          </w:p>
          <w:p w14:paraId="223D6D2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11、频闪级联功能：支持≥5台LED灯串口同时并入相机接口。</w:t>
            </w:r>
          </w:p>
          <w:p w14:paraId="3B7F0E0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12、远程故障显示：支持远程显示补光灯故障、正常状态。</w:t>
            </w:r>
          </w:p>
          <w:p w14:paraId="32D8EAF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13、亮度调节：1~20级亮度可调。</w:t>
            </w:r>
          </w:p>
          <w:p w14:paraId="10EF288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14、功耗：&lt;40W。</w:t>
            </w:r>
          </w:p>
          <w:p w14:paraId="58962E1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15、供电方式：AC100V-AC240V。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7287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8DAE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33</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CE43E2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25F8CDE7">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82A20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C73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D573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红绿灯信号检测器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229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46C2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1、支持接入≥20路红/绿灯信号，进行输入通断检测，并通过≥100M网口将信号状态实时传输给网络摄像机。</w:t>
            </w:r>
          </w:p>
          <w:p w14:paraId="787F88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2、支持设置≥20路相机参数和检测参数，每个检测通道最多支持关联≥5个相机IP。</w:t>
            </w:r>
          </w:p>
          <w:p w14:paraId="50E024E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3、支持通过配置工具设置检测模式，支持红灯检测与绿灯检测。</w:t>
            </w:r>
          </w:p>
          <w:p w14:paraId="643D316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4、支持通过配置工具设置交换机网关，开启ping功能，监测网络状态。</w:t>
            </w:r>
          </w:p>
          <w:p w14:paraId="59F8020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5、支持记录至少1500条日志，支持通过配置工具查询设备的操作日志、校时日志、ping成功/失败日志、红/绿灯输入信号异常及异常恢复等日志，用于查询设备的操作记录及异常情况。</w:t>
            </w:r>
          </w:p>
          <w:p w14:paraId="4B3EC6F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6、支持通过配置工具设置NTP校时。</w:t>
            </w:r>
          </w:p>
          <w:p w14:paraId="36387DD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7、支持通过指定工具对设备进行网络升级。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47F2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5475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B55AF2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09F1B3B9">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06F6C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A0CB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4C83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万向节支架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9E5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86F1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 适用范围：可配套智能卡口抓拍单元、补光灯、安装。</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 承重≥10kg。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F83E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A55E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59</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AE4D36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079F577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B130E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B0DC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8555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云存储管理设备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E19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3C52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一、云存储管理功能：</w:t>
            </w:r>
          </w:p>
          <w:p w14:paraId="48FA2DB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支持主流的对象存储架构、容错算法、智能化的资源调度技术，提供了基于分布式文件系统的数据存储能力，具备大容量、高可靠、高性能、使用简单、自动化管理等特点，保障数据的电信级安全可靠，支持集群横向扩展，满足海量大数据、云计算业务的庞大需求。</w:t>
            </w:r>
          </w:p>
          <w:p w14:paraId="1F5A343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文件生命周期管理模块：支持对文件生命周期管理，会自动感知云存储的状态，包括用户空间使用情况以及用户/bucket的生命周期/文件信息，根据生命周期策略对需要删除的文件进行删除支持安防行业特点的生命周期的紧急覆盖。</w:t>
            </w:r>
          </w:p>
          <w:p w14:paraId="3ABB3D1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3、智能恢复模块：文件数据恢复速率可控制，可以指定文件进行恢复，可选自动恢复和手动恢复支持文件恢复优先级控制，设置高中低不同的数据恢复速度。</w:t>
            </w:r>
          </w:p>
          <w:p w14:paraId="70FE24A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4、图片处理模块：支持对已存储的图片在下载过程中自动进行图片缩略，抠图等特性。</w:t>
            </w:r>
          </w:p>
          <w:p w14:paraId="70601F3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5、多租户模块：支持根据不同用户的需求，划分存储配额空间，底层存储池共用同一个。</w:t>
            </w:r>
          </w:p>
          <w:p w14:paraId="1EAA61F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统一网关集群，同一个网关可同时提供文件、对象、块三种服务，支持对每个网关配置一个动态业务IP，支持通过网关动态业务IP作为文件存储、块存储和对象存储统一访问入口（支持单IP、多IP）。统一网关集群支持使用负载均衡域名作为云存储集群统一访问入口，负载均衡域名自动将文件存储、块存储和对象存储的负载动态均衡至各个网关节点上。统一网关集群支持自动动态伸缩，网关节点故障业务支持自动接管，不影响存储业务连续性。</w:t>
            </w:r>
          </w:p>
          <w:p w14:paraId="7909E5F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7、视频设备接入模块：支持国标、Onvif，国内主流安防厂商私有协议等接入各类型的前端设备。</w:t>
            </w:r>
          </w:p>
          <w:p w14:paraId="6748A05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8、卡口设备接入模块：支持人脸、车辆卡口设备接入以及结构化数据接入。</w:t>
            </w:r>
          </w:p>
          <w:p w14:paraId="268B6A9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9、视频图片存储模块：支持视频和图片的基础存储业务，包括录像计划，图片计划配置管理，包括视频流按通道和类型进行分类，并进行相应的索引创建等。</w:t>
            </w:r>
          </w:p>
          <w:p w14:paraId="349B1B3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10、流媒体转发模块：支持流媒体动态负载均衡，弹性扩容，具备快速故障接管能力，支持RTSP、HLS、FLV等流媒体协议。</w:t>
            </w:r>
          </w:p>
          <w:p w14:paraId="566DF83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11、存储空间管理能力：在可管理容量范围内通过增加存储节点与硬盘的方式进行扩容。</w:t>
            </w:r>
          </w:p>
          <w:p w14:paraId="6D9E9A8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12、云间灾备接管策略：自动探测云存储集群网络、存储节点在线率、元数据节点在线率、接入设备在线率、流媒体服务在线率，异常录像文件数；支持对每种策略设置接管阈值，当任一策略超过设定阈值时，自动触发云存储集群灾备机制，由备份云存储接管所有业务进行数据存储，触发容灾后接管时间低于5秒。当原云存储恢复正常之后，自动探测和触发灾备期间的数据回传，最大数据回传性能可达1600MB/s，支持数据回传速度设置。支持设置灾备数据保留时间，当系统探测数据回传完成，并且灾备数据过期，自动删除过期灾备期间数据和释放空间。</w:t>
            </w:r>
          </w:p>
          <w:p w14:paraId="0E4CBD4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13、支持全自动数据校验和数据恢复功能，支持包括快速校验、深度校验等2数据自动校验策略和自动修复策略；支持将数据校验和元数据校验分开配置，支持指定数据校验和恢复的时间窗口，支持指定数据校验优先级和校验速率。支持数据检出不一致后自动触发数据恢复功能，自动选择数据副本进行恢复。支持全自动数据校验和恢复全程，无需人为干预，提升数据存储可靠性。</w:t>
            </w:r>
          </w:p>
          <w:p w14:paraId="340B23E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14、单节点接入转发能力：存储视频≥1200Mbps，转发视频≥256Mbps；或写入图片（1:1大小图）≥300张/s，读取图片(1:1大小图)≥300张/s。</w:t>
            </w:r>
          </w:p>
          <w:p w14:paraId="01C5A6D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二、节点硬件参考配置：</w:t>
            </w:r>
          </w:p>
          <w:p w14:paraId="31BC75C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1、配置2个24核符合安全可靠测评结果公告要求的国产化CPU处理器；</w:t>
            </w:r>
          </w:p>
          <w:p w14:paraId="476BE3F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2、内存：32GB DDR4 ECC；</w:t>
            </w:r>
          </w:p>
          <w:p w14:paraId="153CD0E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3、硬盘：内置2块960G 企业级固态硬盘；提供36个3.5寸硬盘槽位，可支持2.5"或3.5"的SATA硬盘或者SAS硬盘；</w:t>
            </w:r>
          </w:p>
          <w:p w14:paraId="419B655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4、网络接口：4个千兆数据电口，4个万兆数据光口，提供4个万兆多模光模块；</w:t>
            </w:r>
          </w:p>
          <w:p w14:paraId="2AD10BA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5、其他接口：1个VGA接口，4个USB接口；</w:t>
            </w:r>
          </w:p>
          <w:p w14:paraId="620BBAA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6、电源：900W 1+1冗余电源，整机功耗含盘≤800W。</w:t>
            </w:r>
          </w:p>
          <w:p w14:paraId="2697C57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7、整机尺寸≤4U，适用于在标准服务器机柜托盘安装。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3E33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8335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8854DA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101565C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C336F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CD4B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52FB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企业级硬盘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695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28E6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1、单盘容量：8TB；</w:t>
            </w:r>
          </w:p>
          <w:p w14:paraId="09DE832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2、硬盘接口：SATA；</w:t>
            </w:r>
          </w:p>
          <w:p w14:paraId="43894C9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3、转速：7200RPM；</w:t>
            </w:r>
          </w:p>
          <w:p w14:paraId="4FA2B47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4、缓存：256MB。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DE66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F5D7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D214B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5990DF6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A022D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340E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2956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24口万兆交换机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EB1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2CD2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企业级三层管理型交换机</w:t>
            </w:r>
          </w:p>
          <w:p w14:paraId="134D40F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24个10G SFP+光口，2个40G QSFP+光口；</w:t>
            </w:r>
          </w:p>
          <w:p w14:paraId="514E816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交换容量：2.56Tbps/25.6Tbps，包转发率：720Mpps/1260Mpps；</w:t>
            </w:r>
          </w:p>
          <w:p w14:paraId="0F045B2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支持VLAN：802.1Q VLAN、端口VLAN、QinQ、Voice VLAN、协议VLAN、MAC VLAN；</w:t>
            </w:r>
          </w:p>
          <w:p w14:paraId="70D3C24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支持链路聚合：静态聚合、动态聚合；</w:t>
            </w:r>
          </w:p>
          <w:p w14:paraId="0F55723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支持生成树STP/RSTP/MSTP，支持RRPP/ERPS；</w:t>
            </w:r>
          </w:p>
          <w:p w14:paraId="3D12B70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支持虚拟化堆叠技术；</w:t>
            </w:r>
          </w:p>
          <w:p w14:paraId="3BC37E8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支持IPv4路由、IPv6路由、组播、MPLS；</w:t>
            </w:r>
          </w:p>
          <w:p w14:paraId="5B2344E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支持ACL、QoS、端口镜像；</w:t>
            </w:r>
          </w:p>
          <w:p w14:paraId="203BB5E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支持CLI，SSH，SNMP V1/V2C/V3等管理方式；</w:t>
            </w:r>
          </w:p>
          <w:p w14:paraId="2C5C44E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1U高度，19英寸宽，支持机架安装；</w:t>
            </w:r>
          </w:p>
          <w:p w14:paraId="13E7878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默认标配模块化双电源、双风扇，且均支持热插拔；</w:t>
            </w:r>
          </w:p>
          <w:p w14:paraId="40F5AE5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提供2个业务扩展槽位，可扩展40G端口；</w:t>
            </w:r>
          </w:p>
          <w:p w14:paraId="0ED6FCD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工作温度：-5℃～45℃；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3F3D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55F2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40789E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4439CF4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C4B57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539B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14F6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工业级万兆多模双纤SFP+光模块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FE0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742C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支持标准：IEEE 802.3ae；</w:t>
            </w:r>
          </w:p>
          <w:p w14:paraId="4EC8643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传输介质：多模光纤；</w:t>
            </w:r>
          </w:p>
          <w:p w14:paraId="6105447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传输距离：≤300m；</w:t>
            </w:r>
          </w:p>
          <w:p w14:paraId="30ABC39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传输速率：10.3125Gbps；</w:t>
            </w:r>
          </w:p>
          <w:p w14:paraId="22C84EF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端口类型：双纤LC；</w:t>
            </w:r>
          </w:p>
          <w:p w14:paraId="50C5C59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传输波长：850nm(TX)，850nm(RX)；</w:t>
            </w:r>
          </w:p>
          <w:p w14:paraId="2232481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工作电压：3.3V；</w:t>
            </w:r>
          </w:p>
          <w:p w14:paraId="15F2EE7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工作温度：-40℃～85℃；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9C9C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6D09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35B267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2F5AAFA3">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FC5F7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9BC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2FA6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4口千兆工业交换机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46E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54AB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1、具备≥4个10/100/1000Base-T电口、≥2个100/1000Base-X SFP光口；</w:t>
            </w:r>
          </w:p>
          <w:p w14:paraId="223D91A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2、交换容量≥256Gbps；</w:t>
            </w:r>
          </w:p>
          <w:p w14:paraId="61DEF69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3、包转发率≥60Mpps；</w:t>
            </w:r>
          </w:p>
          <w:p w14:paraId="47EE568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4、防护等级≥IP30、IK06；</w:t>
            </w:r>
          </w:p>
          <w:p w14:paraId="005EC48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5、采用无风扇散热设计，工作温度：-30℃～75℃；</w:t>
            </w:r>
          </w:p>
          <w:p w14:paraId="3F0B2D4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6、供电方式：支持双电源输入，供电电压12VDC。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6BE0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2225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FA11BD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4F78A2C0">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2A799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9998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1B0C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8口工业级交换机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9B3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7C93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1、具备≥8个10/100/1000Base-T电口、≥4个100/1000Base-X SFP光口；</w:t>
            </w:r>
          </w:p>
          <w:p w14:paraId="2516BE4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2、交换容量≥256Gbps；</w:t>
            </w:r>
          </w:p>
          <w:p w14:paraId="5306FE3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3、包转发率≥60Mpps；</w:t>
            </w:r>
          </w:p>
          <w:p w14:paraId="5C2BE56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4、防护等级≥IP30、IK06；</w:t>
            </w:r>
          </w:p>
          <w:p w14:paraId="54E5C1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5、采用无风扇散热设计，工作温度：-30℃～75℃；</w:t>
            </w:r>
          </w:p>
          <w:p w14:paraId="3B3BE09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6、供电方式：支持双电源输入，供电电压12VDC。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8B26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33D8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0DD595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74C2473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604B0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19C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63E8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工业级千兆单模双纤SFP光模块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320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6BBC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单模双纤，LC接口，1310nm收发，传输距离10Km。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C8ED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51C9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B7D4FB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0394BB4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D8B83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5B8D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4520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交通标志牌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EE6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974C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定制60cm*80cm，框架材质铝板，铝合金边框，铝合金槽，超强级反光膜，蓝白相间，白色字体；安装在L杆横臂上。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43B9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306A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17997B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730A47C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1D5BB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8F47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061C0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杆件挂箱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47D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29C92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1、执行标准：GB/T 7251.3-2017《低压成套开关设备和控制设备 第3部分》；</w:t>
            </w:r>
          </w:p>
          <w:p w14:paraId="53AB1F3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2、外壳材质：SPCC，厚度不低于1.2mm；尺寸：高590mm×宽480mm×深330mm，偏差±10mm；</w:t>
            </w:r>
          </w:p>
          <w:p w14:paraId="3692712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3、安装方式：支持螺杆-抱箍安装：适用于直径Φ130mm～Φ240mm的立杆；支持抱箍-托盘安装，支持螺丝-托盘安装；</w:t>
            </w:r>
          </w:p>
          <w:p w14:paraId="553ABAA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4、可承重≥10kg；</w:t>
            </w:r>
          </w:p>
          <w:p w14:paraId="6FD8E38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5、箱内配件至少提供1个32A总断路器、2个16A分断路器、2个国标三孔插座，1个交流电源防雷器，1组散热风扇。</w:t>
            </w:r>
          </w:p>
          <w:p w14:paraId="6924DD5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6、配备自动温度感应控制器，箱内温度超过40℃可自动启动散热风扇。</w:t>
            </w:r>
          </w:p>
          <w:p w14:paraId="561F951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7、工作温度：-30℃~+70℃。</w:t>
            </w:r>
          </w:p>
          <w:p w14:paraId="08DCECD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8、防护等级≥IP44。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5BF1E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848C1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016E68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570E5E3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2BC11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C9D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3540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落地机柜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8C6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F17F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1、前后单开门，箱体、门板、顶盖厚度≥1.2mm，底座≥：1.5mm；</w:t>
            </w:r>
          </w:p>
          <w:p w14:paraId="627B590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2、提供≥3个可拆卸式隔板，厚度≥1.2mm；</w:t>
            </w:r>
          </w:p>
          <w:p w14:paraId="3AAE652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3、可利用空间不低于450.0mm×350.0mm×660.0mm（宽×深×高）；</w:t>
            </w:r>
          </w:p>
          <w:p w14:paraId="4EF59B2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4、提供≥1个双路220V电源防雷，≥1个2P C40空开，≥8个1P C10空开，≥1个三芯插座，≥1条5孔接地排，≥2个风扇，≥1个温度控制器；</w:t>
            </w:r>
          </w:p>
          <w:p w14:paraId="487A9F1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5、防护等级≥IP54。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7109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947F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1C7196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7FC7AFE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5B324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7D4F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6595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L型杆件（H=6.5，L=14）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B29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C5E5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L型八角立杆高6.5米,材质：Q235碳素结构钢，横杆13-14米。主杆壁厚≥7mm，横臂壁厚≥5mm。整体涂抹防锈漆。法兰连接、基础地笼，防锈连接螺栓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0DAF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D0E2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8200B2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34CE450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12267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F777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06BE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T型杆（H=6.5，T=7+7）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095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3FF8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T型八角立杆高6.5米,材质：Q235碳素结构钢，横杆7+7米。主杆壁厚≥6mm，横臂壁厚≥4mm。整体涂抹防锈漆。法兰连接、基础地笼，防锈连接螺栓</w:t>
            </w:r>
            <w:r>
              <w:rPr>
                <w:rFonts w:hint="eastAsia" w:ascii="仿宋" w:hAnsi="仿宋" w:eastAsia="仿宋" w:cs="仿宋"/>
                <w:color w:val="auto"/>
                <w:sz w:val="24"/>
                <w:highlight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3D9F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9014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B372A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11A66FF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2945F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66BA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A242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L型杆件（H=6.5，L=9）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B89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CFDD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L型八角立杆高6.5米,材质：Q235碳素结构钢，横杆9米。主杆壁厚≥6mm，横臂壁厚≥4mm。整体涂抹防锈漆。法兰连接、基础地笼，防锈连接螺栓</w:t>
            </w:r>
            <w:r>
              <w:rPr>
                <w:rFonts w:hint="eastAsia" w:ascii="仿宋" w:hAnsi="仿宋" w:eastAsia="仿宋" w:cs="仿宋"/>
                <w:color w:val="auto"/>
                <w:sz w:val="24"/>
                <w:highlight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C749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C4D2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DD602F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5403CC3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932AE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828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B055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L型杆件（H=6.5，L=8）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679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23C9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L型八角立杆高6.5米,材质：Q235碳素结构钢，横杆8米。主杆壁厚≥6mm，横臂壁厚≥4mm。整体涂抹防锈漆。法兰连接、基础地笼，防锈连接螺栓</w:t>
            </w:r>
            <w:r>
              <w:rPr>
                <w:rFonts w:hint="eastAsia" w:ascii="仿宋" w:hAnsi="仿宋" w:eastAsia="仿宋" w:cs="仿宋"/>
                <w:color w:val="auto"/>
                <w:sz w:val="24"/>
                <w:highlight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77CF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93CF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DFEEEF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1222157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7F1CE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521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66F6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L型杆（H=6.5，L=3）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F10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EE4E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L型八角立杆高6.5米,材质：Q235碳素结构钢，横杆3-4米。主杆壁厚≥4mm，横臂壁厚≥2.5mm。整体涂抹防锈漆。法兰连接、基础地笼，防锈连接螺栓</w:t>
            </w:r>
            <w:r>
              <w:rPr>
                <w:rFonts w:hint="eastAsia" w:ascii="仿宋" w:hAnsi="仿宋" w:eastAsia="仿宋" w:cs="仿宋"/>
                <w:color w:val="auto"/>
                <w:sz w:val="24"/>
                <w:highlight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ABA0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3047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3C11CD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413916C4">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2FE71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E61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F600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室外非屏蔽超五类网线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3E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EB39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1、线规：24AWG，铜芯线径标称直径为0.50±0.01mm，材料为无氧铜，成缆直径：5.2mm。</w:t>
            </w:r>
          </w:p>
          <w:p w14:paraId="229010B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2、绝缘层：材料为HD-PE，绝缘厚度≥0.18mm；绝缘直径≤1.64m。</w:t>
            </w:r>
          </w:p>
          <w:p w14:paraId="394A2A0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3、外被护套：PE料，平均最小厚度≥0.7mm；护套上至少印有制造厂名（代号）、制造年份和电缆型号，下一个字符重复间距应不大于1m；应印有能永久识别的清晰长度标记，以m为单位，标志间距为1m</w:t>
            </w:r>
            <w:r>
              <w:rPr>
                <w:rFonts w:hint="eastAsia" w:ascii="仿宋" w:hAnsi="仿宋" w:eastAsia="仿宋" w:cs="仿宋"/>
                <w:color w:val="auto"/>
                <w:sz w:val="24"/>
                <w:highlight w:val="none"/>
                <w:lang w:eastAsia="zh-CN"/>
              </w:rPr>
              <w:t>。</w:t>
            </w:r>
          </w:p>
          <w:p w14:paraId="517978B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传输带宽：100MHz；单根导体阻抗：≤9.5Ω/100m；绝缘电阻≥5000MΩ*km；特性阻抗：100±5。</w:t>
            </w:r>
          </w:p>
          <w:p w14:paraId="52233D7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4、产品通过FLUKE测试。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1B4A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10C4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800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E4874D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27D29F09">
        <w:tblPrEx>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3146D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AA7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586F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主电源线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447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0E1C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RVV 300/500 2x4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E9B6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8EF3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1380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D9BE32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4AD6B32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21D4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022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F196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设备供电线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741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08AF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60227 IEC 53(RVV) 3x1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CD6C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7776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400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846386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062E9D90">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8413D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9EC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CA90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控制线缆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F6C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6F1A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RVVP 300/300V 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2460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9CFB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270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C7769C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3E3FD011">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51BB6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4B14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C1D5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视频专网专线租用费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23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28D5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提供2年视频专网专线，上行带宽50M。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13B5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D811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6144F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556FD9E6">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F2BC1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8A6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D959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视频专网专线租用费（100M）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D95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C32D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提供2年视频专网专线，上行带宽100M。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7A07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1623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EDE83E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6D57164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FAF7C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D33B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32DC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C64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D34E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按2180W功率核算、按0.85元/度计费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C76B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DEB7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1F6E20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28BB7F0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B7A89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3ED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971B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施工及辅材辅料费用（L=3杆）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8F4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49BA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1、基础开挖及制作，总共3方：1*1*1，每个基坑约1方。城区及周边的路面土质复杂，混凝土多，勘实层为主，需打风炮，破路开挖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人行道边管道密布，施工要谨慎。全程手工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避免挖到光缆和其他市政线缆。</w:t>
            </w:r>
            <w:r>
              <w:rPr>
                <w:rFonts w:hint="eastAsia" w:ascii="仿宋" w:hAnsi="仿宋" w:eastAsia="仿宋" w:cs="仿宋"/>
                <w:color w:val="auto"/>
                <w:sz w:val="24"/>
                <w:highlight w:val="none"/>
                <w:lang w:val="en-US" w:eastAsia="zh-CN"/>
              </w:rPr>
              <w:t>使用</w:t>
            </w:r>
            <w:r>
              <w:rPr>
                <w:rFonts w:hint="eastAsia" w:ascii="仿宋" w:hAnsi="仿宋" w:eastAsia="仿宋" w:cs="仿宋"/>
                <w:color w:val="auto"/>
                <w:sz w:val="24"/>
                <w:highlight w:val="none"/>
              </w:rPr>
              <w:t>C25混凝土材料、混凝土基础养护五天内定期浇水，若混凝土多出来部分用于修复地面平整；</w:t>
            </w:r>
          </w:p>
          <w:p w14:paraId="61B9873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2、市区道路开挖及恢复（共3个点位），每个点位：0.4（宽）*0.5（深）*25（长），PVC25管敷设30米、线缆敷设30米；</w:t>
            </w:r>
          </w:p>
          <w:p w14:paraId="64162B3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3、手井部分（3个）：50*50*50厘米混凝土手井预制，手井盖为直径40厘米复合材料；</w:t>
            </w:r>
          </w:p>
          <w:p w14:paraId="1EEC371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4、接地网安装：焊接，打入地面，挖路开槽埋地网的镀锌角铁和互联交铁的圆钢或者扁铁，并且用专用工具测量；</w:t>
            </w:r>
          </w:p>
          <w:p w14:paraId="7390406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表面地砖（基础表面+开挖道路表面）修复更换：实际上原来的地面铺砖由于不规整，每个点位开挖后打破的基础地面砖面积约1平方（约共3平方），市区开挖道路地面面积约10平方（约共30平方），花岗岩砖，做路面砖底下混凝土垫层；</w:t>
            </w:r>
          </w:p>
          <w:p w14:paraId="71A9210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6、基础挖出的泥土转运清理（共3个点位）：每个点位挖出后</w:t>
            </w:r>
            <w:r>
              <w:rPr>
                <w:rFonts w:hint="eastAsia" w:ascii="仿宋" w:hAnsi="仿宋" w:eastAsia="仿宋" w:cs="仿宋"/>
                <w:color w:val="auto"/>
                <w:sz w:val="24"/>
                <w:highlight w:val="none"/>
                <w:lang w:val="en-US" w:eastAsia="zh-CN"/>
              </w:rPr>
              <w:t>约9方</w:t>
            </w:r>
            <w:r>
              <w:rPr>
                <w:rFonts w:hint="eastAsia" w:ascii="仿宋" w:hAnsi="仿宋" w:eastAsia="仿宋" w:cs="仿宋"/>
                <w:color w:val="auto"/>
                <w:sz w:val="24"/>
                <w:highlight w:val="none"/>
              </w:rPr>
              <w:t>松散状态土，</w:t>
            </w:r>
            <w:r>
              <w:rPr>
                <w:rFonts w:hint="eastAsia" w:ascii="仿宋" w:hAnsi="仿宋" w:eastAsia="仿宋" w:cs="仿宋"/>
                <w:color w:val="auto"/>
                <w:sz w:val="24"/>
                <w:highlight w:val="none"/>
                <w:lang w:val="en-US" w:eastAsia="zh-CN"/>
              </w:rPr>
              <w:t>需</w:t>
            </w:r>
            <w:r>
              <w:rPr>
                <w:rFonts w:hint="eastAsia" w:ascii="仿宋" w:hAnsi="仿宋" w:eastAsia="仿宋" w:cs="仿宋"/>
                <w:color w:val="auto"/>
                <w:sz w:val="24"/>
                <w:highlight w:val="none"/>
              </w:rPr>
              <w:t>装车清理；</w:t>
            </w:r>
          </w:p>
          <w:p w14:paraId="505638A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7、杆件二次运输、杆件立杆吊车租用、指挥立杆、摆路牌锥筒，疏导交通；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03EC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D792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B31FA9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735F77E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A9190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8F0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AC3A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施工、及辅材辅料费用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6B6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F189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1、基础开挖及制作，总共55方：每个基坑1.6*1.6*1.8约5方。城区及周边的路面土质复杂，混凝土多，勘实层为主，需打风炮，破路开挖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人行道边管道密布，施工要谨慎，全程手工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避免挖到光缆和其他市政线缆。</w:t>
            </w:r>
            <w:r>
              <w:rPr>
                <w:rFonts w:hint="eastAsia" w:ascii="仿宋" w:hAnsi="仿宋" w:eastAsia="仿宋" w:cs="仿宋"/>
                <w:color w:val="auto"/>
                <w:sz w:val="24"/>
                <w:highlight w:val="none"/>
                <w:lang w:val="en-US" w:eastAsia="zh-CN"/>
              </w:rPr>
              <w:t>使用</w:t>
            </w:r>
            <w:r>
              <w:rPr>
                <w:rFonts w:hint="eastAsia" w:ascii="仿宋" w:hAnsi="仿宋" w:eastAsia="仿宋" w:cs="仿宋"/>
                <w:color w:val="auto"/>
                <w:sz w:val="24"/>
                <w:highlight w:val="none"/>
              </w:rPr>
              <w:t>C25混凝土材料、混凝土基础养护五天内定期浇水，若混凝土多出来部分用于修复地面平整；</w:t>
            </w:r>
          </w:p>
          <w:p w14:paraId="70CCD8B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2、市区点位道路开挖及恢复(7个点位)，每个点位：0.4（宽）*0.5（深）*25（长），PVC25管敷设30米、线缆敷设30米；</w:t>
            </w:r>
          </w:p>
          <w:p w14:paraId="115CA3E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3、郊区点位道路开挖及恢复（4个点位），每个点位：0.4（宽）*0.5（深）*100（长），PVC25管敷设120米、线缆敷设120米；</w:t>
            </w:r>
          </w:p>
          <w:p w14:paraId="6DA161E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4、手井部分（11个）：每个手井50*50*50厘米混凝土手井预制，手井盖为直径40厘米复合材料；</w:t>
            </w:r>
          </w:p>
          <w:p w14:paraId="5B1365E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5、接地网安装：焊接，打入地面，挖路开槽埋地网的镀锌角铁和互联交铁的圆钢或者扁铁，并且用专用工具测量；</w:t>
            </w:r>
          </w:p>
          <w:p w14:paraId="71FF5F7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市区点位表面地砖（基础表面+开挖道路表面）修复更换：每个点位实际上原来的地面铺砖由于不规整，开挖后打破的基础地面砖面积约2.6平方（约共18.2平方），每个市区点位开挖道路地面面积约10平方（约共70平方），花岗岩砖，做路面砖底下混凝土垫层；</w:t>
            </w:r>
          </w:p>
          <w:p w14:paraId="150AD36A">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7、市区点位基础挖出的泥土转运清理（共7个点位）：每个点位挖出后约</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方松散状态土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w:t>
            </w:r>
            <w:r>
              <w:rPr>
                <w:rFonts w:hint="eastAsia" w:ascii="仿宋" w:hAnsi="仿宋" w:eastAsia="仿宋" w:cs="仿宋"/>
                <w:color w:val="auto"/>
                <w:sz w:val="24"/>
                <w:highlight w:val="none"/>
              </w:rPr>
              <w:t>装车清理；</w:t>
            </w:r>
          </w:p>
          <w:p w14:paraId="1959DD3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8、杆件二次运输、杆件立杆吊车租用、指挥立杆、摆路牌锥筒，疏导交通；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8F71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C403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F660783">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72B7E20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ADA53D">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764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6EF6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535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241D6">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包含所有设备安装、调试及无缝对接支队现有智能交通管控平台，保证前端设备所有数据顺利接入系统平台。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8191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8E74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9D8D01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6DD2C77B">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14:paraId="27C5052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7F9EC75">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7D79116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2年维护</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5FB161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5075128C">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设备质保期一年</w:t>
            </w:r>
            <w:r>
              <w:rPr>
                <w:rFonts w:hint="eastAsia" w:ascii="仿宋" w:hAnsi="仿宋" w:eastAsia="仿宋" w:cs="仿宋"/>
                <w:color w:val="auto"/>
                <w:sz w:val="24"/>
                <w:highlight w:val="none"/>
                <w:lang w:val="en-US" w:eastAsia="zh-CN"/>
              </w:rPr>
              <w:t>内</w:t>
            </w:r>
            <w:r>
              <w:rPr>
                <w:rFonts w:hint="eastAsia" w:ascii="仿宋" w:hAnsi="仿宋" w:eastAsia="仿宋" w:cs="仿宋"/>
                <w:color w:val="auto"/>
                <w:sz w:val="24"/>
                <w:highlight w:val="none"/>
              </w:rPr>
              <w:t>，免费维保。</w:t>
            </w:r>
          </w:p>
          <w:p w14:paraId="0896EA94">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提供至少</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辆运维工程车辆，提供至少3人运维技术人员。</w:t>
            </w:r>
          </w:p>
          <w:p w14:paraId="3411F26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项目总体运维，设备维护，含电话技术支持、现场技术支持服务、用户培训、售后管理，7X24小时响应等费用；紧急故障处理，0.5小时内响应，必须在1小时之内赴现场处理。不需要更换备件的条件下应在4小时内解除故障,需要更换设备时应在48小时内解除故障。</w:t>
            </w:r>
          </w:p>
          <w:p w14:paraId="4E2D7EB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2、提供本项目前端主要设备的关键零部件（电源适配器、5口交换机、空气开关、排插、6类网线）易损易耗件库，一旦发现损坏马上更换；提供设备的故障维修；</w:t>
            </w:r>
          </w:p>
          <w:p w14:paraId="249F0909">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3、对于存储的数据，进行有效的管理和分类，以便能够快速检索和调用所需的信息。</w:t>
            </w:r>
          </w:p>
          <w:p w14:paraId="0529D407">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4、定期巡检：每月一次对各类硬件设备进行现场的检查，以提前发现潜在问题。</w:t>
            </w:r>
          </w:p>
          <w:p w14:paraId="1A4174DE">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5、故障排查与修复：当设备出现故障时，迅速定位并解决问题，确保设备尽快恢复正常运行。</w:t>
            </w:r>
          </w:p>
          <w:p w14:paraId="6E9B5631">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6、清洁与保养：保持设备的清洁，确保良好的散热和运行环境，延长设备使用寿命。</w:t>
            </w:r>
          </w:p>
          <w:p w14:paraId="71C7A49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7、对于设备的日常维护，安排专人对设备性能优化提供建议及支持，并建立维护工作月报告，向用户提供详细技术文档等资料。</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3635E78F">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45C967D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175B3F0">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7AECD9FC">
        <w:tblPrEx>
          <w:tblCellMar>
            <w:top w:w="0" w:type="dxa"/>
            <w:left w:w="108" w:type="dxa"/>
            <w:bottom w:w="0" w:type="dxa"/>
            <w:right w:w="108" w:type="dxa"/>
          </w:tblCellMar>
        </w:tblPrEx>
        <w:trPr>
          <w:trHeight w:val="420" w:hRule="atLeast"/>
        </w:trPr>
        <w:tc>
          <w:tcPr>
            <w:tcW w:w="0" w:type="auto"/>
            <w:gridSpan w:val="8"/>
            <w:vMerge w:val="restart"/>
            <w:tcBorders>
              <w:top w:val="nil"/>
              <w:left w:val="nil"/>
              <w:right w:val="nil"/>
            </w:tcBorders>
            <w:shd w:val="clear" w:color="auto" w:fill="auto"/>
          </w:tcPr>
          <w:p w14:paraId="1003364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r>
              <w:rPr>
                <w:rFonts w:hint="eastAsia" w:ascii="仿宋" w:hAnsi="仿宋" w:eastAsia="仿宋" w:cs="仿宋"/>
                <w:color w:val="auto"/>
                <w:sz w:val="24"/>
                <w:highlight w:val="none"/>
              </w:rPr>
              <w:t>编制说明：</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此表应当填列的必要内容有：填报单位、填报时间、单位名称、项目名称、参考型号规格或配置技术参数、计量单位、单价、数量、合计、建议采购方式、备注（如需）等共11项内容，如有某项设备参考型号规格或配置技术参数内容较多，单元格内不足以填写的，应将其参考型号规格或配置技术参数作为政府采购计划表的附件编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2.硬件设备的采购应当列清详细的规格、配置、技术参数，如需填列参考品牌的，需列3种以上同等档次参考品牌型号。未列明参考品牌及详细技术参数的，依据所列内容按照就低审核原则开展审核。</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3.在此表填列软件部分的配置技术参数可简要概括，应当将详细的软件功能需求说明文档作为此采购计划表的附件一并报送。</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4.此表格式不得更改，单价、数量、合计应当以公式计算方式计数。</w:t>
            </w:r>
          </w:p>
        </w:tc>
      </w:tr>
      <w:tr w14:paraId="7D8F58F3">
        <w:tblPrEx>
          <w:tblCellMar>
            <w:top w:w="0" w:type="dxa"/>
            <w:left w:w="108" w:type="dxa"/>
            <w:bottom w:w="0" w:type="dxa"/>
            <w:right w:w="108" w:type="dxa"/>
          </w:tblCellMar>
        </w:tblPrEx>
        <w:trPr>
          <w:trHeight w:val="420" w:hRule="atLeast"/>
        </w:trPr>
        <w:tc>
          <w:tcPr>
            <w:tcW w:w="0" w:type="auto"/>
            <w:gridSpan w:val="8"/>
            <w:vMerge w:val="continue"/>
            <w:tcBorders>
              <w:left w:val="nil"/>
              <w:right w:val="nil"/>
            </w:tcBorders>
            <w:shd w:val="clear" w:color="auto" w:fill="auto"/>
          </w:tcPr>
          <w:p w14:paraId="13EB1CE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3E2D2B8B">
        <w:tblPrEx>
          <w:tblCellMar>
            <w:top w:w="0" w:type="dxa"/>
            <w:left w:w="108" w:type="dxa"/>
            <w:bottom w:w="0" w:type="dxa"/>
            <w:right w:w="108" w:type="dxa"/>
          </w:tblCellMar>
        </w:tblPrEx>
        <w:trPr>
          <w:trHeight w:val="420" w:hRule="atLeast"/>
        </w:trPr>
        <w:tc>
          <w:tcPr>
            <w:tcW w:w="0" w:type="auto"/>
            <w:gridSpan w:val="8"/>
            <w:vMerge w:val="continue"/>
            <w:tcBorders>
              <w:left w:val="nil"/>
              <w:right w:val="nil"/>
            </w:tcBorders>
            <w:shd w:val="clear" w:color="auto" w:fill="auto"/>
          </w:tcPr>
          <w:p w14:paraId="308803F2">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6003C52F">
        <w:tblPrEx>
          <w:tblCellMar>
            <w:top w:w="0" w:type="dxa"/>
            <w:left w:w="108" w:type="dxa"/>
            <w:bottom w:w="0" w:type="dxa"/>
            <w:right w:w="108" w:type="dxa"/>
          </w:tblCellMar>
        </w:tblPrEx>
        <w:trPr>
          <w:trHeight w:val="420" w:hRule="atLeast"/>
        </w:trPr>
        <w:tc>
          <w:tcPr>
            <w:tcW w:w="0" w:type="auto"/>
            <w:gridSpan w:val="8"/>
            <w:vMerge w:val="continue"/>
            <w:tcBorders>
              <w:left w:val="nil"/>
              <w:right w:val="nil"/>
            </w:tcBorders>
            <w:shd w:val="clear" w:color="auto" w:fill="auto"/>
          </w:tcPr>
          <w:p w14:paraId="3559120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44ECC28A">
        <w:tblPrEx>
          <w:tblCellMar>
            <w:top w:w="0" w:type="dxa"/>
            <w:left w:w="108" w:type="dxa"/>
            <w:bottom w:w="0" w:type="dxa"/>
            <w:right w:w="108" w:type="dxa"/>
          </w:tblCellMar>
        </w:tblPrEx>
        <w:trPr>
          <w:trHeight w:val="420" w:hRule="atLeast"/>
        </w:trPr>
        <w:tc>
          <w:tcPr>
            <w:tcW w:w="0" w:type="auto"/>
            <w:gridSpan w:val="8"/>
            <w:vMerge w:val="continue"/>
            <w:tcBorders>
              <w:left w:val="nil"/>
              <w:right w:val="nil"/>
            </w:tcBorders>
            <w:shd w:val="clear" w:color="auto" w:fill="auto"/>
          </w:tcPr>
          <w:p w14:paraId="7E004AA8">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r w14:paraId="60BB4A07">
        <w:tblPrEx>
          <w:tblCellMar>
            <w:top w:w="0" w:type="dxa"/>
            <w:left w:w="108" w:type="dxa"/>
            <w:bottom w:w="0" w:type="dxa"/>
            <w:right w:w="108" w:type="dxa"/>
          </w:tblCellMar>
        </w:tblPrEx>
        <w:trPr>
          <w:trHeight w:val="420" w:hRule="atLeast"/>
        </w:trPr>
        <w:tc>
          <w:tcPr>
            <w:tcW w:w="0" w:type="auto"/>
            <w:gridSpan w:val="8"/>
            <w:vMerge w:val="continue"/>
            <w:tcBorders>
              <w:left w:val="nil"/>
              <w:right w:val="nil"/>
            </w:tcBorders>
            <w:shd w:val="clear" w:color="auto" w:fill="FFFF00"/>
            <w:vAlign w:val="center"/>
          </w:tcPr>
          <w:p w14:paraId="503DCA1B">
            <w:pPr>
              <w:keepNext w:val="0"/>
              <w:keepLines w:val="0"/>
              <w:pageBreakBefore w:val="0"/>
              <w:kinsoku/>
              <w:wordWrap w:val="0"/>
              <w:overflowPunct/>
              <w:topLinePunct w:val="0"/>
              <w:autoSpaceDE/>
              <w:autoSpaceDN/>
              <w:bidi w:val="0"/>
              <w:adjustRightInd/>
              <w:snapToGrid w:val="0"/>
              <w:spacing w:line="360" w:lineRule="auto"/>
              <w:ind w:firstLine="0" w:firstLineChars="0"/>
              <w:jc w:val="both"/>
              <w:rPr>
                <w:rFonts w:ascii="仿宋" w:hAnsi="仿宋" w:eastAsia="仿宋" w:cs="仿宋"/>
                <w:color w:val="auto"/>
                <w:sz w:val="24"/>
                <w:highlight w:val="none"/>
              </w:rPr>
            </w:pPr>
          </w:p>
        </w:tc>
      </w:tr>
    </w:tbl>
    <w:p w14:paraId="19E4B2D4">
      <w:pPr>
        <w:numPr>
          <w:ilvl w:val="0"/>
          <w:numId w:val="0"/>
        </w:numPr>
        <w:adjustRightInd w:val="0"/>
        <w:snapToGrid w:val="0"/>
        <w:spacing w:line="560" w:lineRule="exact"/>
        <w:ind w:left="720" w:leftChars="0" w:hanging="720" w:firstLineChars="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4"/>
          <w:highlight w:val="none"/>
        </w:rPr>
        <w:br w:type="page"/>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商务要求</w:t>
      </w:r>
    </w:p>
    <w:tbl>
      <w:tblPr>
        <w:tblStyle w:val="94"/>
        <w:tblpPr w:leftFromText="180" w:rightFromText="180" w:vertAnchor="text" w:horzAnchor="page" w:tblpX="1161" w:tblpY="222"/>
        <w:tblOverlap w:val="never"/>
        <w:tblW w:w="98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7279"/>
      </w:tblGrid>
      <w:tr w14:paraId="649B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800" w:type="dxa"/>
            <w:gridSpan w:val="2"/>
            <w:vAlign w:val="center"/>
          </w:tcPr>
          <w:p w14:paraId="340B32C7">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w:t>
            </w:r>
            <w:r>
              <w:rPr>
                <w:rFonts w:hint="eastAsia" w:ascii="仿宋" w:hAnsi="仿宋" w:eastAsia="仿宋" w:cs="仿宋"/>
                <w:b/>
                <w:bCs/>
                <w:color w:val="auto"/>
                <w:spacing w:val="6"/>
                <w:sz w:val="24"/>
                <w:szCs w:val="24"/>
                <w:highlight w:val="none"/>
              </w:rPr>
              <w:t>商务条款</w:t>
            </w:r>
          </w:p>
        </w:tc>
      </w:tr>
      <w:tr w14:paraId="656A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trPr>
        <w:tc>
          <w:tcPr>
            <w:tcW w:w="2521" w:type="dxa"/>
            <w:vAlign w:val="center"/>
          </w:tcPr>
          <w:p w14:paraId="6FC76EF3">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p>
          <w:p w14:paraId="10209908">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售后服务要求</w:t>
            </w:r>
          </w:p>
        </w:tc>
        <w:tc>
          <w:tcPr>
            <w:tcW w:w="7279" w:type="dxa"/>
            <w:vAlign w:val="center"/>
          </w:tcPr>
          <w:p w14:paraId="3B1E5C4F">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1.负责免费送货上门，负责免费安装、调试合格。</w:t>
            </w:r>
          </w:p>
          <w:p w14:paraId="258CD2DB">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2.免费提供现场技术培训，保证使用人员正常操作设备的各种功能，终身提供免</w:t>
            </w:r>
            <w:r>
              <w:rPr>
                <w:rFonts w:hint="eastAsia" w:ascii="仿宋" w:hAnsi="仿宋" w:eastAsia="仿宋" w:cs="仿宋"/>
                <w:color w:val="auto"/>
                <w:spacing w:val="4"/>
                <w:sz w:val="24"/>
                <w:szCs w:val="24"/>
                <w:highlight w:val="none"/>
              </w:rPr>
              <w:t>费技术支持。</w:t>
            </w:r>
          </w:p>
          <w:p w14:paraId="75CDA9CF">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3.每周回访，收集用户使用问题提高设备使用效能。</w:t>
            </w:r>
          </w:p>
          <w:p w14:paraId="70093134">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4.设备自带软件的在免费保修期内免费升级；</w:t>
            </w:r>
          </w:p>
          <w:p w14:paraId="300C2F1D">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5.所采购设备必须原厂生产的全新合格产品，产品质量符合国家相关标准和安全</w:t>
            </w:r>
            <w:r>
              <w:rPr>
                <w:rFonts w:hint="eastAsia" w:ascii="仿宋" w:hAnsi="仿宋" w:eastAsia="仿宋" w:cs="仿宋"/>
                <w:color w:val="auto"/>
                <w:spacing w:val="2"/>
                <w:sz w:val="24"/>
                <w:szCs w:val="24"/>
                <w:highlight w:val="none"/>
              </w:rPr>
              <w:t>规范。</w:t>
            </w:r>
          </w:p>
          <w:p w14:paraId="418D973E">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6.采购货物价格包含货物、随配附件、备品备件、工具、运抵指定交货地点、现场安装调试的各种费用和售后服务、税金等所有成本费用的总和；</w:t>
            </w:r>
          </w:p>
          <w:p w14:paraId="37DED6B7">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7.产权归属：所有设备（含前端、后台设备等，不包括光纤电路）合同货款全部</w:t>
            </w:r>
            <w:r>
              <w:rPr>
                <w:rFonts w:hint="eastAsia" w:ascii="仿宋" w:hAnsi="仿宋" w:eastAsia="仿宋" w:cs="仿宋"/>
                <w:color w:val="auto"/>
                <w:spacing w:val="8"/>
                <w:sz w:val="24"/>
                <w:szCs w:val="24"/>
                <w:highlight w:val="none"/>
              </w:rPr>
              <w:t>付清后产权归采购人所有；</w:t>
            </w:r>
          </w:p>
          <w:p w14:paraId="04672F92">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8.维护服务：</w:t>
            </w:r>
          </w:p>
          <w:p w14:paraId="0989E44E">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（1）</w:t>
            </w:r>
            <w:r>
              <w:rPr>
                <w:rFonts w:hint="eastAsia" w:ascii="仿宋" w:hAnsi="仿宋" w:eastAsia="仿宋" w:cs="仿宋"/>
                <w:color w:val="auto"/>
                <w:spacing w:val="7"/>
                <w:sz w:val="24"/>
                <w:szCs w:val="24"/>
                <w:highlight w:val="none"/>
              </w:rPr>
              <w:t>设备质保期一年，免费维保。</w:t>
            </w:r>
          </w:p>
          <w:p w14:paraId="1141737C">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（2）</w:t>
            </w:r>
            <w:r>
              <w:rPr>
                <w:rFonts w:hint="eastAsia" w:ascii="仿宋" w:hAnsi="仿宋" w:eastAsia="仿宋" w:cs="仿宋"/>
                <w:color w:val="auto"/>
                <w:sz w:val="24"/>
                <w:highlight w:val="none"/>
              </w:rPr>
              <w:t>提供至少</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辆运维工程车辆，提供至少3人运维技术人员。</w:t>
            </w:r>
          </w:p>
          <w:p w14:paraId="5FF21092">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（3）</w:t>
            </w:r>
            <w:r>
              <w:rPr>
                <w:rFonts w:hint="eastAsia" w:ascii="仿宋" w:hAnsi="仿宋" w:eastAsia="仿宋" w:cs="仿宋"/>
                <w:color w:val="auto"/>
                <w:spacing w:val="7"/>
                <w:sz w:val="24"/>
                <w:szCs w:val="24"/>
                <w:highlight w:val="none"/>
              </w:rPr>
              <w:t>本次项目总体运维，设备维护，含电话技术支持、现场技术支持服务、用户培训、售后管理，7X24小时响应等费用；紧急故障处理，0.5小时内响应，必须在1小时之内赴现场处理。不需要更换备件的条件下应在4小时内解除故障,需要更换设备时应在48小时内解除故障。</w:t>
            </w:r>
          </w:p>
          <w:p w14:paraId="2B23A18A">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（4）</w:t>
            </w:r>
            <w:r>
              <w:rPr>
                <w:rFonts w:hint="eastAsia" w:ascii="仿宋" w:hAnsi="仿宋" w:eastAsia="仿宋" w:cs="仿宋"/>
                <w:color w:val="auto"/>
                <w:spacing w:val="7"/>
                <w:sz w:val="24"/>
                <w:szCs w:val="24"/>
                <w:highlight w:val="none"/>
              </w:rPr>
              <w:t>提供本项目前端主要设备的关键零部件（电源适配器、5口交换机、空气开关、排插、6类网线）易损易耗件库，一旦发现损坏马上更换；提供设备的故障维修；</w:t>
            </w:r>
          </w:p>
          <w:p w14:paraId="481CFD03">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（5）</w:t>
            </w:r>
            <w:r>
              <w:rPr>
                <w:rFonts w:hint="eastAsia" w:ascii="仿宋" w:hAnsi="仿宋" w:eastAsia="仿宋" w:cs="仿宋"/>
                <w:color w:val="auto"/>
                <w:spacing w:val="7"/>
                <w:sz w:val="24"/>
                <w:szCs w:val="24"/>
                <w:highlight w:val="none"/>
              </w:rPr>
              <w:t>对于存储的数据，进行有效的管理和分类，以便能够快速检索和调用所需的信息。</w:t>
            </w:r>
          </w:p>
          <w:p w14:paraId="6CEBD53D">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（6）</w:t>
            </w:r>
            <w:r>
              <w:rPr>
                <w:rFonts w:hint="eastAsia" w:ascii="仿宋" w:hAnsi="仿宋" w:eastAsia="仿宋" w:cs="仿宋"/>
                <w:color w:val="auto"/>
                <w:spacing w:val="7"/>
                <w:sz w:val="24"/>
                <w:szCs w:val="24"/>
                <w:highlight w:val="none"/>
              </w:rPr>
              <w:t>定期巡检：每月一次对各类硬件设备进行现场的检查，以提前发现潜在问题。</w:t>
            </w:r>
          </w:p>
          <w:p w14:paraId="3D426989">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（7）</w:t>
            </w:r>
            <w:r>
              <w:rPr>
                <w:rFonts w:hint="eastAsia" w:ascii="仿宋" w:hAnsi="仿宋" w:eastAsia="仿宋" w:cs="仿宋"/>
                <w:color w:val="auto"/>
                <w:spacing w:val="7"/>
                <w:sz w:val="24"/>
                <w:szCs w:val="24"/>
                <w:highlight w:val="none"/>
              </w:rPr>
              <w:t>故障排查与修复：当设备出现故障时，迅速定位并解决问题，确保设备尽快恢复正常运行。</w:t>
            </w:r>
          </w:p>
          <w:p w14:paraId="346751AC">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（8）</w:t>
            </w:r>
            <w:r>
              <w:rPr>
                <w:rFonts w:hint="eastAsia" w:ascii="仿宋" w:hAnsi="仿宋" w:eastAsia="仿宋" w:cs="仿宋"/>
                <w:color w:val="auto"/>
                <w:spacing w:val="7"/>
                <w:sz w:val="24"/>
                <w:szCs w:val="24"/>
                <w:highlight w:val="none"/>
              </w:rPr>
              <w:t>清洁与保养：保持设备的清洁，确保良好的散热和运行环境，延长设备使用寿命。</w:t>
            </w:r>
          </w:p>
          <w:p w14:paraId="5A5F2598">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rPr>
              <w:t>对于设备的日常维护，安排专人对设备性能优化提供建议及支持，并建立维护工作月报告，向用户提供详细技术文档等资料。</w:t>
            </w:r>
          </w:p>
        </w:tc>
      </w:tr>
      <w:tr w14:paraId="54484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2521" w:type="dxa"/>
            <w:vAlign w:val="center"/>
          </w:tcPr>
          <w:p w14:paraId="75B93E78">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交付时间及地点</w:t>
            </w:r>
          </w:p>
        </w:tc>
        <w:tc>
          <w:tcPr>
            <w:tcW w:w="7279" w:type="dxa"/>
            <w:vAlign w:val="center"/>
          </w:tcPr>
          <w:p w14:paraId="1DE4DBF0">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rPr>
              <w:t>1</w:t>
            </w:r>
            <w:r>
              <w:rPr>
                <w:rFonts w:hint="eastAsia" w:ascii="仿宋" w:hAnsi="仿宋" w:eastAsia="仿宋" w:cs="仿宋"/>
                <w:color w:val="auto"/>
                <w:spacing w:val="8"/>
                <w:sz w:val="24"/>
                <w:szCs w:val="24"/>
                <w:highlight w:val="none"/>
              </w:rPr>
              <w:t>.交付时间：</w:t>
            </w:r>
            <w:r>
              <w:rPr>
                <w:rFonts w:hint="eastAsia" w:ascii="仿宋" w:hAnsi="仿宋" w:eastAsia="仿宋" w:cs="仿宋"/>
                <w:color w:val="auto"/>
                <w:sz w:val="24"/>
                <w:highlight w:val="none"/>
              </w:rPr>
              <w:t>自签订合同之日起30个日历日内交付全部货物并安装调试完毕交付使用</w:t>
            </w:r>
            <w:r>
              <w:rPr>
                <w:rFonts w:hint="eastAsia" w:ascii="仿宋" w:hAnsi="仿宋" w:eastAsia="仿宋" w:cs="仿宋"/>
                <w:color w:val="auto"/>
                <w:sz w:val="24"/>
                <w:highlight w:val="none"/>
                <w:lang w:eastAsia="zh-CN"/>
              </w:rPr>
              <w:t>。</w:t>
            </w:r>
          </w:p>
          <w:p w14:paraId="4D0DEBF8">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3.交付地点：采购人指定地点。</w:t>
            </w:r>
          </w:p>
        </w:tc>
      </w:tr>
      <w:tr w14:paraId="4262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521" w:type="dxa"/>
            <w:vAlign w:val="center"/>
          </w:tcPr>
          <w:p w14:paraId="5F2BE21B">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合同签订时间</w:t>
            </w:r>
          </w:p>
        </w:tc>
        <w:tc>
          <w:tcPr>
            <w:tcW w:w="7279" w:type="dxa"/>
            <w:vAlign w:val="center"/>
          </w:tcPr>
          <w:p w14:paraId="0E0294E3">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自中标通知书发出之日起</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lang w:val="en-US" w:eastAsia="zh-CN"/>
              </w:rPr>
              <w:t>30</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
                <w:sz w:val="24"/>
                <w:szCs w:val="24"/>
                <w:highlight w:val="none"/>
              </w:rPr>
              <w:t>日内（最迟不能超过</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6"/>
                <w:sz w:val="24"/>
                <w:szCs w:val="24"/>
                <w:highlight w:val="none"/>
                <w:lang w:val="en-US" w:eastAsia="zh-CN"/>
              </w:rPr>
              <w:t>30</w:t>
            </w:r>
            <w:r>
              <w:rPr>
                <w:rFonts w:hint="eastAsia" w:ascii="仿宋" w:hAnsi="仿宋" w:eastAsia="仿宋" w:cs="仿宋"/>
                <w:color w:val="auto"/>
                <w:spacing w:val="3"/>
                <w:sz w:val="24"/>
                <w:szCs w:val="24"/>
                <w:highlight w:val="none"/>
              </w:rPr>
              <w:t xml:space="preserve"> 日）</w:t>
            </w:r>
          </w:p>
        </w:tc>
      </w:tr>
      <w:tr w14:paraId="2C6C9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Align w:val="center"/>
          </w:tcPr>
          <w:p w14:paraId="6A89C659">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付款条件</w:t>
            </w:r>
          </w:p>
        </w:tc>
        <w:tc>
          <w:tcPr>
            <w:tcW w:w="7279" w:type="dxa"/>
            <w:vAlign w:val="center"/>
          </w:tcPr>
          <w:p w14:paraId="3DF51CD6">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安装调试通过验收后，采购人收到发票30日内支付合同总额的100%支付成交供应商。</w:t>
            </w:r>
          </w:p>
        </w:tc>
      </w:tr>
      <w:tr w14:paraId="138DB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21" w:type="dxa"/>
            <w:vAlign w:val="center"/>
          </w:tcPr>
          <w:p w14:paraId="7EB591D4">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质保期</w:t>
            </w:r>
          </w:p>
        </w:tc>
        <w:tc>
          <w:tcPr>
            <w:tcW w:w="7279" w:type="dxa"/>
            <w:vAlign w:val="center"/>
          </w:tcPr>
          <w:p w14:paraId="63B12794">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验收通过之日起开始计算保修</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lang w:val="en-US" w:eastAsia="zh-CN"/>
              </w:rPr>
              <w:t>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年。</w:t>
            </w:r>
          </w:p>
        </w:tc>
      </w:tr>
      <w:tr w14:paraId="5EE08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521" w:type="dxa"/>
            <w:vAlign w:val="center"/>
          </w:tcPr>
          <w:p w14:paraId="74D8DB68">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p>
          <w:p w14:paraId="035A321F">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p>
          <w:p w14:paraId="22632D0F">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投标报价说明</w:t>
            </w:r>
          </w:p>
        </w:tc>
        <w:tc>
          <w:tcPr>
            <w:tcW w:w="7279" w:type="dxa"/>
            <w:vAlign w:val="center"/>
          </w:tcPr>
          <w:p w14:paraId="3E9ED9AB">
            <w:pPr>
              <w:pStyle w:val="10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firstLine="500" w:firstLineChars="200"/>
              <w:jc w:val="both"/>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5"/>
                <w:sz w:val="24"/>
                <w:szCs w:val="24"/>
                <w:highlight w:val="none"/>
              </w:rPr>
              <w:t>投标报价中应包含货物、货物标准附件、备品备件、专用工具、设备安装辅材、</w:t>
            </w:r>
            <w:r>
              <w:rPr>
                <w:rFonts w:hint="eastAsia" w:ascii="仿宋" w:hAnsi="仿宋" w:eastAsia="仿宋" w:cs="仿宋"/>
                <w:color w:val="auto"/>
                <w:spacing w:val="10"/>
                <w:sz w:val="24"/>
                <w:szCs w:val="24"/>
                <w:highlight w:val="none"/>
              </w:rPr>
              <w:t>施工辅材、包装、运输、装卸、保险、货到就</w:t>
            </w:r>
            <w:r>
              <w:rPr>
                <w:rFonts w:hint="eastAsia" w:ascii="仿宋" w:hAnsi="仿宋" w:eastAsia="仿宋" w:cs="仿宋"/>
                <w:color w:val="auto"/>
                <w:spacing w:val="9"/>
                <w:sz w:val="24"/>
                <w:szCs w:val="24"/>
                <w:highlight w:val="none"/>
              </w:rPr>
              <w:t>位的各种费用以及安装、调试、本</w:t>
            </w:r>
            <w:r>
              <w:rPr>
                <w:rFonts w:hint="eastAsia" w:ascii="仿宋" w:hAnsi="仿宋" w:eastAsia="仿宋" w:cs="仿宋"/>
                <w:color w:val="auto"/>
                <w:spacing w:val="16"/>
                <w:sz w:val="24"/>
                <w:szCs w:val="24"/>
                <w:highlight w:val="none"/>
              </w:rPr>
              <w:t>招标文件所列设备材料需进行补充完善才能完成本项目的</w:t>
            </w:r>
            <w:r>
              <w:rPr>
                <w:rFonts w:hint="eastAsia" w:ascii="仿宋" w:hAnsi="仿宋" w:eastAsia="仿宋" w:cs="仿宋"/>
                <w:color w:val="auto"/>
                <w:spacing w:val="15"/>
                <w:sz w:val="24"/>
                <w:szCs w:val="24"/>
                <w:highlight w:val="none"/>
              </w:rPr>
              <w:t>或实际采购中产品材</w:t>
            </w:r>
            <w:r>
              <w:rPr>
                <w:rFonts w:hint="eastAsia" w:ascii="仿宋" w:hAnsi="仿宋" w:eastAsia="仿宋" w:cs="仿宋"/>
                <w:color w:val="auto"/>
                <w:spacing w:val="10"/>
                <w:sz w:val="24"/>
                <w:szCs w:val="24"/>
                <w:highlight w:val="none"/>
              </w:rPr>
              <w:t>料有任何遗漏的费用（含本项目需要但本文件</w:t>
            </w:r>
            <w:r>
              <w:rPr>
                <w:rFonts w:hint="eastAsia" w:ascii="仿宋" w:hAnsi="仿宋" w:eastAsia="仿宋" w:cs="仿宋"/>
                <w:color w:val="auto"/>
                <w:spacing w:val="9"/>
                <w:sz w:val="24"/>
                <w:szCs w:val="24"/>
                <w:highlight w:val="none"/>
              </w:rPr>
              <w:t>中未列出的设备材料）、税金、售后服务、技术培训及其他所有成本费用；采购人不再支付任何费用。</w:t>
            </w:r>
          </w:p>
          <w:p w14:paraId="5A316626">
            <w:pPr>
              <w:pStyle w:val="10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rPr>
              <w:t>投标人负责工人人身</w:t>
            </w:r>
            <w:r>
              <w:rPr>
                <w:rFonts w:hint="eastAsia" w:ascii="仿宋" w:hAnsi="仿宋" w:eastAsia="仿宋" w:cs="仿宋"/>
                <w:color w:val="auto"/>
                <w:spacing w:val="9"/>
                <w:sz w:val="24"/>
                <w:szCs w:val="24"/>
                <w:highlight w:val="none"/>
                <w:lang w:val="en-US" w:eastAsia="zh-CN"/>
              </w:rPr>
              <w:t>和</w:t>
            </w:r>
            <w:r>
              <w:rPr>
                <w:rFonts w:hint="eastAsia" w:ascii="仿宋" w:hAnsi="仿宋" w:eastAsia="仿宋" w:cs="仿宋"/>
                <w:color w:val="auto"/>
                <w:spacing w:val="9"/>
                <w:sz w:val="24"/>
                <w:szCs w:val="24"/>
                <w:highlight w:val="none"/>
              </w:rPr>
              <w:t>设备安全责任，验收前，设备丢失自行负责。</w:t>
            </w:r>
          </w:p>
        </w:tc>
      </w:tr>
      <w:tr w14:paraId="23855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00" w:type="dxa"/>
            <w:gridSpan w:val="2"/>
            <w:vAlign w:val="center"/>
          </w:tcPr>
          <w:p w14:paraId="3F987C07">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二、商务条款其他要求</w:t>
            </w:r>
          </w:p>
        </w:tc>
      </w:tr>
      <w:tr w14:paraId="67A28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2521" w:type="dxa"/>
            <w:vAlign w:val="center"/>
          </w:tcPr>
          <w:p w14:paraId="36F12F70">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规范标准</w:t>
            </w:r>
          </w:p>
        </w:tc>
        <w:tc>
          <w:tcPr>
            <w:tcW w:w="7279" w:type="dxa"/>
            <w:vAlign w:val="center"/>
          </w:tcPr>
          <w:p w14:paraId="4C1F8C7B">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本项目如有国家相关标准、行业标准、地方标准或者其他标准、规范的，应</w:t>
            </w:r>
            <w:r>
              <w:rPr>
                <w:rFonts w:hint="eastAsia" w:ascii="仿宋" w:hAnsi="仿宋" w:eastAsia="仿宋" w:cs="仿宋"/>
                <w:color w:val="auto"/>
                <w:spacing w:val="10"/>
                <w:sz w:val="24"/>
                <w:szCs w:val="24"/>
                <w:highlight w:val="none"/>
              </w:rPr>
              <w:t>执行相应的标准、规范。如具体采购需求与标</w:t>
            </w:r>
            <w:r>
              <w:rPr>
                <w:rFonts w:hint="eastAsia" w:ascii="仿宋" w:hAnsi="仿宋" w:eastAsia="仿宋" w:cs="仿宋"/>
                <w:color w:val="auto"/>
                <w:spacing w:val="9"/>
                <w:sz w:val="24"/>
                <w:szCs w:val="24"/>
                <w:highlight w:val="none"/>
              </w:rPr>
              <w:t>准、规范不一致的，高于标准、规范的按具体采购需求执行，低于标准、规范的按标准、规范执行。</w:t>
            </w:r>
          </w:p>
        </w:tc>
      </w:tr>
      <w:tr w14:paraId="137F6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3" w:hRule="atLeast"/>
        </w:trPr>
        <w:tc>
          <w:tcPr>
            <w:tcW w:w="2521" w:type="dxa"/>
            <w:vAlign w:val="center"/>
          </w:tcPr>
          <w:p w14:paraId="3F8B0244">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p>
          <w:p w14:paraId="4265967C">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p>
          <w:p w14:paraId="1385D0FC">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采购标的验收标准</w:t>
            </w:r>
          </w:p>
        </w:tc>
        <w:tc>
          <w:tcPr>
            <w:tcW w:w="7279" w:type="dxa"/>
            <w:vAlign w:val="center"/>
          </w:tcPr>
          <w:p w14:paraId="4F29D630">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1、验收过程中所产生的一切费用均由中标人承担。报价时</w:t>
            </w:r>
            <w:r>
              <w:rPr>
                <w:rFonts w:hint="eastAsia" w:ascii="仿宋" w:hAnsi="仿宋" w:eastAsia="仿宋" w:cs="仿宋"/>
                <w:color w:val="auto"/>
                <w:spacing w:val="8"/>
                <w:sz w:val="24"/>
                <w:szCs w:val="24"/>
                <w:highlight w:val="none"/>
              </w:rPr>
              <w:t>应考虑相关费用。</w:t>
            </w:r>
          </w:p>
          <w:p w14:paraId="09989C67">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2、中标人在货物验收时由采购单位对照招标文件的功能目标及技术指标全面核</w:t>
            </w:r>
            <w:r>
              <w:rPr>
                <w:rFonts w:hint="eastAsia" w:ascii="仿宋" w:hAnsi="仿宋" w:eastAsia="仿宋" w:cs="仿宋"/>
                <w:color w:val="auto"/>
                <w:spacing w:val="10"/>
                <w:sz w:val="24"/>
                <w:szCs w:val="24"/>
                <w:highlight w:val="none"/>
              </w:rPr>
              <w:t>对检验，对所有要求出具的证明文件的原件进</w:t>
            </w:r>
            <w:r>
              <w:rPr>
                <w:rFonts w:hint="eastAsia" w:ascii="仿宋" w:hAnsi="仿宋" w:eastAsia="仿宋" w:cs="仿宋"/>
                <w:color w:val="auto"/>
                <w:spacing w:val="9"/>
                <w:sz w:val="24"/>
                <w:szCs w:val="24"/>
                <w:highlight w:val="none"/>
              </w:rPr>
              <w:t>行核查，如不符合招标文件的技术</w:t>
            </w:r>
            <w:r>
              <w:rPr>
                <w:rFonts w:hint="eastAsia" w:ascii="仿宋" w:hAnsi="仿宋" w:eastAsia="仿宋" w:cs="仿宋"/>
                <w:color w:val="auto"/>
                <w:spacing w:val="10"/>
                <w:sz w:val="24"/>
                <w:szCs w:val="24"/>
                <w:highlight w:val="none"/>
              </w:rPr>
              <w:t>需求及要求以及提供虚假承诺的，按相关规定</w:t>
            </w:r>
            <w:r>
              <w:rPr>
                <w:rFonts w:hint="eastAsia" w:ascii="仿宋" w:hAnsi="仿宋" w:eastAsia="仿宋" w:cs="仿宋"/>
                <w:color w:val="auto"/>
                <w:spacing w:val="9"/>
                <w:sz w:val="24"/>
                <w:szCs w:val="24"/>
                <w:highlight w:val="none"/>
              </w:rPr>
              <w:t>做退货处理及违约处理，中标人承担所有责任和费用，采购人保留进一步追究责任的权利。</w:t>
            </w:r>
          </w:p>
          <w:p w14:paraId="56108F3A">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3、设备核心参数、功能项，采购人有权要求中标人供货时</w:t>
            </w:r>
            <w:r>
              <w:rPr>
                <w:rFonts w:hint="eastAsia" w:ascii="仿宋" w:hAnsi="仿宋" w:eastAsia="仿宋" w:cs="仿宋"/>
                <w:bCs/>
                <w:color w:val="auto"/>
                <w:sz w:val="24"/>
                <w:highlight w:val="none"/>
                <w:u w:val="none"/>
                <w:lang w:eastAsia="zh-CN"/>
              </w:rPr>
              <w:t>提供国家有关部委机关出具的检测(检验)</w:t>
            </w:r>
            <w:r>
              <w:rPr>
                <w:rFonts w:hint="eastAsia" w:ascii="仿宋" w:hAnsi="仿宋" w:eastAsia="仿宋" w:cs="仿宋"/>
                <w:bCs/>
                <w:color w:val="auto"/>
                <w:sz w:val="24"/>
                <w:highlight w:val="none"/>
                <w:u w:val="none"/>
                <w:lang w:val="en-US" w:eastAsia="zh-CN"/>
              </w:rPr>
              <w:t>报告复印件</w:t>
            </w:r>
            <w:r>
              <w:rPr>
                <w:rFonts w:hint="eastAsia" w:ascii="仿宋" w:hAnsi="仿宋" w:eastAsia="仿宋" w:cs="仿宋"/>
                <w:bCs/>
                <w:color w:val="auto"/>
                <w:sz w:val="24"/>
                <w:highlight w:val="none"/>
                <w:u w:val="none"/>
                <w:lang w:eastAsia="zh-CN"/>
              </w:rPr>
              <w:t>等证明材料</w:t>
            </w:r>
            <w:r>
              <w:rPr>
                <w:rFonts w:hint="eastAsia" w:ascii="仿宋" w:hAnsi="仿宋" w:eastAsia="仿宋" w:cs="仿宋"/>
                <w:color w:val="auto"/>
                <w:spacing w:val="10"/>
                <w:sz w:val="24"/>
                <w:szCs w:val="24"/>
                <w:highlight w:val="none"/>
              </w:rPr>
              <w:t>，如不能</w:t>
            </w:r>
            <w:r>
              <w:rPr>
                <w:rFonts w:hint="eastAsia" w:ascii="仿宋" w:hAnsi="仿宋" w:eastAsia="仿宋" w:cs="仿宋"/>
                <w:bCs/>
                <w:color w:val="auto"/>
                <w:sz w:val="24"/>
                <w:highlight w:val="none"/>
                <w:u w:val="none"/>
                <w:lang w:eastAsia="zh-CN"/>
              </w:rPr>
              <w:t>提供国家有关部委机关出具的检测(检验)</w:t>
            </w:r>
            <w:r>
              <w:rPr>
                <w:rFonts w:hint="eastAsia" w:ascii="仿宋" w:hAnsi="仿宋" w:eastAsia="仿宋" w:cs="仿宋"/>
                <w:bCs/>
                <w:color w:val="auto"/>
                <w:sz w:val="24"/>
                <w:highlight w:val="none"/>
                <w:u w:val="none"/>
                <w:lang w:val="en-US" w:eastAsia="zh-CN"/>
              </w:rPr>
              <w:t>报告复印件</w:t>
            </w:r>
            <w:r>
              <w:rPr>
                <w:rFonts w:hint="eastAsia" w:ascii="仿宋" w:hAnsi="仿宋" w:eastAsia="仿宋" w:cs="仿宋"/>
                <w:bCs/>
                <w:color w:val="auto"/>
                <w:sz w:val="24"/>
                <w:highlight w:val="none"/>
                <w:u w:val="none"/>
                <w:lang w:eastAsia="zh-CN"/>
              </w:rPr>
              <w:t>等证明材料</w:t>
            </w:r>
            <w:r>
              <w:rPr>
                <w:rFonts w:hint="eastAsia" w:ascii="仿宋" w:hAnsi="仿宋" w:eastAsia="仿宋" w:cs="仿宋"/>
                <w:color w:val="auto"/>
                <w:spacing w:val="9"/>
                <w:sz w:val="24"/>
                <w:szCs w:val="24"/>
                <w:highlight w:val="none"/>
              </w:rPr>
              <w:t>，则需提供产品到用户现场（招标单位邀请质量监督部门专家）进行招标要求中的性能技术指标测试。测试及邀请质量监督部门专家所产生的费用由中标人承担。若测试结果与投标文件所报技术参数性能不符则中标人须承担相关法律</w:t>
            </w:r>
            <w:r>
              <w:rPr>
                <w:rFonts w:hint="eastAsia" w:ascii="仿宋" w:hAnsi="仿宋" w:eastAsia="仿宋" w:cs="仿宋"/>
                <w:color w:val="auto"/>
                <w:spacing w:val="10"/>
                <w:sz w:val="24"/>
                <w:szCs w:val="24"/>
                <w:highlight w:val="none"/>
              </w:rPr>
              <w:t>责任，采购人有权报相关政府采购监督管理部</w:t>
            </w:r>
            <w:r>
              <w:rPr>
                <w:rFonts w:hint="eastAsia" w:ascii="仿宋" w:hAnsi="仿宋" w:eastAsia="仿宋" w:cs="仿宋"/>
                <w:color w:val="auto"/>
                <w:spacing w:val="9"/>
                <w:sz w:val="24"/>
                <w:szCs w:val="24"/>
                <w:highlight w:val="none"/>
              </w:rPr>
              <w:t>门进行处理，并保留追究其法律责</w:t>
            </w:r>
            <w:r>
              <w:rPr>
                <w:rFonts w:hint="eastAsia" w:ascii="仿宋" w:hAnsi="仿宋" w:eastAsia="仿宋" w:cs="仿宋"/>
                <w:color w:val="auto"/>
                <w:spacing w:val="6"/>
                <w:sz w:val="24"/>
                <w:szCs w:val="24"/>
                <w:highlight w:val="none"/>
              </w:rPr>
              <w:t>任的权利。</w:t>
            </w:r>
          </w:p>
        </w:tc>
      </w:tr>
      <w:tr w14:paraId="0EBC4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2521" w:type="dxa"/>
            <w:vAlign w:val="center"/>
          </w:tcPr>
          <w:p w14:paraId="05E489FF">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产权</w:t>
            </w:r>
          </w:p>
        </w:tc>
        <w:tc>
          <w:tcPr>
            <w:tcW w:w="7279" w:type="dxa"/>
            <w:vAlign w:val="center"/>
          </w:tcPr>
          <w:p w14:paraId="4362184D">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1.如采购项目涉及采购标的的知识产权归属的，产权归属为采购人；</w:t>
            </w:r>
          </w:p>
          <w:p w14:paraId="298FFE4A">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2.处理方式：采购人在中华人民共和国境内使用中标人提供的产品及服务时免受</w:t>
            </w:r>
            <w:r>
              <w:rPr>
                <w:rFonts w:hint="eastAsia" w:ascii="仿宋" w:hAnsi="仿宋" w:eastAsia="仿宋" w:cs="仿宋"/>
                <w:color w:val="auto"/>
                <w:spacing w:val="10"/>
                <w:sz w:val="24"/>
                <w:szCs w:val="24"/>
                <w:highlight w:val="none"/>
              </w:rPr>
              <w:t>第三方提出的侵犯其专利权或其它知识产权</w:t>
            </w:r>
            <w:r>
              <w:rPr>
                <w:rFonts w:hint="eastAsia" w:ascii="仿宋" w:hAnsi="仿宋" w:eastAsia="仿宋" w:cs="仿宋"/>
                <w:color w:val="auto"/>
                <w:spacing w:val="9"/>
                <w:sz w:val="24"/>
                <w:szCs w:val="24"/>
                <w:highlight w:val="none"/>
              </w:rPr>
              <w:t>的起诉</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9"/>
                <w:sz w:val="24"/>
                <w:szCs w:val="24"/>
                <w:highlight w:val="none"/>
              </w:rPr>
              <w:t>如果第三方提出侵权指控，中标人应承担由此而引起的一切法律责任和费用。</w:t>
            </w:r>
          </w:p>
        </w:tc>
      </w:tr>
      <w:tr w14:paraId="4969C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800" w:type="dxa"/>
            <w:gridSpan w:val="2"/>
            <w:vAlign w:val="center"/>
          </w:tcPr>
          <w:p w14:paraId="14E2B2D8">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三、核心产品</w:t>
            </w:r>
          </w:p>
        </w:tc>
      </w:tr>
      <w:tr w14:paraId="5B915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2521" w:type="dxa"/>
            <w:vAlign w:val="center"/>
          </w:tcPr>
          <w:p w14:paraId="38C1E756">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p>
          <w:p w14:paraId="3F84658D">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说明</w:t>
            </w:r>
          </w:p>
        </w:tc>
        <w:tc>
          <w:tcPr>
            <w:tcW w:w="7279" w:type="dxa"/>
            <w:vAlign w:val="center"/>
          </w:tcPr>
          <w:p w14:paraId="5C0926D5">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本表的核心产品为</w:t>
            </w:r>
            <w:r>
              <w:rPr>
                <w:rFonts w:hint="eastAsia" w:ascii="仿宋" w:hAnsi="仿宋" w:eastAsia="仿宋" w:cs="仿宋"/>
                <w:b w:val="0"/>
                <w:bCs w:val="0"/>
                <w:color w:val="auto"/>
                <w:spacing w:val="6"/>
                <w:sz w:val="24"/>
                <w:szCs w:val="24"/>
                <w:highlight w:val="none"/>
                <w:u w:val="single"/>
              </w:rPr>
              <w:t>云存储管理设备</w:t>
            </w:r>
            <w:r>
              <w:rPr>
                <w:rFonts w:hint="eastAsia" w:ascii="仿宋" w:hAnsi="仿宋" w:eastAsia="仿宋" w:cs="仿宋"/>
                <w:color w:val="auto"/>
                <w:spacing w:val="6"/>
                <w:sz w:val="24"/>
                <w:szCs w:val="24"/>
                <w:highlight w:val="none"/>
              </w:rPr>
              <w:t>。（核心产品品牌相同的，视为提供同品</w:t>
            </w:r>
            <w:r>
              <w:rPr>
                <w:rFonts w:hint="eastAsia" w:ascii="仿宋" w:hAnsi="仿宋" w:eastAsia="仿宋" w:cs="仿宋"/>
                <w:color w:val="auto"/>
                <w:spacing w:val="4"/>
                <w:sz w:val="24"/>
                <w:szCs w:val="24"/>
                <w:highlight w:val="none"/>
              </w:rPr>
              <w:t>牌产品）</w:t>
            </w:r>
          </w:p>
          <w:p w14:paraId="0DED32D3">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jc w:val="both"/>
              <w:textAlignment w:val="auto"/>
              <w:rPr>
                <w:rFonts w:hint="eastAsia" w:eastAsia="仿宋"/>
                <w:color w:val="auto"/>
                <w:highlight w:val="none"/>
                <w:lang w:eastAsia="zh-CN"/>
              </w:rPr>
            </w:pPr>
            <w:r>
              <w:rPr>
                <w:rFonts w:hint="eastAsia" w:ascii="仿宋" w:hAnsi="仿宋" w:eastAsia="仿宋" w:cs="仿宋"/>
                <w:color w:val="auto"/>
                <w:spacing w:val="10"/>
                <w:sz w:val="24"/>
                <w:szCs w:val="24"/>
                <w:highlight w:val="none"/>
              </w:rPr>
              <w:t>注：提供相同品牌产品且通过资格审查、符</w:t>
            </w:r>
            <w:r>
              <w:rPr>
                <w:rFonts w:hint="eastAsia" w:ascii="仿宋" w:hAnsi="仿宋" w:eastAsia="仿宋" w:cs="仿宋"/>
                <w:color w:val="auto"/>
                <w:spacing w:val="9"/>
                <w:sz w:val="24"/>
                <w:szCs w:val="24"/>
                <w:highlight w:val="none"/>
              </w:rPr>
              <w:t>合性审查的不同投标人参加同一合同</w:t>
            </w:r>
            <w:r>
              <w:rPr>
                <w:rFonts w:hint="eastAsia" w:ascii="仿宋" w:hAnsi="仿宋" w:eastAsia="仿宋" w:cs="仿宋"/>
                <w:color w:val="auto"/>
                <w:spacing w:val="10"/>
                <w:sz w:val="24"/>
                <w:szCs w:val="24"/>
                <w:highlight w:val="none"/>
              </w:rPr>
              <w:t>项下投标的，按一家投标人计算，评审后得</w:t>
            </w:r>
            <w:r>
              <w:rPr>
                <w:rFonts w:hint="eastAsia" w:ascii="仿宋" w:hAnsi="仿宋" w:eastAsia="仿宋" w:cs="仿宋"/>
                <w:color w:val="auto"/>
                <w:spacing w:val="9"/>
                <w:sz w:val="24"/>
                <w:szCs w:val="24"/>
                <w:highlight w:val="none"/>
              </w:rPr>
              <w:t>分最高的同品牌投标人获得中标人推</w:t>
            </w:r>
            <w:r>
              <w:rPr>
                <w:rFonts w:hint="eastAsia" w:ascii="仿宋" w:hAnsi="仿宋" w:eastAsia="仿宋" w:cs="仿宋"/>
                <w:color w:val="auto"/>
                <w:spacing w:val="10"/>
                <w:sz w:val="24"/>
                <w:szCs w:val="24"/>
                <w:highlight w:val="none"/>
              </w:rPr>
              <w:t>荐资格；评审得分相同的，由采购人或者采</w:t>
            </w:r>
            <w:r>
              <w:rPr>
                <w:rFonts w:hint="eastAsia" w:ascii="仿宋" w:hAnsi="仿宋" w:eastAsia="仿宋" w:cs="仿宋"/>
                <w:color w:val="auto"/>
                <w:spacing w:val="9"/>
                <w:sz w:val="24"/>
                <w:szCs w:val="24"/>
                <w:highlight w:val="none"/>
              </w:rPr>
              <w:t>购人委托评标委员会按照招标文件规</w:t>
            </w:r>
            <w:r>
              <w:rPr>
                <w:rFonts w:hint="eastAsia" w:ascii="仿宋" w:hAnsi="仿宋" w:eastAsia="仿宋" w:cs="仿宋"/>
                <w:color w:val="auto"/>
                <w:spacing w:val="5"/>
                <w:sz w:val="24"/>
                <w:szCs w:val="24"/>
                <w:highlight w:val="none"/>
              </w:rPr>
              <w:t>定的方式（报价低优先、按技术指标优劣）确定一个投标人获得中标人推荐资格，</w:t>
            </w:r>
            <w:r>
              <w:rPr>
                <w:rFonts w:hint="eastAsia" w:ascii="仿宋" w:hAnsi="仿宋" w:eastAsia="仿宋" w:cs="仿宋"/>
                <w:color w:val="auto"/>
                <w:spacing w:val="10"/>
                <w:sz w:val="24"/>
                <w:szCs w:val="24"/>
                <w:highlight w:val="none"/>
              </w:rPr>
              <w:t>招标文件未规定的采取随机抽取方式确定，其他</w:t>
            </w:r>
            <w:r>
              <w:rPr>
                <w:rFonts w:hint="eastAsia" w:ascii="仿宋" w:hAnsi="仿宋" w:eastAsia="仿宋" w:cs="仿宋"/>
                <w:color w:val="auto"/>
                <w:spacing w:val="9"/>
                <w:sz w:val="24"/>
                <w:szCs w:val="24"/>
                <w:highlight w:val="none"/>
              </w:rPr>
              <w:t>同品牌投标人不作为中标候选</w:t>
            </w:r>
            <w:r>
              <w:rPr>
                <w:rFonts w:hint="eastAsia" w:ascii="仿宋" w:hAnsi="仿宋" w:eastAsia="仿宋" w:cs="仿宋"/>
                <w:color w:val="auto"/>
                <w:spacing w:val="-1"/>
                <w:sz w:val="24"/>
                <w:szCs w:val="24"/>
                <w:highlight w:val="none"/>
              </w:rPr>
              <w:t>人</w:t>
            </w:r>
            <w:r>
              <w:rPr>
                <w:rFonts w:hint="eastAsia" w:ascii="仿宋" w:hAnsi="仿宋" w:eastAsia="仿宋" w:cs="仿宋"/>
                <w:color w:val="auto"/>
                <w:spacing w:val="-1"/>
                <w:sz w:val="24"/>
                <w:szCs w:val="24"/>
                <w:highlight w:val="none"/>
                <w:lang w:eastAsia="zh-CN"/>
              </w:rPr>
              <w:t>。</w:t>
            </w:r>
          </w:p>
        </w:tc>
      </w:tr>
      <w:tr w14:paraId="6DAB0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800" w:type="dxa"/>
            <w:gridSpan w:val="2"/>
            <w:vAlign w:val="center"/>
          </w:tcPr>
          <w:p w14:paraId="7CE1B5F9">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四、投标人的履约能力要求表</w:t>
            </w:r>
          </w:p>
        </w:tc>
      </w:tr>
      <w:tr w14:paraId="00A77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521" w:type="dxa"/>
            <w:vAlign w:val="center"/>
          </w:tcPr>
          <w:p w14:paraId="2F245F8F">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质量管理、企业信用要求</w:t>
            </w:r>
          </w:p>
        </w:tc>
        <w:tc>
          <w:tcPr>
            <w:tcW w:w="7279" w:type="dxa"/>
            <w:vAlign w:val="center"/>
          </w:tcPr>
          <w:p w14:paraId="57D9C5B4">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详见第四章《评审程序、评审方法和成交标准》。</w:t>
            </w:r>
          </w:p>
        </w:tc>
      </w:tr>
      <w:tr w14:paraId="0A7E1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521" w:type="dxa"/>
            <w:vAlign w:val="center"/>
          </w:tcPr>
          <w:p w14:paraId="6257EDBC">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能力或者业绩要求</w:t>
            </w:r>
          </w:p>
        </w:tc>
        <w:tc>
          <w:tcPr>
            <w:tcW w:w="7279" w:type="dxa"/>
            <w:vAlign w:val="center"/>
          </w:tcPr>
          <w:p w14:paraId="63B50138">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详见第四章《评审程序、评审方法和成交标准》。</w:t>
            </w:r>
          </w:p>
        </w:tc>
      </w:tr>
      <w:tr w14:paraId="726F2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800" w:type="dxa"/>
            <w:gridSpan w:val="2"/>
            <w:vAlign w:val="center"/>
          </w:tcPr>
          <w:p w14:paraId="24DC634C">
            <w:pPr>
              <w:pStyle w:val="103"/>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五、政策性加分条件</w:t>
            </w:r>
          </w:p>
        </w:tc>
      </w:tr>
      <w:tr w14:paraId="0A40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521" w:type="dxa"/>
            <w:vAlign w:val="center"/>
          </w:tcPr>
          <w:p w14:paraId="0AA6450B">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政策性加分条件</w:t>
            </w:r>
          </w:p>
        </w:tc>
        <w:tc>
          <w:tcPr>
            <w:tcW w:w="7279" w:type="dxa"/>
            <w:vAlign w:val="center"/>
          </w:tcPr>
          <w:p w14:paraId="73A996EF">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符合节能环保等国家政策要求。</w:t>
            </w:r>
          </w:p>
        </w:tc>
      </w:tr>
      <w:tr w14:paraId="15C35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00" w:type="dxa"/>
            <w:gridSpan w:val="2"/>
            <w:vAlign w:val="center"/>
          </w:tcPr>
          <w:p w14:paraId="761A5290">
            <w:pPr>
              <w:pStyle w:val="103"/>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六、进口产品说明</w:t>
            </w:r>
          </w:p>
        </w:tc>
      </w:tr>
      <w:tr w14:paraId="7FB5C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2521" w:type="dxa"/>
            <w:vAlign w:val="center"/>
          </w:tcPr>
          <w:p w14:paraId="08309085">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p>
          <w:p w14:paraId="413D4FDC">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说明</w:t>
            </w:r>
          </w:p>
        </w:tc>
        <w:tc>
          <w:tcPr>
            <w:tcW w:w="7279" w:type="dxa"/>
            <w:vAlign w:val="center"/>
          </w:tcPr>
          <w:p w14:paraId="128F36CB">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本项目货物不接受进口产品（即通过中国海关报关验放进入中国境内且产自关境外的产品）参与投标，</w:t>
            </w:r>
            <w:r>
              <w:rPr>
                <w:rFonts w:hint="eastAsia" w:ascii="仿宋" w:hAnsi="仿宋" w:eastAsia="仿宋" w:cs="仿宋"/>
                <w:b/>
                <w:bCs/>
                <w:color w:val="auto"/>
                <w:spacing w:val="7"/>
                <w:sz w:val="24"/>
                <w:szCs w:val="24"/>
                <w:highlight w:val="none"/>
              </w:rPr>
              <w:t>如有进口产品参与投标的作无效标处理</w:t>
            </w:r>
            <w:r>
              <w:rPr>
                <w:rFonts w:hint="eastAsia" w:ascii="仿宋" w:hAnsi="仿宋" w:eastAsia="仿宋" w:cs="仿宋"/>
                <w:color w:val="auto"/>
                <w:spacing w:val="7"/>
                <w:sz w:val="24"/>
                <w:szCs w:val="24"/>
                <w:highlight w:val="none"/>
              </w:rPr>
              <w:t>。</w:t>
            </w:r>
          </w:p>
        </w:tc>
      </w:tr>
      <w:tr w14:paraId="5A8BA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800" w:type="dxa"/>
            <w:gridSpan w:val="2"/>
            <w:vAlign w:val="center"/>
          </w:tcPr>
          <w:p w14:paraId="194B02AC">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七、采购人对项目的特殊要求及说明</w:t>
            </w:r>
          </w:p>
        </w:tc>
      </w:tr>
      <w:tr w14:paraId="0ADA1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2" w:hRule="atLeast"/>
        </w:trPr>
        <w:tc>
          <w:tcPr>
            <w:tcW w:w="2521" w:type="dxa"/>
            <w:vAlign w:val="center"/>
          </w:tcPr>
          <w:p w14:paraId="1332BA64">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说明</w:t>
            </w:r>
          </w:p>
        </w:tc>
        <w:tc>
          <w:tcPr>
            <w:tcW w:w="7279" w:type="dxa"/>
            <w:vAlign w:val="center"/>
          </w:tcPr>
          <w:p w14:paraId="5036B6C9">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1、采购标的需实现的功能或者目标：满足采购人使用需求，满足行</w:t>
            </w:r>
            <w:r>
              <w:rPr>
                <w:rFonts w:hint="eastAsia" w:ascii="仿宋" w:hAnsi="仿宋" w:eastAsia="仿宋" w:cs="仿宋"/>
                <w:color w:val="auto"/>
                <w:spacing w:val="9"/>
                <w:sz w:val="24"/>
                <w:szCs w:val="24"/>
                <w:highlight w:val="none"/>
              </w:rPr>
              <w:t>业主管部</w:t>
            </w:r>
            <w:r>
              <w:rPr>
                <w:rFonts w:hint="eastAsia" w:ascii="仿宋" w:hAnsi="仿宋" w:eastAsia="仿宋" w:cs="仿宋"/>
                <w:color w:val="auto"/>
                <w:spacing w:val="3"/>
                <w:sz w:val="24"/>
                <w:szCs w:val="24"/>
                <w:highlight w:val="none"/>
              </w:rPr>
              <w:t>门的相关要求。</w:t>
            </w:r>
          </w:p>
          <w:p w14:paraId="2421ABF1">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2、标准规范：采购标的需执行的国家标准、行业标准、地方标准或者其他标</w:t>
            </w:r>
            <w:r>
              <w:rPr>
                <w:rFonts w:hint="eastAsia" w:ascii="仿宋" w:hAnsi="仿宋" w:eastAsia="仿宋" w:cs="仿宋"/>
                <w:color w:val="auto"/>
                <w:spacing w:val="5"/>
                <w:sz w:val="24"/>
                <w:szCs w:val="24"/>
                <w:highlight w:val="none"/>
              </w:rPr>
              <w:t>准、规范。</w:t>
            </w:r>
          </w:p>
          <w:p w14:paraId="118F2267">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3、采购标的需满足的质量、安全、技术规格、物理特性等：详见本章“</w:t>
            </w:r>
            <w:r>
              <w:rPr>
                <w:rFonts w:hint="eastAsia" w:ascii="仿宋" w:hAnsi="仿宋" w:eastAsia="仿宋" w:cs="仿宋"/>
                <w:color w:val="auto"/>
                <w:spacing w:val="9"/>
                <w:sz w:val="24"/>
                <w:szCs w:val="24"/>
                <w:highlight w:val="none"/>
                <w:lang w:val="en-US" w:eastAsia="zh-CN"/>
              </w:rPr>
              <w:t>技术商务要求 （1）技术要求</w:t>
            </w:r>
            <w:r>
              <w:rPr>
                <w:rFonts w:hint="eastAsia" w:ascii="仿宋" w:hAnsi="仿宋" w:eastAsia="仿宋" w:cs="仿宋"/>
                <w:color w:val="auto"/>
                <w:spacing w:val="-61"/>
                <w:sz w:val="24"/>
                <w:szCs w:val="24"/>
                <w:highlight w:val="none"/>
              </w:rPr>
              <w:t xml:space="preserve"> </w:t>
            </w:r>
            <w:r>
              <w:rPr>
                <w:rFonts w:hint="eastAsia" w:ascii="仿宋" w:hAnsi="仿宋" w:eastAsia="仿宋" w:cs="仿宋"/>
                <w:color w:val="auto"/>
                <w:spacing w:val="7"/>
                <w:sz w:val="24"/>
                <w:szCs w:val="24"/>
                <w:highlight w:val="none"/>
              </w:rPr>
              <w:t>”。</w:t>
            </w:r>
          </w:p>
          <w:p w14:paraId="6005AF5D">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4、采购人将严格按照采购文件需求表中的技术需求和供应商提供的投标资料进行验收。如存在以虚假材料谋求中标或成交的，将依照《政府采购</w:t>
            </w:r>
            <w:r>
              <w:rPr>
                <w:rFonts w:hint="eastAsia" w:ascii="仿宋" w:hAnsi="仿宋" w:eastAsia="仿宋" w:cs="仿宋"/>
                <w:b/>
                <w:bCs/>
                <w:color w:val="auto"/>
                <w:spacing w:val="7"/>
                <w:sz w:val="24"/>
                <w:szCs w:val="24"/>
                <w:highlight w:val="none"/>
              </w:rPr>
              <w:t>法》第七十七条第一款的规定追究法律责任。</w:t>
            </w:r>
          </w:p>
        </w:tc>
      </w:tr>
      <w:tr w14:paraId="4394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2521" w:type="dxa"/>
            <w:vAlign w:val="center"/>
          </w:tcPr>
          <w:p w14:paraId="2D8A6785">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供应商注册要求</w:t>
            </w:r>
          </w:p>
        </w:tc>
        <w:tc>
          <w:tcPr>
            <w:tcW w:w="7279" w:type="dxa"/>
            <w:vAlign w:val="center"/>
          </w:tcPr>
          <w:p w14:paraId="703625F2">
            <w:pPr>
              <w:pStyle w:val="103"/>
              <w:keepNext w:val="0"/>
              <w:keepLines w:val="0"/>
              <w:pageBreakBefore w:val="0"/>
              <w:widowControl w:val="0"/>
              <w:kinsoku/>
              <w:wordWrap/>
              <w:overflowPunct/>
              <w:topLinePunct w:val="0"/>
              <w:autoSpaceDE/>
              <w:autoSpaceDN/>
              <w:bidi w:val="0"/>
              <w:adjustRightInd/>
              <w:snapToGrid/>
              <w:spacing w:line="360" w:lineRule="auto"/>
              <w:ind w:left="0" w:right="0" w:firstLine="51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为避免供应商不良诚信记录的发生，及配合采购单位政府采购项目执行和备案，未在广西政府采购云注册的供应商可在获取招标文件后登录广西政府采购云广西政府采购云进行注册，如在操作过程中遇到问题或者需要技术支</w:t>
            </w:r>
            <w:r>
              <w:rPr>
                <w:rFonts w:hint="eastAsia" w:ascii="仿宋" w:hAnsi="仿宋" w:eastAsia="仿宋" w:cs="仿宋"/>
                <w:b/>
                <w:bCs/>
                <w:color w:val="auto"/>
                <w:spacing w:val="6"/>
                <w:sz w:val="24"/>
                <w:szCs w:val="24"/>
                <w:highlight w:val="none"/>
              </w:rPr>
              <w:t>持，请致电广西政府采购云客服热线：95763。</w:t>
            </w:r>
          </w:p>
        </w:tc>
      </w:tr>
    </w:tbl>
    <w:p w14:paraId="2014A5E9">
      <w:pPr>
        <w:pStyle w:val="23"/>
        <w:numPr>
          <w:ilvl w:val="0"/>
          <w:numId w:val="0"/>
        </w:numPr>
        <w:ind w:leftChars="0"/>
        <w:rPr>
          <w:color w:val="auto"/>
          <w:highlight w:val="none"/>
        </w:rPr>
      </w:pPr>
    </w:p>
    <w:p w14:paraId="17FF307C">
      <w:pPr>
        <w:wordWrap w:val="0"/>
        <w:spacing w:line="50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附件1：</w:t>
      </w:r>
    </w:p>
    <w:p w14:paraId="58C14CFC">
      <w:pPr>
        <w:spacing w:line="528"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中小微企业划型标准</w:t>
      </w:r>
    </w:p>
    <w:tbl>
      <w:tblPr>
        <w:tblStyle w:val="31"/>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1A50D7E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E30023D">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0D4B974C">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6DA0B8F3">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5F0DDB9B">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2F302304">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2729FAF5">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7FDBE5A0">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32A8CE5E">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农、林、牧、渔</w:t>
            </w:r>
          </w:p>
        </w:tc>
        <w:tc>
          <w:tcPr>
            <w:tcW w:w="1984" w:type="dxa"/>
            <w:tcBorders>
              <w:top w:val="nil"/>
              <w:left w:val="nil"/>
              <w:bottom w:val="single" w:color="auto" w:sz="4" w:space="0"/>
              <w:right w:val="single" w:color="auto" w:sz="4" w:space="0"/>
            </w:tcBorders>
            <w:vAlign w:val="center"/>
          </w:tcPr>
          <w:p w14:paraId="6E0F607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31F1140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48C4308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1701" w:type="dxa"/>
            <w:tcBorders>
              <w:top w:val="nil"/>
              <w:left w:val="nil"/>
              <w:bottom w:val="single" w:color="auto" w:sz="4" w:space="0"/>
              <w:right w:val="single" w:color="auto" w:sz="4" w:space="0"/>
            </w:tcBorders>
            <w:vAlign w:val="center"/>
          </w:tcPr>
          <w:p w14:paraId="5059DD2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50≤Y＜500</w:t>
            </w:r>
          </w:p>
        </w:tc>
        <w:tc>
          <w:tcPr>
            <w:tcW w:w="1134" w:type="dxa"/>
            <w:tcBorders>
              <w:top w:val="nil"/>
              <w:left w:val="nil"/>
              <w:bottom w:val="single" w:color="auto" w:sz="4" w:space="0"/>
              <w:right w:val="single" w:color="auto" w:sz="4" w:space="0"/>
            </w:tcBorders>
            <w:vAlign w:val="center"/>
          </w:tcPr>
          <w:p w14:paraId="65ED8869">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4FB55FB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6634B1F">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工业</w:t>
            </w:r>
          </w:p>
        </w:tc>
        <w:tc>
          <w:tcPr>
            <w:tcW w:w="1984" w:type="dxa"/>
            <w:tcBorders>
              <w:top w:val="nil"/>
              <w:left w:val="nil"/>
              <w:bottom w:val="single" w:color="auto" w:sz="4" w:space="0"/>
              <w:right w:val="single" w:color="auto" w:sz="4" w:space="0"/>
            </w:tcBorders>
            <w:vAlign w:val="center"/>
          </w:tcPr>
          <w:p w14:paraId="28766BA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BF32EE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0238DBA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5F0BFB5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725A61A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3049DC5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24DF59F">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2CB1C198">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671D9D12">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7634AFF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2000≤Y＜40000</w:t>
            </w:r>
          </w:p>
        </w:tc>
        <w:tc>
          <w:tcPr>
            <w:tcW w:w="1701" w:type="dxa"/>
            <w:tcBorders>
              <w:top w:val="nil"/>
              <w:left w:val="nil"/>
              <w:bottom w:val="single" w:color="auto" w:sz="4" w:space="0"/>
              <w:right w:val="single" w:color="auto" w:sz="4" w:space="0"/>
            </w:tcBorders>
            <w:vAlign w:val="center"/>
          </w:tcPr>
          <w:p w14:paraId="6238E18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300≤Y＜2000</w:t>
            </w:r>
          </w:p>
        </w:tc>
        <w:tc>
          <w:tcPr>
            <w:tcW w:w="1134" w:type="dxa"/>
            <w:tcBorders>
              <w:top w:val="nil"/>
              <w:left w:val="nil"/>
              <w:bottom w:val="single" w:color="auto" w:sz="4" w:space="0"/>
              <w:right w:val="single" w:color="auto" w:sz="4" w:space="0"/>
            </w:tcBorders>
            <w:vAlign w:val="center"/>
          </w:tcPr>
          <w:p w14:paraId="1393B959">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1B63998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4F39191">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建筑业</w:t>
            </w:r>
          </w:p>
        </w:tc>
        <w:tc>
          <w:tcPr>
            <w:tcW w:w="1984" w:type="dxa"/>
            <w:tcBorders>
              <w:top w:val="nil"/>
              <w:left w:val="nil"/>
              <w:bottom w:val="single" w:color="auto" w:sz="4" w:space="0"/>
              <w:right w:val="single" w:color="auto" w:sz="4" w:space="0"/>
            </w:tcBorders>
            <w:vAlign w:val="center"/>
          </w:tcPr>
          <w:p w14:paraId="71B9C64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8EABF9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24C38A1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6000≤Y＜80000</w:t>
            </w:r>
          </w:p>
        </w:tc>
        <w:tc>
          <w:tcPr>
            <w:tcW w:w="1701" w:type="dxa"/>
            <w:tcBorders>
              <w:top w:val="nil"/>
              <w:left w:val="nil"/>
              <w:bottom w:val="single" w:color="auto" w:sz="4" w:space="0"/>
              <w:right w:val="single" w:color="auto" w:sz="4" w:space="0"/>
            </w:tcBorders>
            <w:vAlign w:val="center"/>
          </w:tcPr>
          <w:p w14:paraId="4B94D62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300≤Y＜6000</w:t>
            </w:r>
          </w:p>
        </w:tc>
        <w:tc>
          <w:tcPr>
            <w:tcW w:w="1134" w:type="dxa"/>
            <w:tcBorders>
              <w:top w:val="nil"/>
              <w:left w:val="nil"/>
              <w:bottom w:val="single" w:color="auto" w:sz="4" w:space="0"/>
              <w:right w:val="single" w:color="auto" w:sz="4" w:space="0"/>
            </w:tcBorders>
            <w:vAlign w:val="center"/>
          </w:tcPr>
          <w:p w14:paraId="348CBB16">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32B3743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5E0C745">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59A0436D">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5BBD1E5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4805CDC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5000≤Z＜80000</w:t>
            </w:r>
          </w:p>
        </w:tc>
        <w:tc>
          <w:tcPr>
            <w:tcW w:w="1701" w:type="dxa"/>
            <w:tcBorders>
              <w:top w:val="nil"/>
              <w:left w:val="nil"/>
              <w:bottom w:val="single" w:color="auto" w:sz="4" w:space="0"/>
              <w:right w:val="single" w:color="auto" w:sz="4" w:space="0"/>
            </w:tcBorders>
            <w:vAlign w:val="center"/>
          </w:tcPr>
          <w:p w14:paraId="04153CD8">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300≤Z＜5000</w:t>
            </w:r>
          </w:p>
        </w:tc>
        <w:tc>
          <w:tcPr>
            <w:tcW w:w="1134" w:type="dxa"/>
            <w:tcBorders>
              <w:top w:val="nil"/>
              <w:left w:val="nil"/>
              <w:bottom w:val="single" w:color="auto" w:sz="4" w:space="0"/>
              <w:right w:val="single" w:color="auto" w:sz="4" w:space="0"/>
            </w:tcBorders>
            <w:vAlign w:val="center"/>
          </w:tcPr>
          <w:p w14:paraId="1A2CADB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Z＜300</w:t>
            </w:r>
          </w:p>
        </w:tc>
      </w:tr>
      <w:tr w14:paraId="4496441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456E587">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批发业</w:t>
            </w:r>
          </w:p>
        </w:tc>
        <w:tc>
          <w:tcPr>
            <w:tcW w:w="1984" w:type="dxa"/>
            <w:tcBorders>
              <w:top w:val="nil"/>
              <w:left w:val="nil"/>
              <w:bottom w:val="single" w:color="auto" w:sz="4" w:space="0"/>
              <w:right w:val="single" w:color="auto" w:sz="4" w:space="0"/>
            </w:tcBorders>
            <w:vAlign w:val="center"/>
          </w:tcPr>
          <w:p w14:paraId="712222B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7F506D4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62E90C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20≤X＜200</w:t>
            </w:r>
          </w:p>
        </w:tc>
        <w:tc>
          <w:tcPr>
            <w:tcW w:w="1701" w:type="dxa"/>
            <w:tcBorders>
              <w:top w:val="nil"/>
              <w:left w:val="nil"/>
              <w:bottom w:val="single" w:color="auto" w:sz="4" w:space="0"/>
              <w:right w:val="single" w:color="auto" w:sz="4" w:space="0"/>
            </w:tcBorders>
            <w:vAlign w:val="center"/>
          </w:tcPr>
          <w:p w14:paraId="35A4821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5≤X＜20</w:t>
            </w:r>
          </w:p>
        </w:tc>
        <w:tc>
          <w:tcPr>
            <w:tcW w:w="1134" w:type="dxa"/>
            <w:tcBorders>
              <w:top w:val="nil"/>
              <w:left w:val="nil"/>
              <w:bottom w:val="single" w:color="auto" w:sz="4" w:space="0"/>
              <w:right w:val="single" w:color="auto" w:sz="4" w:space="0"/>
            </w:tcBorders>
            <w:vAlign w:val="center"/>
          </w:tcPr>
          <w:p w14:paraId="0689DED6">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w:t>
            </w:r>
          </w:p>
        </w:tc>
      </w:tr>
      <w:tr w14:paraId="592CD04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607E13C">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4ACEF16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2F83C0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3BEB2D6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5000≤Y＜40000</w:t>
            </w:r>
          </w:p>
        </w:tc>
        <w:tc>
          <w:tcPr>
            <w:tcW w:w="1701" w:type="dxa"/>
            <w:tcBorders>
              <w:top w:val="nil"/>
              <w:left w:val="nil"/>
              <w:bottom w:val="single" w:color="auto" w:sz="4" w:space="0"/>
              <w:right w:val="single" w:color="auto" w:sz="4" w:space="0"/>
            </w:tcBorders>
            <w:vAlign w:val="center"/>
          </w:tcPr>
          <w:p w14:paraId="60EC4719">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1134" w:type="dxa"/>
            <w:tcBorders>
              <w:top w:val="nil"/>
              <w:left w:val="nil"/>
              <w:bottom w:val="single" w:color="auto" w:sz="4" w:space="0"/>
              <w:right w:val="single" w:color="auto" w:sz="4" w:space="0"/>
            </w:tcBorders>
            <w:vAlign w:val="center"/>
          </w:tcPr>
          <w:p w14:paraId="5FCD925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w:t>
            </w:r>
          </w:p>
        </w:tc>
      </w:tr>
      <w:tr w14:paraId="41BFC3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09FC54E">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零售业</w:t>
            </w:r>
          </w:p>
        </w:tc>
        <w:tc>
          <w:tcPr>
            <w:tcW w:w="1984" w:type="dxa"/>
            <w:tcBorders>
              <w:top w:val="nil"/>
              <w:left w:val="nil"/>
              <w:bottom w:val="single" w:color="auto" w:sz="4" w:space="0"/>
              <w:right w:val="single" w:color="auto" w:sz="4" w:space="0"/>
            </w:tcBorders>
            <w:vAlign w:val="center"/>
          </w:tcPr>
          <w:p w14:paraId="2DE331D8">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1524F7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62E98E7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50≤X＜300</w:t>
            </w:r>
          </w:p>
        </w:tc>
        <w:tc>
          <w:tcPr>
            <w:tcW w:w="1701" w:type="dxa"/>
            <w:tcBorders>
              <w:top w:val="nil"/>
              <w:left w:val="nil"/>
              <w:bottom w:val="single" w:color="auto" w:sz="4" w:space="0"/>
              <w:right w:val="single" w:color="auto" w:sz="4" w:space="0"/>
            </w:tcBorders>
            <w:vAlign w:val="center"/>
          </w:tcPr>
          <w:p w14:paraId="7B53B526">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10≤X＜50</w:t>
            </w:r>
          </w:p>
        </w:tc>
        <w:tc>
          <w:tcPr>
            <w:tcW w:w="1134" w:type="dxa"/>
            <w:tcBorders>
              <w:top w:val="nil"/>
              <w:left w:val="nil"/>
              <w:bottom w:val="single" w:color="auto" w:sz="4" w:space="0"/>
              <w:right w:val="single" w:color="auto" w:sz="4" w:space="0"/>
            </w:tcBorders>
            <w:vAlign w:val="center"/>
          </w:tcPr>
          <w:p w14:paraId="50CE5E1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46EB760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F971BAF">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68B92AB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35731726">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7EFFE27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1701" w:type="dxa"/>
            <w:tcBorders>
              <w:top w:val="nil"/>
              <w:left w:val="nil"/>
              <w:bottom w:val="single" w:color="auto" w:sz="4" w:space="0"/>
              <w:right w:val="single" w:color="auto" w:sz="4" w:space="0"/>
            </w:tcBorders>
            <w:vAlign w:val="center"/>
          </w:tcPr>
          <w:p w14:paraId="33A240B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100≤Y＜500</w:t>
            </w:r>
          </w:p>
        </w:tc>
        <w:tc>
          <w:tcPr>
            <w:tcW w:w="1134" w:type="dxa"/>
            <w:tcBorders>
              <w:top w:val="nil"/>
              <w:left w:val="nil"/>
              <w:bottom w:val="single" w:color="auto" w:sz="4" w:space="0"/>
              <w:right w:val="single" w:color="auto" w:sz="4" w:space="0"/>
            </w:tcBorders>
            <w:vAlign w:val="center"/>
          </w:tcPr>
          <w:p w14:paraId="64CD6C5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2406E96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177292C">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交通运输业</w:t>
            </w:r>
          </w:p>
        </w:tc>
        <w:tc>
          <w:tcPr>
            <w:tcW w:w="1984" w:type="dxa"/>
            <w:tcBorders>
              <w:top w:val="nil"/>
              <w:left w:val="nil"/>
              <w:bottom w:val="single" w:color="auto" w:sz="4" w:space="0"/>
              <w:right w:val="single" w:color="auto" w:sz="4" w:space="0"/>
            </w:tcBorders>
            <w:vAlign w:val="center"/>
          </w:tcPr>
          <w:p w14:paraId="694DC36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C93CCD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59C044C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4E283ED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5D62E60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4B55C8F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159B5A3">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3D9B0D68">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6F39134D">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02468319">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3000≤Y＜30000</w:t>
            </w:r>
          </w:p>
        </w:tc>
        <w:tc>
          <w:tcPr>
            <w:tcW w:w="1701" w:type="dxa"/>
            <w:tcBorders>
              <w:top w:val="nil"/>
              <w:left w:val="nil"/>
              <w:bottom w:val="single" w:color="auto" w:sz="4" w:space="0"/>
              <w:right w:val="single" w:color="auto" w:sz="4" w:space="0"/>
            </w:tcBorders>
            <w:vAlign w:val="center"/>
          </w:tcPr>
          <w:p w14:paraId="148F8368">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200≤Y＜3000</w:t>
            </w:r>
          </w:p>
        </w:tc>
        <w:tc>
          <w:tcPr>
            <w:tcW w:w="1134" w:type="dxa"/>
            <w:tcBorders>
              <w:top w:val="nil"/>
              <w:left w:val="nil"/>
              <w:bottom w:val="single" w:color="auto" w:sz="4" w:space="0"/>
              <w:right w:val="single" w:color="auto" w:sz="4" w:space="0"/>
            </w:tcBorders>
            <w:vAlign w:val="center"/>
          </w:tcPr>
          <w:p w14:paraId="05EC953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w:t>
            </w:r>
          </w:p>
        </w:tc>
      </w:tr>
      <w:tr w14:paraId="13B8E6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AC4F6E9">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仓储业</w:t>
            </w:r>
          </w:p>
        </w:tc>
        <w:tc>
          <w:tcPr>
            <w:tcW w:w="1984" w:type="dxa"/>
            <w:tcBorders>
              <w:top w:val="nil"/>
              <w:left w:val="nil"/>
              <w:bottom w:val="single" w:color="auto" w:sz="4" w:space="0"/>
              <w:right w:val="single" w:color="auto" w:sz="4" w:space="0"/>
            </w:tcBorders>
            <w:vAlign w:val="center"/>
          </w:tcPr>
          <w:p w14:paraId="1EDB1512">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30DDA8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6D222B12">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w:t>
            </w:r>
          </w:p>
        </w:tc>
        <w:tc>
          <w:tcPr>
            <w:tcW w:w="1701" w:type="dxa"/>
            <w:tcBorders>
              <w:top w:val="nil"/>
              <w:left w:val="nil"/>
              <w:bottom w:val="single" w:color="auto" w:sz="4" w:space="0"/>
              <w:right w:val="single" w:color="auto" w:sz="4" w:space="0"/>
            </w:tcBorders>
            <w:vAlign w:val="center"/>
          </w:tcPr>
          <w:p w14:paraId="6398C83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20≤X＜100</w:t>
            </w:r>
          </w:p>
        </w:tc>
        <w:tc>
          <w:tcPr>
            <w:tcW w:w="1134" w:type="dxa"/>
            <w:tcBorders>
              <w:top w:val="nil"/>
              <w:left w:val="nil"/>
              <w:bottom w:val="single" w:color="auto" w:sz="4" w:space="0"/>
              <w:right w:val="single" w:color="auto" w:sz="4" w:space="0"/>
            </w:tcBorders>
            <w:vAlign w:val="center"/>
          </w:tcPr>
          <w:p w14:paraId="550EF31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362C2B3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B212DE9">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1081173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762252B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5F8F564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1000≤Y＜30000</w:t>
            </w:r>
          </w:p>
        </w:tc>
        <w:tc>
          <w:tcPr>
            <w:tcW w:w="1701" w:type="dxa"/>
            <w:tcBorders>
              <w:top w:val="nil"/>
              <w:left w:val="nil"/>
              <w:bottom w:val="single" w:color="auto" w:sz="4" w:space="0"/>
              <w:right w:val="single" w:color="auto" w:sz="4" w:space="0"/>
            </w:tcBorders>
            <w:vAlign w:val="center"/>
          </w:tcPr>
          <w:p w14:paraId="1850CEA9">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134" w:type="dxa"/>
            <w:tcBorders>
              <w:top w:val="nil"/>
              <w:left w:val="nil"/>
              <w:bottom w:val="single" w:color="auto" w:sz="4" w:space="0"/>
              <w:right w:val="single" w:color="auto" w:sz="4" w:space="0"/>
            </w:tcBorders>
            <w:vAlign w:val="center"/>
          </w:tcPr>
          <w:p w14:paraId="25F44E1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0360E08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C168526">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邮政业</w:t>
            </w:r>
          </w:p>
        </w:tc>
        <w:tc>
          <w:tcPr>
            <w:tcW w:w="1984" w:type="dxa"/>
            <w:tcBorders>
              <w:top w:val="nil"/>
              <w:left w:val="nil"/>
              <w:bottom w:val="single" w:color="auto" w:sz="4" w:space="0"/>
              <w:right w:val="single" w:color="auto" w:sz="4" w:space="0"/>
            </w:tcBorders>
            <w:vAlign w:val="center"/>
          </w:tcPr>
          <w:p w14:paraId="24663EE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301C38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8D27BB9">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43D6588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335990E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3EC9F9E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D0A061D">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28DA202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C075EA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42ECFE6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2000≤Y＜30000</w:t>
            </w:r>
          </w:p>
        </w:tc>
        <w:tc>
          <w:tcPr>
            <w:tcW w:w="1701" w:type="dxa"/>
            <w:tcBorders>
              <w:top w:val="nil"/>
              <w:left w:val="nil"/>
              <w:bottom w:val="single" w:color="auto" w:sz="4" w:space="0"/>
              <w:right w:val="single" w:color="auto" w:sz="4" w:space="0"/>
            </w:tcBorders>
            <w:vAlign w:val="center"/>
          </w:tcPr>
          <w:p w14:paraId="390667A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03B8E30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5C4E825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41B3A45">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住宿业</w:t>
            </w:r>
          </w:p>
        </w:tc>
        <w:tc>
          <w:tcPr>
            <w:tcW w:w="1984" w:type="dxa"/>
            <w:tcBorders>
              <w:top w:val="nil"/>
              <w:left w:val="nil"/>
              <w:bottom w:val="single" w:color="auto" w:sz="4" w:space="0"/>
              <w:right w:val="single" w:color="auto" w:sz="4" w:space="0"/>
            </w:tcBorders>
            <w:vAlign w:val="center"/>
          </w:tcPr>
          <w:p w14:paraId="0DCA11D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38712A2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716A7E4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3F75558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3CE7294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6D840A8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E646966">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418A93A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26DF08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19EBB7E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1701" w:type="dxa"/>
            <w:tcBorders>
              <w:top w:val="nil"/>
              <w:left w:val="nil"/>
              <w:bottom w:val="single" w:color="auto" w:sz="4" w:space="0"/>
              <w:right w:val="single" w:color="auto" w:sz="4" w:space="0"/>
            </w:tcBorders>
            <w:vAlign w:val="center"/>
          </w:tcPr>
          <w:p w14:paraId="7D0758D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187DE0A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4A2981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D0F3903">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餐饮业</w:t>
            </w:r>
          </w:p>
        </w:tc>
        <w:tc>
          <w:tcPr>
            <w:tcW w:w="1984" w:type="dxa"/>
            <w:tcBorders>
              <w:top w:val="nil"/>
              <w:left w:val="nil"/>
              <w:bottom w:val="single" w:color="auto" w:sz="4" w:space="0"/>
              <w:right w:val="single" w:color="auto" w:sz="4" w:space="0"/>
            </w:tcBorders>
            <w:vAlign w:val="center"/>
          </w:tcPr>
          <w:p w14:paraId="66EC0D4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65B6BD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7C1B3FE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3AA6C906">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05DD676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6F2CE2E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4E9E86E">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3EEDFD2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DB4C8C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6599957A">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1701" w:type="dxa"/>
            <w:tcBorders>
              <w:top w:val="nil"/>
              <w:left w:val="nil"/>
              <w:bottom w:val="single" w:color="auto" w:sz="4" w:space="0"/>
              <w:right w:val="single" w:color="auto" w:sz="4" w:space="0"/>
            </w:tcBorders>
            <w:vAlign w:val="center"/>
          </w:tcPr>
          <w:p w14:paraId="66EB0B6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3C88695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33E471E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09255AB">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信息传输业</w:t>
            </w:r>
          </w:p>
        </w:tc>
        <w:tc>
          <w:tcPr>
            <w:tcW w:w="1984" w:type="dxa"/>
            <w:tcBorders>
              <w:top w:val="nil"/>
              <w:left w:val="nil"/>
              <w:bottom w:val="single" w:color="auto" w:sz="4" w:space="0"/>
              <w:right w:val="single" w:color="auto" w:sz="4" w:space="0"/>
            </w:tcBorders>
            <w:vAlign w:val="center"/>
          </w:tcPr>
          <w:p w14:paraId="05C3948D">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BBCBC9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228130B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100≤X＜2000</w:t>
            </w:r>
          </w:p>
        </w:tc>
        <w:tc>
          <w:tcPr>
            <w:tcW w:w="1701" w:type="dxa"/>
            <w:tcBorders>
              <w:top w:val="nil"/>
              <w:left w:val="nil"/>
              <w:bottom w:val="single" w:color="auto" w:sz="4" w:space="0"/>
              <w:right w:val="single" w:color="auto" w:sz="4" w:space="0"/>
            </w:tcBorders>
            <w:vAlign w:val="center"/>
          </w:tcPr>
          <w:p w14:paraId="4CAE9D3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47C7440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7F896E5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EF6AE62">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34990A9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C8CCF7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38190DB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1000≤Y＜100000</w:t>
            </w:r>
          </w:p>
        </w:tc>
        <w:tc>
          <w:tcPr>
            <w:tcW w:w="1701" w:type="dxa"/>
            <w:tcBorders>
              <w:top w:val="nil"/>
              <w:left w:val="nil"/>
              <w:bottom w:val="single" w:color="auto" w:sz="4" w:space="0"/>
              <w:right w:val="single" w:color="auto" w:sz="4" w:space="0"/>
            </w:tcBorders>
            <w:vAlign w:val="center"/>
          </w:tcPr>
          <w:p w14:paraId="05131C7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134" w:type="dxa"/>
            <w:tcBorders>
              <w:top w:val="nil"/>
              <w:left w:val="nil"/>
              <w:bottom w:val="single" w:color="auto" w:sz="4" w:space="0"/>
              <w:right w:val="single" w:color="auto" w:sz="4" w:space="0"/>
            </w:tcBorders>
            <w:vAlign w:val="center"/>
          </w:tcPr>
          <w:p w14:paraId="1EFE1672">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3F45774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F905690">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软件和信息技术服务业</w:t>
            </w:r>
          </w:p>
        </w:tc>
        <w:tc>
          <w:tcPr>
            <w:tcW w:w="1984" w:type="dxa"/>
            <w:tcBorders>
              <w:top w:val="nil"/>
              <w:left w:val="nil"/>
              <w:bottom w:val="single" w:color="auto" w:sz="4" w:space="0"/>
              <w:right w:val="single" w:color="auto" w:sz="4" w:space="0"/>
            </w:tcBorders>
            <w:vAlign w:val="center"/>
          </w:tcPr>
          <w:p w14:paraId="3D3508B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3A89AC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7892359D">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40C7B3E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492A4EDD">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69EC265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EA2529D">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6FC8BB4D">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6EA6B095">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1F6D92E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w:t>
            </w:r>
          </w:p>
        </w:tc>
        <w:tc>
          <w:tcPr>
            <w:tcW w:w="1701" w:type="dxa"/>
            <w:tcBorders>
              <w:top w:val="nil"/>
              <w:left w:val="nil"/>
              <w:bottom w:val="single" w:color="auto" w:sz="4" w:space="0"/>
              <w:right w:val="single" w:color="auto" w:sz="4" w:space="0"/>
            </w:tcBorders>
            <w:vAlign w:val="center"/>
          </w:tcPr>
          <w:p w14:paraId="5CC9D70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50≤Y＜1000</w:t>
            </w:r>
          </w:p>
        </w:tc>
        <w:tc>
          <w:tcPr>
            <w:tcW w:w="1134" w:type="dxa"/>
            <w:tcBorders>
              <w:top w:val="nil"/>
              <w:left w:val="nil"/>
              <w:bottom w:val="single" w:color="auto" w:sz="4" w:space="0"/>
              <w:right w:val="single" w:color="auto" w:sz="4" w:space="0"/>
            </w:tcBorders>
            <w:vAlign w:val="center"/>
          </w:tcPr>
          <w:p w14:paraId="1CA68008">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37B27FD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86D21B6">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房地产开发经营</w:t>
            </w:r>
          </w:p>
        </w:tc>
        <w:tc>
          <w:tcPr>
            <w:tcW w:w="1984" w:type="dxa"/>
            <w:tcBorders>
              <w:top w:val="nil"/>
              <w:left w:val="nil"/>
              <w:bottom w:val="single" w:color="auto" w:sz="4" w:space="0"/>
              <w:right w:val="single" w:color="auto" w:sz="4" w:space="0"/>
            </w:tcBorders>
            <w:vAlign w:val="center"/>
          </w:tcPr>
          <w:p w14:paraId="0C6E93A8">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2E1BCA9D">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1B8F5E4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1000≤Y＜200000</w:t>
            </w:r>
          </w:p>
        </w:tc>
        <w:tc>
          <w:tcPr>
            <w:tcW w:w="1701" w:type="dxa"/>
            <w:tcBorders>
              <w:top w:val="nil"/>
              <w:left w:val="nil"/>
              <w:bottom w:val="single" w:color="auto" w:sz="4" w:space="0"/>
              <w:right w:val="single" w:color="auto" w:sz="4" w:space="0"/>
            </w:tcBorders>
            <w:vAlign w:val="center"/>
          </w:tcPr>
          <w:p w14:paraId="7863258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100≤X＜1000</w:t>
            </w:r>
          </w:p>
        </w:tc>
        <w:tc>
          <w:tcPr>
            <w:tcW w:w="1134" w:type="dxa"/>
            <w:tcBorders>
              <w:top w:val="nil"/>
              <w:left w:val="nil"/>
              <w:bottom w:val="single" w:color="auto" w:sz="4" w:space="0"/>
              <w:right w:val="single" w:color="auto" w:sz="4" w:space="0"/>
            </w:tcBorders>
            <w:vAlign w:val="center"/>
          </w:tcPr>
          <w:p w14:paraId="59BD9F6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w:t>
            </w:r>
          </w:p>
        </w:tc>
      </w:tr>
      <w:tr w14:paraId="18CE7DA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2E3D9F0">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77ABFBD9">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1A966D8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5BED484D">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5000≤Z＜10000</w:t>
            </w:r>
          </w:p>
        </w:tc>
        <w:tc>
          <w:tcPr>
            <w:tcW w:w="1701" w:type="dxa"/>
            <w:tcBorders>
              <w:top w:val="nil"/>
              <w:left w:val="nil"/>
              <w:bottom w:val="single" w:color="auto" w:sz="4" w:space="0"/>
              <w:right w:val="single" w:color="auto" w:sz="4" w:space="0"/>
            </w:tcBorders>
            <w:vAlign w:val="center"/>
          </w:tcPr>
          <w:p w14:paraId="1BEEDBD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2000≤Y＜5000</w:t>
            </w:r>
          </w:p>
        </w:tc>
        <w:tc>
          <w:tcPr>
            <w:tcW w:w="1134" w:type="dxa"/>
            <w:tcBorders>
              <w:top w:val="nil"/>
              <w:left w:val="nil"/>
              <w:bottom w:val="single" w:color="auto" w:sz="4" w:space="0"/>
              <w:right w:val="single" w:color="auto" w:sz="4" w:space="0"/>
            </w:tcBorders>
            <w:vAlign w:val="center"/>
          </w:tcPr>
          <w:p w14:paraId="44B95CF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w:t>
            </w:r>
          </w:p>
        </w:tc>
      </w:tr>
      <w:tr w14:paraId="7DB2E08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278669D">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物业管理</w:t>
            </w:r>
          </w:p>
        </w:tc>
        <w:tc>
          <w:tcPr>
            <w:tcW w:w="1984" w:type="dxa"/>
            <w:tcBorders>
              <w:top w:val="nil"/>
              <w:left w:val="nil"/>
              <w:bottom w:val="single" w:color="auto" w:sz="4" w:space="0"/>
              <w:right w:val="single" w:color="auto" w:sz="4" w:space="0"/>
            </w:tcBorders>
            <w:vAlign w:val="center"/>
          </w:tcPr>
          <w:p w14:paraId="0F0D594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CADAC9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92ED38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34288C4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134" w:type="dxa"/>
            <w:tcBorders>
              <w:top w:val="nil"/>
              <w:left w:val="nil"/>
              <w:bottom w:val="single" w:color="auto" w:sz="4" w:space="0"/>
              <w:right w:val="single" w:color="auto" w:sz="4" w:space="0"/>
            </w:tcBorders>
            <w:vAlign w:val="center"/>
          </w:tcPr>
          <w:p w14:paraId="3D3A1C5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w:t>
            </w:r>
          </w:p>
        </w:tc>
      </w:tr>
      <w:tr w14:paraId="6DA354A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61B0D8A">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6910E074">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A80AE5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5880E22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1701" w:type="dxa"/>
            <w:tcBorders>
              <w:top w:val="nil"/>
              <w:left w:val="nil"/>
              <w:bottom w:val="single" w:color="auto" w:sz="4" w:space="0"/>
              <w:right w:val="single" w:color="auto" w:sz="4" w:space="0"/>
            </w:tcBorders>
            <w:vAlign w:val="center"/>
          </w:tcPr>
          <w:p w14:paraId="3E4A6C60">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500≤Y＜1000</w:t>
            </w:r>
          </w:p>
        </w:tc>
        <w:tc>
          <w:tcPr>
            <w:tcW w:w="1134" w:type="dxa"/>
            <w:tcBorders>
              <w:top w:val="nil"/>
              <w:left w:val="nil"/>
              <w:bottom w:val="single" w:color="auto" w:sz="4" w:space="0"/>
              <w:right w:val="single" w:color="auto" w:sz="4" w:space="0"/>
            </w:tcBorders>
            <w:vAlign w:val="center"/>
          </w:tcPr>
          <w:p w14:paraId="7A5210B8">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w:t>
            </w:r>
          </w:p>
        </w:tc>
      </w:tr>
      <w:tr w14:paraId="225B8D9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CDD22C8">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租赁和商务服务业</w:t>
            </w:r>
          </w:p>
        </w:tc>
        <w:tc>
          <w:tcPr>
            <w:tcW w:w="1984" w:type="dxa"/>
            <w:tcBorders>
              <w:top w:val="nil"/>
              <w:left w:val="nil"/>
              <w:bottom w:val="single" w:color="auto" w:sz="4" w:space="0"/>
              <w:right w:val="single" w:color="auto" w:sz="4" w:space="0"/>
            </w:tcBorders>
            <w:vAlign w:val="center"/>
          </w:tcPr>
          <w:p w14:paraId="109F39C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541D9A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039E718B">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17A1493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2CA55F3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2CA1B0F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D0EA426">
            <w:pPr>
              <w:widowControl/>
              <w:spacing w:line="340" w:lineRule="exact"/>
              <w:jc w:val="center"/>
              <w:rPr>
                <w:rFonts w:ascii="仿宋" w:hAnsi="仿宋" w:eastAsia="仿宋" w:cs="仿宋"/>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6CD59BBC">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0C822852">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6A477076">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8000≤Z＜120000</w:t>
            </w:r>
          </w:p>
        </w:tc>
        <w:tc>
          <w:tcPr>
            <w:tcW w:w="1701" w:type="dxa"/>
            <w:tcBorders>
              <w:top w:val="nil"/>
              <w:left w:val="nil"/>
              <w:bottom w:val="single" w:color="auto" w:sz="4" w:space="0"/>
              <w:right w:val="single" w:color="auto" w:sz="4" w:space="0"/>
            </w:tcBorders>
            <w:vAlign w:val="center"/>
          </w:tcPr>
          <w:p w14:paraId="31E1326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100≤Z＜8000</w:t>
            </w:r>
          </w:p>
        </w:tc>
        <w:tc>
          <w:tcPr>
            <w:tcW w:w="1134" w:type="dxa"/>
            <w:tcBorders>
              <w:top w:val="nil"/>
              <w:left w:val="nil"/>
              <w:bottom w:val="single" w:color="auto" w:sz="4" w:space="0"/>
              <w:right w:val="single" w:color="auto" w:sz="4" w:space="0"/>
            </w:tcBorders>
            <w:vAlign w:val="center"/>
          </w:tcPr>
          <w:p w14:paraId="2C88F993">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02A566FE">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355A8B97">
            <w:pPr>
              <w:widowControl/>
              <w:spacing w:line="3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其他未列明行业</w:t>
            </w:r>
          </w:p>
        </w:tc>
        <w:tc>
          <w:tcPr>
            <w:tcW w:w="1984" w:type="dxa"/>
            <w:tcBorders>
              <w:top w:val="nil"/>
              <w:left w:val="nil"/>
              <w:bottom w:val="single" w:color="auto" w:sz="4" w:space="0"/>
              <w:right w:val="single" w:color="auto" w:sz="4" w:space="0"/>
            </w:tcBorders>
            <w:vAlign w:val="center"/>
          </w:tcPr>
          <w:p w14:paraId="59C32DB1">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4F92C23F">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0D0D954E">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15520287">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7D274CC2">
            <w:pPr>
              <w:widowControl/>
              <w:spacing w:line="3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bl>
    <w:p w14:paraId="43F2B25A">
      <w:pPr>
        <w:spacing w:line="360" w:lineRule="auto"/>
        <w:ind w:firstLine="420" w:firstLineChars="200"/>
        <w:rPr>
          <w:rFonts w:ascii="仿宋" w:hAnsi="仿宋" w:eastAsia="仿宋" w:cs="仿宋"/>
          <w:color w:val="auto"/>
          <w:szCs w:val="21"/>
          <w:highlight w:val="none"/>
        </w:rPr>
      </w:pPr>
    </w:p>
    <w:p w14:paraId="34E5227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FD1C834">
      <w:pPr>
        <w:pStyle w:val="2"/>
        <w:spacing w:before="0"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br w:type="page"/>
      </w:r>
      <w:bookmarkStart w:id="31" w:name="_Toc25427"/>
      <w:bookmarkStart w:id="32" w:name="_Toc12068"/>
      <w:r>
        <w:rPr>
          <w:rFonts w:hint="eastAsia" w:ascii="仿宋" w:hAnsi="仿宋" w:eastAsia="仿宋" w:cs="仿宋"/>
          <w:bCs/>
          <w:color w:val="auto"/>
          <w:sz w:val="32"/>
          <w:szCs w:val="32"/>
          <w:highlight w:val="none"/>
        </w:rPr>
        <w:t>第三章 供应商须知</w:t>
      </w:r>
      <w:bookmarkEnd w:id="31"/>
      <w:bookmarkEnd w:id="32"/>
    </w:p>
    <w:p w14:paraId="35D71AFC">
      <w:pPr>
        <w:pStyle w:val="4"/>
        <w:spacing w:before="0" w:after="0" w:line="360" w:lineRule="auto"/>
        <w:jc w:val="center"/>
        <w:rPr>
          <w:rFonts w:ascii="仿宋" w:hAnsi="仿宋" w:eastAsia="仿宋" w:cs="仿宋"/>
          <w:bCs w:val="0"/>
          <w:color w:val="auto"/>
          <w:highlight w:val="none"/>
        </w:rPr>
      </w:pPr>
      <w:bookmarkStart w:id="33" w:name="_Toc10486"/>
      <w:bookmarkStart w:id="34" w:name="_Toc21941"/>
      <w:r>
        <w:rPr>
          <w:rFonts w:hint="eastAsia" w:ascii="仿宋" w:hAnsi="仿宋" w:eastAsia="仿宋" w:cs="仿宋"/>
          <w:bCs w:val="0"/>
          <w:color w:val="auto"/>
          <w:highlight w:val="none"/>
        </w:rPr>
        <w:t>第一节 供应商须知前附表</w:t>
      </w:r>
      <w:bookmarkEnd w:id="33"/>
      <w:bookmarkEnd w:id="34"/>
    </w:p>
    <w:p w14:paraId="14BC990C">
      <w:pPr>
        <w:spacing w:line="400" w:lineRule="exact"/>
        <w:jc w:val="center"/>
        <w:rPr>
          <w:rFonts w:ascii="仿宋" w:hAnsi="仿宋" w:eastAsia="仿宋" w:cs="仿宋"/>
          <w:b/>
          <w:color w:val="auto"/>
          <w:sz w:val="32"/>
          <w:szCs w:val="32"/>
          <w:highlight w:val="none"/>
        </w:rPr>
      </w:pPr>
    </w:p>
    <w:tbl>
      <w:tblPr>
        <w:tblStyle w:val="31"/>
        <w:tblW w:w="9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8"/>
        <w:gridCol w:w="2453"/>
        <w:gridCol w:w="6380"/>
      </w:tblGrid>
      <w:tr w14:paraId="3712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58" w:type="dxa"/>
          </w:tcPr>
          <w:p w14:paraId="05971DE6">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2453" w:type="dxa"/>
            <w:vAlign w:val="center"/>
          </w:tcPr>
          <w:p w14:paraId="1E298D49">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条款内容</w:t>
            </w:r>
          </w:p>
        </w:tc>
        <w:tc>
          <w:tcPr>
            <w:tcW w:w="6380" w:type="dxa"/>
          </w:tcPr>
          <w:p w14:paraId="6FF4D1C5">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具体要求</w:t>
            </w:r>
          </w:p>
        </w:tc>
      </w:tr>
      <w:tr w14:paraId="4E50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58" w:type="dxa"/>
          </w:tcPr>
          <w:p w14:paraId="19E16E4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2453" w:type="dxa"/>
            <w:vAlign w:val="center"/>
          </w:tcPr>
          <w:p w14:paraId="1E0F934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供应商资格条件</w:t>
            </w:r>
          </w:p>
        </w:tc>
        <w:tc>
          <w:tcPr>
            <w:tcW w:w="6380" w:type="dxa"/>
          </w:tcPr>
          <w:p w14:paraId="057AC3DA">
            <w:pPr>
              <w:spacing w:line="40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供应商资格条件要求详见公告。</w:t>
            </w:r>
          </w:p>
        </w:tc>
      </w:tr>
      <w:tr w14:paraId="4C14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0EF70DD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2453" w:type="dxa"/>
            <w:vAlign w:val="center"/>
          </w:tcPr>
          <w:p w14:paraId="03AACF9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是否接受联合体竞标</w:t>
            </w:r>
          </w:p>
        </w:tc>
        <w:tc>
          <w:tcPr>
            <w:tcW w:w="6380" w:type="dxa"/>
            <w:vAlign w:val="center"/>
          </w:tcPr>
          <w:p w14:paraId="2164247A">
            <w:pPr>
              <w:spacing w:line="400" w:lineRule="exact"/>
              <w:rPr>
                <w:rFonts w:hint="eastAsia" w:ascii="仿宋" w:hAnsi="仿宋" w:eastAsia="仿宋" w:cs="仿宋"/>
                <w:color w:val="auto"/>
                <w:sz w:val="24"/>
                <w:szCs w:val="24"/>
                <w:highlight w:val="none"/>
              </w:rPr>
            </w:pPr>
            <w:bookmarkStart w:id="35" w:name="PO_3000001871_PM007_1"/>
            <w:r>
              <w:rPr>
                <w:rFonts w:hint="eastAsia" w:ascii="仿宋" w:hAnsi="仿宋" w:eastAsia="仿宋" w:cs="仿宋"/>
                <w:color w:val="auto"/>
                <w:sz w:val="24"/>
                <w:szCs w:val="24"/>
                <w:highlight w:val="none"/>
              </w:rPr>
              <w:t>不允许联合体竞标</w:t>
            </w:r>
            <w:bookmarkEnd w:id="35"/>
            <w:r>
              <w:rPr>
                <w:rFonts w:hint="eastAsia" w:ascii="仿宋" w:hAnsi="仿宋" w:eastAsia="仿宋" w:cs="仿宋"/>
                <w:color w:val="auto"/>
                <w:sz w:val="24"/>
                <w:szCs w:val="24"/>
                <w:highlight w:val="none"/>
              </w:rPr>
              <w:t>。</w:t>
            </w:r>
          </w:p>
        </w:tc>
      </w:tr>
      <w:tr w14:paraId="0F6A9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44E7D85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2453" w:type="dxa"/>
            <w:vAlign w:val="center"/>
          </w:tcPr>
          <w:p w14:paraId="2C1FBD8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联合体竞标要求</w:t>
            </w:r>
          </w:p>
        </w:tc>
        <w:tc>
          <w:tcPr>
            <w:tcW w:w="6380" w:type="dxa"/>
            <w:vAlign w:val="center"/>
          </w:tcPr>
          <w:p w14:paraId="1099AF6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r>
      <w:tr w14:paraId="39495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130D686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p>
        </w:tc>
        <w:tc>
          <w:tcPr>
            <w:tcW w:w="2453" w:type="dxa"/>
            <w:vAlign w:val="center"/>
          </w:tcPr>
          <w:p w14:paraId="66B52EF2">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是否允许分包</w:t>
            </w:r>
          </w:p>
        </w:tc>
        <w:tc>
          <w:tcPr>
            <w:tcW w:w="6380" w:type="dxa"/>
            <w:vAlign w:val="center"/>
          </w:tcPr>
          <w:p w14:paraId="5F9F88CB">
            <w:pPr>
              <w:pStyle w:val="11"/>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√不允许分包</w:t>
            </w:r>
          </w:p>
          <w:p w14:paraId="4865F5C4">
            <w:pPr>
              <w:pStyle w:val="11"/>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□允许分包</w:t>
            </w:r>
          </w:p>
          <w:p w14:paraId="3EA1557C">
            <w:pPr>
              <w:pStyle w:val="11"/>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分包内容：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EA851C6">
            <w:pPr>
              <w:pStyle w:val="11"/>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分包金额或者比例：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093E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7FABB39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453" w:type="dxa"/>
            <w:vAlign w:val="center"/>
          </w:tcPr>
          <w:p w14:paraId="1EB6926B">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响应文件的组成</w:t>
            </w:r>
          </w:p>
        </w:tc>
        <w:tc>
          <w:tcPr>
            <w:tcW w:w="6380" w:type="dxa"/>
            <w:vAlign w:val="center"/>
          </w:tcPr>
          <w:p w14:paraId="6A9BF9E5">
            <w:pPr>
              <w:pStyle w:val="11"/>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响应文件应按报价文件、资格证明文件、商务文件、技术文件分别编制，报价文件、资格证明文件分别生成电子文件，商务文件和技术文件按顺序合并生成电子文件。</w:t>
            </w:r>
          </w:p>
          <w:p w14:paraId="73431134">
            <w:pPr>
              <w:pStyle w:val="11"/>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纸质投标文件：成交供应商在成交通知书发出后5天内须提交 2套纸质版投标文件（含报价文件、资格证明文件、商务文件、技术文件。按要求加盖公章）给采购代理机构，一正一副。提交的纸质版响应文件文本必须与其上传到政采云系统的电子响应文件内容一致，不允许有篡改。如项目验收时因所提供的纸质响应文件与评标的响应文件不一致造成纠纷时，所有责任由成交供应商承担。</w:t>
            </w:r>
          </w:p>
        </w:tc>
      </w:tr>
      <w:tr w14:paraId="4682C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28EBF02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w:t>
            </w:r>
          </w:p>
        </w:tc>
        <w:tc>
          <w:tcPr>
            <w:tcW w:w="2453" w:type="dxa"/>
            <w:vAlign w:val="center"/>
          </w:tcPr>
          <w:p w14:paraId="6E1F71E5">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资格证明文件组成</w:t>
            </w:r>
          </w:p>
        </w:tc>
        <w:tc>
          <w:tcPr>
            <w:tcW w:w="6380" w:type="dxa"/>
            <w:vAlign w:val="center"/>
          </w:tcPr>
          <w:p w14:paraId="25844E14">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1.供应商为法人或者其他组织的提供其营业执照等证明文件（如营业执照或者事业单位法人证书或者执业许可证等），供应商为自然人的提供其身份证复印件；</w:t>
            </w:r>
            <w:r>
              <w:rPr>
                <w:rFonts w:hint="eastAsia" w:ascii="仿宋" w:hAnsi="仿宋" w:eastAsia="仿宋" w:cs="仿宋"/>
                <w:b/>
                <w:bCs/>
                <w:color w:val="auto"/>
                <w:sz w:val="24"/>
                <w:szCs w:val="24"/>
                <w:highlight w:val="none"/>
              </w:rPr>
              <w:t>（必须提供，否则响应文件按无效响应处理）</w:t>
            </w:r>
          </w:p>
          <w:p w14:paraId="57B7B869">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依法缴纳税收的相关材料[响应文件递交截止时间前半年内任意一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仿宋" w:hAnsi="仿宋" w:eastAsia="仿宋" w:cs="仿宋"/>
                <w:b/>
                <w:bCs/>
                <w:color w:val="auto"/>
                <w:sz w:val="24"/>
                <w:szCs w:val="24"/>
                <w:highlight w:val="none"/>
              </w:rPr>
              <w:t>（必须提供，否则响应文件按无效响应处理）</w:t>
            </w:r>
          </w:p>
          <w:p w14:paraId="6833900C">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依法缴纳社会保障资金的相关材料[响应文件递交截止时间前半年内任意一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仿宋" w:hAnsi="仿宋" w:eastAsia="仿宋" w:cs="仿宋"/>
                <w:b/>
                <w:bCs/>
                <w:color w:val="auto"/>
                <w:sz w:val="24"/>
                <w:szCs w:val="24"/>
                <w:highlight w:val="none"/>
              </w:rPr>
              <w:t>（必须提供，否则响应文件按无效响应处理）</w:t>
            </w:r>
          </w:p>
          <w:p w14:paraId="0F2155A3">
            <w:pPr>
              <w:snapToGrid w:val="0"/>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4.供应商财务状况报告[</w:t>
            </w:r>
            <w:r>
              <w:rPr>
                <w:rFonts w:hint="eastAsia" w:ascii="仿宋" w:hAnsi="仿宋" w:eastAsia="仿宋" w:cs="仿宋"/>
                <w:color w:val="auto"/>
                <w:sz w:val="24"/>
                <w:szCs w:val="24"/>
                <w:highlight w:val="none"/>
                <w:u w:val="single"/>
              </w:rPr>
              <w:t>2024</w:t>
            </w:r>
            <w:r>
              <w:rPr>
                <w:rFonts w:hint="eastAsia" w:ascii="仿宋" w:hAnsi="仿宋" w:eastAsia="仿宋" w:cs="仿宋"/>
                <w:color w:val="auto"/>
                <w:sz w:val="24"/>
                <w:szCs w:val="24"/>
                <w:highlight w:val="none"/>
              </w:rPr>
              <w:t>年财务状况报告复印件，应提供经审计的财务报告（含第三方审计机构评估的财务报告），或是供应商本单位出具的财务报表</w:t>
            </w:r>
            <w:r>
              <w:rPr>
                <w:rFonts w:hint="eastAsia" w:ascii="仿宋" w:hAnsi="仿宋" w:eastAsia="仿宋" w:cs="仿宋"/>
                <w:b/>
                <w:bCs/>
                <w:color w:val="auto"/>
                <w:sz w:val="24"/>
                <w:szCs w:val="24"/>
                <w:highlight w:val="none"/>
              </w:rPr>
              <w:t>（至少包含资产负债表、利润表、现金流量表）</w:t>
            </w:r>
            <w:r>
              <w:rPr>
                <w:rFonts w:hint="eastAsia" w:ascii="仿宋" w:hAnsi="仿宋" w:eastAsia="仿宋" w:cs="仿宋"/>
                <w:color w:val="auto"/>
                <w:sz w:val="24"/>
                <w:szCs w:val="24"/>
                <w:highlight w:val="none"/>
              </w:rPr>
              <w:t>复印件（2025年新成立的公司应提供公司成立日之后次月起到响应文件递交截止前一个月的财务报表复印件），或者其基本开户银行出具的资信证明]；</w:t>
            </w:r>
            <w:r>
              <w:rPr>
                <w:rFonts w:hint="eastAsia" w:ascii="仿宋" w:hAnsi="仿宋" w:eastAsia="仿宋" w:cs="仿宋"/>
                <w:b/>
                <w:bCs/>
                <w:color w:val="auto"/>
                <w:sz w:val="24"/>
                <w:szCs w:val="24"/>
                <w:highlight w:val="none"/>
              </w:rPr>
              <w:t>（必须提供，否则响应文件按无效响应处理）</w:t>
            </w:r>
          </w:p>
          <w:p w14:paraId="65EA9287">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5.供应商直接控股、管理关系信息表；</w:t>
            </w:r>
            <w:r>
              <w:rPr>
                <w:rFonts w:hint="eastAsia" w:ascii="仿宋" w:hAnsi="仿宋" w:eastAsia="仿宋" w:cs="仿宋"/>
                <w:b/>
                <w:bCs/>
                <w:color w:val="auto"/>
                <w:sz w:val="24"/>
                <w:szCs w:val="24"/>
                <w:highlight w:val="none"/>
              </w:rPr>
              <w:t>（必须提供，否则响应文件按无效响应处理）</w:t>
            </w:r>
          </w:p>
          <w:p w14:paraId="612A53E6">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6.资格声明；</w:t>
            </w:r>
            <w:r>
              <w:rPr>
                <w:rFonts w:hint="eastAsia" w:ascii="仿宋" w:hAnsi="仿宋" w:eastAsia="仿宋" w:cs="仿宋"/>
                <w:b/>
                <w:bCs/>
                <w:color w:val="auto"/>
                <w:sz w:val="24"/>
                <w:szCs w:val="24"/>
                <w:highlight w:val="none"/>
              </w:rPr>
              <w:t>（必须提供，否则响应文件按无效响应处理）</w:t>
            </w:r>
          </w:p>
          <w:p w14:paraId="5C88CFB9">
            <w:pPr>
              <w:snapToGrid w:val="0"/>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7.供应商为中小企业/小微企业的声明函；</w:t>
            </w:r>
            <w:r>
              <w:rPr>
                <w:rFonts w:hint="eastAsia" w:ascii="仿宋" w:hAnsi="仿宋" w:eastAsia="仿宋" w:cs="仿宋"/>
                <w:b/>
                <w:bCs/>
                <w:color w:val="auto"/>
                <w:sz w:val="24"/>
                <w:szCs w:val="24"/>
                <w:highlight w:val="none"/>
              </w:rPr>
              <w:t>（如有请提供）</w:t>
            </w:r>
          </w:p>
          <w:p w14:paraId="346CDF29">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8.除谈判文件规定必须提供以外，供应商认为需要提供的其他证明材料；</w:t>
            </w:r>
            <w:r>
              <w:rPr>
                <w:rFonts w:hint="eastAsia" w:ascii="仿宋" w:hAnsi="仿宋" w:eastAsia="仿宋" w:cs="仿宋"/>
                <w:b/>
                <w:bCs/>
                <w:color w:val="auto"/>
                <w:sz w:val="24"/>
                <w:szCs w:val="24"/>
                <w:highlight w:val="none"/>
              </w:rPr>
              <w:t>（如有请提供）</w:t>
            </w:r>
          </w:p>
          <w:p w14:paraId="111BDAAA">
            <w:pPr>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注：以上标明“必须提供”的材料属于复印件或扫描件的，必须加盖供应商电子公章，否则响应文件按无效响应处理。</w:t>
            </w:r>
          </w:p>
        </w:tc>
      </w:tr>
      <w:tr w14:paraId="43F09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restart"/>
            <w:vAlign w:val="center"/>
          </w:tcPr>
          <w:p w14:paraId="2EE98F8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w:t>
            </w:r>
          </w:p>
        </w:tc>
        <w:tc>
          <w:tcPr>
            <w:tcW w:w="2453" w:type="dxa"/>
            <w:vAlign w:val="center"/>
          </w:tcPr>
          <w:p w14:paraId="4558C353">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商务文件组成</w:t>
            </w:r>
          </w:p>
        </w:tc>
        <w:tc>
          <w:tcPr>
            <w:tcW w:w="6380" w:type="dxa"/>
            <w:vAlign w:val="center"/>
          </w:tcPr>
          <w:p w14:paraId="2528B89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1.无串通竞标行为的承诺函；</w:t>
            </w:r>
            <w:r>
              <w:rPr>
                <w:rFonts w:hint="eastAsia" w:ascii="仿宋" w:hAnsi="仿宋" w:eastAsia="仿宋" w:cs="仿宋"/>
                <w:b/>
                <w:bCs/>
                <w:color w:val="auto"/>
                <w:sz w:val="24"/>
                <w:szCs w:val="24"/>
                <w:highlight w:val="none"/>
              </w:rPr>
              <w:t>（必须提供，否则响应文件按无效响应处理）</w:t>
            </w:r>
          </w:p>
          <w:p w14:paraId="3E32F2A8">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2.法定代表人身份证明书及法定代表人有效身份证正反面复印件；</w:t>
            </w:r>
            <w:r>
              <w:rPr>
                <w:rFonts w:hint="eastAsia" w:ascii="仿宋" w:hAnsi="仿宋" w:eastAsia="仿宋" w:cs="仿宋"/>
                <w:b/>
                <w:bCs/>
                <w:color w:val="auto"/>
                <w:sz w:val="24"/>
                <w:szCs w:val="24"/>
                <w:highlight w:val="none"/>
              </w:rPr>
              <w:t>（除自然人竞标外必须提供，否则响应文件按无效响应处理）</w:t>
            </w:r>
          </w:p>
          <w:p w14:paraId="55AB7343">
            <w:pPr>
              <w:spacing w:line="40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3.法定代表人授权委托书及委托代理人有效身份证正反面复印件；</w:t>
            </w:r>
            <w:r>
              <w:rPr>
                <w:rFonts w:hint="eastAsia" w:ascii="仿宋" w:hAnsi="仿宋" w:eastAsia="仿宋" w:cs="仿宋"/>
                <w:b/>
                <w:bCs/>
                <w:color w:val="auto"/>
                <w:sz w:val="24"/>
                <w:szCs w:val="24"/>
                <w:highlight w:val="none"/>
              </w:rPr>
              <w:t>（委托时必须提供，否则响应文件按无效响应处理）</w:t>
            </w:r>
          </w:p>
          <w:p w14:paraId="147A396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4.商务条款偏离表；</w:t>
            </w:r>
            <w:r>
              <w:rPr>
                <w:rFonts w:hint="eastAsia" w:ascii="仿宋" w:hAnsi="仿宋" w:eastAsia="仿宋" w:cs="仿宋"/>
                <w:b/>
                <w:bCs/>
                <w:color w:val="auto"/>
                <w:sz w:val="24"/>
                <w:szCs w:val="24"/>
                <w:highlight w:val="none"/>
              </w:rPr>
              <w:t>（必须提供，否则响应文件按无效响应处理）</w:t>
            </w:r>
          </w:p>
          <w:p w14:paraId="00785F0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5.竞标人情况介绍；</w:t>
            </w:r>
            <w:r>
              <w:rPr>
                <w:rFonts w:hint="eastAsia" w:ascii="仿宋" w:hAnsi="仿宋" w:eastAsia="仿宋" w:cs="仿宋"/>
                <w:b/>
                <w:bCs/>
                <w:color w:val="auto"/>
                <w:sz w:val="24"/>
                <w:szCs w:val="24"/>
                <w:highlight w:val="none"/>
              </w:rPr>
              <w:t>（如有请提供）</w:t>
            </w:r>
          </w:p>
          <w:p w14:paraId="34401EC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6.供应商认为需要提供的其他有关资料。</w:t>
            </w:r>
            <w:r>
              <w:rPr>
                <w:rFonts w:hint="eastAsia" w:ascii="仿宋" w:hAnsi="仿宋" w:eastAsia="仿宋" w:cs="仿宋"/>
                <w:b/>
                <w:bCs/>
                <w:color w:val="auto"/>
                <w:sz w:val="24"/>
                <w:szCs w:val="24"/>
                <w:highlight w:val="none"/>
              </w:rPr>
              <w:t>（如有请提供）</w:t>
            </w:r>
          </w:p>
          <w:p w14:paraId="64BB72F2">
            <w:pPr>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注： </w:t>
            </w:r>
          </w:p>
          <w:p w14:paraId="4FC5994C">
            <w:pPr>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1.法定代表人授权委托书必须由法定代表人及委托代理人签字，并加盖供应商公章，否则响应文件按无效响应处理。</w:t>
            </w:r>
          </w:p>
          <w:p w14:paraId="6C373E98">
            <w:pPr>
              <w:spacing w:line="40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2.以上标明“必须提供”的材料属于复印件或扫描件的，必须加盖供应商电子公章，否则响应文件按无效响应处理。</w:t>
            </w:r>
          </w:p>
        </w:tc>
      </w:tr>
      <w:tr w14:paraId="1CF5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050F42D7">
            <w:pPr>
              <w:spacing w:line="400" w:lineRule="exact"/>
              <w:jc w:val="center"/>
              <w:rPr>
                <w:rFonts w:hint="eastAsia" w:ascii="仿宋" w:hAnsi="仿宋" w:eastAsia="仿宋" w:cs="仿宋"/>
                <w:color w:val="auto"/>
                <w:sz w:val="24"/>
                <w:szCs w:val="24"/>
                <w:highlight w:val="none"/>
              </w:rPr>
            </w:pPr>
          </w:p>
        </w:tc>
        <w:tc>
          <w:tcPr>
            <w:tcW w:w="2453" w:type="dxa"/>
            <w:vAlign w:val="center"/>
          </w:tcPr>
          <w:p w14:paraId="6856F5C6">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技术文件组成</w:t>
            </w:r>
          </w:p>
        </w:tc>
        <w:tc>
          <w:tcPr>
            <w:tcW w:w="6380" w:type="dxa"/>
            <w:vAlign w:val="center"/>
          </w:tcPr>
          <w:p w14:paraId="78F56C7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1.货物需求偏离表；</w:t>
            </w:r>
            <w:r>
              <w:rPr>
                <w:rFonts w:hint="eastAsia" w:ascii="仿宋" w:hAnsi="仿宋" w:eastAsia="仿宋" w:cs="仿宋"/>
                <w:b/>
                <w:bCs/>
                <w:color w:val="auto"/>
                <w:sz w:val="24"/>
                <w:szCs w:val="24"/>
                <w:highlight w:val="none"/>
              </w:rPr>
              <w:t>（必须提供，否则响应文件按无效响应处理）</w:t>
            </w:r>
          </w:p>
          <w:p w14:paraId="236C482F">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2.货物配置清单（均不含报价）；</w:t>
            </w:r>
            <w:r>
              <w:rPr>
                <w:rFonts w:hint="eastAsia" w:ascii="仿宋" w:hAnsi="仿宋" w:eastAsia="仿宋" w:cs="仿宋"/>
                <w:b/>
                <w:bCs/>
                <w:color w:val="auto"/>
                <w:sz w:val="24"/>
                <w:szCs w:val="24"/>
                <w:highlight w:val="none"/>
              </w:rPr>
              <w:t>（必须提供，否则响应文件作无效处理）</w:t>
            </w:r>
          </w:p>
          <w:p w14:paraId="4C4C3548">
            <w:pPr>
              <w:spacing w:line="40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w:t>
            </w:r>
            <w:bookmarkStart w:id="92" w:name="_GoBack"/>
            <w:r>
              <w:rPr>
                <w:rFonts w:hint="eastAsia" w:ascii="仿宋" w:hAnsi="仿宋" w:eastAsia="仿宋" w:cs="仿宋"/>
                <w:color w:val="auto"/>
                <w:sz w:val="24"/>
                <w:szCs w:val="24"/>
                <w:highlight w:val="none"/>
              </w:rPr>
              <w:t>售后服务承诺；</w:t>
            </w:r>
            <w:bookmarkEnd w:id="92"/>
            <w:r>
              <w:rPr>
                <w:rFonts w:hint="eastAsia" w:ascii="仿宋" w:hAnsi="仿宋" w:eastAsia="仿宋" w:cs="仿宋"/>
                <w:b/>
                <w:bCs/>
                <w:color w:val="auto"/>
                <w:sz w:val="24"/>
                <w:szCs w:val="24"/>
                <w:highlight w:val="none"/>
              </w:rPr>
              <w:t>（必须提供，否则响应文件按无效响应处理）</w:t>
            </w:r>
          </w:p>
          <w:p w14:paraId="3BD3EB9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4.项目实施人员一览表；</w:t>
            </w:r>
            <w:r>
              <w:rPr>
                <w:rFonts w:hint="eastAsia" w:ascii="仿宋" w:hAnsi="仿宋" w:eastAsia="仿宋" w:cs="仿宋"/>
                <w:b/>
                <w:bCs/>
                <w:color w:val="auto"/>
                <w:sz w:val="24"/>
                <w:szCs w:val="24"/>
                <w:highlight w:val="none"/>
              </w:rPr>
              <w:t>（如有请提供）</w:t>
            </w:r>
          </w:p>
          <w:p w14:paraId="151813C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5.对应采购需求的货物需求、商务条款提供的其他文件资料；</w:t>
            </w:r>
            <w:r>
              <w:rPr>
                <w:rFonts w:hint="eastAsia" w:ascii="仿宋" w:hAnsi="仿宋" w:eastAsia="仿宋" w:cs="仿宋"/>
                <w:b/>
                <w:bCs/>
                <w:color w:val="auto"/>
                <w:sz w:val="24"/>
                <w:szCs w:val="24"/>
                <w:highlight w:val="none"/>
              </w:rPr>
              <w:t>（采购需求中有要求的则必须提供，加盖单位公章，否则竞标无效）</w:t>
            </w:r>
          </w:p>
          <w:p w14:paraId="11416F7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6.供应商认为需要提供的其他有关资料。</w:t>
            </w:r>
          </w:p>
          <w:p w14:paraId="3A95E89B">
            <w:pPr>
              <w:spacing w:line="4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注：以上标明“必须提供”的材料属于复印件或扫描件的，必须加盖供应商电子公章，否则响应文件按无效响应处理。</w:t>
            </w:r>
          </w:p>
        </w:tc>
      </w:tr>
      <w:tr w14:paraId="6C19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02FCDC0D">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w:t>
            </w:r>
          </w:p>
        </w:tc>
        <w:tc>
          <w:tcPr>
            <w:tcW w:w="2453" w:type="dxa"/>
            <w:vAlign w:val="center"/>
          </w:tcPr>
          <w:p w14:paraId="014B538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报价文件组成</w:t>
            </w:r>
          </w:p>
        </w:tc>
        <w:tc>
          <w:tcPr>
            <w:tcW w:w="6380" w:type="dxa"/>
            <w:vAlign w:val="center"/>
          </w:tcPr>
          <w:p w14:paraId="6B141067">
            <w:pPr>
              <w:tabs>
                <w:tab w:val="left" w:pos="459"/>
              </w:tabs>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1.响应函；</w:t>
            </w:r>
            <w:r>
              <w:rPr>
                <w:rFonts w:hint="eastAsia" w:ascii="仿宋" w:hAnsi="仿宋" w:eastAsia="仿宋" w:cs="仿宋"/>
                <w:b/>
                <w:color w:val="auto"/>
                <w:sz w:val="24"/>
                <w:szCs w:val="24"/>
                <w:highlight w:val="none"/>
              </w:rPr>
              <w:t>（必须提供，否则作无效响应处理）</w:t>
            </w:r>
          </w:p>
          <w:p w14:paraId="5FE237F6">
            <w:pPr>
              <w:spacing w:line="40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2.响应报价表；</w:t>
            </w:r>
            <w:r>
              <w:rPr>
                <w:rFonts w:hint="eastAsia" w:ascii="仿宋" w:hAnsi="仿宋" w:eastAsia="仿宋" w:cs="仿宋"/>
                <w:b/>
                <w:bCs/>
                <w:color w:val="auto"/>
                <w:sz w:val="24"/>
                <w:szCs w:val="24"/>
                <w:highlight w:val="none"/>
              </w:rPr>
              <w:t>（必须提供，否则响应文件按无效响应处理）</w:t>
            </w:r>
          </w:p>
          <w:p w14:paraId="72468D6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残疾人福利性单位声明函或监狱企业证明。</w:t>
            </w:r>
            <w:r>
              <w:rPr>
                <w:rFonts w:hint="eastAsia" w:ascii="仿宋" w:hAnsi="仿宋" w:eastAsia="仿宋" w:cs="仿宋"/>
                <w:b/>
                <w:bCs/>
                <w:color w:val="auto"/>
                <w:kern w:val="0"/>
                <w:sz w:val="24"/>
                <w:szCs w:val="24"/>
                <w:highlight w:val="none"/>
              </w:rPr>
              <w:t>（按实际情况提供）</w:t>
            </w:r>
          </w:p>
        </w:tc>
      </w:tr>
      <w:tr w14:paraId="7B98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7116DD5B">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p>
        </w:tc>
        <w:tc>
          <w:tcPr>
            <w:tcW w:w="2453" w:type="dxa"/>
            <w:vAlign w:val="center"/>
          </w:tcPr>
          <w:p w14:paraId="1158A28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响应文件电子版要求</w:t>
            </w:r>
          </w:p>
        </w:tc>
        <w:tc>
          <w:tcPr>
            <w:tcW w:w="6380" w:type="dxa"/>
            <w:vAlign w:val="center"/>
          </w:tcPr>
          <w:p w14:paraId="44E72BA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1.响应文件电子版要求：按照本采购文件“第五章 响应文件格式”编写（第五章未附格式的，由供应商自行拟定），不可涂改并在规定加盖公章处加盖电子公章，</w:t>
            </w:r>
            <w:r>
              <w:rPr>
                <w:rFonts w:hint="eastAsia" w:ascii="仿宋" w:hAnsi="仿宋" w:eastAsia="仿宋" w:cs="仿宋"/>
                <w:b/>
                <w:color w:val="auto"/>
                <w:sz w:val="24"/>
                <w:szCs w:val="24"/>
                <w:highlight w:val="none"/>
              </w:rPr>
              <w:t>否则响应文件按无效响应处理</w:t>
            </w:r>
            <w:r>
              <w:rPr>
                <w:rFonts w:hint="eastAsia" w:ascii="仿宋" w:hAnsi="仿宋" w:eastAsia="仿宋" w:cs="仿宋"/>
                <w:color w:val="auto"/>
                <w:sz w:val="24"/>
                <w:szCs w:val="24"/>
                <w:highlight w:val="none"/>
              </w:rPr>
              <w:t>。</w:t>
            </w:r>
          </w:p>
          <w:p w14:paraId="4502501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2.响应文件电子版密封方式：电子响应文件通过平台有效CA加密后在“政采云”平台投送。</w:t>
            </w:r>
          </w:p>
        </w:tc>
      </w:tr>
      <w:tr w14:paraId="5140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6C69BCF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2453" w:type="dxa"/>
            <w:vAlign w:val="center"/>
          </w:tcPr>
          <w:p w14:paraId="0C0651B4">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响应报价要求</w:t>
            </w:r>
          </w:p>
        </w:tc>
        <w:tc>
          <w:tcPr>
            <w:tcW w:w="6380" w:type="dxa"/>
            <w:vAlign w:val="center"/>
          </w:tcPr>
          <w:p w14:paraId="6323D511">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报价必须包含满足本次竞标全部采购需求所应提供的货物，以及伴随的货物和工程（如有）的价格；包含竞标货物、货物、工程的成本、运输（含保险）、安装（如有）、调试、检验、技术货物、培训、税费等所有费用。</w:t>
            </w:r>
          </w:p>
        </w:tc>
      </w:tr>
      <w:tr w14:paraId="171B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2CB5CCC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2453" w:type="dxa"/>
            <w:vAlign w:val="center"/>
          </w:tcPr>
          <w:p w14:paraId="7EA50CC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竞标有效期</w:t>
            </w:r>
          </w:p>
        </w:tc>
        <w:tc>
          <w:tcPr>
            <w:tcW w:w="6380" w:type="dxa"/>
            <w:vAlign w:val="center"/>
          </w:tcPr>
          <w:p w14:paraId="14FFDA85">
            <w:pPr>
              <w:pStyle w:val="10"/>
              <w:widowControl w:val="0"/>
              <w:tabs>
                <w:tab w:val="clear" w:pos="454"/>
              </w:tabs>
              <w:spacing w:afterLines="0" w:line="400" w:lineRule="exact"/>
              <w:ind w:left="297" w:hanging="324" w:hangingChars="135"/>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自首次响应文件提交截止之日起</w:t>
            </w:r>
            <w:r>
              <w:rPr>
                <w:rFonts w:hint="eastAsia" w:ascii="仿宋" w:hAnsi="仿宋" w:eastAsia="仿宋" w:cs="仿宋"/>
                <w:color w:val="auto"/>
                <w:kern w:val="2"/>
                <w:sz w:val="24"/>
                <w:szCs w:val="24"/>
                <w:highlight w:val="none"/>
                <w:u w:val="single"/>
              </w:rPr>
              <w:t>90</w:t>
            </w:r>
            <w:r>
              <w:rPr>
                <w:rFonts w:hint="eastAsia" w:ascii="仿宋" w:hAnsi="仿宋" w:eastAsia="仿宋" w:cs="仿宋"/>
                <w:color w:val="auto"/>
                <w:kern w:val="2"/>
                <w:sz w:val="24"/>
                <w:szCs w:val="24"/>
                <w:highlight w:val="none"/>
              </w:rPr>
              <w:t>日。</w:t>
            </w:r>
          </w:p>
        </w:tc>
      </w:tr>
      <w:tr w14:paraId="3610B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3DE3250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2453" w:type="dxa"/>
            <w:vAlign w:val="center"/>
          </w:tcPr>
          <w:p w14:paraId="03B0575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谈判保证金</w:t>
            </w:r>
          </w:p>
        </w:tc>
        <w:tc>
          <w:tcPr>
            <w:tcW w:w="6380" w:type="dxa"/>
            <w:vAlign w:val="center"/>
          </w:tcPr>
          <w:p w14:paraId="6AD261B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本项目需要交纳谈判保证金。</w:t>
            </w:r>
          </w:p>
          <w:p w14:paraId="56587EB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1、投标保证金金额：</w:t>
            </w:r>
            <w:r>
              <w:rPr>
                <w:rFonts w:hint="eastAsia" w:ascii="仿宋" w:hAnsi="仿宋" w:eastAsia="仿宋" w:cs="仿宋"/>
                <w:b/>
                <w:bCs/>
                <w:color w:val="auto"/>
                <w:sz w:val="24"/>
                <w:szCs w:val="24"/>
                <w:highlight w:val="none"/>
                <w:u w:val="single"/>
                <w:lang w:val="en-US" w:eastAsia="zh-CN"/>
              </w:rPr>
              <w:t>壹万元整</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1</w:t>
            </w:r>
            <w:r>
              <w:rPr>
                <w:rFonts w:hint="eastAsia" w:ascii="仿宋" w:hAnsi="仿宋" w:eastAsia="仿宋" w:cs="仿宋"/>
                <w:b/>
                <w:bCs/>
                <w:color w:val="auto"/>
                <w:sz w:val="24"/>
                <w:szCs w:val="24"/>
                <w:highlight w:val="none"/>
                <w:u w:val="single"/>
              </w:rPr>
              <w:t>0</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bCs/>
                <w:color w:val="auto"/>
                <w:sz w:val="24"/>
                <w:szCs w:val="24"/>
                <w:highlight w:val="none"/>
                <w:u w:val="single"/>
              </w:rPr>
              <w:t>000.00</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rPr>
              <w:t>；</w:t>
            </w:r>
          </w:p>
          <w:p w14:paraId="1437F42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2、投标保证金形式：银行转账、银行保函、电子保函、保险保证、担保保函等非现金形式提交。</w:t>
            </w:r>
          </w:p>
          <w:p w14:paraId="167DF1CD">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3、投标保证金有效期：与投标有效期一致。</w:t>
            </w:r>
          </w:p>
          <w:p w14:paraId="0FF5A96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FC1F12F">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（1）银行转账的必须从基本账户转出，投标文件中请提供转账汇款凭证复印件并加盖单位公章，并同时提供开户许可证或基本存款账户信息证明并加盖单位公章。</w:t>
            </w:r>
          </w:p>
          <w:p w14:paraId="1A8542A1">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递交截止时间：投标文件递交的截止时间；</w:t>
            </w:r>
          </w:p>
          <w:p w14:paraId="1EB06596">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用途：项目名称（可简写）投标保证金。</w:t>
            </w:r>
          </w:p>
          <w:p w14:paraId="756A6B1B">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（2）采用银行转账形式的，投标人应于提交投标文件截止时间前将投标保证金交至以下账户：</w:t>
            </w:r>
          </w:p>
          <w:p w14:paraId="3F886B3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开户名称：广西大融合工程咨询有限公司</w:t>
            </w:r>
          </w:p>
          <w:p w14:paraId="737186FC">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开户银行：中国建设银行股份有限公司梧州河西支行</w:t>
            </w:r>
          </w:p>
          <w:p w14:paraId="78EF905C">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号：45050 16486 56000 00893</w:t>
            </w:r>
          </w:p>
          <w:p w14:paraId="7EE28DB7">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（3）采用支票、汇票、本票或者保函等形式的，投标人应于提交投标文件截止时间前递交单独密封的支票、汇票、本票或者保函（电子保函除外）原件至我公司财务处。</w:t>
            </w:r>
          </w:p>
          <w:p w14:paraId="1F3C6822">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（4）投标保证金以银行保函形式提交的，出具保函或保证保险的银行和保险公司须为中国境内注册的合法有效机构。</w:t>
            </w:r>
          </w:p>
        </w:tc>
      </w:tr>
      <w:tr w14:paraId="5640C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58" w:type="dxa"/>
            <w:vMerge w:val="restart"/>
            <w:vAlign w:val="center"/>
          </w:tcPr>
          <w:p w14:paraId="23E69F1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p>
        </w:tc>
        <w:tc>
          <w:tcPr>
            <w:tcW w:w="2453" w:type="dxa"/>
            <w:vAlign w:val="center"/>
          </w:tcPr>
          <w:p w14:paraId="02F9EE3F">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首次响应文件提交起止时间</w:t>
            </w:r>
          </w:p>
        </w:tc>
        <w:tc>
          <w:tcPr>
            <w:tcW w:w="6380" w:type="dxa"/>
            <w:vAlign w:val="center"/>
          </w:tcPr>
          <w:p w14:paraId="0C61CDD6">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详见竞争性谈判公告。</w:t>
            </w:r>
          </w:p>
        </w:tc>
      </w:tr>
      <w:tr w14:paraId="7B7B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vMerge w:val="continue"/>
            <w:vAlign w:val="center"/>
          </w:tcPr>
          <w:p w14:paraId="30085B93">
            <w:pPr>
              <w:spacing w:line="400" w:lineRule="exact"/>
              <w:jc w:val="center"/>
              <w:rPr>
                <w:rFonts w:hint="eastAsia" w:ascii="仿宋" w:hAnsi="仿宋" w:eastAsia="仿宋" w:cs="仿宋"/>
                <w:color w:val="auto"/>
                <w:sz w:val="24"/>
                <w:szCs w:val="24"/>
                <w:highlight w:val="none"/>
              </w:rPr>
            </w:pPr>
          </w:p>
        </w:tc>
        <w:tc>
          <w:tcPr>
            <w:tcW w:w="2453" w:type="dxa"/>
            <w:vAlign w:val="center"/>
          </w:tcPr>
          <w:p w14:paraId="235D60E5">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首次响应文件提交地点</w:t>
            </w:r>
          </w:p>
        </w:tc>
        <w:tc>
          <w:tcPr>
            <w:tcW w:w="6380" w:type="dxa"/>
            <w:vAlign w:val="center"/>
          </w:tcPr>
          <w:p w14:paraId="0F8F9588">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详见竞争性谈判公告。</w:t>
            </w:r>
          </w:p>
        </w:tc>
      </w:tr>
      <w:tr w14:paraId="3150B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vAlign w:val="center"/>
          </w:tcPr>
          <w:p w14:paraId="4365BD95">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w:t>
            </w:r>
          </w:p>
        </w:tc>
        <w:tc>
          <w:tcPr>
            <w:tcW w:w="2453" w:type="dxa"/>
            <w:vAlign w:val="center"/>
          </w:tcPr>
          <w:p w14:paraId="1F867A58">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备份响应文件</w:t>
            </w:r>
          </w:p>
        </w:tc>
        <w:tc>
          <w:tcPr>
            <w:tcW w:w="6380" w:type="dxa"/>
            <w:vAlign w:val="center"/>
          </w:tcPr>
          <w:p w14:paraId="3F6C375D">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本项目不接受备份响应文件。</w:t>
            </w:r>
          </w:p>
        </w:tc>
      </w:tr>
      <w:tr w14:paraId="4BBE7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58" w:type="dxa"/>
            <w:vAlign w:val="center"/>
          </w:tcPr>
          <w:p w14:paraId="516B8A1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453" w:type="dxa"/>
            <w:vAlign w:val="center"/>
          </w:tcPr>
          <w:p w14:paraId="58B5A555">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首次响应文件的退回</w:t>
            </w:r>
          </w:p>
        </w:tc>
        <w:tc>
          <w:tcPr>
            <w:tcW w:w="6380" w:type="dxa"/>
            <w:vAlign w:val="center"/>
          </w:tcPr>
          <w:p w14:paraId="29BD98A9">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详见竞争性谈判公告。</w:t>
            </w:r>
          </w:p>
        </w:tc>
      </w:tr>
      <w:tr w14:paraId="77CC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58" w:type="dxa"/>
            <w:vMerge w:val="restart"/>
            <w:vAlign w:val="center"/>
          </w:tcPr>
          <w:p w14:paraId="62F527A9">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w:t>
            </w:r>
          </w:p>
        </w:tc>
        <w:tc>
          <w:tcPr>
            <w:tcW w:w="2453" w:type="dxa"/>
            <w:vAlign w:val="center"/>
          </w:tcPr>
          <w:p w14:paraId="1279A19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负偏离要求</w:t>
            </w:r>
          </w:p>
        </w:tc>
        <w:tc>
          <w:tcPr>
            <w:tcW w:w="6380" w:type="dxa"/>
            <w:vAlign w:val="center"/>
          </w:tcPr>
          <w:p w14:paraId="5E9D08D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商务条款评审中允许负偏离的条款数为</w:t>
            </w:r>
            <w:r>
              <w:rPr>
                <w:rFonts w:hint="eastAsia" w:ascii="仿宋" w:hAnsi="仿宋" w:eastAsia="仿宋" w:cs="仿宋"/>
                <w:color w:val="auto"/>
                <w:sz w:val="24"/>
                <w:szCs w:val="24"/>
                <w:highlight w:val="none"/>
                <w:u w:val="single"/>
              </w:rPr>
              <w:t xml:space="preserve"> 0 </w:t>
            </w:r>
            <w:r>
              <w:rPr>
                <w:rFonts w:hint="eastAsia" w:ascii="仿宋" w:hAnsi="仿宋" w:eastAsia="仿宋" w:cs="仿宋"/>
                <w:color w:val="auto"/>
                <w:sz w:val="24"/>
                <w:szCs w:val="24"/>
                <w:highlight w:val="none"/>
              </w:rPr>
              <w:t>项。</w:t>
            </w:r>
          </w:p>
          <w:p w14:paraId="270C101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货物需求评审中允许负偏离的条款数为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w:t>
            </w:r>
          </w:p>
        </w:tc>
      </w:tr>
      <w:tr w14:paraId="740D4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7E9A0915">
            <w:pPr>
              <w:spacing w:line="400" w:lineRule="exact"/>
              <w:jc w:val="center"/>
              <w:rPr>
                <w:rFonts w:hint="eastAsia" w:ascii="仿宋" w:hAnsi="仿宋" w:eastAsia="仿宋" w:cs="仿宋"/>
                <w:color w:val="auto"/>
                <w:sz w:val="24"/>
                <w:szCs w:val="24"/>
                <w:highlight w:val="none"/>
              </w:rPr>
            </w:pPr>
          </w:p>
        </w:tc>
        <w:tc>
          <w:tcPr>
            <w:tcW w:w="2453" w:type="dxa"/>
            <w:vAlign w:val="center"/>
          </w:tcPr>
          <w:p w14:paraId="1F4A69E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谈判的顺序</w:t>
            </w:r>
          </w:p>
        </w:tc>
        <w:tc>
          <w:tcPr>
            <w:tcW w:w="6380" w:type="dxa"/>
            <w:vAlign w:val="center"/>
          </w:tcPr>
          <w:p w14:paraId="322ADFD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系统自动提取的顺序</w:t>
            </w:r>
          </w:p>
          <w:p w14:paraId="6FFEC475">
            <w:pPr>
              <w:pStyle w:val="11"/>
              <w:spacing w:line="400" w:lineRule="exac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参与谈判前，供应商法定代表人或者委托代理人应持本人有效证件原件[有效证件可以是身份证（含临时身份证明）、机动车驾驶证、社会保障卡或者护照的其中一项]</w:t>
            </w:r>
            <w:r>
              <w:rPr>
                <w:rFonts w:hint="eastAsia" w:ascii="仿宋" w:hAnsi="仿宋" w:eastAsia="仿宋" w:cs="仿宋"/>
                <w:color w:val="auto"/>
                <w:sz w:val="24"/>
                <w:szCs w:val="24"/>
                <w:highlight w:val="none"/>
              </w:rPr>
              <w:t>和供应商政采云平台CA数字证书在线参加谈判</w:t>
            </w:r>
            <w:r>
              <w:rPr>
                <w:rFonts w:hint="eastAsia" w:ascii="仿宋" w:hAnsi="仿宋" w:eastAsia="仿宋" w:cs="仿宋"/>
                <w:b/>
                <w:bCs/>
                <w:color w:val="auto"/>
                <w:sz w:val="24"/>
                <w:szCs w:val="24"/>
                <w:highlight w:val="none"/>
              </w:rPr>
              <w:t>（开标当日供应商法定代表人或授权委托人的通讯工具须保持畅通，在规定时间内在线等候谈判）</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否则视同放弃参加谈判权利，</w:t>
            </w:r>
            <w:r>
              <w:rPr>
                <w:rFonts w:hint="eastAsia" w:ascii="仿宋" w:hAnsi="仿宋" w:eastAsia="仿宋" w:cs="仿宋"/>
                <w:bCs/>
                <w:color w:val="auto"/>
                <w:sz w:val="24"/>
                <w:szCs w:val="24"/>
                <w:highlight w:val="none"/>
              </w:rPr>
              <w:t>谈判小组将拒绝其谈判。</w:t>
            </w:r>
          </w:p>
        </w:tc>
      </w:tr>
      <w:tr w14:paraId="5A3A4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56A40866">
            <w:pPr>
              <w:spacing w:line="400" w:lineRule="exact"/>
              <w:jc w:val="center"/>
              <w:rPr>
                <w:rFonts w:hint="eastAsia" w:ascii="仿宋" w:hAnsi="仿宋" w:eastAsia="仿宋" w:cs="仿宋"/>
                <w:color w:val="auto"/>
                <w:sz w:val="24"/>
                <w:szCs w:val="24"/>
                <w:highlight w:val="none"/>
              </w:rPr>
            </w:pPr>
          </w:p>
        </w:tc>
        <w:tc>
          <w:tcPr>
            <w:tcW w:w="2453" w:type="dxa"/>
            <w:vAlign w:val="center"/>
          </w:tcPr>
          <w:p w14:paraId="130FBD89">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评审价相同时成交原则</w:t>
            </w:r>
          </w:p>
        </w:tc>
        <w:tc>
          <w:tcPr>
            <w:tcW w:w="6380" w:type="dxa"/>
            <w:vAlign w:val="center"/>
          </w:tcPr>
          <w:p w14:paraId="7BF3888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评审价相同时，按照最后报价由低到高顺序依次推荐；最后报价相同时，按以下原则确定成交候选人的顺序：</w:t>
            </w:r>
          </w:p>
          <w:p w14:paraId="5037038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☑依次按采购要求正偏离项数多的优先、均无正偏离或者正偏离项数一致时质量保证期长优先、交货期短优先、故障响应时间短优先的顺序排列。</w:t>
            </w:r>
          </w:p>
          <w:p w14:paraId="3050901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□由谈判小组推荐代表随机抽取。</w:t>
            </w:r>
          </w:p>
        </w:tc>
      </w:tr>
      <w:tr w14:paraId="4562C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76A4FD4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2453" w:type="dxa"/>
            <w:vAlign w:val="center"/>
          </w:tcPr>
          <w:p w14:paraId="344B881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380" w:type="dxa"/>
            <w:vAlign w:val="center"/>
          </w:tcPr>
          <w:p w14:paraId="27535DFF">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r>
      <w:tr w14:paraId="73DBC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0F596DF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29.5</w:t>
            </w:r>
          </w:p>
        </w:tc>
        <w:tc>
          <w:tcPr>
            <w:tcW w:w="2453" w:type="dxa"/>
            <w:vAlign w:val="center"/>
          </w:tcPr>
          <w:p w14:paraId="1DC34EDF">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签订合同携带的材料</w:t>
            </w:r>
          </w:p>
        </w:tc>
        <w:tc>
          <w:tcPr>
            <w:tcW w:w="6380" w:type="dxa"/>
            <w:vAlign w:val="center"/>
          </w:tcPr>
          <w:p w14:paraId="1DA8358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营业执照副本复印件、单位授权委托书及被授权人身份证原件等其它证明材料。</w:t>
            </w:r>
          </w:p>
        </w:tc>
      </w:tr>
      <w:tr w14:paraId="461E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restart"/>
            <w:vAlign w:val="center"/>
          </w:tcPr>
          <w:p w14:paraId="783B776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w:t>
            </w:r>
          </w:p>
        </w:tc>
        <w:tc>
          <w:tcPr>
            <w:tcW w:w="2453" w:type="dxa"/>
            <w:vAlign w:val="center"/>
          </w:tcPr>
          <w:p w14:paraId="5AA13919">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接收质疑函方式</w:t>
            </w:r>
          </w:p>
        </w:tc>
        <w:tc>
          <w:tcPr>
            <w:tcW w:w="6380" w:type="dxa"/>
            <w:vAlign w:val="center"/>
          </w:tcPr>
          <w:p w14:paraId="2AC3704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以书面形式</w:t>
            </w:r>
          </w:p>
        </w:tc>
      </w:tr>
      <w:tr w14:paraId="45CEC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37CD9C88">
            <w:pPr>
              <w:spacing w:line="400" w:lineRule="exact"/>
              <w:jc w:val="center"/>
              <w:rPr>
                <w:rFonts w:hint="eastAsia" w:ascii="仿宋" w:hAnsi="仿宋" w:eastAsia="仿宋" w:cs="仿宋"/>
                <w:color w:val="auto"/>
                <w:sz w:val="24"/>
                <w:szCs w:val="24"/>
                <w:highlight w:val="none"/>
              </w:rPr>
            </w:pPr>
          </w:p>
        </w:tc>
        <w:tc>
          <w:tcPr>
            <w:tcW w:w="2453" w:type="dxa"/>
            <w:vAlign w:val="center"/>
          </w:tcPr>
          <w:p w14:paraId="2B78B657">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质疑联系部门及联系方式</w:t>
            </w:r>
          </w:p>
        </w:tc>
        <w:tc>
          <w:tcPr>
            <w:tcW w:w="6380" w:type="dxa"/>
            <w:vAlign w:val="center"/>
          </w:tcPr>
          <w:p w14:paraId="0CAB31C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（1）广西大融合工程咨询有限公司；</w:t>
            </w:r>
          </w:p>
          <w:p w14:paraId="282BDD0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联系电话：0774-3888098；</w:t>
            </w:r>
          </w:p>
          <w:p w14:paraId="3627854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通讯地址：梧州市长洲区西环路上段16号丰业山庄B区41幢</w:t>
            </w:r>
          </w:p>
        </w:tc>
      </w:tr>
      <w:tr w14:paraId="07E3E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vAlign w:val="center"/>
          </w:tcPr>
          <w:p w14:paraId="392B20F8">
            <w:pPr>
              <w:spacing w:line="400" w:lineRule="exact"/>
              <w:jc w:val="center"/>
              <w:rPr>
                <w:rFonts w:hint="eastAsia" w:ascii="仿宋" w:hAnsi="仿宋" w:eastAsia="仿宋" w:cs="仿宋"/>
                <w:color w:val="auto"/>
                <w:sz w:val="24"/>
                <w:szCs w:val="24"/>
                <w:highlight w:val="none"/>
              </w:rPr>
            </w:pPr>
          </w:p>
        </w:tc>
        <w:tc>
          <w:tcPr>
            <w:tcW w:w="2453" w:type="dxa"/>
            <w:vAlign w:val="center"/>
          </w:tcPr>
          <w:p w14:paraId="550A070F">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现场提交质疑办理业务时间</w:t>
            </w:r>
          </w:p>
        </w:tc>
        <w:tc>
          <w:tcPr>
            <w:tcW w:w="6380" w:type="dxa"/>
            <w:vAlign w:val="center"/>
          </w:tcPr>
          <w:p w14:paraId="2329A3D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质疑期内每个工作日8时30分到12时00分，15时00分到18时00分</w:t>
            </w:r>
          </w:p>
        </w:tc>
      </w:tr>
      <w:tr w14:paraId="3F6F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1F09C05A">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31.6</w:t>
            </w:r>
          </w:p>
        </w:tc>
        <w:tc>
          <w:tcPr>
            <w:tcW w:w="2453" w:type="dxa"/>
            <w:vAlign w:val="center"/>
          </w:tcPr>
          <w:p w14:paraId="64171F2A">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受理投诉方式</w:t>
            </w:r>
          </w:p>
        </w:tc>
        <w:tc>
          <w:tcPr>
            <w:tcW w:w="6380" w:type="dxa"/>
            <w:vAlign w:val="center"/>
          </w:tcPr>
          <w:p w14:paraId="15901D1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1.受理方式：纸质方式受理，投诉书正、副本（经过质疑的事项才可投诉）。</w:t>
            </w:r>
          </w:p>
          <w:p w14:paraId="06A9EF5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2.邮寄地址：</w:t>
            </w:r>
          </w:p>
          <w:p w14:paraId="6CD84169">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名称：梧州市财政局政府采购监督管理科</w:t>
            </w:r>
          </w:p>
          <w:p w14:paraId="120DFDC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地址：梧州市长洲区三龙大道红岭大厦22楼</w:t>
            </w:r>
          </w:p>
          <w:p w14:paraId="2A2238EF">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联系电话：0774-3856434</w:t>
            </w:r>
          </w:p>
        </w:tc>
      </w:tr>
      <w:tr w14:paraId="0F7A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0212C6BD">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453" w:type="dxa"/>
            <w:vAlign w:val="center"/>
          </w:tcPr>
          <w:p w14:paraId="713ECFBF">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采购代理费</w:t>
            </w:r>
          </w:p>
        </w:tc>
        <w:tc>
          <w:tcPr>
            <w:tcW w:w="6380" w:type="dxa"/>
            <w:vAlign w:val="center"/>
          </w:tcPr>
          <w:p w14:paraId="2585C83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1.是否收取采购代理费：</w:t>
            </w:r>
          </w:p>
          <w:p w14:paraId="0CFA6954">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    □ 否</w:t>
            </w:r>
          </w:p>
          <w:p w14:paraId="6819C6D9">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2.采购代理费支付方式：</w:t>
            </w:r>
          </w:p>
          <w:p w14:paraId="18B77AD1">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√本项目代理货物费由</w:t>
            </w:r>
            <w:r>
              <w:rPr>
                <w:rFonts w:hint="eastAsia" w:ascii="仿宋" w:hAnsi="仿宋" w:eastAsia="仿宋" w:cs="仿宋"/>
                <w:color w:val="auto"/>
                <w:kern w:val="0"/>
                <w:sz w:val="24"/>
                <w:szCs w:val="24"/>
                <w:highlight w:val="none"/>
                <w:u w:val="single"/>
              </w:rPr>
              <w:t>成交供应商</w:t>
            </w:r>
            <w:r>
              <w:rPr>
                <w:rFonts w:hint="eastAsia" w:ascii="仿宋" w:hAnsi="仿宋" w:eastAsia="仿宋" w:cs="仿宋"/>
                <w:color w:val="auto"/>
                <w:kern w:val="0"/>
                <w:sz w:val="24"/>
                <w:szCs w:val="24"/>
                <w:highlight w:val="none"/>
              </w:rPr>
              <w:t>领取成交通知书前，一次性向采购代理机构支付。</w:t>
            </w:r>
          </w:p>
          <w:p w14:paraId="6F7C6E8C">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□采购人支付。</w:t>
            </w:r>
          </w:p>
          <w:p w14:paraId="66980B4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3.采购代理费收取标准：</w:t>
            </w:r>
          </w:p>
          <w:p w14:paraId="724D74ED">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√以成交金额为计费额，代理服务费按国家发展计划委员会计价格[2002]1980号《招标代理服务费管理暂行办法》收费标准（货物类）向成交供应商收取。</w:t>
            </w:r>
          </w:p>
          <w:p w14:paraId="17150ADF">
            <w:pPr>
              <w:spacing w:line="400" w:lineRule="exac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□固定采购代理收费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6A6FE70">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4.采购代理费收取银行账户</w:t>
            </w:r>
          </w:p>
          <w:p w14:paraId="348220D1">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  名：广西大融合工程咨询有限公司</w:t>
            </w:r>
          </w:p>
          <w:p w14:paraId="51898325">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开户行：中国建设银行股份有限公司梧州新兴三路支行</w:t>
            </w:r>
          </w:p>
          <w:p w14:paraId="079F349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帐  号：45050 16486 55000 00943</w:t>
            </w:r>
          </w:p>
        </w:tc>
      </w:tr>
      <w:tr w14:paraId="058B8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4B8AB33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w:t>
            </w:r>
          </w:p>
        </w:tc>
        <w:tc>
          <w:tcPr>
            <w:tcW w:w="2453" w:type="dxa"/>
            <w:vAlign w:val="center"/>
          </w:tcPr>
          <w:p w14:paraId="3F8BE3D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w:t>
            </w:r>
          </w:p>
        </w:tc>
        <w:tc>
          <w:tcPr>
            <w:tcW w:w="6380" w:type="dxa"/>
            <w:vAlign w:val="center"/>
          </w:tcPr>
          <w:p w14:paraId="42A2828F">
            <w:pPr>
              <w:spacing w:line="340" w:lineRule="exact"/>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rPr>
              <w:t>解释权：</w:t>
            </w:r>
            <w:r>
              <w:rPr>
                <w:rFonts w:hint="eastAsia" w:ascii="仿宋" w:hAnsi="仿宋" w:eastAsia="仿宋" w:cs="仿宋"/>
                <w:color w:val="auto"/>
                <w:kern w:val="0"/>
                <w:sz w:val="24"/>
                <w:szCs w:val="24"/>
                <w:highlight w:val="none"/>
              </w:rPr>
              <w:t>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仿宋" w:hAnsi="仿宋" w:eastAsia="仿宋" w:cs="仿宋"/>
                <w:b/>
                <w:color w:val="auto"/>
                <w:kern w:val="0"/>
                <w:sz w:val="24"/>
                <w:szCs w:val="24"/>
                <w:highlight w:val="none"/>
              </w:rPr>
              <w:t>由采购人或者采购代理机构负责解释。</w:t>
            </w:r>
          </w:p>
          <w:p w14:paraId="452CF60A">
            <w:pPr>
              <w:tabs>
                <w:tab w:val="left" w:pos="1080"/>
              </w:tabs>
              <w:spacing w:line="340" w:lineRule="exac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法律责任：</w:t>
            </w:r>
            <w:r>
              <w:rPr>
                <w:rFonts w:hint="eastAsia" w:ascii="仿宋" w:hAnsi="仿宋" w:eastAsia="仿宋" w:cs="仿宋"/>
                <w:color w:val="auto"/>
                <w:kern w:val="0"/>
                <w:sz w:val="24"/>
                <w:szCs w:val="24"/>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5E279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Align w:val="center"/>
          </w:tcPr>
          <w:p w14:paraId="19B6ED38">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w:t>
            </w:r>
          </w:p>
        </w:tc>
        <w:tc>
          <w:tcPr>
            <w:tcW w:w="2453" w:type="dxa"/>
            <w:vAlign w:val="center"/>
          </w:tcPr>
          <w:p w14:paraId="5EFF8CF4">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380" w:type="dxa"/>
            <w:vAlign w:val="center"/>
          </w:tcPr>
          <w:p w14:paraId="5458C4C4">
            <w:pPr>
              <w:spacing w:line="3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1.本谈判文件中描述供应商的“公章”是指供应商通过指定电子化政府采购平台办理数字证书（CA认证）获得的以法定主体行为名称制作的电子印章。</w:t>
            </w:r>
          </w:p>
          <w:p w14:paraId="526AF67E">
            <w:pPr>
              <w:spacing w:line="3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2.本谈判文件中描述供应商的“签字”是指供应商通过指定电子化政府采购平台办理数字证书（CA认证）获得的以供应商法定代表人或者委托代理人姓名制作的电子印章或手写签字。</w:t>
            </w:r>
          </w:p>
          <w:p w14:paraId="4F6789BC">
            <w:pPr>
              <w:spacing w:line="3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00E9D34">
            <w:pPr>
              <w:spacing w:line="3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4.自然人竞标的，谈判文件规定盖公章处由自然人摁手指指印。</w:t>
            </w:r>
          </w:p>
          <w:p w14:paraId="6AA1D615">
            <w:pPr>
              <w:spacing w:line="3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5.本谈判文件所称的“以上”“以下”“以内”“届满”，包括本数；所称的“不满”“超过”“以外”，不包括本数。</w:t>
            </w:r>
          </w:p>
        </w:tc>
      </w:tr>
    </w:tbl>
    <w:p w14:paraId="0E8D9804">
      <w:pPr>
        <w:pStyle w:val="4"/>
        <w:spacing w:before="0" w:after="0" w:line="360" w:lineRule="auto"/>
        <w:jc w:val="center"/>
        <w:rPr>
          <w:rFonts w:ascii="仿宋" w:hAnsi="仿宋" w:eastAsia="仿宋" w:cs="仿宋"/>
          <w:b w:val="0"/>
          <w:color w:val="auto"/>
          <w:highlight w:val="none"/>
        </w:rPr>
      </w:pPr>
      <w:r>
        <w:rPr>
          <w:rFonts w:hint="eastAsia" w:ascii="仿宋" w:hAnsi="仿宋" w:eastAsia="仿宋" w:cs="仿宋"/>
          <w:b w:val="0"/>
          <w:color w:val="auto"/>
          <w:highlight w:val="none"/>
        </w:rPr>
        <w:br w:type="page"/>
      </w:r>
      <w:bookmarkStart w:id="36" w:name="_Toc1947"/>
      <w:bookmarkStart w:id="37" w:name="_Toc17691"/>
      <w:r>
        <w:rPr>
          <w:rFonts w:hint="eastAsia" w:ascii="仿宋" w:hAnsi="仿宋" w:eastAsia="仿宋" w:cs="仿宋"/>
          <w:bCs w:val="0"/>
          <w:color w:val="auto"/>
          <w:highlight w:val="none"/>
        </w:rPr>
        <w:t>第二节 供应商须知正文</w:t>
      </w:r>
      <w:bookmarkEnd w:id="36"/>
      <w:bookmarkEnd w:id="37"/>
    </w:p>
    <w:p w14:paraId="374C6AB1">
      <w:pPr>
        <w:keepNext w:val="0"/>
        <w:keepLines w:val="0"/>
        <w:pageBreakBefore w:val="0"/>
        <w:widowControl w:val="0"/>
        <w:kinsoku/>
        <w:wordWrap/>
        <w:overflowPunct/>
        <w:topLinePunct w:val="0"/>
        <w:autoSpaceDE/>
        <w:autoSpaceDN/>
        <w:bidi w:val="0"/>
        <w:spacing w:before="0" w:after="0" w:line="360" w:lineRule="auto"/>
        <w:ind w:firstLine="482" w:firstLineChars="200"/>
        <w:jc w:val="center"/>
        <w:outlineLvl w:val="9"/>
        <w:rPr>
          <w:rFonts w:hint="eastAsia" w:ascii="仿宋" w:hAnsi="仿宋" w:eastAsia="仿宋" w:cs="仿宋"/>
          <w:bCs w:val="0"/>
          <w:color w:val="auto"/>
          <w:sz w:val="24"/>
          <w:szCs w:val="24"/>
          <w:highlight w:val="none"/>
        </w:rPr>
      </w:pPr>
      <w:bookmarkStart w:id="38" w:name="_Toc13709"/>
      <w:r>
        <w:rPr>
          <w:rFonts w:hint="eastAsia" w:ascii="仿宋" w:hAnsi="仿宋" w:eastAsia="仿宋" w:cs="仿宋"/>
          <w:b/>
          <w:bCs/>
          <w:color w:val="auto"/>
          <w:sz w:val="24"/>
          <w:szCs w:val="24"/>
          <w:highlight w:val="none"/>
        </w:rPr>
        <w:t>一、总则</w:t>
      </w:r>
      <w:bookmarkEnd w:id="38"/>
    </w:p>
    <w:p w14:paraId="53FECAC6">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1.适用范围</w:t>
      </w:r>
    </w:p>
    <w:p w14:paraId="771780F8">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7765231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pacing w:val="-6"/>
          <w:sz w:val="24"/>
          <w:szCs w:val="24"/>
          <w:highlight w:val="none"/>
        </w:rPr>
        <w:t>本竞争性谈判文件（以下简称谈判文件）适用于本项目的所有采购程序和环节（法律、法规另有规定的，从其规定）。</w:t>
      </w:r>
    </w:p>
    <w:p w14:paraId="548C1F89">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2.定义</w:t>
      </w:r>
    </w:p>
    <w:p w14:paraId="22E62FC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2.1“采购人”是指依法进行采购的国家机关、事业单位、团体组织。</w:t>
      </w:r>
    </w:p>
    <w:p w14:paraId="008B519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2.2“采购代理机构”是指政府采购集中采购机构和集中采购机构以外的采购代理机构。</w:t>
      </w:r>
    </w:p>
    <w:p w14:paraId="6F583FB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2.3“供应商”是指向采购人提供货物、工程或者服务的法人、其他组织或者自然人。</w:t>
      </w:r>
    </w:p>
    <w:p w14:paraId="6954207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2.4“货物”是指各种形态和种类的物品，包括原材料、燃料、设备、产品等。</w:t>
      </w:r>
    </w:p>
    <w:p w14:paraId="11E4D5C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2.5“竞标”是指按照本项目竞争性谈判公告或者邀请函规定的方式供应商获取谈判文件、提交响应文件并希望获得标的的行为。</w:t>
      </w:r>
    </w:p>
    <w:p w14:paraId="0B34AC2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2.6“售后服务” 是指包含但不限于供应商须承担的备品备件、包装、运输、装卸、保险、货到就位以及安装、调试、培训、保修和其他类似的义务。</w:t>
      </w:r>
    </w:p>
    <w:p w14:paraId="1AC639F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2.7“书面形式”是指合同书、信件和数据电文（包括电报、电传、传真、电子数据交换和电子邮件）等可以有形地表现所载内容的形式。</w:t>
      </w:r>
    </w:p>
    <w:p w14:paraId="7EC2FD46">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2.8“响应文件”</w:t>
      </w:r>
      <w:r>
        <w:rPr>
          <w:rFonts w:hint="eastAsia" w:ascii="仿宋" w:hAnsi="仿宋" w:eastAsia="仿宋" w:cs="仿宋"/>
          <w:color w:val="auto"/>
          <w:spacing w:val="-6"/>
          <w:sz w:val="24"/>
          <w:szCs w:val="24"/>
          <w:highlight w:val="none"/>
        </w:rPr>
        <w:t>是指：供应商根据本文件要求，编制包含报价、技术和货物等所有内容的文件。</w:t>
      </w:r>
    </w:p>
    <w:p w14:paraId="00B971E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2.9“实质性要求”是指采购需求中带“▲”的条款或者不能负偏离的条款或者已经指明不满足按响应文件作无效处理的条款。</w:t>
      </w:r>
    </w:p>
    <w:p w14:paraId="0CD7C95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2.10“正偏离”，是指响应文件对谈判文件“采购需求”中有关条款作出优于条款要求并有利于采购人的响应情形；</w:t>
      </w:r>
    </w:p>
    <w:p w14:paraId="1BD20EA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2.11“负偏离”，是指响应文件对谈判文件“采购需求”中有关条款作出的响应不满足条款要求，导致采购人要求不能得到满足的情形。</w:t>
      </w:r>
    </w:p>
    <w:p w14:paraId="12522B0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2.12“允许负偏离的条款”是指采购需求中的不属于“实质性要求”的条款。</w:t>
      </w:r>
    </w:p>
    <w:p w14:paraId="7EA65885">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2.13“首次报价”是指供应商提交的首次响应文件中的竞标报价。</w:t>
      </w:r>
    </w:p>
    <w:p w14:paraId="7BB74641">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3.供应商的资格条件</w:t>
      </w:r>
    </w:p>
    <w:p w14:paraId="23484DE5">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供应商的资格条件详见“供应商须知前附表”。</w:t>
      </w:r>
    </w:p>
    <w:p w14:paraId="29C9B36D">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4.谈判费用</w:t>
      </w:r>
    </w:p>
    <w:p w14:paraId="22F6A91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供应商应承担参与本次采购活动有关的所有费用，包括但不限于、勘查现场、编制和提交响应文件、参加谈判与应答、签订合同等，不论竞标结果如何，均应自行承担。</w:t>
      </w:r>
    </w:p>
    <w:p w14:paraId="0EF84553">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5.联合体竞标</w:t>
      </w:r>
    </w:p>
    <w:p w14:paraId="4D9E230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5.1本项目是否接受联合体竞标，详见“供应商须知前附表”。</w:t>
      </w:r>
    </w:p>
    <w:p w14:paraId="36F1197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5.2如接受联合体竞标，联合体竞标要求详见“供应商须知前附表”。</w:t>
      </w:r>
    </w:p>
    <w:p w14:paraId="4AD69023">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5.3根据《政府采购促进中小企业发展暂行办法》（财库[2020]46号）第九条及《广西壮族自治区财政厅关于进一步发挥政府采购政策功能促进企业发展的通知》（桂财采〔2022〕30号）第四条的通知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01C3662E">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6.转包与分包             </w:t>
      </w:r>
    </w:p>
    <w:p w14:paraId="1CBB31F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6.1本项目是否允许分包详见“供应商须知前附表”，本项目不允许违法分包。</w:t>
      </w:r>
    </w:p>
    <w:p w14:paraId="3E9399E2">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根据《政府采购促进中小企业发展暂行办法》（财库[2020]46号）第九条及《广西壮族自治区财政厅关于贯彻落实政府采购支持中小企业发展政策的通知》（桂财采〔2022〕31号）第三条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r>
        <w:rPr>
          <w:rFonts w:hint="eastAsia" w:ascii="仿宋" w:hAnsi="仿宋" w:eastAsia="仿宋" w:cs="仿宋"/>
          <w:bCs/>
          <w:color w:val="auto"/>
          <w:sz w:val="24"/>
          <w:szCs w:val="24"/>
          <w:highlight w:val="none"/>
        </w:rPr>
        <w:t>。</w:t>
      </w:r>
    </w:p>
    <w:p w14:paraId="7C3E4F16">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bookmarkStart w:id="39" w:name="_Toc254970673"/>
      <w:bookmarkStart w:id="40" w:name="_Toc254970532"/>
      <w:r>
        <w:rPr>
          <w:rFonts w:hint="eastAsia" w:ascii="仿宋" w:hAnsi="仿宋" w:eastAsia="仿宋" w:cs="仿宋"/>
          <w:b/>
          <w:bCs/>
          <w:color w:val="auto"/>
          <w:sz w:val="24"/>
          <w:szCs w:val="24"/>
          <w:highlight w:val="none"/>
        </w:rPr>
        <w:t>7.特别说明</w:t>
      </w:r>
      <w:bookmarkEnd w:id="39"/>
      <w:bookmarkEnd w:id="40"/>
    </w:p>
    <w:p w14:paraId="5E43E05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bookmarkStart w:id="41" w:name="_8.1提供相同品牌产品且通过资格审查、符合性审查的不同投标人参加同一合"/>
      <w:bookmarkEnd w:id="41"/>
      <w:r>
        <w:rPr>
          <w:rFonts w:hint="eastAsia" w:ascii="仿宋" w:hAnsi="仿宋" w:eastAsia="仿宋" w:cs="仿宋"/>
          <w:color w:val="auto"/>
          <w:sz w:val="24"/>
          <w:szCs w:val="24"/>
          <w:highlight w:val="none"/>
        </w:rPr>
        <w:t>7.1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响应文件作无效处理。</w:t>
      </w:r>
    </w:p>
    <w:p w14:paraId="4BAF82B2">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非单一产品采购项目，多家供应商提供的核心产品品牌相同的，按前款规定处理。</w:t>
      </w:r>
    </w:p>
    <w:p w14:paraId="0FC85AB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7.2如果本谈判文件要求提供供应商或制造商的资格、信誉、荣誉、业绩与企业认证等材料的，资格、信誉、荣誉、业绩与企业认证等必须为供应商或者制造商所拥有或自身获得。</w:t>
      </w:r>
    </w:p>
    <w:p w14:paraId="4A0A2BC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7.3供应商应仔细阅读谈判文件的所有内容，按照谈判文件的要求提交响应文件，并对所提供的全部资料的真实性承担法律责任。</w:t>
      </w:r>
    </w:p>
    <w:p w14:paraId="196D1A2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0CE231E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7.5在政府采购活动中，采购人员及相关人员与供应商有下列利害关系之一的，应当回避：</w:t>
      </w:r>
    </w:p>
    <w:p w14:paraId="440735E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14:paraId="38C75D9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14:paraId="3AB12CB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14:paraId="52D5A93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14:paraId="19A0D67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14:paraId="1FEB6B29">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D9BFC4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7.6有下列情形之一的视为供应商相互串通竞标，响应文件将被视为无效：</w:t>
      </w:r>
    </w:p>
    <w:p w14:paraId="2A4C932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（1）不同供应商的响应文件由同一单位或者个人编制；</w:t>
      </w:r>
    </w:p>
    <w:p w14:paraId="19BE281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（2）不同供应商委托同一单位或者个人办理竞标事宜；</w:t>
      </w:r>
    </w:p>
    <w:p w14:paraId="223C645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（3）不同的供应商的响应文件载明的项目管理员为同一个人；</w:t>
      </w:r>
    </w:p>
    <w:p w14:paraId="5E27423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（4）不同供应商的响应文件异常一致或者报价呈规律性差异；</w:t>
      </w:r>
    </w:p>
    <w:p w14:paraId="242F6F2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6E6DD60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7.7供应商有下列情形之一的，属于恶意串通行为</w:t>
      </w:r>
      <w:bookmarkStart w:id="42" w:name="_Hlk54682620"/>
      <w:r>
        <w:rPr>
          <w:rFonts w:hint="eastAsia" w:ascii="仿宋" w:hAnsi="仿宋" w:eastAsia="仿宋" w:cs="仿宋"/>
          <w:color w:val="auto"/>
          <w:sz w:val="24"/>
          <w:szCs w:val="24"/>
          <w:highlight w:val="none"/>
        </w:rPr>
        <w:t>，将报同级监督管理部门</w:t>
      </w:r>
      <w:bookmarkEnd w:id="42"/>
      <w:r>
        <w:rPr>
          <w:rFonts w:hint="eastAsia" w:ascii="仿宋" w:hAnsi="仿宋" w:eastAsia="仿宋" w:cs="仿宋"/>
          <w:color w:val="auto"/>
          <w:sz w:val="24"/>
          <w:szCs w:val="24"/>
          <w:highlight w:val="none"/>
        </w:rPr>
        <w:t>：</w:t>
      </w:r>
    </w:p>
    <w:p w14:paraId="22BD731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（1）供应商直接或者间接从采购人或者采购代理机构处获得其他供应商的相关信息并修改其响应文件；</w:t>
      </w:r>
    </w:p>
    <w:p w14:paraId="03753BC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（2）供应商按照采购人或者采购代理机构的授意撤换、修改响应文件；</w:t>
      </w:r>
    </w:p>
    <w:p w14:paraId="5157E45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（3）供应商之间协商报价、技术方案等响应文件或者响应文件的实质性内容；</w:t>
      </w:r>
    </w:p>
    <w:p w14:paraId="74005A0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2A6568C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（5）供应商之间事先约定一致抬高或者压低报价，或者在政府采购活动中事先约定轮流以高价位或者低价位成交，或者事先约定由某一特定供应商成交，然后再参加竞标；</w:t>
      </w:r>
    </w:p>
    <w:p w14:paraId="73531F12">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（6）供应商之间商定部分供应商放弃参加政府采购活动或者放弃成交；</w:t>
      </w:r>
    </w:p>
    <w:p w14:paraId="74C23D23">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（7）供应商与采购人或者采购代理机构之间、供应商相互之间，为谋求特定供应商成交或者排斥其他供应商的其他串通行为。</w:t>
      </w:r>
      <w:bookmarkStart w:id="43" w:name="_Toc254970675"/>
      <w:bookmarkStart w:id="44" w:name="_Toc254970534"/>
    </w:p>
    <w:p w14:paraId="720A2903">
      <w:pPr>
        <w:keepNext w:val="0"/>
        <w:keepLines w:val="0"/>
        <w:pageBreakBefore w:val="0"/>
        <w:widowControl w:val="0"/>
        <w:kinsoku/>
        <w:wordWrap/>
        <w:overflowPunct/>
        <w:topLinePunct w:val="0"/>
        <w:autoSpaceDE/>
        <w:autoSpaceDN/>
        <w:bidi w:val="0"/>
        <w:spacing w:before="0" w:after="0" w:line="360" w:lineRule="auto"/>
        <w:ind w:firstLine="482" w:firstLineChars="200"/>
        <w:jc w:val="center"/>
        <w:outlineLvl w:val="9"/>
        <w:rPr>
          <w:rFonts w:hint="eastAsia" w:ascii="仿宋" w:hAnsi="仿宋" w:eastAsia="仿宋" w:cs="仿宋"/>
          <w:b/>
          <w:bCs/>
          <w:color w:val="auto"/>
          <w:sz w:val="24"/>
          <w:szCs w:val="24"/>
          <w:highlight w:val="none"/>
        </w:rPr>
      </w:pPr>
      <w:bookmarkStart w:id="45" w:name="_Toc12408"/>
      <w:r>
        <w:rPr>
          <w:rFonts w:hint="eastAsia" w:ascii="仿宋" w:hAnsi="仿宋" w:eastAsia="仿宋" w:cs="仿宋"/>
          <w:b/>
          <w:bCs/>
          <w:color w:val="auto"/>
          <w:sz w:val="24"/>
          <w:szCs w:val="24"/>
          <w:highlight w:val="none"/>
        </w:rPr>
        <w:t>二、谈判文件</w:t>
      </w:r>
      <w:bookmarkEnd w:id="43"/>
      <w:bookmarkEnd w:id="44"/>
      <w:bookmarkEnd w:id="45"/>
    </w:p>
    <w:p w14:paraId="6978D8FC">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8.谈判文件的构成</w:t>
      </w:r>
    </w:p>
    <w:p w14:paraId="4495CD9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竞争性谈判公告；</w:t>
      </w:r>
    </w:p>
    <w:p w14:paraId="37A060E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采购需求；</w:t>
      </w:r>
    </w:p>
    <w:p w14:paraId="29A424D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第三章 供应商须知； </w:t>
      </w:r>
    </w:p>
    <w:p w14:paraId="5241390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评审程序、评审方法和成交标准；</w:t>
      </w:r>
    </w:p>
    <w:p w14:paraId="04BEAC8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响应文件格式；</w:t>
      </w:r>
    </w:p>
    <w:p w14:paraId="3302FE3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合同文本；</w:t>
      </w:r>
    </w:p>
    <w:p w14:paraId="5589357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质疑、投诉材料格式。</w:t>
      </w:r>
    </w:p>
    <w:p w14:paraId="1905063D">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9.供应商的询问</w:t>
      </w:r>
    </w:p>
    <w:p w14:paraId="0CD8FFC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35B48A28">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10.谈判文件的澄清和修改</w:t>
      </w:r>
    </w:p>
    <w:p w14:paraId="2F5FA04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0AE5CEF5">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68CDB4A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79160DB5">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w:t>
      </w:r>
      <w:r>
        <w:rPr>
          <w:rFonts w:hint="eastAsia" w:ascii="仿宋" w:hAnsi="仿宋" w:eastAsia="仿宋" w:cs="仿宋"/>
          <w:color w:val="auto"/>
          <w:sz w:val="24"/>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E6077B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0DADF8A9">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响应文件未按谈判文件的澄清、修改的内容编制，又不符合实质性要求的，其响应文件作无效处理。</w:t>
      </w:r>
    </w:p>
    <w:p w14:paraId="33512B62">
      <w:pPr>
        <w:keepNext w:val="0"/>
        <w:keepLines w:val="0"/>
        <w:pageBreakBefore w:val="0"/>
        <w:widowControl w:val="0"/>
        <w:kinsoku/>
        <w:wordWrap/>
        <w:overflowPunct/>
        <w:topLinePunct w:val="0"/>
        <w:autoSpaceDE/>
        <w:autoSpaceDN/>
        <w:bidi w:val="0"/>
        <w:spacing w:before="0" w:after="0" w:line="360" w:lineRule="auto"/>
        <w:ind w:firstLine="482" w:firstLineChars="200"/>
        <w:jc w:val="center"/>
        <w:outlineLvl w:val="9"/>
        <w:rPr>
          <w:rFonts w:hint="eastAsia" w:ascii="仿宋" w:hAnsi="仿宋" w:eastAsia="仿宋" w:cs="仿宋"/>
          <w:color w:val="auto"/>
          <w:sz w:val="24"/>
          <w:szCs w:val="24"/>
          <w:highlight w:val="none"/>
        </w:rPr>
      </w:pPr>
      <w:bookmarkStart w:id="46" w:name="_Toc605"/>
      <w:r>
        <w:rPr>
          <w:rFonts w:hint="eastAsia" w:ascii="仿宋" w:hAnsi="仿宋" w:eastAsia="仿宋" w:cs="仿宋"/>
          <w:b/>
          <w:bCs/>
          <w:color w:val="auto"/>
          <w:sz w:val="24"/>
          <w:szCs w:val="24"/>
          <w:highlight w:val="none"/>
        </w:rPr>
        <w:t>三、响应文件的编制</w:t>
      </w:r>
      <w:bookmarkEnd w:id="46"/>
    </w:p>
    <w:p w14:paraId="5C7382BE">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11.响应文件的编制原则</w:t>
      </w:r>
    </w:p>
    <w:p w14:paraId="5173B97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供应商必须按照谈判文件的要求编制响应文件，并对其提交的响应文件的真实性、合法性承担法律责任。响应文件必须对谈判文件作出实质性响应。</w:t>
      </w:r>
    </w:p>
    <w:p w14:paraId="6E8C0207">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12.响应文件的组成</w:t>
      </w:r>
    </w:p>
    <w:p w14:paraId="53292518">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12.1响应文件由资格证明文件、报价文件、商务和技术文件三部分组成。</w:t>
      </w:r>
    </w:p>
    <w:p w14:paraId="4C8E990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12.1.1资格证明文件：详见须知前附表</w:t>
      </w:r>
    </w:p>
    <w:p w14:paraId="6E654AE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12.1.2商务技术文件：详见须知前附表</w:t>
      </w:r>
    </w:p>
    <w:p w14:paraId="0806030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12.1.3报价文件：详见须知前附表</w:t>
      </w:r>
    </w:p>
    <w:p w14:paraId="03684C29">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12.2响应文件电子版：详见须知前附表</w:t>
      </w:r>
    </w:p>
    <w:p w14:paraId="745EDB5A">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13.计量单位</w:t>
      </w:r>
    </w:p>
    <w:p w14:paraId="26F03FE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谈判文件已有明确规定的，使用谈判文件规定的计量单位；谈判文件没有规定的，应采用中华人民共和国法定计量单位，货币种类为人民币，否则视同未响应。</w:t>
      </w:r>
    </w:p>
    <w:p w14:paraId="00ECB0AA">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14.竞标的风险</w:t>
      </w:r>
    </w:p>
    <w:p w14:paraId="4B37F2E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供应商没有按照谈判文件要求提供全部资料，或者供应商没有对谈判文件在各方面作出实质性响应可能导致其响应无效，是供应商应当考虑的风险。</w:t>
      </w:r>
    </w:p>
    <w:p w14:paraId="07CF6780">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15.响应报价要求和构成</w:t>
      </w:r>
    </w:p>
    <w:p w14:paraId="07D57E5D">
      <w:pPr>
        <w:keepNext w:val="0"/>
        <w:keepLines w:val="0"/>
        <w:pageBreakBefore w:val="0"/>
        <w:widowControl w:val="0"/>
        <w:tabs>
          <w:tab w:val="left" w:pos="2492"/>
        </w:tabs>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15.1响应报价应按“第五章 响应文件格式”中“响应报价表”格式填写。</w:t>
      </w:r>
    </w:p>
    <w:p w14:paraId="1CD63F51">
      <w:pPr>
        <w:keepNext w:val="0"/>
        <w:keepLines w:val="0"/>
        <w:pageBreakBefore w:val="0"/>
        <w:widowControl w:val="0"/>
        <w:tabs>
          <w:tab w:val="left" w:pos="2492"/>
        </w:tabs>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15.2响应报价的价格构成见“供应商须知前附表”。</w:t>
      </w:r>
    </w:p>
    <w:p w14:paraId="07C3D61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15.3响应报价要求</w:t>
      </w:r>
    </w:p>
    <w:p w14:paraId="4957D393">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15.3.1供应商的响应报价应符合以下要求，否则响应文件按无效响应处理：</w:t>
      </w:r>
    </w:p>
    <w:p w14:paraId="7AC34BA5">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（1）供应商必须就“采购需求”中所竞标的每个分标的全部内容分别作完整唯一总价报价，不得存在漏项报价；</w:t>
      </w:r>
    </w:p>
    <w:p w14:paraId="64D5C02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（2）供应商必须就所竞标的分标的单项内容作唯一报价。</w:t>
      </w:r>
    </w:p>
    <w:p w14:paraId="28720EA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15.3.2响应报价（包含首次报价、最后报价）超过所竞标分标规定的采购预算金额或者最高限价的，其响应文件将作无效处理。</w:t>
      </w:r>
    </w:p>
    <w:p w14:paraId="5F1986A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15.3.3</w:t>
      </w:r>
      <w:bookmarkStart w:id="47" w:name="_Hlk42592874"/>
      <w:r>
        <w:rPr>
          <w:rFonts w:hint="eastAsia" w:ascii="仿宋" w:hAnsi="仿宋" w:eastAsia="仿宋" w:cs="仿宋"/>
          <w:color w:val="auto"/>
          <w:sz w:val="24"/>
          <w:szCs w:val="24"/>
          <w:highlight w:val="none"/>
        </w:rPr>
        <w:t>响应报价（包含首次报价、最后报价）超过分项采购预算金额或者最高限价的，其响应文件将作无效处理。</w:t>
      </w:r>
    </w:p>
    <w:bookmarkEnd w:id="47"/>
    <w:p w14:paraId="74531E1B">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16.竞标有效期</w:t>
      </w:r>
    </w:p>
    <w:p w14:paraId="1A238D32">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16.1竞标有效期是指为保证采购人有足够的时间在提交响应文件后完成评审、确定成交供应商、合同签订等工作而要求供应商提交的响应文件在一定时间内保持有效的期限。</w:t>
      </w:r>
    </w:p>
    <w:p w14:paraId="7E225178">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竞标有效期应由供应商按“供应商须知前附表”规定的期限作出响应。</w:t>
      </w:r>
    </w:p>
    <w:p w14:paraId="41B78E7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16.3供应商的响应文件在竞标有效期内均保持有效。</w:t>
      </w:r>
    </w:p>
    <w:p w14:paraId="22A58CA4">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17.谈判保证金</w:t>
      </w:r>
    </w:p>
    <w:p w14:paraId="02504263">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详见“供应商须知前附表”。</w:t>
      </w:r>
    </w:p>
    <w:p w14:paraId="3CA19F21">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18.响应文件编制的要求</w:t>
      </w:r>
    </w:p>
    <w:p w14:paraId="1853135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由此引发的后果由供应商承担。</w:t>
      </w:r>
    </w:p>
    <w:p w14:paraId="65234E95">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18.2响应文件应按资格证明、报价分别编制，商务技术文件合并编制，本谈判只接收电子版响应文件，要求见本章“12.2响应文件电子版要求”。</w:t>
      </w:r>
    </w:p>
    <w:p w14:paraId="7098F92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bookmarkStart w:id="48" w:name="_Hlk65832699"/>
      <w:r>
        <w:rPr>
          <w:rFonts w:hint="eastAsia" w:ascii="仿宋" w:hAnsi="仿宋" w:eastAsia="仿宋" w:cs="仿宋"/>
          <w:color w:val="auto"/>
          <w:sz w:val="24"/>
          <w:szCs w:val="24"/>
          <w:highlight w:val="none"/>
        </w:rPr>
        <w:t>3响应文件须由供应商在</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sz w:val="24"/>
          <w:szCs w:val="24"/>
          <w:highlight w:val="none"/>
        </w:rPr>
        <w:t>第五章 响应文件格式</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sz w:val="24"/>
          <w:szCs w:val="24"/>
          <w:highlight w:val="none"/>
        </w:rPr>
        <w:t>规定位置进行签署、盖章</w:t>
      </w:r>
      <w:bookmarkEnd w:id="48"/>
      <w:r>
        <w:rPr>
          <w:rFonts w:hint="eastAsia" w:ascii="仿宋" w:hAnsi="仿宋" w:eastAsia="仿宋" w:cs="仿宋"/>
          <w:color w:val="auto"/>
          <w:sz w:val="24"/>
          <w:szCs w:val="24"/>
          <w:highlight w:val="none"/>
        </w:rPr>
        <w:t>，否则其响应文件按无效响应处理。骑缝盖公章不视为在规定位置盖章。</w:t>
      </w:r>
    </w:p>
    <w:p w14:paraId="7F7D6D4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18.4响应文件中标注的供应商名称应与营业执照（事业单位法人证书、执业许可证、自然人身份证）及电子公章一致，否则其响应文件按无效响应处理。</w:t>
      </w:r>
    </w:p>
    <w:p w14:paraId="564E4B9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18.5响应文件应避免涂改、行间插字或者删除，否则其响应文件按无效响应处理。</w:t>
      </w:r>
    </w:p>
    <w:p w14:paraId="0931A508">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19.响应文件的密封和标记</w:t>
      </w:r>
    </w:p>
    <w:p w14:paraId="1EBE5F29">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0DD6D0A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19.2使用“政采云电子交易客户端”需要提前申领CA数字证书，申领流程见该项目采购公告附件。</w:t>
      </w:r>
    </w:p>
    <w:p w14:paraId="15A783D2">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1036692E">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20.响应文件的提交</w:t>
      </w:r>
    </w:p>
    <w:p w14:paraId="6349988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20.1供应商必须在“供应商须知前附表”规定的时间和地点提交响应文件。</w:t>
      </w:r>
    </w:p>
    <w:p w14:paraId="61ED3F1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在响应文件提交截止时间以后，不能补充、修改响应文件。</w:t>
      </w:r>
    </w:p>
    <w:p w14:paraId="3EBC2FF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在提交“最后报价”后，供应商不能退出谈判。</w:t>
      </w:r>
    </w:p>
    <w:p w14:paraId="47F1636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390CAF2">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 采购机构不可视情况延长提交响应文件的截止时间。</w:t>
      </w:r>
    </w:p>
    <w:p w14:paraId="1353C7E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20.6备份响应文件。</w:t>
      </w:r>
      <w:r>
        <w:rPr>
          <w:rFonts w:hint="eastAsia" w:ascii="仿宋" w:hAnsi="仿宋" w:eastAsia="仿宋" w:cs="仿宋"/>
          <w:bCs/>
          <w:color w:val="auto"/>
          <w:sz w:val="24"/>
          <w:szCs w:val="24"/>
          <w:highlight w:val="none"/>
        </w:rPr>
        <w:t>详见在“供应商须知前附表”。</w:t>
      </w:r>
    </w:p>
    <w:p w14:paraId="1F10B065">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21.首次响应文件的补充、修改与撤回</w:t>
      </w:r>
    </w:p>
    <w:p w14:paraId="7E2BCE03">
      <w:pPr>
        <w:pStyle w:val="71"/>
        <w:keepNext w:val="0"/>
        <w:keepLines w:val="0"/>
        <w:pageBreakBefore w:val="0"/>
        <w:widowControl w:val="0"/>
        <w:kinsoku/>
        <w:wordWrap/>
        <w:overflowPunct/>
        <w:topLinePunct w:val="0"/>
        <w:autoSpaceDE/>
        <w:autoSpaceDN/>
        <w:bidi w:val="0"/>
        <w:spacing w:before="0"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575B0144">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bookmarkStart w:id="49" w:name="_Hlk45702405"/>
      <w:r>
        <w:rPr>
          <w:rFonts w:hint="eastAsia" w:ascii="仿宋" w:hAnsi="仿宋" w:eastAsia="仿宋" w:cs="仿宋"/>
          <w:b/>
          <w:bCs/>
          <w:color w:val="auto"/>
          <w:sz w:val="24"/>
          <w:szCs w:val="24"/>
          <w:highlight w:val="none"/>
        </w:rPr>
        <w:t>22. 首次响应文件的退回</w:t>
      </w:r>
    </w:p>
    <w:p w14:paraId="7F30F1F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详见“供应商须知前附表”。</w:t>
      </w:r>
    </w:p>
    <w:p w14:paraId="6F167F3C">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 截止时间后的撤回</w:t>
      </w:r>
    </w:p>
    <w:p w14:paraId="76E6D07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供应商在首次响应文件提交截止时间后可向采购人、采购代理机构书面申请撤回响应文件。</w:t>
      </w:r>
      <w:bookmarkEnd w:id="49"/>
    </w:p>
    <w:p w14:paraId="3F4C01D1">
      <w:pPr>
        <w:keepNext w:val="0"/>
        <w:keepLines w:val="0"/>
        <w:pageBreakBefore w:val="0"/>
        <w:widowControl w:val="0"/>
        <w:kinsoku/>
        <w:wordWrap/>
        <w:overflowPunct/>
        <w:topLinePunct w:val="0"/>
        <w:autoSpaceDE/>
        <w:autoSpaceDN/>
        <w:bidi w:val="0"/>
        <w:spacing w:before="0" w:after="0" w:line="360" w:lineRule="auto"/>
        <w:ind w:firstLine="482" w:firstLineChars="200"/>
        <w:jc w:val="center"/>
        <w:outlineLvl w:val="9"/>
        <w:rPr>
          <w:rFonts w:hint="eastAsia" w:ascii="仿宋" w:hAnsi="仿宋" w:eastAsia="仿宋" w:cs="仿宋"/>
          <w:b/>
          <w:bCs/>
          <w:color w:val="auto"/>
          <w:sz w:val="24"/>
          <w:szCs w:val="24"/>
          <w:highlight w:val="none"/>
        </w:rPr>
      </w:pPr>
      <w:bookmarkStart w:id="50" w:name="_Toc3691"/>
      <w:r>
        <w:rPr>
          <w:rFonts w:hint="eastAsia" w:ascii="仿宋" w:hAnsi="仿宋" w:eastAsia="仿宋" w:cs="仿宋"/>
          <w:b/>
          <w:bCs/>
          <w:color w:val="auto"/>
          <w:sz w:val="24"/>
          <w:szCs w:val="24"/>
          <w:highlight w:val="none"/>
        </w:rPr>
        <w:t>四、评审及谈判</w:t>
      </w:r>
      <w:bookmarkEnd w:id="50"/>
    </w:p>
    <w:p w14:paraId="44A3F7A4">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24.谈判小组成立</w:t>
      </w:r>
    </w:p>
    <w:p w14:paraId="4C74E7B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25E990A8">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24.2评审专家应当从政府采购评审专家库内相关专业的专家名单中随机抽取。技术复杂、专业性强的竞争性谈判采购项目，评审专家中应当包含1名法律专家。</w:t>
      </w:r>
    </w:p>
    <w:p w14:paraId="6AC67ADA">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25.首次响应文件的开启</w:t>
      </w:r>
    </w:p>
    <w:p w14:paraId="4654577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25.1首次响应文件由谈判小组或者采购代理机构在“供应商须知前附表”规定的时间开启。</w:t>
      </w:r>
    </w:p>
    <w:p w14:paraId="27844C6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 xml:space="preserve">25.2 </w:t>
      </w:r>
      <w:r>
        <w:rPr>
          <w:rFonts w:hint="eastAsia" w:ascii="仿宋" w:hAnsi="仿宋" w:eastAsia="仿宋" w:cs="仿宋"/>
          <w:bCs/>
          <w:color w:val="auto"/>
          <w:kern w:val="0"/>
          <w:sz w:val="24"/>
          <w:szCs w:val="24"/>
          <w:highlight w:val="none"/>
        </w:rPr>
        <w:t>响应文件解密</w:t>
      </w:r>
    </w:p>
    <w:p w14:paraId="6B7564A0">
      <w:pPr>
        <w:keepNext w:val="0"/>
        <w:keepLines w:val="0"/>
        <w:pageBreakBefore w:val="0"/>
        <w:widowControl w:val="0"/>
        <w:kinsoku/>
        <w:wordWrap/>
        <w:overflowPunct/>
        <w:topLinePunct w:val="0"/>
        <w:autoSpaceDE/>
        <w:autoSpaceDN/>
        <w:bidi w:val="0"/>
        <w:snapToGrid w:val="0"/>
        <w:spacing w:line="360" w:lineRule="auto"/>
        <w:ind w:firstLine="480" w:firstLineChars="200"/>
        <w:jc w:val="both"/>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采购代理机构将在“供应商须知前附表”规定的时</w:t>
      </w:r>
      <w:r>
        <w:rPr>
          <w:rFonts w:hint="eastAsia" w:ascii="仿宋" w:hAnsi="仿宋" w:eastAsia="仿宋" w:cs="仿宋"/>
          <w:color w:val="auto"/>
          <w:kern w:val="0"/>
          <w:sz w:val="24"/>
          <w:szCs w:val="24"/>
          <w:highlight w:val="none"/>
        </w:rPr>
        <w:t>间通过电子交易平台组织响应文件开启，采购机构依托电子交易平台发起开始解密指令，供应商的法定代表人或其委托代理人</w:t>
      </w:r>
      <w:r>
        <w:rPr>
          <w:rFonts w:hint="eastAsia" w:ascii="仿宋" w:hAnsi="仿宋" w:eastAsia="仿宋" w:cs="仿宋"/>
          <w:b/>
          <w:color w:val="auto"/>
          <w:kern w:val="0"/>
          <w:sz w:val="24"/>
          <w:szCs w:val="24"/>
          <w:highlight w:val="none"/>
        </w:rPr>
        <w:t>须携带加密时所用的CA锁按平台提示和采购文件的规定登录到“政采云”平台电子开标大厅签到并在发起解密指令之时起30分钟内完成对电子响应文件在线解密</w:t>
      </w:r>
      <w:r>
        <w:rPr>
          <w:rFonts w:hint="eastAsia" w:ascii="仿宋" w:hAnsi="仿宋" w:eastAsia="仿宋" w:cs="仿宋"/>
          <w:color w:val="auto"/>
          <w:kern w:val="0"/>
          <w:sz w:val="24"/>
          <w:szCs w:val="24"/>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仿宋" w:hAnsi="仿宋" w:eastAsia="仿宋" w:cs="仿宋"/>
          <w:b/>
          <w:color w:val="auto"/>
          <w:kern w:val="0"/>
          <w:sz w:val="24"/>
          <w:szCs w:val="24"/>
          <w:highlight w:val="none"/>
        </w:rPr>
        <w:t>视为响应文件无效。</w:t>
      </w:r>
      <w:r>
        <w:rPr>
          <w:rFonts w:hint="eastAsia" w:ascii="仿宋" w:hAnsi="仿宋" w:eastAsia="仿宋" w:cs="仿宋"/>
          <w:color w:val="auto"/>
          <w:kern w:val="0"/>
          <w:sz w:val="24"/>
          <w:szCs w:val="24"/>
          <w:highlight w:val="none"/>
        </w:rPr>
        <w:t>（解密</w:t>
      </w:r>
      <w:r>
        <w:rPr>
          <w:rFonts w:hint="eastAsia" w:ascii="仿宋" w:hAnsi="仿宋" w:eastAsia="仿宋" w:cs="仿宋"/>
          <w:bCs/>
          <w:color w:val="auto"/>
          <w:kern w:val="0"/>
          <w:sz w:val="24"/>
          <w:szCs w:val="24"/>
          <w:highlight w:val="none"/>
        </w:rPr>
        <w:t>异常情况处理：详见本章</w:t>
      </w:r>
      <w:r>
        <w:rPr>
          <w:rFonts w:hint="eastAsia" w:ascii="仿宋" w:hAnsi="仿宋" w:eastAsia="仿宋" w:cs="仿宋"/>
          <w:color w:val="auto"/>
          <w:kern w:val="0"/>
          <w:sz w:val="24"/>
          <w:szCs w:val="24"/>
          <w:highlight w:val="none"/>
        </w:rPr>
        <w:t>26.3 电子交易活动的中止。）</w:t>
      </w:r>
    </w:p>
    <w:p w14:paraId="11DB34D9">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w:t>
      </w:r>
      <w:r>
        <w:rPr>
          <w:rFonts w:hint="eastAsia" w:ascii="仿宋" w:hAnsi="仿宋" w:eastAsia="仿宋" w:cs="仿宋"/>
          <w:bCs/>
          <w:color w:val="auto"/>
          <w:kern w:val="0"/>
          <w:sz w:val="24"/>
          <w:szCs w:val="24"/>
          <w:highlight w:val="none"/>
        </w:rPr>
        <w:t>供应商成功解密响应文件，但未在“政采云”电子开标大厅参加谈判的，视同认可谈判过程和结果，</w:t>
      </w:r>
      <w:r>
        <w:rPr>
          <w:rFonts w:hint="eastAsia" w:ascii="仿宋" w:hAnsi="仿宋" w:eastAsia="仿宋" w:cs="仿宋"/>
          <w:color w:val="auto"/>
          <w:kern w:val="0"/>
          <w:sz w:val="24"/>
          <w:szCs w:val="24"/>
          <w:highlight w:val="none"/>
        </w:rPr>
        <w:t>由此产生的后果由供应商自行负责。 参与谈判的供应商不足3家的，不得谈判。</w:t>
      </w:r>
    </w:p>
    <w:p w14:paraId="352F66DF">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26.评审程序、评审方法和成交标准</w:t>
      </w:r>
    </w:p>
    <w:p w14:paraId="06F72CE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26.1谈判小组按照“第四章 评审程序、评审方法和成交标准”规定的方法、评审因素、标准和程序对响应文件进行评审。</w:t>
      </w:r>
    </w:p>
    <w:p w14:paraId="686014A8">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采购需求负偏离要求及谈判顺序详见 “供应商须知前附表”。</w:t>
      </w:r>
    </w:p>
    <w:p w14:paraId="3C0C96D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26.3电子交易活动的中止。采购过程中出现以下情形，导致电子交易平台无法正常运行，或者无法保证电子交易的公平、公正和安全时，采购机构可中止电子交易活动：</w:t>
      </w:r>
    </w:p>
    <w:p w14:paraId="3C75BC4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（1）电子交易平台发生故障而无法登录访问的； </w:t>
      </w:r>
    </w:p>
    <w:p w14:paraId="2554A25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17925A4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665A8AE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（4）病毒发作导致不能进行正常操作的； </w:t>
      </w:r>
    </w:p>
    <w:p w14:paraId="1348DE46">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45CF8779">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E6EA54A">
      <w:pPr>
        <w:keepNext w:val="0"/>
        <w:keepLines w:val="0"/>
        <w:pageBreakBefore w:val="0"/>
        <w:widowControl w:val="0"/>
        <w:kinsoku/>
        <w:wordWrap/>
        <w:overflowPunct/>
        <w:topLinePunct w:val="0"/>
        <w:autoSpaceDE/>
        <w:autoSpaceDN/>
        <w:bidi w:val="0"/>
        <w:spacing w:before="0" w:after="0" w:line="360" w:lineRule="auto"/>
        <w:ind w:firstLine="482" w:firstLineChars="200"/>
        <w:jc w:val="center"/>
        <w:outlineLvl w:val="9"/>
        <w:rPr>
          <w:rFonts w:hint="eastAsia" w:ascii="仿宋" w:hAnsi="仿宋" w:eastAsia="仿宋" w:cs="仿宋"/>
          <w:b/>
          <w:bCs/>
          <w:color w:val="auto"/>
          <w:sz w:val="24"/>
          <w:szCs w:val="24"/>
          <w:highlight w:val="none"/>
        </w:rPr>
      </w:pPr>
      <w:bookmarkStart w:id="51" w:name="_Toc18431"/>
      <w:r>
        <w:rPr>
          <w:rFonts w:hint="eastAsia" w:ascii="仿宋" w:hAnsi="仿宋" w:eastAsia="仿宋" w:cs="仿宋"/>
          <w:b/>
          <w:bCs/>
          <w:color w:val="auto"/>
          <w:sz w:val="24"/>
          <w:szCs w:val="24"/>
          <w:highlight w:val="none"/>
        </w:rPr>
        <w:t>五、成交及合同</w:t>
      </w:r>
      <w:bookmarkEnd w:id="51"/>
    </w:p>
    <w:p w14:paraId="60E3665F">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27.确定成交供应商及结果公告</w:t>
      </w:r>
    </w:p>
    <w:p w14:paraId="612F795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27.1确定成交供应商。</w:t>
      </w:r>
      <w:r>
        <w:rPr>
          <w:rFonts w:hint="eastAsia" w:ascii="仿宋" w:hAnsi="仿宋" w:eastAsia="仿宋" w:cs="仿宋"/>
          <w:color w:val="auto"/>
          <w:kern w:val="0"/>
          <w:sz w:val="24"/>
          <w:szCs w:val="24"/>
          <w:highlight w:val="none"/>
          <w:u w:val="single"/>
        </w:rPr>
        <w:t>由采购人直接委托评审专家确定</w:t>
      </w:r>
      <w:r>
        <w:rPr>
          <w:rFonts w:hint="eastAsia" w:ascii="仿宋" w:hAnsi="仿宋" w:eastAsia="仿宋" w:cs="仿宋"/>
          <w:color w:val="auto"/>
          <w:sz w:val="24"/>
          <w:szCs w:val="24"/>
          <w:highlight w:val="none"/>
          <w:u w:val="single"/>
        </w:rPr>
        <w:t>，评审报告提出的排序第一的供应商为成交供应商。</w:t>
      </w:r>
    </w:p>
    <w:p w14:paraId="6ED3662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27.2成交通知及成交结果公告。</w:t>
      </w:r>
      <w:r>
        <w:rPr>
          <w:rFonts w:hint="eastAsia" w:ascii="仿宋" w:hAnsi="仿宋" w:eastAsia="仿宋" w:cs="仿宋"/>
          <w:color w:val="auto"/>
          <w:kern w:val="0"/>
          <w:sz w:val="24"/>
          <w:szCs w:val="24"/>
          <w:highlight w:val="none"/>
        </w:rPr>
        <w:t>成交</w:t>
      </w:r>
      <w:r>
        <w:rPr>
          <w:rFonts w:hint="eastAsia" w:ascii="仿宋" w:hAnsi="仿宋" w:eastAsia="仿宋" w:cs="仿宋"/>
          <w:color w:val="auto"/>
          <w:sz w:val="24"/>
          <w:szCs w:val="24"/>
          <w:highlight w:val="none"/>
        </w:rPr>
        <w:t>供应商确定后2个工作日内，在省级以上财政部门指定的媒体上公告成交结果，同时向成交供应商发出成交通知书，成交通知书规定签订合同的时间不得超过15日。</w:t>
      </w:r>
    </w:p>
    <w:p w14:paraId="3C942BF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2" w:name="_Hlk66782294"/>
      <w:r>
        <w:rPr>
          <w:rFonts w:hint="eastAsia" w:ascii="仿宋" w:hAnsi="仿宋" w:eastAsia="仿宋" w:cs="仿宋"/>
          <w:color w:val="auto"/>
          <w:sz w:val="24"/>
          <w:szCs w:val="24"/>
          <w:highlight w:val="none"/>
        </w:rPr>
        <w:t>成交供应商享受《政府采购促进中小企业发展管理办法》（财库〔2020〕46号）规定的中小企业扶持政策的，采购人、采购代理机构应当随成交结果公开成交供应商的《中小企业声明函》。</w:t>
      </w:r>
      <w:bookmarkEnd w:id="52"/>
    </w:p>
    <w:p w14:paraId="34259E0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276A39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5379B2E">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28.履约保证金</w:t>
      </w:r>
    </w:p>
    <w:p w14:paraId="0A7198C3">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详见 “供应商须知前附表”</w:t>
      </w:r>
    </w:p>
    <w:p w14:paraId="418DDA25">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29.签订合同</w:t>
      </w:r>
    </w:p>
    <w:p w14:paraId="1E46E013">
      <w:pPr>
        <w:pStyle w:val="71"/>
        <w:keepNext w:val="0"/>
        <w:keepLines w:val="0"/>
        <w:pageBreakBefore w:val="0"/>
        <w:widowControl w:val="0"/>
        <w:kinsoku/>
        <w:wordWrap/>
        <w:overflowPunct/>
        <w:topLinePunct w:val="0"/>
        <w:autoSpaceDE/>
        <w:autoSpaceDN/>
        <w:bidi w:val="0"/>
        <w:snapToGrid w:val="0"/>
        <w:spacing w:before="0" w:line="360" w:lineRule="auto"/>
        <w:ind w:firstLine="480" w:firstLineChars="200"/>
        <w:jc w:val="both"/>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仿宋" w:hAnsi="仿宋" w:eastAsia="仿宋" w:cs="仿宋"/>
          <w:color w:val="auto"/>
          <w:sz w:val="24"/>
          <w:szCs w:val="24"/>
          <w:highlight w:val="none"/>
          <w:lang w:val="zh-CN"/>
        </w:rPr>
        <w:t>如成交供应商为联合体的，由联合体成员各方法定代表人或其授权代表与采购人代表签订合同。</w:t>
      </w:r>
    </w:p>
    <w:p w14:paraId="5255A737">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6081AA0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26BD47F">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29.4如签订合同并生效后，供应商无故拒绝或延期，除按照合同条款处理外，列入不良行为记录，并给予通报。</w:t>
      </w:r>
    </w:p>
    <w:p w14:paraId="7AB2E9C4">
      <w:pPr>
        <w:pStyle w:val="71"/>
        <w:keepNext w:val="0"/>
        <w:keepLines w:val="0"/>
        <w:pageBreakBefore w:val="0"/>
        <w:widowControl w:val="0"/>
        <w:kinsoku/>
        <w:wordWrap/>
        <w:overflowPunct/>
        <w:topLinePunct w:val="0"/>
        <w:autoSpaceDE/>
        <w:autoSpaceDN/>
        <w:bidi w:val="0"/>
        <w:spacing w:before="0"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29.5采购合同由采购人与成交供应商根据谈判文件、响应文件等内容通过政府采购电子交易平台在线签订，自动备案，在线签订须携带的材料见“ 供应商须知前附表”。</w:t>
      </w:r>
    </w:p>
    <w:p w14:paraId="69312D70">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30.政府采购合同公告</w:t>
      </w:r>
    </w:p>
    <w:p w14:paraId="6386DDA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6A320D9">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31.询问、质疑和投诉</w:t>
      </w:r>
    </w:p>
    <w:p w14:paraId="2BF657B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31.1供应商对政府采购活动事项有疑问的，可以向采购人、采购代理机构提出询问，采购人或者采购代理机构应当在3个工作日内对供应商依法提出的询问作出答复。</w:t>
      </w:r>
    </w:p>
    <w:p w14:paraId="367C324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color w:val="auto"/>
          <w:sz w:val="24"/>
          <w:szCs w:val="24"/>
          <w:highlight w:val="none"/>
          <w:shd w:val="clear" w:color="auto" w:fill="FFFFFF"/>
        </w:rPr>
        <w:t>接收质疑函的方式、联系部门、联系电话和通讯地址等信息详见</w:t>
      </w:r>
      <w:r>
        <w:rPr>
          <w:rFonts w:hint="eastAsia" w:ascii="仿宋" w:hAnsi="仿宋" w:eastAsia="仿宋" w:cs="仿宋"/>
          <w:color w:val="auto"/>
          <w:sz w:val="24"/>
          <w:szCs w:val="24"/>
          <w:highlight w:val="none"/>
        </w:rPr>
        <w:t>“供应商须知前附表”。</w:t>
      </w:r>
      <w:r>
        <w:rPr>
          <w:rFonts w:hint="eastAsia" w:ascii="仿宋" w:hAnsi="仿宋" w:eastAsia="仿宋" w:cs="仿宋"/>
          <w:b/>
          <w:color w:val="auto"/>
          <w:sz w:val="24"/>
          <w:szCs w:val="24"/>
          <w:highlight w:val="none"/>
        </w:rPr>
        <w:t xml:space="preserve">具体质疑起算时间及处理方式如下： </w:t>
      </w:r>
    </w:p>
    <w:p w14:paraId="38A2F9A5">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（1）潜在供应商依法获取采购文件后，认为采购文件使自己的权益受到损害的，应当在竞争性谈判采购文件公告期限届满之日起7个工作日内提出质疑。</w:t>
      </w:r>
      <w:r>
        <w:rPr>
          <w:rFonts w:hint="eastAsia" w:ascii="仿宋" w:hAnsi="仿宋" w:eastAsia="仿宋" w:cs="仿宋"/>
          <w:color w:val="auto"/>
          <w:sz w:val="24"/>
          <w:szCs w:val="24"/>
          <w:highlight w:val="none"/>
        </w:rPr>
        <w:t>委托代理协议无特殊约定的，</w:t>
      </w:r>
      <w:r>
        <w:rPr>
          <w:rFonts w:hint="eastAsia" w:ascii="仿宋" w:hAnsi="仿宋" w:eastAsia="仿宋" w:cs="仿宋"/>
          <w:bCs/>
          <w:color w:val="auto"/>
          <w:sz w:val="24"/>
          <w:szCs w:val="24"/>
          <w:highlight w:val="none"/>
        </w:rPr>
        <w:t>对竞争性谈判文件中采购需求（含资格要求、采购预算和评分办法）的质疑由采购人受理并负责答复；对竞争性谈判文件中的采购执行程序的质疑由采购代理机构受理并负责答复。</w:t>
      </w:r>
    </w:p>
    <w:p w14:paraId="1CA140BB">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D46AE5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（3）供应商认为成交结果使自己的权益受到损害的，应当在成交结果公告期限届满之日起7个工作日内提出质疑，由采购人受理并负责答复。</w:t>
      </w:r>
    </w:p>
    <w:p w14:paraId="038614C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ABC13AC">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sz w:val="24"/>
          <w:szCs w:val="24"/>
          <w:highlight w:val="none"/>
        </w:rPr>
        <w:t>（质疑函格式后附）</w:t>
      </w:r>
      <w:r>
        <w:rPr>
          <w:rFonts w:hint="eastAsia" w:ascii="仿宋" w:hAnsi="仿宋" w:eastAsia="仿宋" w:cs="仿宋"/>
          <w:color w:val="auto"/>
          <w:sz w:val="24"/>
          <w:szCs w:val="24"/>
          <w:highlight w:val="none"/>
        </w:rPr>
        <w:t>：</w:t>
      </w:r>
    </w:p>
    <w:p w14:paraId="34D9E84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3184C7C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39465C11">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524583D0">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50E193A5">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5F291B2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1DAD083D">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供应商为自然人的，应当由本人签字；供应商为法人或者其他组织的，应当由法定代表人、主要负责人，或者其委托代理人签字或者盖章，并加盖公章。</w:t>
      </w:r>
    </w:p>
    <w:p w14:paraId="486A31A4">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45CC04A8">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（一）对采购文件提出的质疑，依法通过澄清或者修改可以继续开展采购活动的，澄清或者修改采购文件后继续开展采购活动；否则应当修改采购文件后重新开展采购活动。</w:t>
      </w:r>
    </w:p>
    <w:p w14:paraId="017798E9">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4F7E77EA">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质疑答复导致成交结果改变的，采购人或者采购代理机构应当将有关情况书面报告本级财政部门。</w:t>
      </w:r>
    </w:p>
    <w:p w14:paraId="5617DD5E">
      <w:pPr>
        <w:keepNext w:val="0"/>
        <w:keepLines w:val="0"/>
        <w:pageBreakBefore w:val="0"/>
        <w:widowControl w:val="0"/>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7C69FDEF">
      <w:pPr>
        <w:keepNext w:val="0"/>
        <w:keepLines w:val="0"/>
        <w:pageBreakBefore w:val="0"/>
        <w:widowControl w:val="0"/>
        <w:kinsoku/>
        <w:wordWrap/>
        <w:overflowPunct/>
        <w:topLinePunct w:val="0"/>
        <w:autoSpaceDE/>
        <w:autoSpaceDN/>
        <w:bidi w:val="0"/>
        <w:spacing w:before="0" w:after="0" w:line="360" w:lineRule="auto"/>
        <w:ind w:firstLine="482" w:firstLineChars="200"/>
        <w:jc w:val="center"/>
        <w:outlineLvl w:val="9"/>
        <w:rPr>
          <w:rFonts w:hint="eastAsia" w:ascii="仿宋" w:hAnsi="仿宋" w:eastAsia="仿宋" w:cs="仿宋"/>
          <w:b/>
          <w:bCs/>
          <w:color w:val="auto"/>
          <w:sz w:val="24"/>
          <w:szCs w:val="24"/>
          <w:highlight w:val="none"/>
        </w:rPr>
      </w:pPr>
      <w:bookmarkStart w:id="53" w:name="_Toc6462"/>
      <w:r>
        <w:rPr>
          <w:rFonts w:hint="eastAsia" w:ascii="仿宋" w:hAnsi="仿宋" w:eastAsia="仿宋" w:cs="仿宋"/>
          <w:b/>
          <w:bCs/>
          <w:color w:val="auto"/>
          <w:sz w:val="24"/>
          <w:szCs w:val="24"/>
          <w:highlight w:val="none"/>
        </w:rPr>
        <w:t>六、验收</w:t>
      </w:r>
      <w:bookmarkEnd w:id="53"/>
    </w:p>
    <w:p w14:paraId="419EAD69">
      <w:pPr>
        <w:keepNext w:val="0"/>
        <w:keepLines w:val="0"/>
        <w:pageBreakBefore w:val="0"/>
        <w:widowControl w:val="0"/>
        <w:tabs>
          <w:tab w:val="left" w:pos="0"/>
        </w:tabs>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32.验收</w:t>
      </w:r>
    </w:p>
    <w:p w14:paraId="3717FA67">
      <w:pPr>
        <w:keepNext w:val="0"/>
        <w:keepLines w:val="0"/>
        <w:pageBreakBefore w:val="0"/>
        <w:widowControl w:val="0"/>
        <w:tabs>
          <w:tab w:val="left" w:pos="0"/>
        </w:tabs>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D75AD7">
      <w:pPr>
        <w:keepNext w:val="0"/>
        <w:keepLines w:val="0"/>
        <w:pageBreakBefore w:val="0"/>
        <w:widowControl w:val="0"/>
        <w:tabs>
          <w:tab w:val="left" w:pos="0"/>
        </w:tabs>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32.2采购人可以邀请参加本项目的其他供应商或者第三方机构参与验收。参与验收的供应商或者第三方机构的意见作为验收书的参考资料一并存档。</w:t>
      </w:r>
    </w:p>
    <w:p w14:paraId="3D1C31F8">
      <w:pPr>
        <w:keepNext w:val="0"/>
        <w:keepLines w:val="0"/>
        <w:pageBreakBefore w:val="0"/>
        <w:widowControl w:val="0"/>
        <w:tabs>
          <w:tab w:val="left" w:pos="0"/>
        </w:tabs>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履约验收的各项资料应当存档备查。</w:t>
      </w:r>
    </w:p>
    <w:p w14:paraId="4D7E743A">
      <w:pPr>
        <w:keepNext w:val="0"/>
        <w:keepLines w:val="0"/>
        <w:pageBreakBefore w:val="0"/>
        <w:widowControl w:val="0"/>
        <w:tabs>
          <w:tab w:val="left" w:pos="0"/>
        </w:tabs>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AF63D3">
      <w:pPr>
        <w:keepNext w:val="0"/>
        <w:keepLines w:val="0"/>
        <w:pageBreakBefore w:val="0"/>
        <w:widowControl w:val="0"/>
        <w:kinsoku/>
        <w:wordWrap/>
        <w:overflowPunct/>
        <w:topLinePunct w:val="0"/>
        <w:autoSpaceDE/>
        <w:autoSpaceDN/>
        <w:bidi w:val="0"/>
        <w:spacing w:before="0" w:after="0" w:line="360" w:lineRule="auto"/>
        <w:ind w:firstLine="482" w:firstLineChars="200"/>
        <w:jc w:val="center"/>
        <w:outlineLvl w:val="9"/>
        <w:rPr>
          <w:rFonts w:hint="eastAsia" w:ascii="仿宋" w:hAnsi="仿宋" w:eastAsia="仿宋" w:cs="仿宋"/>
          <w:b/>
          <w:bCs/>
          <w:color w:val="auto"/>
          <w:sz w:val="24"/>
          <w:szCs w:val="24"/>
          <w:highlight w:val="none"/>
        </w:rPr>
      </w:pPr>
      <w:bookmarkStart w:id="54" w:name="_Toc9725"/>
      <w:r>
        <w:rPr>
          <w:rFonts w:hint="eastAsia" w:ascii="仿宋" w:hAnsi="仿宋" w:eastAsia="仿宋" w:cs="仿宋"/>
          <w:b/>
          <w:bCs/>
          <w:color w:val="auto"/>
          <w:sz w:val="24"/>
          <w:szCs w:val="24"/>
          <w:highlight w:val="none"/>
        </w:rPr>
        <w:t>七、其他事项</w:t>
      </w:r>
      <w:bookmarkEnd w:id="54"/>
    </w:p>
    <w:p w14:paraId="554778AA">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33.代理货物费</w:t>
      </w:r>
    </w:p>
    <w:p w14:paraId="0888866A">
      <w:pPr>
        <w:keepNext w:val="0"/>
        <w:keepLines w:val="0"/>
        <w:pageBreakBefore w:val="0"/>
        <w:widowControl w:val="0"/>
        <w:tabs>
          <w:tab w:val="left" w:pos="2835"/>
        </w:tabs>
        <w:kinsoku/>
        <w:wordWrap/>
        <w:overflowPunct/>
        <w:topLinePunct w:val="0"/>
        <w:autoSpaceDE/>
        <w:autoSpaceDN/>
        <w:bidi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代理货物收费标准及缴费账户详见“供应商须知前附表”，供应商为联合体的，可以由联合体中的一方或者多方共同交纳代理货物费。</w:t>
      </w:r>
    </w:p>
    <w:p w14:paraId="38BCEB2A">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34.需要补充的其他内容</w:t>
      </w:r>
    </w:p>
    <w:p w14:paraId="51ABA803">
      <w:pPr>
        <w:keepNext w:val="0"/>
        <w:keepLines w:val="0"/>
        <w:pageBreakBefore w:val="0"/>
        <w:widowControl w:val="0"/>
        <w:kinsoku/>
        <w:wordWrap/>
        <w:overflowPunct/>
        <w:topLinePunct w:val="0"/>
        <w:autoSpaceDE/>
        <w:autoSpaceDN/>
        <w:bidi w:val="0"/>
        <w:spacing w:line="360" w:lineRule="auto"/>
        <w:ind w:firstLine="480" w:firstLineChars="200"/>
        <w:contextualSpacing/>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34.1本谈判文件解释规则详见“供应商须知前附表”。</w:t>
      </w:r>
    </w:p>
    <w:p w14:paraId="2719BCB4">
      <w:pPr>
        <w:keepNext w:val="0"/>
        <w:keepLines w:val="0"/>
        <w:pageBreakBefore w:val="0"/>
        <w:widowControl w:val="0"/>
        <w:kinsoku/>
        <w:wordWrap/>
        <w:overflowPunct/>
        <w:topLinePunct w:val="0"/>
        <w:autoSpaceDE/>
        <w:autoSpaceDN/>
        <w:bidi w:val="0"/>
        <w:spacing w:line="360" w:lineRule="auto"/>
        <w:ind w:firstLine="480" w:firstLineChars="200"/>
        <w:contextualSpacing/>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 其他事</w:t>
      </w:r>
      <w:r>
        <w:rPr>
          <w:rFonts w:hint="eastAsia" w:ascii="仿宋" w:hAnsi="仿宋" w:eastAsia="仿宋" w:cs="仿宋"/>
          <w:color w:val="auto"/>
          <w:sz w:val="24"/>
          <w:szCs w:val="24"/>
          <w:highlight w:val="none"/>
        </w:rPr>
        <w:t>项详见“供应商须知前附表”。</w:t>
      </w:r>
    </w:p>
    <w:p w14:paraId="710007EE">
      <w:pPr>
        <w:keepNext w:val="0"/>
        <w:keepLines w:val="0"/>
        <w:pageBreakBefore w:val="0"/>
        <w:widowControl w:val="0"/>
        <w:kinsoku/>
        <w:wordWrap/>
        <w:overflowPunct/>
        <w:topLinePunct w:val="0"/>
        <w:autoSpaceDE/>
        <w:autoSpaceDN/>
        <w:bidi w:val="0"/>
        <w:spacing w:line="360" w:lineRule="auto"/>
        <w:ind w:firstLine="480" w:firstLineChars="200"/>
        <w:contextualSpacing/>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w:t>
      </w:r>
      <w:bookmarkStart w:id="55" w:name="_Hlk65857140"/>
      <w:r>
        <w:rPr>
          <w:rFonts w:hint="eastAsia" w:ascii="仿宋" w:hAnsi="仿宋" w:eastAsia="仿宋" w:cs="仿宋"/>
          <w:color w:val="auto"/>
          <w:kern w:val="0"/>
          <w:sz w:val="24"/>
          <w:szCs w:val="24"/>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796BA17B">
      <w:pPr>
        <w:keepNext w:val="0"/>
        <w:keepLines w:val="0"/>
        <w:pageBreakBefore w:val="0"/>
        <w:widowControl w:val="0"/>
        <w:kinsoku/>
        <w:wordWrap/>
        <w:overflowPunct/>
        <w:topLinePunct w:val="0"/>
        <w:autoSpaceDE/>
        <w:autoSpaceDN/>
        <w:bidi w:val="0"/>
        <w:spacing w:line="360" w:lineRule="auto"/>
        <w:ind w:firstLine="480" w:firstLineChars="200"/>
        <w:contextualSpacing/>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在货物采购项目中，货物由中小企业制造，即货物由中小企业生产且使用该中小企业商号或者注册商标，不对其中涉及的工程承建商和货物的承接商作出要求；</w:t>
      </w:r>
    </w:p>
    <w:p w14:paraId="5A77CB42">
      <w:pPr>
        <w:keepNext w:val="0"/>
        <w:keepLines w:val="0"/>
        <w:pageBreakBefore w:val="0"/>
        <w:widowControl w:val="0"/>
        <w:kinsoku/>
        <w:wordWrap/>
        <w:overflowPunct/>
        <w:topLinePunct w:val="0"/>
        <w:autoSpaceDE/>
        <w:autoSpaceDN/>
        <w:bidi w:val="0"/>
        <w:spacing w:line="360" w:lineRule="auto"/>
        <w:ind w:firstLine="480" w:firstLineChars="200"/>
        <w:contextualSpacing/>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22FA25D">
      <w:pPr>
        <w:keepNext w:val="0"/>
        <w:keepLines w:val="0"/>
        <w:pageBreakBefore w:val="0"/>
        <w:widowControl w:val="0"/>
        <w:kinsoku/>
        <w:wordWrap/>
        <w:overflowPunct/>
        <w:topLinePunct w:val="0"/>
        <w:autoSpaceDE/>
        <w:autoSpaceDN/>
        <w:bidi w:val="0"/>
        <w:spacing w:line="360" w:lineRule="auto"/>
        <w:ind w:firstLine="480" w:firstLineChars="200"/>
        <w:jc w:val="both"/>
        <w:textAlignment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依据本文件规定享受扶持政策获得政府采购合同的，小微企业不得将合同分包给大中型企业，中型企业不得将合同分包给大型企业。</w:t>
      </w:r>
      <w:bookmarkEnd w:id="55"/>
    </w:p>
    <w:p w14:paraId="69297006">
      <w:pPr>
        <w:keepNext w:val="0"/>
        <w:keepLines w:val="0"/>
        <w:pageBreakBefore w:val="0"/>
        <w:widowControl w:val="0"/>
        <w:kinsoku/>
        <w:wordWrap/>
        <w:overflowPunct/>
        <w:topLinePunct w:val="0"/>
        <w:autoSpaceDE/>
        <w:autoSpaceDN/>
        <w:bidi w:val="0"/>
        <w:spacing w:line="360" w:lineRule="auto"/>
        <w:ind w:firstLine="482"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35.政采贷相关说明</w:t>
      </w:r>
    </w:p>
    <w:p w14:paraId="7E5AD495">
      <w:pPr>
        <w:keepNext w:val="0"/>
        <w:keepLines w:val="0"/>
        <w:pageBreakBefore w:val="0"/>
        <w:widowControl w:val="0"/>
        <w:kinsoku/>
        <w:wordWrap/>
        <w:overflowPunct/>
        <w:topLinePunct w:val="0"/>
        <w:autoSpaceDE/>
        <w:autoSpaceDN/>
        <w:bidi w:val="0"/>
        <w:spacing w:line="360" w:lineRule="auto"/>
        <w:ind w:firstLine="480" w:firstLineChars="200"/>
        <w:contextualSpacing/>
        <w:jc w:val="both"/>
        <w:outlineLvl w:val="9"/>
        <w:rPr>
          <w:rFonts w:hint="eastAsia" w:ascii="仿宋" w:hAnsi="仿宋" w:eastAsia="仿宋" w:cs="仿宋"/>
          <w:color w:val="auto"/>
          <w:kern w:val="0"/>
          <w:sz w:val="24"/>
          <w:szCs w:val="24"/>
          <w:highlight w:val="none"/>
        </w:rPr>
        <w:sectPr>
          <w:footerReference r:id="rId8" w:type="default"/>
          <w:pgSz w:w="11911" w:h="16838"/>
          <w:pgMar w:top="1338" w:right="1502" w:bottom="850" w:left="1678" w:header="1077" w:footer="720" w:gutter="0"/>
          <w:cols w:space="720" w:num="1"/>
        </w:sectPr>
      </w:pPr>
      <w:r>
        <w:rPr>
          <w:rFonts w:hint="eastAsia" w:ascii="仿宋" w:hAnsi="仿宋" w:eastAsia="仿宋" w:cs="仿宋"/>
          <w:color w:val="auto"/>
          <w:kern w:val="0"/>
          <w:sz w:val="24"/>
          <w:szCs w:val="24"/>
          <w:highlight w:val="none"/>
        </w:rPr>
        <w:t>为优化政府采购营商环境，缓解供应商资金难题，有融资需求的供应商可根据自身情况，在中征平台自主选择金融机构及其融资产品，选择拟用于融资的政府采购中标（成交）通知书和政府采购合同在线发布或向指定金融机构提出融资申请。</w:t>
      </w:r>
    </w:p>
    <w:p w14:paraId="67F5EEF1">
      <w:pPr>
        <w:pStyle w:val="18"/>
        <w:snapToGrid w:val="0"/>
        <w:rPr>
          <w:rFonts w:ascii="仿宋" w:hAnsi="仿宋" w:eastAsia="仿宋" w:cs="仿宋"/>
          <w:color w:val="auto"/>
          <w:sz w:val="22"/>
          <w:szCs w:val="24"/>
          <w:highlight w:val="none"/>
        </w:rPr>
      </w:pPr>
      <w:r>
        <w:rPr>
          <w:rFonts w:hint="eastAsia" w:ascii="仿宋" w:hAnsi="仿宋" w:eastAsia="仿宋" w:cs="仿宋"/>
          <w:color w:val="auto"/>
          <w:sz w:val="22"/>
          <w:szCs w:val="24"/>
          <w:highlight w:val="none"/>
        </w:rPr>
        <w:t>附件1：</w:t>
      </w:r>
    </w:p>
    <w:p w14:paraId="4249DF5B">
      <w:pPr>
        <w:pStyle w:val="18"/>
        <w:snapToGrid w:val="0"/>
        <w:ind w:firstLine="400" w:firstLineChars="200"/>
        <w:rPr>
          <w:rFonts w:ascii="仿宋" w:hAnsi="仿宋" w:eastAsia="仿宋" w:cs="仿宋"/>
          <w:color w:val="auto"/>
          <w:highlight w:val="none"/>
        </w:rPr>
      </w:pPr>
    </w:p>
    <w:p w14:paraId="58A82546">
      <w:pPr>
        <w:widowControl/>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广西壮族自治区政府采购项目合同验收书（格式）</w:t>
      </w:r>
    </w:p>
    <w:p w14:paraId="5B0C870B">
      <w:pPr>
        <w:widowControl/>
        <w:snapToGrid w:val="0"/>
        <w:spacing w:before="100" w:beforeAutospacing="1" w:after="100" w:afterAutospacing="1" w:line="320" w:lineRule="exact"/>
        <w:ind w:left="-359" w:leftChars="-171"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）政府采购项目中标（或成交）供应商（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）提供的货物（或工程、服务）进行了验收，验收情况如下：</w:t>
      </w:r>
    </w:p>
    <w:tbl>
      <w:tblPr>
        <w:tblStyle w:val="31"/>
        <w:tblW w:w="506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80"/>
        <w:gridCol w:w="2091"/>
        <w:gridCol w:w="861"/>
        <w:gridCol w:w="2273"/>
        <w:gridCol w:w="184"/>
        <w:gridCol w:w="723"/>
        <w:gridCol w:w="1248"/>
      </w:tblGrid>
      <w:tr w14:paraId="3358D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2015" w:type="pct"/>
            <w:gridSpan w:val="2"/>
            <w:tcBorders>
              <w:top w:val="single" w:color="auto" w:sz="8" w:space="0"/>
              <w:left w:val="single" w:color="auto" w:sz="8" w:space="0"/>
              <w:bottom w:val="single" w:color="auto" w:sz="8" w:space="0"/>
              <w:right w:val="single" w:color="auto" w:sz="8" w:space="0"/>
            </w:tcBorders>
            <w:vAlign w:val="center"/>
          </w:tcPr>
          <w:p w14:paraId="13EB9AE7">
            <w:pPr>
              <w:widowControl/>
              <w:snapToGrid w:val="0"/>
              <w:spacing w:before="100" w:beforeAutospacing="1" w:after="100" w:afterAutospacing="1" w:line="320" w:lineRule="exact"/>
              <w:ind w:left="-3" w:firstLine="4" w:firstLineChars="2"/>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2984" w:type="pct"/>
            <w:gridSpan w:val="5"/>
            <w:tcBorders>
              <w:top w:val="single" w:color="auto" w:sz="8" w:space="0"/>
              <w:left w:val="single" w:color="auto" w:sz="8" w:space="0"/>
              <w:bottom w:val="single" w:color="auto" w:sz="8" w:space="0"/>
              <w:right w:val="single" w:color="auto" w:sz="8" w:space="0"/>
            </w:tcBorders>
            <w:vAlign w:val="center"/>
          </w:tcPr>
          <w:p w14:paraId="42954B26">
            <w:pPr>
              <w:widowControl/>
              <w:snapToGrid w:val="0"/>
              <w:spacing w:before="100" w:beforeAutospacing="1" w:after="100" w:afterAutospacing="1" w:line="320" w:lineRule="exact"/>
              <w:ind w:left="-3" w:firstLine="420" w:firstLineChars="20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5ED19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5966DBE3">
            <w:pPr>
              <w:widowControl/>
              <w:snapToGrid w:val="0"/>
              <w:spacing w:before="100" w:beforeAutospacing="1" w:after="100" w:afterAutospacing="1" w:line="320" w:lineRule="exact"/>
              <w:ind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179" w:type="pct"/>
            <w:tcBorders>
              <w:top w:val="single" w:color="auto" w:sz="8" w:space="0"/>
              <w:left w:val="single" w:color="auto" w:sz="8" w:space="0"/>
              <w:bottom w:val="single" w:color="auto" w:sz="8" w:space="0"/>
              <w:right w:val="single" w:color="auto" w:sz="8" w:space="0"/>
            </w:tcBorders>
            <w:vAlign w:val="center"/>
          </w:tcPr>
          <w:p w14:paraId="70F6972E">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名  称</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15408E45">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货物型号规格、标准及配置等（或服务内容、标准）</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04407CFD">
            <w:pPr>
              <w:widowControl/>
              <w:snapToGrid w:val="0"/>
              <w:spacing w:before="100" w:beforeAutospacing="1" w:after="100" w:afterAutospacing="1" w:line="32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02" w:type="pct"/>
            <w:tcBorders>
              <w:top w:val="single" w:color="auto" w:sz="8" w:space="0"/>
              <w:left w:val="single" w:color="auto" w:sz="8" w:space="0"/>
              <w:bottom w:val="single" w:color="auto" w:sz="8" w:space="0"/>
              <w:right w:val="single" w:color="auto" w:sz="8" w:space="0"/>
            </w:tcBorders>
            <w:vAlign w:val="center"/>
          </w:tcPr>
          <w:p w14:paraId="159A1104">
            <w:pPr>
              <w:widowControl/>
              <w:snapToGrid w:val="0"/>
              <w:spacing w:before="100" w:beforeAutospacing="1" w:after="100" w:afterAutospacing="1" w:line="320" w:lineRule="exact"/>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  额</w:t>
            </w:r>
          </w:p>
        </w:tc>
      </w:tr>
      <w:tr w14:paraId="633103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4B0A5AD8">
            <w:pPr>
              <w:widowControl/>
              <w:snapToGrid w:val="0"/>
              <w:spacing w:before="100" w:beforeAutospacing="1" w:after="100" w:afterAutospacing="1" w:line="320" w:lineRule="exact"/>
              <w:ind w:left="-3" w:firstLine="4" w:firstLineChars="2"/>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79" w:type="pct"/>
            <w:tcBorders>
              <w:top w:val="single" w:color="auto" w:sz="8" w:space="0"/>
              <w:left w:val="single" w:color="auto" w:sz="8" w:space="0"/>
              <w:bottom w:val="single" w:color="auto" w:sz="8" w:space="0"/>
              <w:right w:val="single" w:color="auto" w:sz="8" w:space="0"/>
            </w:tcBorders>
            <w:vAlign w:val="center"/>
          </w:tcPr>
          <w:p w14:paraId="363DEF3E">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7206AA4A">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06E2D120">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2" w:type="pct"/>
            <w:tcBorders>
              <w:top w:val="single" w:color="auto" w:sz="8" w:space="0"/>
              <w:left w:val="single" w:color="auto" w:sz="8" w:space="0"/>
              <w:bottom w:val="single" w:color="auto" w:sz="8" w:space="0"/>
              <w:right w:val="single" w:color="auto" w:sz="8" w:space="0"/>
            </w:tcBorders>
            <w:vAlign w:val="center"/>
          </w:tcPr>
          <w:p w14:paraId="12A00ED6">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3757DD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602A78B8">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79" w:type="pct"/>
            <w:tcBorders>
              <w:top w:val="single" w:color="auto" w:sz="8" w:space="0"/>
              <w:left w:val="single" w:color="auto" w:sz="8" w:space="0"/>
              <w:bottom w:val="single" w:color="auto" w:sz="8" w:space="0"/>
              <w:right w:val="single" w:color="auto" w:sz="8" w:space="0"/>
            </w:tcBorders>
            <w:vAlign w:val="center"/>
          </w:tcPr>
          <w:p w14:paraId="6BF337E3">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71E081E8">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5D3261DC">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2" w:type="pct"/>
            <w:tcBorders>
              <w:top w:val="single" w:color="auto" w:sz="8" w:space="0"/>
              <w:left w:val="single" w:color="auto" w:sz="8" w:space="0"/>
              <w:bottom w:val="single" w:color="auto" w:sz="8" w:space="0"/>
              <w:right w:val="single" w:color="auto" w:sz="8" w:space="0"/>
            </w:tcBorders>
            <w:vAlign w:val="center"/>
          </w:tcPr>
          <w:p w14:paraId="362BEEE8">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2C84E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6DB511F8">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79" w:type="pct"/>
            <w:tcBorders>
              <w:top w:val="single" w:color="auto" w:sz="8" w:space="0"/>
              <w:left w:val="single" w:color="auto" w:sz="8" w:space="0"/>
              <w:bottom w:val="single" w:color="auto" w:sz="8" w:space="0"/>
              <w:right w:val="single" w:color="auto" w:sz="8" w:space="0"/>
            </w:tcBorders>
            <w:vAlign w:val="center"/>
          </w:tcPr>
          <w:p w14:paraId="4192A425">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27AF1BFA">
            <w:pPr>
              <w:widowControl/>
              <w:snapToGrid w:val="0"/>
              <w:spacing w:before="100" w:beforeAutospacing="1" w:after="100" w:afterAutospacing="1" w:line="320" w:lineRule="exact"/>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33AE71CB">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2" w:type="pct"/>
            <w:tcBorders>
              <w:top w:val="single" w:color="auto" w:sz="8" w:space="0"/>
              <w:left w:val="single" w:color="auto" w:sz="8" w:space="0"/>
              <w:bottom w:val="single" w:color="auto" w:sz="8" w:space="0"/>
              <w:right w:val="single" w:color="auto" w:sz="8" w:space="0"/>
            </w:tcBorders>
            <w:vAlign w:val="center"/>
          </w:tcPr>
          <w:p w14:paraId="402020D5">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48E44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84" w:type="pct"/>
            <w:gridSpan w:val="4"/>
            <w:tcBorders>
              <w:top w:val="single" w:color="auto" w:sz="8" w:space="0"/>
              <w:left w:val="single" w:color="auto" w:sz="8" w:space="0"/>
              <w:bottom w:val="single" w:color="auto" w:sz="8" w:space="0"/>
              <w:right w:val="single" w:color="auto" w:sz="8" w:space="0"/>
            </w:tcBorders>
            <w:vAlign w:val="center"/>
          </w:tcPr>
          <w:p w14:paraId="66B359E7">
            <w:pPr>
              <w:widowControl/>
              <w:snapToGrid w:val="0"/>
              <w:spacing w:before="100" w:beforeAutospacing="1" w:after="100" w:afterAutospacing="1" w:line="320" w:lineRule="exact"/>
              <w:ind w:left="-3" w:firstLine="4" w:firstLineChars="2"/>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210D871B">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2" w:type="pct"/>
            <w:tcBorders>
              <w:top w:val="single" w:color="auto" w:sz="8" w:space="0"/>
              <w:left w:val="single" w:color="auto" w:sz="8" w:space="0"/>
              <w:bottom w:val="single" w:color="auto" w:sz="8" w:space="0"/>
              <w:right w:val="single" w:color="auto" w:sz="8" w:space="0"/>
            </w:tcBorders>
            <w:vAlign w:val="center"/>
          </w:tcPr>
          <w:p w14:paraId="3E76E467">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48F1C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vAlign w:val="center"/>
          </w:tcPr>
          <w:p w14:paraId="1D20F808">
            <w:pPr>
              <w:widowControl/>
              <w:snapToGrid w:val="0"/>
              <w:spacing w:before="100" w:beforeAutospacing="1" w:after="100" w:afterAutospacing="1" w:line="320" w:lineRule="exact"/>
              <w:ind w:firstLine="2" w:firstLineChars="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53B2B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4C3E9556">
            <w:pPr>
              <w:widowControl/>
              <w:snapToGrid w:val="0"/>
              <w:spacing w:before="100" w:beforeAutospacing="1" w:after="100" w:afterAutospacing="1" w:line="320" w:lineRule="exact"/>
              <w:ind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1665" w:type="pct"/>
            <w:gridSpan w:val="2"/>
            <w:tcBorders>
              <w:top w:val="single" w:color="auto" w:sz="8" w:space="0"/>
              <w:left w:val="single" w:color="auto" w:sz="8" w:space="0"/>
              <w:bottom w:val="single" w:color="auto" w:sz="8" w:space="0"/>
              <w:right w:val="single" w:color="auto" w:sz="8" w:space="0"/>
            </w:tcBorders>
            <w:vAlign w:val="center"/>
          </w:tcPr>
          <w:p w14:paraId="2642E136">
            <w:pPr>
              <w:snapToGrid w:val="0"/>
              <w:spacing w:before="100" w:beforeAutospacing="1" w:after="100" w:afterAutospacing="1" w:line="320" w:lineRule="exact"/>
              <w:ind w:firstLine="420" w:firstLineChars="200"/>
              <w:jc w:val="center"/>
              <w:rPr>
                <w:rFonts w:ascii="仿宋" w:hAnsi="仿宋" w:eastAsia="仿宋" w:cs="仿宋"/>
                <w:color w:val="auto"/>
                <w:kern w:val="0"/>
                <w:szCs w:val="21"/>
                <w:highlight w:val="none"/>
              </w:rPr>
            </w:pPr>
          </w:p>
        </w:tc>
        <w:tc>
          <w:tcPr>
            <w:tcW w:w="1387" w:type="pct"/>
            <w:gridSpan w:val="2"/>
            <w:tcBorders>
              <w:top w:val="single" w:color="auto" w:sz="8" w:space="0"/>
              <w:left w:val="single" w:color="auto" w:sz="8" w:space="0"/>
              <w:bottom w:val="single" w:color="auto" w:sz="8" w:space="0"/>
              <w:right w:val="single" w:color="auto" w:sz="8" w:space="0"/>
            </w:tcBorders>
            <w:vAlign w:val="center"/>
          </w:tcPr>
          <w:p w14:paraId="5F735D84">
            <w:pPr>
              <w:snapToGrid w:val="0"/>
              <w:spacing w:before="100" w:beforeAutospacing="1" w:after="100" w:afterAutospacing="1" w:line="320" w:lineRule="exact"/>
              <w:ind w:firstLine="39" w:firstLineChars="19"/>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1110" w:type="pct"/>
            <w:gridSpan w:val="2"/>
            <w:tcBorders>
              <w:top w:val="single" w:color="auto" w:sz="8" w:space="0"/>
              <w:left w:val="single" w:color="auto" w:sz="8" w:space="0"/>
              <w:bottom w:val="single" w:color="auto" w:sz="8" w:space="0"/>
              <w:right w:val="single" w:color="auto" w:sz="8" w:space="0"/>
            </w:tcBorders>
            <w:vAlign w:val="center"/>
          </w:tcPr>
          <w:p w14:paraId="5262069F">
            <w:pPr>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p>
        </w:tc>
      </w:tr>
      <w:tr w14:paraId="533402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1B9B139F">
            <w:pPr>
              <w:widowControl/>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p>
        </w:tc>
        <w:tc>
          <w:tcPr>
            <w:tcW w:w="1665" w:type="pct"/>
            <w:gridSpan w:val="2"/>
            <w:tcBorders>
              <w:top w:val="single" w:color="auto" w:sz="8" w:space="0"/>
              <w:left w:val="single" w:color="auto" w:sz="8" w:space="0"/>
              <w:bottom w:val="single" w:color="auto" w:sz="8" w:space="0"/>
              <w:right w:val="single" w:color="auto" w:sz="8" w:space="0"/>
            </w:tcBorders>
            <w:vAlign w:val="center"/>
          </w:tcPr>
          <w:p w14:paraId="0CFAA3C3">
            <w:pPr>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p>
        </w:tc>
        <w:tc>
          <w:tcPr>
            <w:tcW w:w="1387" w:type="pct"/>
            <w:gridSpan w:val="2"/>
            <w:tcBorders>
              <w:top w:val="single" w:color="auto" w:sz="8" w:space="0"/>
              <w:left w:val="single" w:color="auto" w:sz="8" w:space="0"/>
              <w:bottom w:val="single" w:color="auto" w:sz="8" w:space="0"/>
              <w:right w:val="single" w:color="auto" w:sz="8" w:space="0"/>
            </w:tcBorders>
            <w:vAlign w:val="center"/>
          </w:tcPr>
          <w:p w14:paraId="3C8817A4">
            <w:pPr>
              <w:snapToGrid w:val="0"/>
              <w:spacing w:before="100" w:beforeAutospacing="1" w:after="100" w:afterAutospacing="1" w:line="320" w:lineRule="exact"/>
              <w:ind w:left="590" w:firstLine="420" w:firstLineChars="200"/>
              <w:jc w:val="left"/>
              <w:rPr>
                <w:rFonts w:ascii="仿宋" w:hAnsi="仿宋" w:eastAsia="仿宋" w:cs="仿宋"/>
                <w:color w:val="auto"/>
                <w:kern w:val="0"/>
                <w:szCs w:val="21"/>
                <w:highlight w:val="none"/>
              </w:rPr>
            </w:pPr>
          </w:p>
        </w:tc>
        <w:tc>
          <w:tcPr>
            <w:tcW w:w="1110" w:type="pct"/>
            <w:gridSpan w:val="2"/>
            <w:tcBorders>
              <w:top w:val="single" w:color="auto" w:sz="8" w:space="0"/>
              <w:left w:val="single" w:color="auto" w:sz="8" w:space="0"/>
              <w:bottom w:val="single" w:color="auto" w:sz="8" w:space="0"/>
              <w:right w:val="single" w:color="auto" w:sz="8" w:space="0"/>
            </w:tcBorders>
            <w:vAlign w:val="center"/>
          </w:tcPr>
          <w:p w14:paraId="2F0CC0E1">
            <w:pPr>
              <w:snapToGrid w:val="0"/>
              <w:spacing w:before="100" w:beforeAutospacing="1" w:after="100" w:afterAutospacing="1" w:line="320" w:lineRule="exact"/>
              <w:ind w:firstLine="420" w:firstLineChars="200"/>
              <w:jc w:val="left"/>
              <w:rPr>
                <w:rFonts w:ascii="仿宋" w:hAnsi="仿宋" w:eastAsia="仿宋" w:cs="仿宋"/>
                <w:color w:val="auto"/>
                <w:kern w:val="0"/>
                <w:szCs w:val="21"/>
                <w:highlight w:val="none"/>
              </w:rPr>
            </w:pPr>
          </w:p>
        </w:tc>
      </w:tr>
      <w:tr w14:paraId="76FF10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83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A27AB6">
            <w:pPr>
              <w:widowControl/>
              <w:snapToGrid w:val="0"/>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4164" w:type="pct"/>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5B223B">
            <w:pPr>
              <w:widowControl/>
              <w:snapToGrid w:val="0"/>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（应</w:t>
            </w:r>
            <w:r>
              <w:rPr>
                <w:rFonts w:hint="eastAsia" w:ascii="仿宋" w:hAnsi="仿宋" w:eastAsia="仿宋" w:cs="仿宋"/>
                <w:color w:val="auto"/>
                <w:kern w:val="0"/>
                <w:szCs w:val="21"/>
                <w:highlight w:val="none"/>
              </w:rPr>
              <w:t>按采购合同、采购文件、投标响应文件及验收方案等进行验收；并核对</w:t>
            </w:r>
            <w:r>
              <w:rPr>
                <w:rFonts w:hint="eastAsia" w:ascii="仿宋" w:hAnsi="仿宋" w:eastAsia="仿宋" w:cs="仿宋"/>
                <w:color w:val="auto"/>
                <w:szCs w:val="21"/>
                <w:highlight w:val="none"/>
              </w:rPr>
              <w:t>中标或者成交供应商在安装调试等方面是否违反合同约定或服务规范要求、提供的质量保证证明材料是否齐全、应有的配件及附件是否达到合同约定等</w:t>
            </w:r>
            <w:r>
              <w:rPr>
                <w:rFonts w:hint="eastAsia" w:ascii="仿宋" w:hAnsi="仿宋" w:eastAsia="仿宋" w:cs="仿宋"/>
                <w:color w:val="auto"/>
                <w:kern w:val="0"/>
                <w:szCs w:val="21"/>
                <w:highlight w:val="none"/>
              </w:rPr>
              <w:t>。可附件)</w:t>
            </w:r>
          </w:p>
        </w:tc>
      </w:tr>
      <w:tr w14:paraId="47E0B6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835"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91BEAB">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4164" w:type="pct"/>
            <w:gridSpan w:val="6"/>
            <w:tcBorders>
              <w:top w:val="single" w:color="auto" w:sz="8" w:space="0"/>
              <w:left w:val="single" w:color="auto" w:sz="8" w:space="0"/>
              <w:bottom w:val="single" w:color="auto" w:sz="4" w:space="0"/>
              <w:right w:val="single" w:color="auto" w:sz="8" w:space="0"/>
            </w:tcBorders>
            <w:vAlign w:val="center"/>
          </w:tcPr>
          <w:p w14:paraId="725A74C0">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验收结论性意见：</w:t>
            </w:r>
          </w:p>
        </w:tc>
      </w:tr>
      <w:tr w14:paraId="617B6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835" w:type="pct"/>
            <w:vMerge w:val="continue"/>
            <w:tcBorders>
              <w:top w:val="single" w:color="auto" w:sz="8" w:space="0"/>
              <w:left w:val="single" w:color="auto" w:sz="8" w:space="0"/>
              <w:bottom w:val="single" w:color="auto" w:sz="8" w:space="0"/>
              <w:right w:val="single" w:color="auto" w:sz="8" w:space="0"/>
            </w:tcBorders>
            <w:vAlign w:val="center"/>
          </w:tcPr>
          <w:p w14:paraId="2107B8E2">
            <w:pPr>
              <w:widowControl/>
              <w:spacing w:line="320" w:lineRule="exact"/>
              <w:jc w:val="left"/>
              <w:rPr>
                <w:rFonts w:ascii="仿宋" w:hAnsi="仿宋" w:eastAsia="仿宋" w:cs="仿宋"/>
                <w:color w:val="auto"/>
                <w:kern w:val="0"/>
                <w:szCs w:val="21"/>
                <w:highlight w:val="none"/>
              </w:rPr>
            </w:pPr>
          </w:p>
        </w:tc>
        <w:tc>
          <w:tcPr>
            <w:tcW w:w="4164" w:type="pct"/>
            <w:gridSpan w:val="6"/>
            <w:tcBorders>
              <w:top w:val="single" w:color="auto" w:sz="4" w:space="0"/>
              <w:left w:val="single" w:color="auto" w:sz="8" w:space="0"/>
              <w:bottom w:val="single" w:color="auto" w:sz="8" w:space="0"/>
              <w:right w:val="single" w:color="auto" w:sz="8" w:space="0"/>
            </w:tcBorders>
            <w:vAlign w:val="center"/>
          </w:tcPr>
          <w:p w14:paraId="3B1ADE8D">
            <w:pPr>
              <w:spacing w:before="100" w:beforeAutospacing="1" w:after="100" w:afterAutospacing="1" w:line="320" w:lineRule="exact"/>
              <w:ind w:firstLine="84" w:firstLineChars="4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3C5524AC">
            <w:pPr>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签字：</w:t>
            </w:r>
          </w:p>
        </w:tc>
      </w:tr>
      <w:tr w14:paraId="7557AC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E75404">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0A35E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CF7550">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监督人员或其他相关人员签字：</w:t>
            </w:r>
          </w:p>
          <w:p w14:paraId="52FA2196">
            <w:pPr>
              <w:widowControl/>
              <w:spacing w:before="100" w:beforeAutospacing="1" w:after="100" w:afterAutospacing="1" w:line="320" w:lineRule="exact"/>
              <w:ind w:firstLine="65" w:firstLineChars="3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或受邀机构的意见（盖章）：</w:t>
            </w:r>
          </w:p>
        </w:tc>
      </w:tr>
      <w:tr w14:paraId="290167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501" w:type="pct"/>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5D6560F4">
            <w:pPr>
              <w:widowControl/>
              <w:spacing w:before="100" w:beforeAutospacing="1" w:after="100" w:afterAutospacing="1" w:line="320" w:lineRule="exact"/>
              <w:ind w:firstLine="65" w:firstLineChars="3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中标或者成交供应商负责人签字或盖章：</w:t>
            </w:r>
          </w:p>
          <w:p w14:paraId="26A939BA">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c>
          <w:tcPr>
            <w:tcW w:w="2498" w:type="pct"/>
            <w:gridSpan w:val="4"/>
            <w:tcBorders>
              <w:top w:val="single" w:color="auto" w:sz="8" w:space="0"/>
              <w:left w:val="nil"/>
              <w:bottom w:val="single" w:color="auto" w:sz="8" w:space="0"/>
              <w:right w:val="single" w:color="auto" w:sz="8" w:space="0"/>
            </w:tcBorders>
            <w:vAlign w:val="center"/>
          </w:tcPr>
          <w:p w14:paraId="649073DA">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采购人或受托机构的意见（盖章）：</w:t>
            </w:r>
          </w:p>
          <w:p w14:paraId="45FEBAC1">
            <w:pPr>
              <w:widowControl/>
              <w:spacing w:before="100" w:beforeAutospacing="1" w:after="100" w:afterAutospacing="1" w:line="32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r>
    </w:tbl>
    <w:p w14:paraId="3640382A">
      <w:pPr>
        <w:widowControl/>
        <w:jc w:val="left"/>
        <w:rPr>
          <w:rFonts w:ascii="仿宋" w:hAnsi="仿宋" w:eastAsia="仿宋" w:cs="仿宋"/>
          <w:color w:val="auto"/>
          <w:spacing w:val="-10"/>
          <w:kern w:val="0"/>
          <w:szCs w:val="21"/>
          <w:highlight w:val="none"/>
        </w:rPr>
      </w:pPr>
      <w:r>
        <w:rPr>
          <w:rFonts w:hint="eastAsia" w:ascii="仿宋" w:hAnsi="仿宋" w:eastAsia="仿宋" w:cs="仿宋"/>
          <w:color w:val="auto"/>
          <w:spacing w:val="-10"/>
          <w:kern w:val="0"/>
          <w:szCs w:val="21"/>
          <w:highlight w:val="none"/>
        </w:rPr>
        <w:t>备注：本报告单一式4份（采购单位1份、供应商1份、采购监督部门备案1份、采购代理机构1份）。</w:t>
      </w:r>
    </w:p>
    <w:p w14:paraId="08CF19B1">
      <w:pPr>
        <w:jc w:val="left"/>
        <w:rPr>
          <w:rFonts w:ascii="仿宋" w:hAnsi="仿宋" w:eastAsia="仿宋" w:cs="仿宋"/>
          <w:color w:val="auto"/>
          <w:highlight w:val="none"/>
        </w:rPr>
      </w:pPr>
    </w:p>
    <w:p w14:paraId="3F78F24A">
      <w:pPr>
        <w:spacing w:line="360" w:lineRule="auto"/>
        <w:contextualSpacing/>
        <w:jc w:val="center"/>
        <w:outlineLvl w:val="0"/>
        <w:rPr>
          <w:rFonts w:ascii="仿宋" w:hAnsi="仿宋" w:eastAsia="仿宋" w:cs="仿宋"/>
          <w:b/>
          <w:bCs/>
          <w:color w:val="auto"/>
          <w:sz w:val="32"/>
          <w:szCs w:val="32"/>
          <w:highlight w:val="none"/>
        </w:rPr>
      </w:pPr>
      <w:r>
        <w:rPr>
          <w:rFonts w:hint="eastAsia" w:ascii="仿宋" w:hAnsi="仿宋" w:eastAsia="仿宋" w:cs="仿宋"/>
          <w:color w:val="auto"/>
          <w:highlight w:val="none"/>
        </w:rPr>
        <w:br w:type="page"/>
      </w:r>
      <w:bookmarkStart w:id="56" w:name="_Toc22070"/>
      <w:bookmarkStart w:id="57" w:name="_Toc20219"/>
      <w:r>
        <w:rPr>
          <w:rFonts w:hint="eastAsia" w:ascii="仿宋" w:hAnsi="仿宋" w:eastAsia="仿宋" w:cs="仿宋"/>
          <w:b/>
          <w:bCs/>
          <w:color w:val="auto"/>
          <w:sz w:val="32"/>
          <w:szCs w:val="32"/>
          <w:highlight w:val="none"/>
        </w:rPr>
        <w:t>第四章 评审程序、评审方法和成交标准</w:t>
      </w:r>
      <w:bookmarkEnd w:id="56"/>
      <w:bookmarkEnd w:id="57"/>
    </w:p>
    <w:p w14:paraId="6DBB8848">
      <w:pPr>
        <w:pStyle w:val="4"/>
        <w:spacing w:before="0" w:after="0" w:line="360" w:lineRule="auto"/>
        <w:jc w:val="center"/>
        <w:rPr>
          <w:rFonts w:ascii="仿宋" w:hAnsi="仿宋" w:eastAsia="仿宋" w:cs="仿宋"/>
          <w:bCs w:val="0"/>
          <w:color w:val="auto"/>
          <w:highlight w:val="none"/>
        </w:rPr>
      </w:pPr>
      <w:bookmarkStart w:id="58" w:name="_Toc13375"/>
      <w:bookmarkStart w:id="59" w:name="_Toc32565"/>
      <w:r>
        <w:rPr>
          <w:rFonts w:hint="eastAsia" w:ascii="仿宋" w:hAnsi="仿宋" w:eastAsia="仿宋" w:cs="仿宋"/>
          <w:bCs w:val="0"/>
          <w:color w:val="auto"/>
          <w:highlight w:val="none"/>
        </w:rPr>
        <w:t>第一节 评审程序和评审方法</w:t>
      </w:r>
      <w:bookmarkEnd w:id="58"/>
      <w:bookmarkEnd w:id="59"/>
    </w:p>
    <w:p w14:paraId="23F1933B">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1.确认谈判文件</w:t>
      </w:r>
    </w:p>
    <w:p w14:paraId="37458A1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由谈判小组确认谈判文件。</w:t>
      </w:r>
    </w:p>
    <w:p w14:paraId="151F05B4">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2.资格审查</w:t>
      </w:r>
    </w:p>
    <w:p w14:paraId="5E4A879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2.1响应文件开启后，谈判小组依法对供应商的资格证明文件进行审查。</w:t>
      </w:r>
    </w:p>
    <w:p w14:paraId="7E9D622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注：采购人代表或者采购代理机构在资格审查结束前，对供应商进行信用查询。</w:t>
      </w:r>
    </w:p>
    <w:p w14:paraId="48F9B1EE">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（1）查询渠道：“政采云”平台“信用中国”网站（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Style w:val="38"/>
          <w:rFonts w:hint="eastAsia" w:ascii="仿宋" w:hAnsi="仿宋" w:eastAsia="仿宋" w:cs="仿宋"/>
          <w:color w:val="auto"/>
          <w:sz w:val="24"/>
          <w:szCs w:val="24"/>
          <w:highlight w:val="none"/>
          <w:u w:val="none"/>
        </w:rPr>
        <w:t>www.creditchina.gov.cn</w:t>
      </w:r>
      <w:r>
        <w:rPr>
          <w:rStyle w:val="38"/>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Style w:val="38"/>
          <w:rFonts w:hint="eastAsia" w:ascii="仿宋" w:hAnsi="仿宋" w:eastAsia="仿宋" w:cs="仿宋"/>
          <w:color w:val="auto"/>
          <w:sz w:val="24"/>
          <w:szCs w:val="24"/>
          <w:highlight w:val="none"/>
          <w:u w:val="none"/>
        </w:rPr>
        <w:t>www.ccgp.gov.cn</w:t>
      </w:r>
      <w:r>
        <w:rPr>
          <w:rStyle w:val="38"/>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rPr>
        <w:t>）链接入口。</w:t>
      </w:r>
    </w:p>
    <w:p w14:paraId="763E7C3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（2）信用查询截止时点：资格审查结束前。</w:t>
      </w:r>
    </w:p>
    <w:p w14:paraId="080C07E2">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查询记录和证据留存方式：在查询网站中直接打印查询记录，截图另存为电子文档作为评审资料保存。</w:t>
      </w:r>
    </w:p>
    <w:p w14:paraId="50E8868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D6B48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2.2资格审查标准为本谈判文件中载明对供应商资格要求的条件。资格审查采用合格制，凡符合谈判文件规定的供应商资格要求的响应文件均通过资格审查。</w:t>
      </w:r>
    </w:p>
    <w:p w14:paraId="5BF24FB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2.3供应商有下列情形之一的，资格审查不通过，其响应文件按无效响应处理：</w:t>
      </w:r>
    </w:p>
    <w:p w14:paraId="70D37A0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（1）不具备谈判文件中规定的资格要求的；</w:t>
      </w:r>
    </w:p>
    <w:p w14:paraId="5A3AB56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（2）响应文件未提供任一项“供应商须知前附表”资格证明文件规定的“必须提供”的文件资料的；</w:t>
      </w:r>
    </w:p>
    <w:p w14:paraId="7243910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（3）响应文件提供的资格证明文件出现任一项不符合“供应商须知前附表”资格证明文件规定的“必须提供”的文件资料要求或者无效的。</w:t>
      </w:r>
    </w:p>
    <w:p w14:paraId="077060A3">
      <w:pPr>
        <w:spacing w:line="400" w:lineRule="exact"/>
        <w:ind w:firstLine="480" w:firstLineChars="200"/>
        <w:rPr>
          <w:rFonts w:hint="eastAsia" w:ascii="仿宋" w:hAnsi="仿宋" w:eastAsia="仿宋" w:cs="仿宋"/>
          <w:color w:val="auto"/>
          <w:sz w:val="24"/>
          <w:szCs w:val="24"/>
          <w:highlight w:val="none"/>
        </w:rPr>
      </w:pPr>
      <w:bookmarkStart w:id="60" w:name="_Hlk68601553"/>
      <w:r>
        <w:rPr>
          <w:rFonts w:hint="eastAsia" w:ascii="仿宋" w:hAnsi="仿宋" w:eastAsia="仿宋" w:cs="仿宋"/>
          <w:color w:val="auto"/>
          <w:sz w:val="24"/>
          <w:szCs w:val="24"/>
          <w:highlight w:val="none"/>
        </w:rPr>
        <w:t>（4）同一合同项下的不同供应商，单位负责人为同一人或者存在直接控股、管理关系的；为本项目提供过整体设计、规范编制或者项目管理、监理、检测等货物的。</w:t>
      </w:r>
      <w:bookmarkEnd w:id="60"/>
    </w:p>
    <w:p w14:paraId="7B8E95D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2.4通过资格审查的合格供应商不足3家的，不得进入符合性审查环节，采购人或者采购代理机构应当重新开展采购活动。</w:t>
      </w:r>
    </w:p>
    <w:p w14:paraId="0443ADE6">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3.符合性审查</w:t>
      </w:r>
    </w:p>
    <w:p w14:paraId="2D263F10">
      <w:pPr>
        <w:spacing w:line="400" w:lineRule="exact"/>
        <w:ind w:firstLine="480" w:firstLineChars="200"/>
        <w:rPr>
          <w:rFonts w:hint="eastAsia" w:ascii="仿宋" w:hAnsi="仿宋" w:eastAsia="仿宋" w:cs="仿宋"/>
          <w:color w:val="auto"/>
          <w:sz w:val="24"/>
          <w:szCs w:val="24"/>
          <w:highlight w:val="none"/>
        </w:rPr>
      </w:pPr>
      <w:bookmarkStart w:id="61" w:name="_Hlk42528882"/>
      <w:r>
        <w:rPr>
          <w:rFonts w:hint="eastAsia" w:ascii="仿宋" w:hAnsi="仿宋" w:eastAsia="仿宋" w:cs="仿宋"/>
          <w:color w:val="auto"/>
          <w:sz w:val="24"/>
          <w:szCs w:val="24"/>
          <w:highlight w:val="none"/>
        </w:rPr>
        <w:t>3.1由谈判小组对通过资格审查的合格供应商的响应文件的响应报价、商务、技术等实质性要求进行符合性审查，以确定其是否满足谈判文件的实质性要求。</w:t>
      </w:r>
    </w:p>
    <w:bookmarkEnd w:id="61"/>
    <w:p w14:paraId="7A372CE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87B19A">
      <w:pPr>
        <w:spacing w:line="40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仿宋" w:hAnsi="仿宋" w:eastAsia="仿宋" w:cs="仿宋"/>
          <w:color w:val="auto"/>
          <w:spacing w:val="-6"/>
          <w:sz w:val="24"/>
          <w:szCs w:val="24"/>
          <w:highlight w:val="none"/>
        </w:rPr>
        <w:t>。供应商为自然人的，必须由本人签字并附身份证明。</w:t>
      </w:r>
    </w:p>
    <w:p w14:paraId="6B29C630">
      <w:pPr>
        <w:spacing w:line="400" w:lineRule="exact"/>
        <w:ind w:firstLine="456"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3.4</w:t>
      </w:r>
      <w:r>
        <w:rPr>
          <w:rFonts w:hint="eastAsia" w:ascii="仿宋" w:hAnsi="仿宋" w:eastAsia="仿宋" w:cs="仿宋"/>
          <w:color w:val="auto"/>
          <w:sz w:val="24"/>
          <w:szCs w:val="24"/>
          <w:highlight w:val="none"/>
        </w:rPr>
        <w:t xml:space="preserve">首次响应文件报价出现前后不一致的，按照下列规定修正： </w:t>
      </w:r>
    </w:p>
    <w:p w14:paraId="2FB0CDC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（1）响应文件中报价表内容与响应文件中相应内容不一致的，以报价表为准；</w:t>
      </w:r>
    </w:p>
    <w:p w14:paraId="04FCCB0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220EDFD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（3）单价金额小数点或者百分比有明显错位的，以报价表的总价为准，并修改单价；</w:t>
      </w:r>
    </w:p>
    <w:p w14:paraId="0AFBF33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F1A41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1CDD8CD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3.5商务技术、报价评审</w:t>
      </w:r>
    </w:p>
    <w:p w14:paraId="0C9CC94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在评审时，如发现下列情形之一的，将被视为响应文件无效处理：</w:t>
      </w:r>
    </w:p>
    <w:p w14:paraId="237E58C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（1）商务技术评审</w:t>
      </w:r>
    </w:p>
    <w:p w14:paraId="20497D1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1）响应文件未按谈判文件要求签署、盖章；</w:t>
      </w:r>
    </w:p>
    <w:p w14:paraId="347EC04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2）委托代理人未能出具有效身份证明或者出具的身份证明与授权委托书中的信息不符； </w:t>
      </w:r>
    </w:p>
    <w:p w14:paraId="2298A9C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3）响应文件未提供任一项“供应商须知前附表” 商务技术文件中“必须提供”或者“委托时必须提供”的文件资料；响应文件提供的商务技术文件出现任一项不符合“供应商须知前附表”商务技术文件中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9670D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4）商务条款中标“▲”的条款发生负偏离的或者允许负偏离的条款数超过“供应商须知前附表”规定项数的或者标明实质性的要求发生负偏离；</w:t>
      </w:r>
    </w:p>
    <w:p w14:paraId="365A144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5）未对竞标有效期作出响应或者响应文件承诺的竞标有效期不满足谈判文件要求；</w:t>
      </w:r>
    </w:p>
    <w:p w14:paraId="5C5DE85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6）响应文件的实质性内容未使用中文表述、使用计量单位不符合谈判文件要求；</w:t>
      </w:r>
    </w:p>
    <w:p w14:paraId="4844D44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7）响应文件中的文件资料因填写不齐全或者内容虚假或者出现其他情形而导致被谈判小组认定无效；</w:t>
      </w:r>
    </w:p>
    <w:p w14:paraId="5BAACF6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8）响应文件含有采购人不能接受的附加条件；</w:t>
      </w:r>
    </w:p>
    <w:p w14:paraId="4E6A41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9）属于“供应商须知正文”第7.5条情形；</w:t>
      </w:r>
    </w:p>
    <w:p w14:paraId="206813E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10）技术需求允许负偏离的条款数超过“供应商须知前附表”规定项数；</w:t>
      </w:r>
    </w:p>
    <w:p w14:paraId="46C4071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11）虚假竞标，或者出现其他情形而导致被谈判小组认定无效；</w:t>
      </w:r>
    </w:p>
    <w:p w14:paraId="13D249F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12）竞标技术方案不明确，谈判文件未允许但响应文件中存在一个或者一个以上备选（替代）竞标方案；</w:t>
      </w:r>
    </w:p>
    <w:p w14:paraId="22AC5C6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13）响应文件标注的项目名称或者项目编号与竞争性谈判文件标注的项目名称或者项目编号不一致的；</w:t>
      </w:r>
    </w:p>
    <w:p w14:paraId="40427DE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14）未响应谈判文件实质性要求；</w:t>
      </w:r>
    </w:p>
    <w:p w14:paraId="77582E4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15）法律、法规和谈判文件规定的其他无效情形。</w:t>
      </w:r>
    </w:p>
    <w:p w14:paraId="2237535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（2）报价评审</w:t>
      </w:r>
    </w:p>
    <w:p w14:paraId="2C2044F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1）响应文件未提供“供应商须知前附表”报价文件中规定的“响应报价表”；</w:t>
      </w:r>
    </w:p>
    <w:p w14:paraId="1FDC674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2）未采用人民币报价或者未按照谈判文件标明的币种报价；</w:t>
      </w:r>
    </w:p>
    <w:p w14:paraId="3F73144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3E8B9B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4）响应报价（包含首次报价、最后报价）超过所竞标分标规定的采购预算金额或者最高限价的（如本项目公布了最高限价）；</w:t>
      </w:r>
      <w:bookmarkStart w:id="62" w:name="_Hlk42596405"/>
      <w:r>
        <w:rPr>
          <w:rFonts w:hint="eastAsia" w:ascii="仿宋" w:hAnsi="仿宋" w:eastAsia="仿宋" w:cs="仿宋"/>
          <w:color w:val="auto"/>
          <w:sz w:val="24"/>
          <w:szCs w:val="24"/>
          <w:highlight w:val="none"/>
        </w:rPr>
        <w:t>响应报价（包含首次报价、最后报价）</w:t>
      </w:r>
      <w:bookmarkEnd w:id="62"/>
      <w:bookmarkStart w:id="63" w:name="_Hlk42596276"/>
      <w:r>
        <w:rPr>
          <w:rFonts w:hint="eastAsia" w:ascii="仿宋" w:hAnsi="仿宋" w:eastAsia="仿宋" w:cs="仿宋"/>
          <w:color w:val="auto"/>
          <w:sz w:val="24"/>
          <w:szCs w:val="24"/>
          <w:highlight w:val="none"/>
        </w:rPr>
        <w:t>超过谈判文件分项采购预算金额或者最高限价的</w:t>
      </w:r>
      <w:bookmarkEnd w:id="63"/>
      <w:r>
        <w:rPr>
          <w:rFonts w:hint="eastAsia" w:ascii="仿宋" w:hAnsi="仿宋" w:eastAsia="仿宋" w:cs="仿宋"/>
          <w:color w:val="auto"/>
          <w:sz w:val="24"/>
          <w:szCs w:val="24"/>
          <w:highlight w:val="none"/>
        </w:rPr>
        <w:t>（如本项目公布了最高限价）；</w:t>
      </w:r>
    </w:p>
    <w:p w14:paraId="406DFE9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5730742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6）响应文件响应的标的数量及单位与竞争性谈判采购文件要求实质性不一致的。</w:t>
      </w:r>
    </w:p>
    <w:p w14:paraId="7E4DB34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1ED860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3.7通过符合性审查的合格供应商不足3家的，不得进入谈判环节，应当重新开展采购活动。</w:t>
      </w:r>
    </w:p>
    <w:p w14:paraId="342C7659">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4.谈判程序</w:t>
      </w:r>
    </w:p>
    <w:p w14:paraId="31465D7D">
      <w:pPr>
        <w:spacing w:line="400" w:lineRule="exact"/>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4.1谈判小组按照“供应商须知前附表”确定的</w:t>
      </w:r>
      <w:r>
        <w:rPr>
          <w:rFonts w:hint="eastAsia" w:ascii="仿宋" w:hAnsi="仿宋" w:eastAsia="仿宋" w:cs="仿宋"/>
          <w:color w:val="auto"/>
          <w:sz w:val="24"/>
          <w:szCs w:val="24"/>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仿宋" w:hAnsi="仿宋" w:eastAsia="仿宋" w:cs="仿宋"/>
          <w:b/>
          <w:color w:val="auto"/>
          <w:sz w:val="24"/>
          <w:szCs w:val="24"/>
          <w:highlight w:val="none"/>
        </w:rPr>
        <w:t>其响应文件按无效响应处理。</w:t>
      </w:r>
    </w:p>
    <w:p w14:paraId="1887FEF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6617579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4.3对谈判文件作出的实质性变动是谈判文件的有效组成部分，由谈判小组及时以电子澄清函形式同时通知所有参加谈判的供应商。</w:t>
      </w:r>
    </w:p>
    <w:p w14:paraId="552DB76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141F9A6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4.5谈判中，</w:t>
      </w:r>
      <w:r>
        <w:rPr>
          <w:rFonts w:hint="eastAsia" w:ascii="仿宋" w:hAnsi="仿宋" w:eastAsia="仿宋" w:cs="仿宋"/>
          <w:color w:val="auto"/>
          <w:spacing w:val="-6"/>
          <w:sz w:val="24"/>
          <w:szCs w:val="24"/>
          <w:highlight w:val="none"/>
        </w:rPr>
        <w:t>谈判的任何一方不得透露与谈判有关的其他供应商的技术资料、价格和其他信息。</w:t>
      </w:r>
    </w:p>
    <w:p w14:paraId="6E313310">
      <w:pPr>
        <w:widowControl/>
        <w:tabs>
          <w:tab w:val="left" w:pos="540"/>
        </w:tabs>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4.6谈判小组应对谈判过程和重要谈判内容进行记录，作为评标报告一部分，谈判小组在记录上签字确认。</w:t>
      </w:r>
      <w:r>
        <w:rPr>
          <w:rFonts w:hint="eastAsia" w:ascii="仿宋" w:hAnsi="仿宋" w:eastAsia="仿宋" w:cs="仿宋"/>
          <w:b/>
          <w:color w:val="auto"/>
          <w:sz w:val="24"/>
          <w:szCs w:val="24"/>
          <w:highlight w:val="none"/>
        </w:rPr>
        <w:t>主要内容包括：</w:t>
      </w:r>
    </w:p>
    <w:p w14:paraId="1A6C29C0">
      <w:pPr>
        <w:pStyle w:val="71"/>
        <w:spacing w:before="0" w:line="400" w:lineRule="exact"/>
        <w:ind w:firstLine="416"/>
        <w:rPr>
          <w:rFonts w:hint="eastAsia" w:ascii="仿宋" w:hAnsi="仿宋" w:eastAsia="仿宋" w:cs="仿宋"/>
          <w:color w:val="auto"/>
          <w:spacing w:val="-6"/>
          <w:kern w:val="2"/>
          <w:sz w:val="24"/>
          <w:szCs w:val="24"/>
          <w:highlight w:val="none"/>
        </w:rPr>
      </w:pPr>
      <w:r>
        <w:rPr>
          <w:rFonts w:hint="eastAsia" w:ascii="仿宋" w:hAnsi="仿宋" w:eastAsia="仿宋" w:cs="仿宋"/>
          <w:color w:val="auto"/>
          <w:spacing w:val="-6"/>
          <w:kern w:val="2"/>
          <w:sz w:val="24"/>
          <w:szCs w:val="24"/>
          <w:highlight w:val="none"/>
        </w:rPr>
        <w:t>（1）按照相关规定进行公示的，公示情况说明；</w:t>
      </w:r>
    </w:p>
    <w:p w14:paraId="20EBEBE1">
      <w:pPr>
        <w:pStyle w:val="71"/>
        <w:spacing w:before="0" w:line="400" w:lineRule="exact"/>
        <w:ind w:firstLine="416"/>
        <w:rPr>
          <w:rFonts w:hint="eastAsia" w:ascii="仿宋" w:hAnsi="仿宋" w:eastAsia="仿宋" w:cs="仿宋"/>
          <w:color w:val="auto"/>
          <w:spacing w:val="-6"/>
          <w:kern w:val="2"/>
          <w:sz w:val="24"/>
          <w:szCs w:val="24"/>
          <w:highlight w:val="none"/>
        </w:rPr>
      </w:pPr>
      <w:r>
        <w:rPr>
          <w:rFonts w:hint="eastAsia" w:ascii="仿宋" w:hAnsi="仿宋" w:eastAsia="仿宋" w:cs="仿宋"/>
          <w:color w:val="auto"/>
          <w:spacing w:val="-6"/>
          <w:kern w:val="2"/>
          <w:sz w:val="24"/>
          <w:szCs w:val="24"/>
          <w:highlight w:val="none"/>
        </w:rPr>
        <w:t>（2）谈判日期和地点，谈判人员名单；</w:t>
      </w:r>
    </w:p>
    <w:p w14:paraId="6D135361">
      <w:pPr>
        <w:pStyle w:val="71"/>
        <w:spacing w:before="0" w:line="400" w:lineRule="exact"/>
        <w:ind w:firstLine="416"/>
        <w:rPr>
          <w:rFonts w:hint="eastAsia" w:ascii="仿宋" w:hAnsi="仿宋" w:eastAsia="仿宋" w:cs="仿宋"/>
          <w:color w:val="auto"/>
          <w:spacing w:val="-6"/>
          <w:kern w:val="2"/>
          <w:sz w:val="24"/>
          <w:szCs w:val="24"/>
          <w:highlight w:val="none"/>
        </w:rPr>
      </w:pPr>
      <w:r>
        <w:rPr>
          <w:rFonts w:hint="eastAsia" w:ascii="仿宋" w:hAnsi="仿宋" w:eastAsia="仿宋" w:cs="仿宋"/>
          <w:color w:val="auto"/>
          <w:spacing w:val="-6"/>
          <w:kern w:val="2"/>
          <w:sz w:val="24"/>
          <w:szCs w:val="24"/>
          <w:highlight w:val="none"/>
        </w:rPr>
        <w:t>（3）合同主要条款及价格商定情况。</w:t>
      </w:r>
    </w:p>
    <w:p w14:paraId="5FBFBE81">
      <w:pPr>
        <w:widowControl/>
        <w:tabs>
          <w:tab w:val="left" w:pos="540"/>
        </w:tabs>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4.7谈判过程中重新提交的响应文件，供应商可以在开启前补充、修改。</w:t>
      </w:r>
    </w:p>
    <w:p w14:paraId="0D6DDDF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4.8对谈判过程提交的响应文件进行有效性、完整性和响应程度审查，通过审查的合格供应商不足3家的，采购人或者采购代理机构应当重新开展采购活动。</w:t>
      </w:r>
    </w:p>
    <w:p w14:paraId="3CCC4D17">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5.最后报价</w:t>
      </w:r>
    </w:p>
    <w:p w14:paraId="0B2B9A5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35A0282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0290DB2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最后报价是供应商响应文件的有效组成部分。</w:t>
      </w:r>
    </w:p>
    <w:p w14:paraId="452AC22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5.4已经提交响应文件的供应商，在提交最后报价之前，可以根据谈判情况退出谈判，退出谈判的供应商的响应文件按无效响应处理。</w:t>
      </w:r>
    </w:p>
    <w:p w14:paraId="7BDB1FA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5.5供应商未在规定时间内提交最后报价的</w:t>
      </w:r>
      <w:r>
        <w:rPr>
          <w:rFonts w:hint="eastAsia" w:ascii="仿宋" w:hAnsi="仿宋" w:eastAsia="仿宋" w:cs="仿宋"/>
          <w:b/>
          <w:color w:val="auto"/>
          <w:sz w:val="24"/>
          <w:szCs w:val="24"/>
          <w:highlight w:val="none"/>
        </w:rPr>
        <w:t>，视同放弃报价权利退出谈判。</w:t>
      </w:r>
    </w:p>
    <w:p w14:paraId="24C82D1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5.6最终响应文件的报价出现前后不一致的，按照本章第3.4条的规定修正。 </w:t>
      </w:r>
    </w:p>
    <w:p w14:paraId="313AA00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5.7修正后的最终报价出现下列情形的，按无效响应处理：</w:t>
      </w:r>
    </w:p>
    <w:p w14:paraId="7782A36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（1）供应商不确认的（全流程电子化评标采取在线确认）；</w:t>
      </w:r>
    </w:p>
    <w:p w14:paraId="761C914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供应商确认修正后的响应报价（包含首次报价、最后报价）超过所竞标分标规定的采购预算金额或者最高限价的（如本项目公布了最高限价）（全流程电子化评标多轮报价设置了上线控制价，即预算价）；</w:t>
      </w:r>
    </w:p>
    <w:p w14:paraId="089B1B4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（3）经供应商确认修正后的响应报价（包含首次报价、最后报价）超过分项采购预算金额或者最高限价的（如本项目公布了最高限价）。</w:t>
      </w:r>
    </w:p>
    <w:p w14:paraId="634F091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5.8经供应商确认修正后的最后报价作为评审及签订合同的依据。</w:t>
      </w:r>
    </w:p>
    <w:p w14:paraId="45AE754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5.9供应商出现最后报价按无效响应处理或者响应文件按无效处理时，谈判小组应当告知有关供应商。</w:t>
      </w:r>
    </w:p>
    <w:p w14:paraId="1551362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5.10最后报价结束后，谈判小组不得再与供应商进行任何形式的商谈。</w:t>
      </w:r>
    </w:p>
    <w:p w14:paraId="5021038D">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6.最后报价政府采购政策性扣除</w:t>
      </w:r>
    </w:p>
    <w:p w14:paraId="2B36E93F">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6.1按照《政府采购促进中小企业发展管理办法》（财库〔2020〕46号）的规定，投标人在其投标文件中提供《中小企业声明函》，且其投标产品全部为小型和微型企业产品的，对其最后报价给予 10%的扣除。 </w:t>
      </w:r>
    </w:p>
    <w:p w14:paraId="28927F53">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6.2按照《财政部、司法部关于政府采购支持监狱企业发展有关问题的通知》（财库〔2014〕68 号）的规定，监狱企业视同小型、微型企业，享受预留份额、评审中价格扣除等促进中小企业发展的政府采购政策。 </w:t>
      </w:r>
    </w:p>
    <w:p w14:paraId="7C3DD4E3">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监狱企业参加政府采购活动时，应当提供由省级以上监狱管理局、戒毒管理局(含新疆生产建设兵团)出具的属于监狱企业的证明文件。不重复享受政策。 </w:t>
      </w:r>
    </w:p>
    <w:p w14:paraId="38559B25">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6.3按照《关于促进残疾人就业政府采购政策的通知》（财库〔2017〕 </w:t>
      </w:r>
    </w:p>
    <w:p w14:paraId="1277C342">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7DD48084">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6.4政策性扣除计算方法。</w:t>
      </w:r>
    </w:p>
    <w:p w14:paraId="33942D3F">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在货物采购项目中，投标人投标全部货物由小型和微型企业制造；对符合上述要求的投标人的投标报价给予 10%的扣除，扣除后的价格为评标报价，即评标报价=投标报价×（1-10%）。接受大中型企业与小微企业 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2%（范围为 2%-3%）的扣除，用扣除后的价格参加评审，扣除后的价格为评标报价，即评标报价=投标报价×（1- 2%）。除上述情况外，评标报价=投标报价。</w:t>
      </w:r>
    </w:p>
    <w:p w14:paraId="122D0087">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6.5评审报价＝最后报价。</w:t>
      </w:r>
    </w:p>
    <w:p w14:paraId="5C3B2D75">
      <w:pPr>
        <w:pStyle w:val="4"/>
        <w:spacing w:before="120" w:beforeLines="50" w:after="0" w:line="360" w:lineRule="auto"/>
        <w:ind w:firstLine="482" w:firstLineChars="200"/>
        <w:jc w:val="center"/>
        <w:rPr>
          <w:rFonts w:hint="eastAsia" w:ascii="仿宋" w:hAnsi="仿宋" w:eastAsia="仿宋" w:cs="仿宋"/>
          <w:b w:val="0"/>
          <w:color w:val="auto"/>
          <w:sz w:val="24"/>
          <w:szCs w:val="24"/>
          <w:highlight w:val="none"/>
        </w:rPr>
      </w:pPr>
      <w:bookmarkStart w:id="64" w:name="_Toc2165"/>
      <w:bookmarkStart w:id="65" w:name="_Toc14820"/>
      <w:r>
        <w:rPr>
          <w:rFonts w:hint="eastAsia" w:ascii="仿宋" w:hAnsi="仿宋" w:eastAsia="仿宋" w:cs="仿宋"/>
          <w:bCs w:val="0"/>
          <w:color w:val="auto"/>
          <w:sz w:val="24"/>
          <w:szCs w:val="24"/>
          <w:highlight w:val="none"/>
        </w:rPr>
        <w:t>第二节 评审原则</w:t>
      </w:r>
      <w:bookmarkEnd w:id="64"/>
      <w:bookmarkEnd w:id="65"/>
    </w:p>
    <w:p w14:paraId="3E3C3661">
      <w:pPr>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1.评审原则</w:t>
      </w:r>
    </w:p>
    <w:p w14:paraId="5FEFBDC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BDC455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6" w:name="_Toc321836413"/>
      <w:bookmarkStart w:id="67" w:name="_Toc432194885"/>
      <w:bookmarkStart w:id="68" w:name="_Toc432106535"/>
    </w:p>
    <w:bookmarkEnd w:id="66"/>
    <w:bookmarkEnd w:id="67"/>
    <w:bookmarkEnd w:id="68"/>
    <w:p w14:paraId="299FE7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3CDF94A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2.终止竞争性谈判采购活动</w:t>
      </w:r>
    </w:p>
    <w:p w14:paraId="049B8E9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出现下列情形之一的，采购人或者采购代理机构应当终止竞争性谈判采购活动，发布项目终止公告并说明原因，重新开展采购活动：</w:t>
      </w:r>
    </w:p>
    <w:p w14:paraId="231E4FE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（1）因情况变化，不再符合规定的竞争性谈判采购方式适用情形的； </w:t>
      </w:r>
    </w:p>
    <w:p w14:paraId="000893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348E72B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（3）在采购过程中符合竞争要求的供应商或者报价未超过采购预算的供应商不足3家的，但《政府采购非招标采购方式管理办法》第二十七条第二款规定的情形除外。</w:t>
      </w:r>
    </w:p>
    <w:p w14:paraId="08274E05">
      <w:pPr>
        <w:pStyle w:val="4"/>
        <w:spacing w:before="0" w:after="0" w:line="360" w:lineRule="auto"/>
        <w:ind w:firstLine="482" w:firstLineChars="200"/>
        <w:jc w:val="center"/>
        <w:rPr>
          <w:rFonts w:hint="eastAsia" w:ascii="仿宋" w:hAnsi="仿宋" w:eastAsia="仿宋" w:cs="仿宋"/>
          <w:bCs w:val="0"/>
          <w:color w:val="auto"/>
          <w:sz w:val="24"/>
          <w:szCs w:val="24"/>
          <w:highlight w:val="none"/>
        </w:rPr>
      </w:pPr>
      <w:bookmarkStart w:id="69" w:name="_Toc17941"/>
      <w:bookmarkStart w:id="70" w:name="_Toc22509"/>
      <w:r>
        <w:rPr>
          <w:rFonts w:hint="eastAsia" w:ascii="仿宋" w:hAnsi="仿宋" w:eastAsia="仿宋" w:cs="仿宋"/>
          <w:bCs w:val="0"/>
          <w:color w:val="auto"/>
          <w:sz w:val="24"/>
          <w:szCs w:val="24"/>
          <w:highlight w:val="none"/>
        </w:rPr>
        <w:t>第三节 评标报告</w:t>
      </w:r>
      <w:bookmarkEnd w:id="69"/>
      <w:bookmarkEnd w:id="70"/>
    </w:p>
    <w:p w14:paraId="1307B9B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1.成交标准</w:t>
      </w:r>
    </w:p>
    <w:p w14:paraId="664EDB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26D2104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2.评标争议事项处理</w:t>
      </w:r>
    </w:p>
    <w:p w14:paraId="41A3B407">
      <w:pPr>
        <w:pStyle w:val="71"/>
        <w:spacing w:before="0"/>
        <w:ind w:firstLine="44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谈判小组成员对需要共同认定的事项存在争议的，应当按照少数服从多数的原则作出结论。持不同意见的谈判小组成员应当在评标报告上签署不同意见及理由，否则视为同意评标报告。</w:t>
      </w:r>
    </w:p>
    <w:p w14:paraId="7A5B80FD">
      <w:pPr>
        <w:pStyle w:val="4"/>
        <w:spacing w:before="0" w:after="0" w:line="360" w:lineRule="auto"/>
        <w:ind w:firstLine="482" w:firstLineChars="200"/>
        <w:jc w:val="center"/>
        <w:rPr>
          <w:rFonts w:hint="eastAsia" w:ascii="仿宋" w:hAnsi="仿宋" w:eastAsia="仿宋" w:cs="仿宋"/>
          <w:bCs w:val="0"/>
          <w:color w:val="auto"/>
          <w:sz w:val="24"/>
          <w:szCs w:val="24"/>
          <w:highlight w:val="none"/>
        </w:rPr>
      </w:pPr>
      <w:bookmarkStart w:id="71" w:name="_Toc11"/>
      <w:bookmarkStart w:id="72" w:name="_Toc20952"/>
      <w:r>
        <w:rPr>
          <w:rFonts w:hint="eastAsia" w:ascii="仿宋" w:hAnsi="仿宋" w:eastAsia="仿宋" w:cs="仿宋"/>
          <w:bCs w:val="0"/>
          <w:color w:val="auto"/>
          <w:sz w:val="24"/>
          <w:szCs w:val="24"/>
          <w:highlight w:val="none"/>
        </w:rPr>
        <w:t>第四节 评审过程的保密与录像</w:t>
      </w:r>
      <w:bookmarkEnd w:id="71"/>
      <w:bookmarkEnd w:id="72"/>
    </w:p>
    <w:p w14:paraId="0224143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1.保密</w:t>
      </w:r>
    </w:p>
    <w:p w14:paraId="4405E206">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DA33D4A">
      <w:pPr>
        <w:widowControl/>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2.录音录像</w:t>
      </w:r>
    </w:p>
    <w:p w14:paraId="2E6C9AE2">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采购代理机构对评审工作现场及操作屏幕进行全过程录音录像，录音录像资料作为采购项目文件随其他文件一并存档。</w:t>
      </w:r>
      <w:r>
        <w:rPr>
          <w:rFonts w:hint="eastAsia" w:ascii="仿宋" w:hAnsi="仿宋" w:eastAsia="仿宋" w:cs="仿宋"/>
          <w:color w:val="auto"/>
          <w:highlight w:val="none"/>
        </w:rPr>
        <w:br w:type="page"/>
      </w:r>
    </w:p>
    <w:p w14:paraId="655159AF">
      <w:pPr>
        <w:pStyle w:val="4"/>
        <w:jc w:val="center"/>
        <w:rPr>
          <w:rFonts w:ascii="仿宋" w:hAnsi="仿宋" w:eastAsia="仿宋" w:cs="仿宋"/>
          <w:color w:val="auto"/>
          <w:highlight w:val="none"/>
        </w:rPr>
      </w:pPr>
    </w:p>
    <w:p w14:paraId="65119D09">
      <w:pPr>
        <w:pStyle w:val="4"/>
        <w:jc w:val="center"/>
        <w:rPr>
          <w:rFonts w:ascii="仿宋" w:hAnsi="仿宋" w:eastAsia="仿宋" w:cs="仿宋"/>
          <w:color w:val="auto"/>
          <w:highlight w:val="none"/>
        </w:rPr>
      </w:pPr>
    </w:p>
    <w:p w14:paraId="394FA697">
      <w:pPr>
        <w:pStyle w:val="4"/>
        <w:jc w:val="center"/>
        <w:rPr>
          <w:rFonts w:ascii="仿宋" w:hAnsi="仿宋" w:eastAsia="仿宋" w:cs="仿宋"/>
          <w:color w:val="auto"/>
          <w:highlight w:val="none"/>
        </w:rPr>
      </w:pPr>
    </w:p>
    <w:p w14:paraId="41D4EB28">
      <w:pPr>
        <w:pStyle w:val="4"/>
        <w:jc w:val="center"/>
        <w:rPr>
          <w:rFonts w:ascii="仿宋" w:hAnsi="仿宋" w:eastAsia="仿宋" w:cs="仿宋"/>
          <w:color w:val="auto"/>
          <w:highlight w:val="none"/>
        </w:rPr>
      </w:pPr>
    </w:p>
    <w:p w14:paraId="15E80C2C">
      <w:pPr>
        <w:pStyle w:val="4"/>
        <w:jc w:val="center"/>
        <w:rPr>
          <w:rFonts w:ascii="仿宋" w:hAnsi="仿宋" w:eastAsia="仿宋" w:cs="仿宋"/>
          <w:color w:val="auto"/>
          <w:highlight w:val="none"/>
        </w:rPr>
      </w:pPr>
    </w:p>
    <w:p w14:paraId="0BE873ED">
      <w:pPr>
        <w:keepNext/>
        <w:keepLines/>
        <w:spacing w:line="360" w:lineRule="auto"/>
        <w:jc w:val="center"/>
        <w:outlineLvl w:val="0"/>
        <w:rPr>
          <w:rFonts w:ascii="仿宋" w:hAnsi="仿宋" w:eastAsia="仿宋" w:cs="仿宋"/>
          <w:b/>
          <w:bCs/>
          <w:color w:val="auto"/>
          <w:sz w:val="32"/>
          <w:szCs w:val="32"/>
          <w:highlight w:val="none"/>
        </w:rPr>
      </w:pPr>
      <w:bookmarkStart w:id="73" w:name="_Toc18046"/>
      <w:bookmarkStart w:id="74" w:name="_Toc31628"/>
      <w:r>
        <w:rPr>
          <w:rFonts w:hint="eastAsia" w:ascii="仿宋" w:hAnsi="仿宋" w:eastAsia="仿宋" w:cs="仿宋"/>
          <w:b/>
          <w:bCs/>
          <w:color w:val="auto"/>
          <w:sz w:val="32"/>
          <w:szCs w:val="32"/>
          <w:highlight w:val="none"/>
        </w:rPr>
        <w:t>第五章 响应文件格式</w:t>
      </w:r>
      <w:bookmarkEnd w:id="73"/>
      <w:bookmarkEnd w:id="74"/>
    </w:p>
    <w:p w14:paraId="0158CCB5">
      <w:pPr>
        <w:keepNext/>
        <w:keepLines/>
        <w:spacing w:line="360" w:lineRule="auto"/>
        <w:jc w:val="center"/>
        <w:outlineLvl w:val="1"/>
        <w:rPr>
          <w:rFonts w:ascii="仿宋" w:hAnsi="仿宋" w:eastAsia="仿宋" w:cs="仿宋"/>
          <w:b/>
          <w:color w:val="auto"/>
          <w:highlight w:val="none"/>
        </w:rPr>
      </w:pPr>
      <w:r>
        <w:rPr>
          <w:rFonts w:hint="eastAsia" w:ascii="仿宋" w:hAnsi="仿宋" w:eastAsia="仿宋" w:cs="仿宋"/>
          <w:b/>
          <w:bCs/>
          <w:color w:val="auto"/>
          <w:sz w:val="32"/>
          <w:szCs w:val="32"/>
          <w:highlight w:val="none"/>
        </w:rPr>
        <w:br w:type="page"/>
      </w:r>
      <w:bookmarkStart w:id="75" w:name="_Toc18218"/>
      <w:bookmarkStart w:id="76" w:name="_Toc26094"/>
      <w:r>
        <w:rPr>
          <w:rFonts w:hint="eastAsia" w:ascii="仿宋" w:hAnsi="仿宋" w:eastAsia="仿宋" w:cs="仿宋"/>
          <w:b/>
          <w:color w:val="auto"/>
          <w:sz w:val="32"/>
          <w:szCs w:val="32"/>
          <w:highlight w:val="none"/>
        </w:rPr>
        <w:t>第一节 封面格式</w:t>
      </w:r>
      <w:bookmarkEnd w:id="75"/>
      <w:bookmarkEnd w:id="76"/>
    </w:p>
    <w:p w14:paraId="15C52644">
      <w:pPr>
        <w:rPr>
          <w:rFonts w:ascii="仿宋" w:hAnsi="仿宋" w:eastAsia="仿宋" w:cs="仿宋"/>
          <w:b/>
          <w:color w:val="auto"/>
          <w:sz w:val="32"/>
          <w:szCs w:val="32"/>
          <w:highlight w:val="none"/>
        </w:rPr>
      </w:pPr>
      <w:bookmarkStart w:id="77" w:name="_Toc44229898"/>
    </w:p>
    <w:p w14:paraId="68A1D2BB">
      <w:pP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w:t>
      </w:r>
      <w:bookmarkStart w:id="78" w:name="_Toc35611437"/>
      <w:bookmarkStart w:id="79" w:name="_Toc35611515"/>
      <w:r>
        <w:rPr>
          <w:rFonts w:hint="eastAsia" w:ascii="仿宋" w:hAnsi="仿宋" w:eastAsia="仿宋" w:cs="仿宋"/>
          <w:b/>
          <w:bCs/>
          <w:color w:val="auto"/>
          <w:sz w:val="32"/>
          <w:szCs w:val="32"/>
          <w:highlight w:val="none"/>
        </w:rPr>
        <w:t>响应文件外层包装封面格式</w:t>
      </w:r>
      <w:bookmarkEnd w:id="78"/>
      <w:bookmarkEnd w:id="79"/>
      <w:r>
        <w:rPr>
          <w:rFonts w:hint="eastAsia" w:ascii="仿宋" w:hAnsi="仿宋" w:eastAsia="仿宋" w:cs="仿宋"/>
          <w:b/>
          <w:color w:val="auto"/>
          <w:sz w:val="32"/>
          <w:szCs w:val="32"/>
          <w:highlight w:val="none"/>
        </w:rPr>
        <w:t>）</w:t>
      </w:r>
      <w:bookmarkEnd w:id="77"/>
    </w:p>
    <w:p w14:paraId="4F90E927">
      <w:pPr>
        <w:snapToGrid w:val="0"/>
        <w:spacing w:before="120" w:beforeLines="50" w:after="50"/>
        <w:rPr>
          <w:rFonts w:ascii="仿宋" w:hAnsi="仿宋" w:eastAsia="仿宋" w:cs="仿宋"/>
          <w:color w:val="auto"/>
          <w:sz w:val="24"/>
          <w:szCs w:val="20"/>
          <w:highlight w:val="none"/>
        </w:rPr>
      </w:pPr>
    </w:p>
    <w:p w14:paraId="00FF82FF">
      <w:pPr>
        <w:snapToGrid w:val="0"/>
        <w:spacing w:before="120" w:beforeLines="50" w:after="50"/>
        <w:jc w:val="center"/>
        <w:rPr>
          <w:rFonts w:ascii="仿宋" w:hAnsi="仿宋" w:eastAsia="仿宋" w:cs="仿宋"/>
          <w:bCs/>
          <w:color w:val="auto"/>
          <w:sz w:val="24"/>
          <w:szCs w:val="20"/>
          <w:highlight w:val="none"/>
        </w:rPr>
      </w:pPr>
    </w:p>
    <w:p w14:paraId="30B49373">
      <w:pPr>
        <w:snapToGrid w:val="0"/>
        <w:spacing w:before="120" w:beforeLines="50" w:after="50"/>
        <w:jc w:val="center"/>
        <w:rPr>
          <w:rFonts w:ascii="仿宋" w:hAnsi="仿宋" w:eastAsia="仿宋" w:cs="仿宋"/>
          <w:bCs/>
          <w:color w:val="auto"/>
          <w:sz w:val="44"/>
          <w:szCs w:val="44"/>
          <w:highlight w:val="none"/>
        </w:rPr>
      </w:pPr>
    </w:p>
    <w:p w14:paraId="19E5B09B">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响  应  文  件</w:t>
      </w:r>
    </w:p>
    <w:p w14:paraId="6816E601">
      <w:pPr>
        <w:snapToGrid w:val="0"/>
        <w:spacing w:before="120" w:beforeLines="50" w:after="50"/>
        <w:rPr>
          <w:rFonts w:ascii="仿宋" w:hAnsi="仿宋" w:eastAsia="仿宋" w:cs="仿宋"/>
          <w:bCs/>
          <w:color w:val="auto"/>
          <w:sz w:val="24"/>
          <w:szCs w:val="20"/>
          <w:highlight w:val="none"/>
        </w:rPr>
      </w:pPr>
    </w:p>
    <w:p w14:paraId="707C9E96">
      <w:pPr>
        <w:snapToGrid w:val="0"/>
        <w:spacing w:before="120" w:beforeLines="50" w:after="50"/>
        <w:rPr>
          <w:rFonts w:ascii="仿宋" w:hAnsi="仿宋" w:eastAsia="仿宋" w:cs="仿宋"/>
          <w:bCs/>
          <w:color w:val="auto"/>
          <w:sz w:val="24"/>
          <w:szCs w:val="20"/>
          <w:highlight w:val="none"/>
        </w:rPr>
      </w:pPr>
    </w:p>
    <w:p w14:paraId="6790256E">
      <w:pPr>
        <w:snapToGrid w:val="0"/>
        <w:spacing w:before="120" w:beforeLines="50" w:after="50"/>
        <w:rPr>
          <w:rFonts w:ascii="仿宋" w:hAnsi="仿宋" w:eastAsia="仿宋" w:cs="仿宋"/>
          <w:bCs/>
          <w:color w:val="auto"/>
          <w:sz w:val="32"/>
          <w:szCs w:val="32"/>
          <w:highlight w:val="none"/>
        </w:rPr>
      </w:pPr>
    </w:p>
    <w:p w14:paraId="76CEC999">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7016681F">
      <w:pPr>
        <w:snapToGrid w:val="0"/>
        <w:spacing w:before="120" w:beforeLines="50" w:after="50"/>
        <w:ind w:firstLine="480" w:firstLineChars="150"/>
        <w:rPr>
          <w:rFonts w:ascii="仿宋" w:hAnsi="仿宋" w:eastAsia="仿宋" w:cs="仿宋"/>
          <w:bCs/>
          <w:color w:val="auto"/>
          <w:sz w:val="32"/>
          <w:szCs w:val="32"/>
          <w:highlight w:val="none"/>
        </w:rPr>
      </w:pPr>
    </w:p>
    <w:p w14:paraId="755701E8">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17876FC3">
      <w:pPr>
        <w:snapToGrid w:val="0"/>
        <w:spacing w:before="120" w:beforeLines="50" w:after="50"/>
        <w:ind w:firstLine="480" w:firstLineChars="150"/>
        <w:rPr>
          <w:rFonts w:ascii="仿宋" w:hAnsi="仿宋" w:eastAsia="仿宋" w:cs="仿宋"/>
          <w:bCs/>
          <w:color w:val="auto"/>
          <w:sz w:val="32"/>
          <w:szCs w:val="32"/>
          <w:highlight w:val="none"/>
        </w:rPr>
      </w:pPr>
    </w:p>
    <w:p w14:paraId="60149117">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1E77E441">
      <w:pPr>
        <w:snapToGrid w:val="0"/>
        <w:spacing w:before="120" w:beforeLines="50" w:after="50"/>
        <w:rPr>
          <w:rFonts w:ascii="仿宋" w:hAnsi="仿宋" w:eastAsia="仿宋" w:cs="仿宋"/>
          <w:bCs/>
          <w:color w:val="auto"/>
          <w:sz w:val="32"/>
          <w:szCs w:val="32"/>
          <w:highlight w:val="none"/>
        </w:rPr>
      </w:pPr>
    </w:p>
    <w:p w14:paraId="25AF807D">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521D1F30">
      <w:pPr>
        <w:snapToGrid w:val="0"/>
        <w:spacing w:before="120" w:beforeLines="50" w:after="50"/>
        <w:rPr>
          <w:rFonts w:ascii="仿宋" w:hAnsi="仿宋" w:eastAsia="仿宋" w:cs="仿宋"/>
          <w:bCs/>
          <w:color w:val="auto"/>
          <w:sz w:val="32"/>
          <w:szCs w:val="32"/>
          <w:highlight w:val="none"/>
        </w:rPr>
      </w:pPr>
    </w:p>
    <w:p w14:paraId="1F13BFA1">
      <w:pPr>
        <w:snapToGrid w:val="0"/>
        <w:spacing w:before="120" w:beforeLines="50" w:after="50"/>
        <w:ind w:firstLine="480" w:firstLineChars="1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首次响应文件提交截止时间前不得解密</w:t>
      </w:r>
    </w:p>
    <w:p w14:paraId="3674035D">
      <w:pPr>
        <w:snapToGrid w:val="0"/>
        <w:spacing w:before="120" w:beforeLines="50" w:after="50"/>
        <w:ind w:firstLine="5440" w:firstLineChars="1700"/>
        <w:jc w:val="center"/>
        <w:rPr>
          <w:rFonts w:ascii="仿宋" w:hAnsi="仿宋" w:eastAsia="仿宋" w:cs="仿宋"/>
          <w:bCs/>
          <w:color w:val="auto"/>
          <w:sz w:val="32"/>
          <w:szCs w:val="32"/>
          <w:highlight w:val="none"/>
        </w:rPr>
      </w:pPr>
    </w:p>
    <w:p w14:paraId="5984D9DC">
      <w:pPr>
        <w:snapToGrid w:val="0"/>
        <w:spacing w:before="120" w:beforeLines="50" w:after="50"/>
        <w:ind w:firstLine="645"/>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年    月    日</w:t>
      </w:r>
    </w:p>
    <w:p w14:paraId="05B21EA3">
      <w:pPr>
        <w:spacing w:line="240" w:lineRule="atLeast"/>
        <w:jc w:val="center"/>
        <w:outlineLvl w:val="1"/>
        <w:rPr>
          <w:rFonts w:ascii="仿宋" w:hAnsi="仿宋" w:eastAsia="仿宋" w:cs="仿宋"/>
          <w:b/>
          <w:color w:val="auto"/>
          <w:sz w:val="32"/>
          <w:szCs w:val="32"/>
          <w:highlight w:val="none"/>
        </w:rPr>
      </w:pPr>
      <w:r>
        <w:rPr>
          <w:rFonts w:hint="eastAsia" w:ascii="仿宋" w:hAnsi="仿宋" w:eastAsia="仿宋" w:cs="仿宋"/>
          <w:bCs/>
          <w:color w:val="auto"/>
          <w:sz w:val="24"/>
          <w:highlight w:val="none"/>
        </w:rPr>
        <w:br w:type="page"/>
      </w:r>
      <w:bookmarkStart w:id="80" w:name="_Toc7392"/>
      <w:bookmarkStart w:id="81" w:name="_Toc32746"/>
      <w:r>
        <w:rPr>
          <w:rFonts w:hint="eastAsia" w:ascii="仿宋" w:hAnsi="仿宋" w:eastAsia="仿宋" w:cs="仿宋"/>
          <w:b/>
          <w:color w:val="auto"/>
          <w:sz w:val="32"/>
          <w:szCs w:val="32"/>
          <w:highlight w:val="none"/>
        </w:rPr>
        <w:t>第二节 资格证明文件格式</w:t>
      </w:r>
      <w:bookmarkEnd w:id="80"/>
      <w:bookmarkEnd w:id="81"/>
    </w:p>
    <w:p w14:paraId="675CCEB3">
      <w:pPr>
        <w:snapToGrid w:val="0"/>
        <w:spacing w:before="120" w:beforeLines="50" w:after="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7840A3E">
      <w:pPr>
        <w:snapToGrid w:val="0"/>
        <w:spacing w:before="120" w:beforeLines="50" w:after="50"/>
        <w:jc w:val="right"/>
        <w:rPr>
          <w:rFonts w:ascii="仿宋" w:hAnsi="仿宋" w:eastAsia="仿宋" w:cs="仿宋"/>
          <w:bCs/>
          <w:color w:val="auto"/>
          <w:sz w:val="32"/>
          <w:szCs w:val="20"/>
          <w:highlight w:val="none"/>
        </w:rPr>
      </w:pPr>
      <w:r>
        <w:rPr>
          <w:rFonts w:hint="eastAsia" w:ascii="仿宋" w:hAnsi="仿宋" w:eastAsia="仿宋" w:cs="仿宋"/>
          <w:bCs/>
          <w:color w:val="auto"/>
          <w:sz w:val="22"/>
          <w:szCs w:val="28"/>
          <w:highlight w:val="none"/>
        </w:rPr>
        <w:t>全流程电子文件</w:t>
      </w:r>
    </w:p>
    <w:p w14:paraId="5772D62D">
      <w:pPr>
        <w:snapToGrid w:val="0"/>
        <w:spacing w:before="120" w:beforeLines="50" w:after="50"/>
        <w:rPr>
          <w:rFonts w:ascii="仿宋" w:hAnsi="仿宋" w:eastAsia="仿宋" w:cs="仿宋"/>
          <w:color w:val="auto"/>
          <w:sz w:val="24"/>
          <w:szCs w:val="20"/>
          <w:highlight w:val="none"/>
        </w:rPr>
      </w:pPr>
    </w:p>
    <w:p w14:paraId="5076E335">
      <w:pPr>
        <w:snapToGrid w:val="0"/>
        <w:spacing w:before="120" w:beforeLines="50" w:after="50"/>
        <w:rPr>
          <w:rFonts w:ascii="仿宋" w:hAnsi="仿宋" w:eastAsia="仿宋" w:cs="仿宋"/>
          <w:color w:val="auto"/>
          <w:sz w:val="24"/>
          <w:szCs w:val="20"/>
          <w:highlight w:val="none"/>
        </w:rPr>
      </w:pPr>
    </w:p>
    <w:p w14:paraId="08134622">
      <w:pPr>
        <w:snapToGrid w:val="0"/>
        <w:spacing w:before="120" w:beforeLines="50" w:after="50"/>
        <w:jc w:val="center"/>
        <w:rPr>
          <w:rFonts w:ascii="仿宋" w:hAnsi="仿宋" w:eastAsia="仿宋" w:cs="仿宋"/>
          <w:bCs/>
          <w:color w:val="auto"/>
          <w:sz w:val="24"/>
          <w:szCs w:val="20"/>
          <w:highlight w:val="none"/>
        </w:rPr>
      </w:pPr>
      <w:r>
        <w:rPr>
          <w:rFonts w:hint="eastAsia" w:ascii="仿宋" w:hAnsi="仿宋" w:eastAsia="仿宋" w:cs="仿宋"/>
          <w:b/>
          <w:color w:val="auto"/>
          <w:sz w:val="44"/>
          <w:szCs w:val="44"/>
          <w:highlight w:val="none"/>
        </w:rPr>
        <w:t>资格证明文件（封面）</w:t>
      </w:r>
    </w:p>
    <w:p w14:paraId="6F309B8A">
      <w:pPr>
        <w:snapToGrid w:val="0"/>
        <w:spacing w:before="120" w:beforeLines="50" w:after="50"/>
        <w:rPr>
          <w:rFonts w:ascii="仿宋" w:hAnsi="仿宋" w:eastAsia="仿宋" w:cs="仿宋"/>
          <w:bCs/>
          <w:color w:val="auto"/>
          <w:sz w:val="24"/>
          <w:szCs w:val="20"/>
          <w:highlight w:val="none"/>
        </w:rPr>
      </w:pPr>
    </w:p>
    <w:p w14:paraId="5CDA1E10">
      <w:pPr>
        <w:snapToGrid w:val="0"/>
        <w:spacing w:before="120" w:beforeLines="50" w:after="50"/>
        <w:rPr>
          <w:rFonts w:ascii="仿宋" w:hAnsi="仿宋" w:eastAsia="仿宋" w:cs="仿宋"/>
          <w:bCs/>
          <w:color w:val="auto"/>
          <w:sz w:val="24"/>
          <w:szCs w:val="20"/>
          <w:highlight w:val="none"/>
        </w:rPr>
      </w:pPr>
    </w:p>
    <w:p w14:paraId="6ACD4358">
      <w:pPr>
        <w:snapToGrid w:val="0"/>
        <w:spacing w:before="120" w:beforeLines="50" w:after="50"/>
        <w:rPr>
          <w:rFonts w:ascii="仿宋" w:hAnsi="仿宋" w:eastAsia="仿宋" w:cs="仿宋"/>
          <w:bCs/>
          <w:color w:val="auto"/>
          <w:sz w:val="24"/>
          <w:szCs w:val="20"/>
          <w:highlight w:val="none"/>
        </w:rPr>
      </w:pPr>
    </w:p>
    <w:p w14:paraId="2A5AF897">
      <w:pPr>
        <w:snapToGrid w:val="0"/>
        <w:spacing w:before="120" w:beforeLines="50" w:after="50"/>
        <w:rPr>
          <w:rFonts w:ascii="仿宋" w:hAnsi="仿宋" w:eastAsia="仿宋" w:cs="仿宋"/>
          <w:bCs/>
          <w:color w:val="auto"/>
          <w:sz w:val="24"/>
          <w:szCs w:val="20"/>
          <w:highlight w:val="none"/>
        </w:rPr>
      </w:pPr>
    </w:p>
    <w:p w14:paraId="663C3BFA">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24C2A664">
      <w:pPr>
        <w:snapToGrid w:val="0"/>
        <w:spacing w:before="120" w:beforeLines="50" w:after="50"/>
        <w:ind w:firstLine="720" w:firstLineChars="225"/>
        <w:rPr>
          <w:rFonts w:ascii="仿宋" w:hAnsi="仿宋" w:eastAsia="仿宋" w:cs="仿宋"/>
          <w:bCs/>
          <w:color w:val="auto"/>
          <w:sz w:val="32"/>
          <w:szCs w:val="32"/>
          <w:highlight w:val="none"/>
        </w:rPr>
      </w:pPr>
    </w:p>
    <w:p w14:paraId="39917C5A">
      <w:pPr>
        <w:snapToGrid w:val="0"/>
        <w:spacing w:before="120"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0D4B2F64">
      <w:pPr>
        <w:snapToGrid w:val="0"/>
        <w:spacing w:before="120"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40EDEB1C">
      <w:pPr>
        <w:snapToGrid w:val="0"/>
        <w:spacing w:before="120"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20AFC0BF">
      <w:pPr>
        <w:snapToGrid w:val="0"/>
        <w:spacing w:before="120" w:beforeLines="50" w:after="50"/>
        <w:ind w:firstLine="720" w:firstLineChars="225"/>
        <w:rPr>
          <w:rFonts w:ascii="仿宋" w:hAnsi="仿宋" w:eastAsia="仿宋" w:cs="仿宋"/>
          <w:bCs/>
          <w:color w:val="auto"/>
          <w:sz w:val="32"/>
          <w:szCs w:val="32"/>
          <w:highlight w:val="none"/>
        </w:rPr>
      </w:pPr>
    </w:p>
    <w:p w14:paraId="3DAC91A2">
      <w:pPr>
        <w:pStyle w:val="7"/>
        <w:snapToGrid w:val="0"/>
        <w:spacing w:before="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0355C925">
      <w:pPr>
        <w:pStyle w:val="7"/>
        <w:snapToGrid w:val="0"/>
        <w:spacing w:before="50" w:after="50"/>
        <w:ind w:firstLine="720" w:firstLineChars="225"/>
        <w:rPr>
          <w:rFonts w:ascii="仿宋" w:hAnsi="仿宋" w:eastAsia="仿宋" w:cs="仿宋"/>
          <w:bCs/>
          <w:color w:val="auto"/>
          <w:sz w:val="32"/>
          <w:szCs w:val="32"/>
          <w:highlight w:val="none"/>
        </w:rPr>
      </w:pPr>
    </w:p>
    <w:p w14:paraId="3389E83D">
      <w:pPr>
        <w:pStyle w:val="7"/>
        <w:snapToGrid w:val="0"/>
        <w:spacing w:before="50" w:after="50"/>
        <w:ind w:firstLine="720" w:firstLineChars="225"/>
        <w:rPr>
          <w:rFonts w:ascii="仿宋" w:hAnsi="仿宋" w:eastAsia="仿宋" w:cs="仿宋"/>
          <w:bCs/>
          <w:color w:val="auto"/>
          <w:sz w:val="32"/>
          <w:szCs w:val="32"/>
          <w:highlight w:val="none"/>
        </w:rPr>
      </w:pPr>
    </w:p>
    <w:p w14:paraId="3A45376B">
      <w:pPr>
        <w:pStyle w:val="7"/>
        <w:snapToGrid w:val="0"/>
        <w:spacing w:before="50" w:after="50"/>
        <w:ind w:firstLine="720" w:firstLineChars="225"/>
        <w:rPr>
          <w:rFonts w:ascii="仿宋" w:hAnsi="仿宋" w:eastAsia="仿宋" w:cs="仿宋"/>
          <w:bCs/>
          <w:color w:val="auto"/>
          <w:sz w:val="32"/>
          <w:szCs w:val="32"/>
          <w:highlight w:val="none"/>
        </w:rPr>
      </w:pPr>
    </w:p>
    <w:p w14:paraId="1CF70825">
      <w:pPr>
        <w:pStyle w:val="7"/>
        <w:snapToGrid w:val="0"/>
        <w:spacing w:before="50" w:after="50"/>
        <w:ind w:firstLine="1280" w:firstLineChars="400"/>
        <w:rPr>
          <w:rFonts w:ascii="仿宋" w:hAnsi="仿宋" w:eastAsia="仿宋" w:cs="仿宋"/>
          <w:bCs/>
          <w:color w:val="auto"/>
          <w:sz w:val="32"/>
          <w:szCs w:val="32"/>
          <w:highlight w:val="none"/>
        </w:rPr>
      </w:pPr>
    </w:p>
    <w:p w14:paraId="59E0C38D">
      <w:pPr>
        <w:snapToGrid w:val="0"/>
        <w:spacing w:before="120"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2F8FF1D7">
      <w:pPr>
        <w:snapToGrid w:val="0"/>
        <w:spacing w:before="120" w:beforeLines="50" w:after="50" w:line="360" w:lineRule="auto"/>
        <w:jc w:val="center"/>
        <w:rPr>
          <w:rFonts w:ascii="仿宋" w:hAnsi="仿宋" w:eastAsia="仿宋" w:cs="仿宋"/>
          <w:b/>
          <w:color w:val="auto"/>
          <w:kern w:val="0"/>
          <w:sz w:val="36"/>
          <w:szCs w:val="36"/>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 xml:space="preserve"> </w:t>
      </w:r>
      <w:r>
        <w:rPr>
          <w:rFonts w:hint="eastAsia" w:ascii="仿宋" w:hAnsi="仿宋" w:eastAsia="仿宋" w:cs="仿宋"/>
          <w:b/>
          <w:color w:val="auto"/>
          <w:kern w:val="0"/>
          <w:sz w:val="32"/>
          <w:szCs w:val="32"/>
          <w:highlight w:val="none"/>
        </w:rPr>
        <w:t>资格证明文件目录</w:t>
      </w:r>
    </w:p>
    <w:p w14:paraId="4527D432">
      <w:pPr>
        <w:snapToGrid w:val="0"/>
        <w:spacing w:line="360" w:lineRule="auto"/>
        <w:rPr>
          <w:rFonts w:ascii="仿宋" w:hAnsi="仿宋" w:eastAsia="仿宋" w:cs="仿宋"/>
          <w:color w:val="auto"/>
          <w:kern w:val="0"/>
          <w:sz w:val="24"/>
          <w:highlight w:val="none"/>
        </w:rPr>
      </w:pPr>
    </w:p>
    <w:p w14:paraId="116AEFD2">
      <w:pPr>
        <w:snapToGrid w:val="0"/>
        <w:spacing w:before="120" w:beforeLines="50" w:after="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根据竞争性谈判文件规定及供应商提供的材料自行编写目录（部分格式后附）。</w:t>
      </w:r>
    </w:p>
    <w:p w14:paraId="6E933397">
      <w:pPr>
        <w:spacing w:line="360" w:lineRule="auto"/>
        <w:rPr>
          <w:rFonts w:ascii="仿宋" w:hAnsi="仿宋" w:eastAsia="仿宋" w:cs="仿宋"/>
          <w:b/>
          <w:bCs/>
          <w:color w:val="auto"/>
          <w:sz w:val="24"/>
          <w:highlight w:val="none"/>
        </w:rPr>
      </w:pPr>
    </w:p>
    <w:p w14:paraId="3F73D91C">
      <w:pPr>
        <w:snapToGrid w:val="0"/>
        <w:spacing w:before="120" w:beforeLines="50" w:after="50"/>
        <w:rPr>
          <w:rFonts w:ascii="仿宋" w:hAnsi="仿宋" w:eastAsia="仿宋" w:cs="仿宋"/>
          <w:color w:val="auto"/>
          <w:sz w:val="24"/>
          <w:szCs w:val="20"/>
          <w:highlight w:val="none"/>
        </w:rPr>
        <w:sectPr>
          <w:pgSz w:w="11911" w:h="16838"/>
          <w:pgMar w:top="1338" w:right="1502" w:bottom="850" w:left="1678" w:header="1077" w:footer="720" w:gutter="0"/>
          <w:cols w:space="720" w:num="1"/>
        </w:sectPr>
      </w:pPr>
    </w:p>
    <w:p w14:paraId="0535BFE8">
      <w:pPr>
        <w:spacing w:line="360" w:lineRule="auto"/>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一、供应商为法人或者其他组织的提供其营业执照等证明文件（如营业执照或者事业单位法人证书或者执业许可证等），供应商为自然人的提供其身份证复印件；</w:t>
      </w:r>
    </w:p>
    <w:p w14:paraId="3F3A3DA4">
      <w:pPr>
        <w:spacing w:line="360" w:lineRule="auto"/>
        <w:ind w:firstLine="602" w:firstLineChars="200"/>
        <w:rPr>
          <w:rFonts w:ascii="仿宋" w:hAnsi="仿宋" w:eastAsia="仿宋" w:cs="仿宋"/>
          <w:b/>
          <w:color w:val="auto"/>
          <w:kern w:val="0"/>
          <w:sz w:val="30"/>
          <w:szCs w:val="30"/>
          <w:highlight w:val="none"/>
        </w:rPr>
      </w:pPr>
    </w:p>
    <w:p w14:paraId="51E96EB0">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592A154">
      <w:pPr>
        <w:autoSpaceDE w:val="0"/>
        <w:autoSpaceDN w:val="0"/>
        <w:spacing w:line="360" w:lineRule="auto"/>
        <w:ind w:firstLine="6120" w:firstLineChars="2550"/>
        <w:rPr>
          <w:rFonts w:ascii="仿宋" w:hAnsi="仿宋" w:eastAsia="仿宋" w:cs="仿宋"/>
          <w:color w:val="auto"/>
          <w:sz w:val="24"/>
          <w:szCs w:val="20"/>
          <w:highlight w:val="none"/>
        </w:rPr>
      </w:pPr>
      <w:r>
        <w:rPr>
          <w:rFonts w:hint="eastAsia" w:ascii="仿宋" w:hAnsi="仿宋" w:eastAsia="仿宋" w:cs="仿宋"/>
          <w:color w:val="auto"/>
          <w:kern w:val="0"/>
          <w:sz w:val="24"/>
          <w:highlight w:val="none"/>
          <w:lang w:val="zh-CN"/>
        </w:rPr>
        <w:t>日期：  年  月   日</w:t>
      </w:r>
    </w:p>
    <w:p w14:paraId="3FEFAF91">
      <w:pPr>
        <w:spacing w:line="360" w:lineRule="auto"/>
        <w:ind w:firstLine="602" w:firstLineChars="200"/>
        <w:rPr>
          <w:rFonts w:ascii="仿宋" w:hAnsi="仿宋" w:eastAsia="仿宋" w:cs="仿宋"/>
          <w:b/>
          <w:color w:val="auto"/>
          <w:kern w:val="0"/>
          <w:sz w:val="30"/>
          <w:szCs w:val="30"/>
          <w:highlight w:val="none"/>
        </w:rPr>
      </w:pPr>
    </w:p>
    <w:p w14:paraId="6E315908">
      <w:pPr>
        <w:spacing w:line="360" w:lineRule="auto"/>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二、供应商依法缴纳税收的相关材料</w:t>
      </w:r>
    </w:p>
    <w:p w14:paraId="529819DD">
      <w:pPr>
        <w:spacing w:line="360" w:lineRule="auto"/>
        <w:ind w:firstLine="602" w:firstLineChars="200"/>
        <w:rPr>
          <w:rFonts w:ascii="仿宋" w:hAnsi="仿宋" w:eastAsia="仿宋" w:cs="仿宋"/>
          <w:b/>
          <w:color w:val="auto"/>
          <w:kern w:val="0"/>
          <w:sz w:val="30"/>
          <w:szCs w:val="30"/>
          <w:highlight w:val="none"/>
        </w:rPr>
      </w:pPr>
    </w:p>
    <w:p w14:paraId="45D5565B">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655EDA2">
      <w:pPr>
        <w:autoSpaceDE w:val="0"/>
        <w:autoSpaceDN w:val="0"/>
        <w:spacing w:line="360" w:lineRule="auto"/>
        <w:ind w:firstLine="6120" w:firstLineChars="255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3F0848ED">
      <w:pPr>
        <w:snapToGrid w:val="0"/>
        <w:spacing w:before="120" w:beforeLines="50" w:after="50"/>
        <w:rPr>
          <w:rFonts w:ascii="仿宋" w:hAnsi="仿宋" w:eastAsia="仿宋" w:cs="仿宋"/>
          <w:color w:val="auto"/>
          <w:sz w:val="24"/>
          <w:szCs w:val="20"/>
          <w:highlight w:val="none"/>
        </w:rPr>
      </w:pPr>
    </w:p>
    <w:p w14:paraId="7872EAD6">
      <w:pPr>
        <w:spacing w:line="360" w:lineRule="auto"/>
        <w:ind w:firstLine="602" w:firstLineChars="200"/>
        <w:rPr>
          <w:rFonts w:ascii="仿宋" w:hAnsi="仿宋" w:eastAsia="仿宋" w:cs="仿宋"/>
          <w:b/>
          <w:color w:val="auto"/>
          <w:kern w:val="0"/>
          <w:sz w:val="30"/>
          <w:szCs w:val="30"/>
          <w:highlight w:val="none"/>
        </w:rPr>
      </w:pPr>
    </w:p>
    <w:p w14:paraId="0FF60D3C">
      <w:pPr>
        <w:spacing w:line="300" w:lineRule="auto"/>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三、供应商依法缴纳社会保障资金的相关材料</w:t>
      </w:r>
    </w:p>
    <w:p w14:paraId="5D93B372">
      <w:pPr>
        <w:spacing w:line="360" w:lineRule="auto"/>
        <w:ind w:firstLine="602" w:firstLineChars="200"/>
        <w:rPr>
          <w:rFonts w:ascii="仿宋" w:hAnsi="仿宋" w:eastAsia="仿宋" w:cs="仿宋"/>
          <w:b/>
          <w:color w:val="auto"/>
          <w:kern w:val="0"/>
          <w:sz w:val="30"/>
          <w:szCs w:val="30"/>
          <w:highlight w:val="none"/>
        </w:rPr>
      </w:pPr>
    </w:p>
    <w:p w14:paraId="7CF46F4C">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26A7B26">
      <w:pPr>
        <w:autoSpaceDE w:val="0"/>
        <w:autoSpaceDN w:val="0"/>
        <w:spacing w:line="360" w:lineRule="auto"/>
        <w:ind w:firstLine="6120" w:firstLineChars="2550"/>
        <w:rPr>
          <w:rFonts w:ascii="仿宋" w:hAnsi="仿宋" w:eastAsia="仿宋" w:cs="仿宋"/>
          <w:color w:val="auto"/>
          <w:sz w:val="24"/>
          <w:szCs w:val="20"/>
          <w:highlight w:val="none"/>
        </w:rPr>
      </w:pPr>
      <w:r>
        <w:rPr>
          <w:rFonts w:hint="eastAsia" w:ascii="仿宋" w:hAnsi="仿宋" w:eastAsia="仿宋" w:cs="仿宋"/>
          <w:color w:val="auto"/>
          <w:kern w:val="0"/>
          <w:sz w:val="24"/>
          <w:highlight w:val="none"/>
          <w:lang w:val="zh-CN"/>
        </w:rPr>
        <w:t>日期：  年  月   日</w:t>
      </w:r>
    </w:p>
    <w:p w14:paraId="466EC624">
      <w:pPr>
        <w:spacing w:line="360" w:lineRule="auto"/>
        <w:ind w:firstLine="602" w:firstLineChars="200"/>
        <w:rPr>
          <w:rFonts w:ascii="仿宋" w:hAnsi="仿宋" w:eastAsia="仿宋" w:cs="仿宋"/>
          <w:b/>
          <w:color w:val="auto"/>
          <w:kern w:val="0"/>
          <w:sz w:val="30"/>
          <w:szCs w:val="30"/>
          <w:highlight w:val="none"/>
        </w:rPr>
      </w:pPr>
    </w:p>
    <w:p w14:paraId="47502B90">
      <w:pPr>
        <w:spacing w:line="300" w:lineRule="auto"/>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四、供应商财务状况报告</w:t>
      </w:r>
    </w:p>
    <w:p w14:paraId="4AD7E331">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3F212A4">
      <w:pPr>
        <w:autoSpaceDE w:val="0"/>
        <w:autoSpaceDN w:val="0"/>
        <w:spacing w:line="360" w:lineRule="auto"/>
        <w:ind w:firstLine="6120" w:firstLineChars="255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9CB3D82">
      <w:pPr>
        <w:spacing w:line="32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1F2B07E">
      <w:pPr>
        <w:snapToGrid w:val="0"/>
        <w:spacing w:before="120" w:beforeLines="50" w:after="50" w:line="360" w:lineRule="auto"/>
        <w:jc w:val="center"/>
        <w:rPr>
          <w:rFonts w:ascii="仿宋" w:hAnsi="仿宋" w:eastAsia="仿宋" w:cs="仿宋"/>
          <w:b/>
          <w:color w:val="auto"/>
          <w:sz w:val="24"/>
          <w:highlight w:val="none"/>
        </w:rPr>
      </w:pPr>
    </w:p>
    <w:p w14:paraId="194EEEE1">
      <w:pPr>
        <w:spacing w:line="300" w:lineRule="auto"/>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r>
        <w:rPr>
          <w:rFonts w:hint="eastAsia" w:ascii="仿宋" w:hAnsi="仿宋" w:eastAsia="仿宋" w:cs="仿宋"/>
          <w:b/>
          <w:color w:val="auto"/>
          <w:kern w:val="0"/>
          <w:sz w:val="30"/>
          <w:szCs w:val="30"/>
          <w:highlight w:val="none"/>
        </w:rPr>
        <w:t>五、供应商直接控股、管理关系信息表</w:t>
      </w:r>
    </w:p>
    <w:p w14:paraId="2A47A7AC">
      <w:pPr>
        <w:spacing w:line="360" w:lineRule="auto"/>
        <w:contextualSpacing/>
        <w:jc w:val="center"/>
        <w:rPr>
          <w:rFonts w:ascii="仿宋" w:hAnsi="仿宋" w:eastAsia="仿宋" w:cs="仿宋"/>
          <w:b/>
          <w:color w:val="auto"/>
          <w:kern w:val="0"/>
          <w:sz w:val="30"/>
          <w:szCs w:val="30"/>
          <w:highlight w:val="none"/>
        </w:rPr>
      </w:pPr>
    </w:p>
    <w:p w14:paraId="552E330F">
      <w:pPr>
        <w:spacing w:line="360" w:lineRule="auto"/>
        <w:contextualSpacing/>
        <w:jc w:val="center"/>
        <w:rPr>
          <w:rFonts w:ascii="仿宋" w:hAnsi="仿宋" w:eastAsia="仿宋" w:cs="仿宋"/>
          <w:b/>
          <w:color w:val="auto"/>
          <w:sz w:val="24"/>
          <w:highlight w:val="none"/>
        </w:rPr>
      </w:pPr>
      <w:r>
        <w:rPr>
          <w:rFonts w:hint="eastAsia" w:ascii="仿宋" w:hAnsi="仿宋" w:eastAsia="仿宋" w:cs="仿宋"/>
          <w:b/>
          <w:color w:val="auto"/>
          <w:kern w:val="0"/>
          <w:sz w:val="30"/>
          <w:szCs w:val="30"/>
          <w:highlight w:val="none"/>
        </w:rPr>
        <w:t>供应商直接控股股东信息</w:t>
      </w: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341EB7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B51212">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0C1186">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6CEAB8">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10BB31">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4D73B7">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24A7AA5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4F1497">
            <w:pPr>
              <w:widowControl/>
              <w:spacing w:line="400" w:lineRule="exact"/>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5E23AA">
            <w:pPr>
              <w:widowControl/>
              <w:spacing w:line="400" w:lineRule="exact"/>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007EA">
            <w:pPr>
              <w:widowControl/>
              <w:spacing w:line="400" w:lineRule="exact"/>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7FAE03">
            <w:pPr>
              <w:widowControl/>
              <w:spacing w:line="400" w:lineRule="exact"/>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1ACE02">
            <w:pPr>
              <w:widowControl/>
              <w:spacing w:line="400" w:lineRule="exact"/>
              <w:contextualSpacing/>
              <w:jc w:val="center"/>
              <w:rPr>
                <w:rFonts w:ascii="仿宋" w:hAnsi="仿宋" w:eastAsia="仿宋" w:cs="仿宋"/>
                <w:color w:val="auto"/>
                <w:kern w:val="0"/>
                <w:sz w:val="24"/>
                <w:highlight w:val="none"/>
              </w:rPr>
            </w:pPr>
          </w:p>
        </w:tc>
      </w:tr>
      <w:tr w14:paraId="14010BB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F6A6DA">
            <w:pPr>
              <w:widowControl/>
              <w:spacing w:line="400" w:lineRule="exact"/>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BA0AF1">
            <w:pPr>
              <w:widowControl/>
              <w:spacing w:line="400" w:lineRule="exact"/>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3C5740">
            <w:pPr>
              <w:widowControl/>
              <w:spacing w:line="400" w:lineRule="exact"/>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0B9656">
            <w:pPr>
              <w:widowControl/>
              <w:spacing w:line="400" w:lineRule="exact"/>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1E5A19">
            <w:pPr>
              <w:widowControl/>
              <w:spacing w:line="400" w:lineRule="exact"/>
              <w:contextualSpacing/>
              <w:jc w:val="center"/>
              <w:rPr>
                <w:rFonts w:ascii="仿宋" w:hAnsi="仿宋" w:eastAsia="仿宋" w:cs="仿宋"/>
                <w:color w:val="auto"/>
                <w:kern w:val="0"/>
                <w:sz w:val="24"/>
                <w:highlight w:val="none"/>
              </w:rPr>
            </w:pPr>
          </w:p>
        </w:tc>
      </w:tr>
      <w:tr w14:paraId="7667F2D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D5FBF7">
            <w:pPr>
              <w:widowControl/>
              <w:spacing w:line="400" w:lineRule="exact"/>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886D13">
            <w:pPr>
              <w:widowControl/>
              <w:spacing w:line="400" w:lineRule="exact"/>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B72FCC">
            <w:pPr>
              <w:widowControl/>
              <w:spacing w:line="400" w:lineRule="exact"/>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77AB7F">
            <w:pPr>
              <w:widowControl/>
              <w:spacing w:line="400" w:lineRule="exact"/>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8458D2">
            <w:pPr>
              <w:widowControl/>
              <w:spacing w:line="400" w:lineRule="exact"/>
              <w:contextualSpacing/>
              <w:jc w:val="center"/>
              <w:rPr>
                <w:rFonts w:ascii="仿宋" w:hAnsi="仿宋" w:eastAsia="仿宋" w:cs="仿宋"/>
                <w:color w:val="auto"/>
                <w:kern w:val="0"/>
                <w:sz w:val="24"/>
                <w:highlight w:val="none"/>
              </w:rPr>
            </w:pPr>
          </w:p>
        </w:tc>
      </w:tr>
      <w:tr w14:paraId="0BF100D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CA7261">
            <w:pPr>
              <w:widowControl/>
              <w:spacing w:line="400" w:lineRule="exact"/>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9CFD4B">
            <w:pPr>
              <w:widowControl/>
              <w:spacing w:line="400" w:lineRule="exact"/>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631F2E">
            <w:pPr>
              <w:widowControl/>
              <w:spacing w:line="400" w:lineRule="exact"/>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ACF2DD">
            <w:pPr>
              <w:widowControl/>
              <w:spacing w:line="400" w:lineRule="exact"/>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E59686">
            <w:pPr>
              <w:widowControl/>
              <w:spacing w:line="400" w:lineRule="exact"/>
              <w:contextualSpacing/>
              <w:jc w:val="center"/>
              <w:rPr>
                <w:rFonts w:ascii="仿宋" w:hAnsi="仿宋" w:eastAsia="仿宋" w:cs="仿宋"/>
                <w:color w:val="auto"/>
                <w:kern w:val="0"/>
                <w:sz w:val="24"/>
                <w:highlight w:val="none"/>
              </w:rPr>
            </w:pPr>
          </w:p>
        </w:tc>
      </w:tr>
    </w:tbl>
    <w:p w14:paraId="797A1641">
      <w:pPr>
        <w:spacing w:before="120" w:beforeLines="50" w:line="360" w:lineRule="auto"/>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28C55F57">
      <w:pPr>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F38B7A">
      <w:pPr>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1EDE5513">
      <w:pPr>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2D400ACB">
      <w:pPr>
        <w:snapToGrid w:val="0"/>
        <w:spacing w:line="360" w:lineRule="auto"/>
        <w:jc w:val="left"/>
        <w:rPr>
          <w:rFonts w:ascii="仿宋" w:hAnsi="仿宋" w:eastAsia="仿宋" w:cs="仿宋"/>
          <w:color w:val="auto"/>
          <w:sz w:val="24"/>
          <w:highlight w:val="none"/>
        </w:rPr>
      </w:pPr>
    </w:p>
    <w:p w14:paraId="170BAE56">
      <w:pPr>
        <w:snapToGrid w:val="0"/>
        <w:spacing w:line="360" w:lineRule="auto"/>
        <w:jc w:val="left"/>
        <w:rPr>
          <w:rFonts w:ascii="仿宋" w:hAnsi="仿宋" w:eastAsia="仿宋" w:cs="仿宋"/>
          <w:color w:val="auto"/>
          <w:sz w:val="24"/>
          <w:highlight w:val="none"/>
        </w:rPr>
      </w:pPr>
    </w:p>
    <w:p w14:paraId="488F9528">
      <w:pPr>
        <w:snapToGrid w:val="0"/>
        <w:spacing w:line="360" w:lineRule="auto"/>
        <w:jc w:val="left"/>
        <w:rPr>
          <w:rFonts w:ascii="仿宋" w:hAnsi="仿宋" w:eastAsia="仿宋" w:cs="仿宋"/>
          <w:color w:val="auto"/>
          <w:sz w:val="24"/>
          <w:highlight w:val="none"/>
        </w:rPr>
      </w:pPr>
    </w:p>
    <w:p w14:paraId="60DEAF3C">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B8C65E9">
      <w:pPr>
        <w:autoSpaceDE w:val="0"/>
        <w:autoSpaceDN w:val="0"/>
        <w:spacing w:line="360" w:lineRule="auto"/>
        <w:ind w:firstLine="6120" w:firstLineChars="255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6F255449">
      <w:pPr>
        <w:snapToGrid w:val="0"/>
        <w:jc w:val="center"/>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r>
        <w:rPr>
          <w:rFonts w:hint="eastAsia" w:ascii="仿宋" w:hAnsi="仿宋" w:eastAsia="仿宋" w:cs="仿宋"/>
          <w:b/>
          <w:color w:val="auto"/>
          <w:kern w:val="0"/>
          <w:sz w:val="30"/>
          <w:szCs w:val="30"/>
          <w:highlight w:val="none"/>
        </w:rPr>
        <w:t>供应商直接管理关系信息表</w:t>
      </w:r>
    </w:p>
    <w:p w14:paraId="4A0E6710">
      <w:pPr>
        <w:snapToGrid w:val="0"/>
        <w:spacing w:line="360" w:lineRule="auto"/>
        <w:jc w:val="center"/>
        <w:rPr>
          <w:rFonts w:ascii="仿宋" w:hAnsi="仿宋" w:eastAsia="仿宋" w:cs="仿宋"/>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B049EC5">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BBBC89">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E183D4">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755B3A">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4F7DC">
            <w:pPr>
              <w:widowControl/>
              <w:spacing w:line="400" w:lineRule="exact"/>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7622AF9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A9C1F1">
            <w:pPr>
              <w:widowControl/>
              <w:spacing w:line="400" w:lineRule="exact"/>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195F84">
            <w:pPr>
              <w:widowControl/>
              <w:spacing w:line="400" w:lineRule="exact"/>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F8E350">
            <w:pPr>
              <w:widowControl/>
              <w:spacing w:line="400" w:lineRule="exact"/>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10CA75">
            <w:pPr>
              <w:widowControl/>
              <w:spacing w:line="400" w:lineRule="exact"/>
              <w:contextualSpacing/>
              <w:jc w:val="center"/>
              <w:rPr>
                <w:rFonts w:ascii="仿宋" w:hAnsi="仿宋" w:eastAsia="仿宋" w:cs="仿宋"/>
                <w:color w:val="auto"/>
                <w:kern w:val="0"/>
                <w:sz w:val="24"/>
                <w:highlight w:val="none"/>
              </w:rPr>
            </w:pPr>
          </w:p>
        </w:tc>
      </w:tr>
      <w:tr w14:paraId="15471EF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25ADF1">
            <w:pPr>
              <w:widowControl/>
              <w:spacing w:line="400" w:lineRule="exact"/>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612656">
            <w:pPr>
              <w:widowControl/>
              <w:spacing w:line="400" w:lineRule="exact"/>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175AF8">
            <w:pPr>
              <w:widowControl/>
              <w:spacing w:line="400" w:lineRule="exact"/>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DA70D4">
            <w:pPr>
              <w:widowControl/>
              <w:spacing w:line="400" w:lineRule="exact"/>
              <w:contextualSpacing/>
              <w:jc w:val="center"/>
              <w:rPr>
                <w:rFonts w:ascii="仿宋" w:hAnsi="仿宋" w:eastAsia="仿宋" w:cs="仿宋"/>
                <w:color w:val="auto"/>
                <w:kern w:val="0"/>
                <w:sz w:val="24"/>
                <w:highlight w:val="none"/>
              </w:rPr>
            </w:pPr>
          </w:p>
        </w:tc>
      </w:tr>
      <w:tr w14:paraId="70877AD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A56E2B">
            <w:pPr>
              <w:widowControl/>
              <w:spacing w:line="400" w:lineRule="exact"/>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9A3D0D">
            <w:pPr>
              <w:widowControl/>
              <w:spacing w:line="400" w:lineRule="exact"/>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E993C8">
            <w:pPr>
              <w:widowControl/>
              <w:spacing w:line="400" w:lineRule="exact"/>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B17BE2">
            <w:pPr>
              <w:widowControl/>
              <w:spacing w:line="400" w:lineRule="exact"/>
              <w:contextualSpacing/>
              <w:jc w:val="center"/>
              <w:rPr>
                <w:rFonts w:ascii="仿宋" w:hAnsi="仿宋" w:eastAsia="仿宋" w:cs="仿宋"/>
                <w:color w:val="auto"/>
                <w:kern w:val="0"/>
                <w:sz w:val="24"/>
                <w:highlight w:val="none"/>
              </w:rPr>
            </w:pPr>
          </w:p>
        </w:tc>
      </w:tr>
      <w:tr w14:paraId="3C8E874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5529F0">
            <w:pPr>
              <w:widowControl/>
              <w:spacing w:line="400" w:lineRule="exact"/>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1E0E38">
            <w:pPr>
              <w:widowControl/>
              <w:spacing w:line="400" w:lineRule="exact"/>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041D38">
            <w:pPr>
              <w:widowControl/>
              <w:spacing w:line="400" w:lineRule="exact"/>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48DFF1">
            <w:pPr>
              <w:widowControl/>
              <w:spacing w:line="400" w:lineRule="exact"/>
              <w:contextualSpacing/>
              <w:jc w:val="center"/>
              <w:rPr>
                <w:rFonts w:ascii="仿宋" w:hAnsi="仿宋" w:eastAsia="仿宋" w:cs="仿宋"/>
                <w:color w:val="auto"/>
                <w:kern w:val="0"/>
                <w:sz w:val="24"/>
                <w:highlight w:val="none"/>
              </w:rPr>
            </w:pPr>
          </w:p>
        </w:tc>
      </w:tr>
    </w:tbl>
    <w:p w14:paraId="51AD3084">
      <w:pPr>
        <w:spacing w:before="120" w:beforeLines="50"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0CB28E87">
      <w:pPr>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621A1072">
      <w:pPr>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794EE4E3">
      <w:pPr>
        <w:spacing w:line="360" w:lineRule="auto"/>
        <w:ind w:firstLine="480" w:firstLineChars="200"/>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1A410728">
      <w:pPr>
        <w:spacing w:line="360" w:lineRule="auto"/>
        <w:contextualSpacing/>
        <w:jc w:val="left"/>
        <w:rPr>
          <w:rFonts w:ascii="仿宋" w:hAnsi="仿宋" w:eastAsia="仿宋" w:cs="仿宋"/>
          <w:color w:val="auto"/>
          <w:sz w:val="24"/>
          <w:highlight w:val="none"/>
        </w:rPr>
      </w:pPr>
    </w:p>
    <w:p w14:paraId="127647D9">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82A9386">
      <w:pPr>
        <w:autoSpaceDE w:val="0"/>
        <w:autoSpaceDN w:val="0"/>
        <w:spacing w:line="360" w:lineRule="auto"/>
        <w:ind w:firstLine="6120" w:firstLineChars="255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8D2B135">
      <w:pPr>
        <w:spacing w:line="360" w:lineRule="auto"/>
        <w:ind w:right="480" w:firstLine="240" w:firstLineChars="100"/>
        <w:contextualSpacing/>
        <w:jc w:val="center"/>
        <w:rPr>
          <w:rFonts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518E4175">
      <w:pPr>
        <w:spacing w:line="32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14:paraId="304BEA88">
      <w:pPr>
        <w:spacing w:line="320" w:lineRule="exact"/>
        <w:jc w:val="center"/>
        <w:rPr>
          <w:rFonts w:ascii="仿宋" w:hAnsi="仿宋" w:eastAsia="仿宋" w:cs="仿宋"/>
          <w:b/>
          <w:color w:val="auto"/>
          <w:sz w:val="32"/>
          <w:szCs w:val="32"/>
          <w:highlight w:val="none"/>
        </w:rPr>
      </w:pPr>
    </w:p>
    <w:p w14:paraId="12CB266A">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14:paraId="065AF8BA">
      <w:pPr>
        <w:spacing w:line="320" w:lineRule="exact"/>
        <w:jc w:val="center"/>
        <w:rPr>
          <w:rFonts w:ascii="仿宋" w:hAnsi="仿宋" w:eastAsia="仿宋" w:cs="仿宋"/>
          <w:color w:val="auto"/>
          <w:sz w:val="24"/>
          <w:szCs w:val="20"/>
          <w:highlight w:val="none"/>
        </w:rPr>
      </w:pPr>
    </w:p>
    <w:p w14:paraId="6083C91A">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2B3C1E47">
      <w:pPr>
        <w:wordWrap w:val="0"/>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635A8A">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项目的竞标，为便于贵方公正、择优地确定成交供应商及其竞标产品和货物，我方就本次竞标有关事项郑重声明如下：</w:t>
      </w:r>
    </w:p>
    <w:p w14:paraId="1E1B68A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7A1A63A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1C5FE4E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5EE97A2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（1）将按谈判文件的约定履行合同责任和义务；</w:t>
      </w:r>
    </w:p>
    <w:p w14:paraId="489CCCF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（2）已详细审查全部谈判文件，包括澄清或者更正公告（如有）；</w:t>
      </w:r>
    </w:p>
    <w:p w14:paraId="749F595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5A263D5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（4）响应谈判文件规定的竞标有效期。</w:t>
      </w:r>
    </w:p>
    <w:p w14:paraId="42BD435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46308CB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6EA948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40862CE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D857AC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14367E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C994E6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16AB34A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B1E978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14C780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6CEEC5A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1CAC546">
      <w:pPr>
        <w:spacing w:line="360" w:lineRule="auto"/>
        <w:ind w:firstLine="480" w:firstLineChars="200"/>
        <w:contextualSpacing/>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7.与本谈判有关的一切正式往来信函请寄：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邮政编号：</w:t>
      </w:r>
      <w:r>
        <w:rPr>
          <w:rFonts w:hint="eastAsia" w:ascii="仿宋" w:hAnsi="仿宋" w:eastAsia="仿宋" w:cs="仿宋"/>
          <w:color w:val="auto"/>
          <w:kern w:val="0"/>
          <w:sz w:val="24"/>
          <w:highlight w:val="none"/>
          <w:u w:val="single"/>
        </w:rPr>
        <w:t xml:space="preserve">        </w:t>
      </w:r>
    </w:p>
    <w:p w14:paraId="438E314C">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电话/传真：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电子函件：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225CAA04">
      <w:pPr>
        <w:pStyle w:val="16"/>
        <w:tabs>
          <w:tab w:val="left" w:pos="939"/>
        </w:tabs>
        <w:spacing w:line="360" w:lineRule="auto"/>
        <w:ind w:left="141" w:leftChars="6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14:paraId="7032C506">
      <w:pPr>
        <w:pStyle w:val="16"/>
        <w:tabs>
          <w:tab w:val="left" w:pos="939"/>
        </w:tabs>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43013E83">
      <w:pPr>
        <w:pStyle w:val="16"/>
        <w:tabs>
          <w:tab w:val="left" w:pos="939"/>
        </w:tabs>
        <w:spacing w:line="360" w:lineRule="auto"/>
        <w:ind w:left="141" w:leftChars="6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268EB5F2">
      <w:pPr>
        <w:pStyle w:val="16"/>
        <w:tabs>
          <w:tab w:val="left" w:pos="939"/>
        </w:tabs>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14:paraId="396821F8">
      <w:pPr>
        <w:pStyle w:val="16"/>
        <w:tabs>
          <w:tab w:val="left" w:pos="939"/>
        </w:tabs>
        <w:spacing w:line="360" w:lineRule="auto"/>
        <w:ind w:left="0" w:leftChars="0" w:firstLine="480" w:firstLineChars="200"/>
        <w:rPr>
          <w:rFonts w:ascii="仿宋" w:hAnsi="仿宋" w:eastAsia="仿宋" w:cs="仿宋"/>
          <w:color w:val="auto"/>
          <w:sz w:val="24"/>
          <w:highlight w:val="none"/>
        </w:rPr>
      </w:pPr>
    </w:p>
    <w:p w14:paraId="32F65C54">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59168D1">
      <w:pPr>
        <w:autoSpaceDE w:val="0"/>
        <w:autoSpaceDN w:val="0"/>
        <w:spacing w:line="360" w:lineRule="auto"/>
        <w:ind w:firstLine="6120" w:firstLineChars="2550"/>
        <w:rPr>
          <w:rFonts w:ascii="仿宋" w:hAnsi="仿宋" w:eastAsia="仿宋" w:cs="仿宋"/>
          <w:color w:val="auto"/>
          <w:kern w:val="0"/>
          <w:sz w:val="24"/>
          <w:highlight w:val="none"/>
          <w:lang w:val="zh-CN"/>
        </w:rPr>
        <w:sectPr>
          <w:pgSz w:w="11911" w:h="16838"/>
          <w:pgMar w:top="1338" w:right="1502" w:bottom="850" w:left="1678" w:header="1077" w:footer="720" w:gutter="0"/>
          <w:cols w:space="720" w:num="1"/>
        </w:sectPr>
      </w:pPr>
      <w:r>
        <w:rPr>
          <w:rFonts w:hint="eastAsia" w:ascii="仿宋" w:hAnsi="仿宋" w:eastAsia="仿宋" w:cs="仿宋"/>
          <w:color w:val="auto"/>
          <w:kern w:val="0"/>
          <w:sz w:val="24"/>
          <w:highlight w:val="none"/>
          <w:lang w:val="zh-CN"/>
        </w:rPr>
        <w:t>日期：  年  月   日</w:t>
      </w:r>
    </w:p>
    <w:p w14:paraId="66360188">
      <w:pPr>
        <w:pStyle w:val="7"/>
        <w:overflowPunct w:val="0"/>
        <w:spacing w:line="520" w:lineRule="exact"/>
        <w:ind w:firstLine="0"/>
        <w:rPr>
          <w:rFonts w:ascii="仿宋" w:hAnsi="仿宋" w:eastAsia="仿宋" w:cs="仿宋"/>
          <w:b/>
          <w:bCs/>
          <w:color w:val="auto"/>
          <w:sz w:val="32"/>
          <w:szCs w:val="32"/>
          <w:highlight w:val="none"/>
        </w:rPr>
      </w:pPr>
      <w:r>
        <w:rPr>
          <w:rFonts w:hint="eastAsia" w:ascii="仿宋" w:hAnsi="仿宋" w:eastAsia="仿宋" w:cs="仿宋"/>
          <w:b/>
          <w:color w:val="auto"/>
          <w:kern w:val="0"/>
          <w:sz w:val="30"/>
          <w:szCs w:val="30"/>
          <w:highlight w:val="none"/>
        </w:rPr>
        <w:t>七、</w:t>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val="en-US" w:eastAsia="zh-CN"/>
        </w:rPr>
        <w:t>如有请提供</w:t>
      </w:r>
      <w:r>
        <w:rPr>
          <w:rFonts w:hint="eastAsia" w:ascii="仿宋" w:hAnsi="仿宋" w:eastAsia="仿宋" w:cs="仿宋"/>
          <w:b/>
          <w:color w:val="auto"/>
          <w:sz w:val="32"/>
          <w:szCs w:val="32"/>
          <w:highlight w:val="none"/>
        </w:rPr>
        <w:t>）</w:t>
      </w:r>
    </w:p>
    <w:p w14:paraId="6481497F">
      <w:pPr>
        <w:spacing w:line="600" w:lineRule="exact"/>
        <w:jc w:val="center"/>
        <w:rPr>
          <w:rFonts w:ascii="仿宋" w:hAnsi="仿宋" w:eastAsia="仿宋" w:cs="仿宋"/>
          <w:color w:val="auto"/>
          <w:sz w:val="44"/>
          <w:szCs w:val="44"/>
          <w:highlight w:val="none"/>
        </w:rPr>
      </w:pPr>
    </w:p>
    <w:p w14:paraId="6EF3BECD">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05031B2">
      <w:pPr>
        <w:pStyle w:val="13"/>
        <w:spacing w:after="0" w:line="360" w:lineRule="auto"/>
        <w:ind w:left="-426" w:right="142" w:firstLine="640"/>
        <w:contextualSpacing/>
        <w:rPr>
          <w:rFonts w:ascii="仿宋" w:hAnsi="仿宋" w:eastAsia="仿宋" w:cs="仿宋"/>
          <w:color w:val="auto"/>
          <w:sz w:val="24"/>
          <w:highlight w:val="none"/>
        </w:rPr>
      </w:pPr>
    </w:p>
    <w:p w14:paraId="77FC83BA">
      <w:pPr>
        <w:pStyle w:val="13"/>
        <w:spacing w:after="0"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74F74D5C">
      <w:pPr>
        <w:tabs>
          <w:tab w:val="left" w:pos="1384"/>
          <w:tab w:val="left" w:pos="4562"/>
          <w:tab w:val="left" w:pos="6803"/>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56A3E0B">
      <w:pPr>
        <w:tabs>
          <w:tab w:val="left" w:pos="1065"/>
          <w:tab w:val="left" w:pos="6477"/>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1CC5680C">
      <w:pPr>
        <w:pStyle w:val="13"/>
        <w:spacing w:after="0"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5F9FA2C">
      <w:pPr>
        <w:pStyle w:val="13"/>
        <w:spacing w:after="0"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EB705AA">
      <w:pPr>
        <w:pStyle w:val="13"/>
        <w:spacing w:after="0"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EE3B631">
      <w:pPr>
        <w:pStyle w:val="13"/>
        <w:spacing w:after="0" w:line="360" w:lineRule="auto"/>
        <w:ind w:left="3960" w:right="1808"/>
        <w:contextualSpacing/>
        <w:rPr>
          <w:rFonts w:ascii="仿宋" w:hAnsi="仿宋" w:eastAsia="仿宋" w:cs="仿宋"/>
          <w:color w:val="auto"/>
          <w:sz w:val="24"/>
          <w:highlight w:val="none"/>
        </w:rPr>
      </w:pPr>
    </w:p>
    <w:p w14:paraId="2D404EB0">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DD2BE7C">
      <w:pPr>
        <w:autoSpaceDE w:val="0"/>
        <w:autoSpaceDN w:val="0"/>
        <w:spacing w:line="360" w:lineRule="auto"/>
        <w:ind w:firstLine="6480" w:firstLineChars="27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E8ABB5B">
      <w:pPr>
        <w:pStyle w:val="13"/>
        <w:spacing w:after="0" w:line="360" w:lineRule="auto"/>
        <w:ind w:left="3960" w:right="1808"/>
        <w:contextualSpacing/>
        <w:rPr>
          <w:rFonts w:ascii="仿宋" w:hAnsi="仿宋" w:eastAsia="仿宋" w:cs="仿宋"/>
          <w:color w:val="auto"/>
          <w:highlight w:val="none"/>
        </w:rPr>
      </w:pPr>
    </w:p>
    <w:p w14:paraId="6FF79979">
      <w:pPr>
        <w:snapToGrid w:val="0"/>
        <w:spacing w:line="360" w:lineRule="auto"/>
        <w:ind w:firstLine="480" w:firstLineChars="200"/>
        <w:rPr>
          <w:rFonts w:ascii="仿宋" w:hAnsi="仿宋" w:eastAsia="仿宋" w:cs="仿宋"/>
          <w:b/>
          <w:color w:val="auto"/>
          <w:sz w:val="30"/>
          <w:szCs w:val="30"/>
          <w:highlight w:val="none"/>
        </w:rPr>
      </w:pPr>
      <w:r>
        <w:rPr>
          <w:rFonts w:hint="eastAsia" w:ascii="仿宋" w:hAnsi="仿宋" w:eastAsia="仿宋" w:cs="仿宋"/>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D3988B8">
      <w:pPr>
        <w:autoSpaceDE w:val="0"/>
        <w:autoSpaceDN w:val="0"/>
        <w:spacing w:line="360" w:lineRule="auto"/>
        <w:ind w:firstLine="6120" w:firstLineChars="2550"/>
        <w:rPr>
          <w:rFonts w:ascii="仿宋" w:hAnsi="仿宋" w:eastAsia="仿宋" w:cs="仿宋"/>
          <w:color w:val="auto"/>
          <w:kern w:val="0"/>
          <w:sz w:val="24"/>
          <w:highlight w:val="none"/>
          <w:lang w:val="zh-CN"/>
        </w:rPr>
      </w:pPr>
    </w:p>
    <w:p w14:paraId="11460C76">
      <w:pPr>
        <w:autoSpaceDE w:val="0"/>
        <w:autoSpaceDN w:val="0"/>
        <w:spacing w:line="360" w:lineRule="auto"/>
        <w:ind w:firstLine="6120" w:firstLineChars="2550"/>
        <w:rPr>
          <w:rFonts w:ascii="仿宋" w:hAnsi="仿宋" w:eastAsia="仿宋" w:cs="仿宋"/>
          <w:color w:val="auto"/>
          <w:kern w:val="0"/>
          <w:sz w:val="24"/>
          <w:highlight w:val="none"/>
          <w:lang w:val="zh-CN"/>
        </w:rPr>
      </w:pPr>
    </w:p>
    <w:p w14:paraId="4B646B09">
      <w:pPr>
        <w:autoSpaceDE w:val="0"/>
        <w:autoSpaceDN w:val="0"/>
        <w:spacing w:line="360" w:lineRule="auto"/>
        <w:ind w:firstLine="6120" w:firstLineChars="2550"/>
        <w:rPr>
          <w:rFonts w:ascii="仿宋" w:hAnsi="仿宋" w:eastAsia="仿宋" w:cs="仿宋"/>
          <w:color w:val="auto"/>
          <w:kern w:val="0"/>
          <w:sz w:val="24"/>
          <w:highlight w:val="none"/>
          <w:lang w:val="zh-CN"/>
        </w:rPr>
      </w:pPr>
    </w:p>
    <w:p w14:paraId="20AB85A2">
      <w:pPr>
        <w:autoSpaceDE w:val="0"/>
        <w:autoSpaceDN w:val="0"/>
        <w:spacing w:line="360" w:lineRule="auto"/>
        <w:ind w:firstLine="6120" w:firstLineChars="2550"/>
        <w:rPr>
          <w:rFonts w:ascii="仿宋" w:hAnsi="仿宋" w:eastAsia="仿宋" w:cs="仿宋"/>
          <w:color w:val="auto"/>
          <w:kern w:val="0"/>
          <w:sz w:val="24"/>
          <w:highlight w:val="none"/>
          <w:lang w:val="zh-CN"/>
        </w:rPr>
      </w:pPr>
    </w:p>
    <w:p w14:paraId="676C15D0">
      <w:pPr>
        <w:snapToGrid w:val="0"/>
        <w:spacing w:line="360" w:lineRule="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八、除谈判文件规定必须提供以外，供应商认为需要提供的其他证明材料</w:t>
      </w:r>
    </w:p>
    <w:p w14:paraId="3767FAA9">
      <w:pPr>
        <w:snapToGrid w:val="0"/>
        <w:spacing w:line="360" w:lineRule="auto"/>
        <w:ind w:firstLine="602" w:firstLineChars="200"/>
        <w:rPr>
          <w:rFonts w:ascii="仿宋" w:hAnsi="仿宋" w:eastAsia="仿宋" w:cs="仿宋"/>
          <w:b/>
          <w:color w:val="auto"/>
          <w:sz w:val="30"/>
          <w:szCs w:val="30"/>
          <w:highlight w:val="none"/>
        </w:rPr>
      </w:pPr>
    </w:p>
    <w:p w14:paraId="5C58FC21">
      <w:pPr>
        <w:pStyle w:val="4"/>
        <w:jc w:val="center"/>
        <w:rPr>
          <w:rFonts w:ascii="仿宋" w:hAnsi="仿宋" w:eastAsia="仿宋" w:cs="仿宋"/>
          <w:b w:val="0"/>
          <w:color w:val="auto"/>
          <w:highlight w:val="none"/>
        </w:rPr>
      </w:pPr>
      <w:r>
        <w:rPr>
          <w:rFonts w:hint="eastAsia" w:ascii="仿宋" w:hAnsi="仿宋" w:eastAsia="仿宋" w:cs="仿宋"/>
          <w:color w:val="auto"/>
          <w:highlight w:val="none"/>
        </w:rPr>
        <w:br w:type="page"/>
      </w:r>
      <w:bookmarkStart w:id="82" w:name="_Toc14274"/>
      <w:bookmarkStart w:id="83" w:name="_Toc22845"/>
      <w:r>
        <w:rPr>
          <w:rFonts w:hint="eastAsia" w:ascii="仿宋" w:hAnsi="仿宋" w:eastAsia="仿宋" w:cs="仿宋"/>
          <w:color w:val="auto"/>
          <w:highlight w:val="none"/>
        </w:rPr>
        <w:t>第三节 商务技术文件格式</w:t>
      </w:r>
      <w:bookmarkEnd w:id="82"/>
      <w:bookmarkEnd w:id="83"/>
    </w:p>
    <w:p w14:paraId="00C6ECEB">
      <w:pPr>
        <w:snapToGrid w:val="0"/>
        <w:spacing w:before="120"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sz w:val="24"/>
          <w:szCs w:val="32"/>
          <w:highlight w:val="none"/>
        </w:rPr>
        <w:t>全流程电子文件</w:t>
      </w:r>
    </w:p>
    <w:p w14:paraId="162966FB">
      <w:pPr>
        <w:snapToGrid w:val="0"/>
        <w:spacing w:before="120" w:beforeLines="50" w:after="50"/>
        <w:rPr>
          <w:rFonts w:ascii="仿宋" w:hAnsi="仿宋" w:eastAsia="仿宋" w:cs="仿宋"/>
          <w:color w:val="auto"/>
          <w:sz w:val="24"/>
          <w:szCs w:val="20"/>
          <w:highlight w:val="none"/>
        </w:rPr>
      </w:pPr>
    </w:p>
    <w:p w14:paraId="32DA508E">
      <w:pPr>
        <w:snapToGrid w:val="0"/>
        <w:spacing w:before="120" w:beforeLines="50" w:after="50"/>
        <w:rPr>
          <w:rFonts w:ascii="仿宋" w:hAnsi="仿宋" w:eastAsia="仿宋" w:cs="仿宋"/>
          <w:color w:val="auto"/>
          <w:sz w:val="24"/>
          <w:szCs w:val="20"/>
          <w:highlight w:val="none"/>
        </w:rPr>
      </w:pPr>
    </w:p>
    <w:p w14:paraId="2353C136">
      <w:pPr>
        <w:snapToGrid w:val="0"/>
        <w:spacing w:before="120" w:beforeLines="50" w:after="50"/>
        <w:rPr>
          <w:rFonts w:ascii="仿宋" w:hAnsi="仿宋" w:eastAsia="仿宋" w:cs="仿宋"/>
          <w:color w:val="auto"/>
          <w:sz w:val="24"/>
          <w:szCs w:val="20"/>
          <w:highlight w:val="none"/>
        </w:rPr>
      </w:pPr>
    </w:p>
    <w:p w14:paraId="4D82E13C">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
          <w:color w:val="auto"/>
          <w:sz w:val="44"/>
          <w:szCs w:val="44"/>
          <w:highlight w:val="none"/>
        </w:rPr>
        <w:t>商务技术文件（封面）</w:t>
      </w:r>
    </w:p>
    <w:p w14:paraId="01DC194C">
      <w:pPr>
        <w:snapToGrid w:val="0"/>
        <w:spacing w:before="120" w:beforeLines="50" w:after="50"/>
        <w:rPr>
          <w:rFonts w:ascii="仿宋" w:hAnsi="仿宋" w:eastAsia="仿宋" w:cs="仿宋"/>
          <w:bCs/>
          <w:color w:val="auto"/>
          <w:sz w:val="24"/>
          <w:szCs w:val="20"/>
          <w:highlight w:val="none"/>
        </w:rPr>
      </w:pPr>
    </w:p>
    <w:p w14:paraId="5D81935C">
      <w:pPr>
        <w:snapToGrid w:val="0"/>
        <w:spacing w:before="120" w:beforeLines="50" w:after="50"/>
        <w:rPr>
          <w:rFonts w:ascii="仿宋" w:hAnsi="仿宋" w:eastAsia="仿宋" w:cs="仿宋"/>
          <w:bCs/>
          <w:color w:val="auto"/>
          <w:sz w:val="24"/>
          <w:szCs w:val="20"/>
          <w:highlight w:val="none"/>
        </w:rPr>
      </w:pPr>
    </w:p>
    <w:p w14:paraId="64A49677">
      <w:pPr>
        <w:snapToGrid w:val="0"/>
        <w:spacing w:before="120" w:beforeLines="50" w:after="50"/>
        <w:rPr>
          <w:rFonts w:ascii="仿宋" w:hAnsi="仿宋" w:eastAsia="仿宋" w:cs="仿宋"/>
          <w:bCs/>
          <w:color w:val="auto"/>
          <w:sz w:val="24"/>
          <w:szCs w:val="20"/>
          <w:highlight w:val="none"/>
        </w:rPr>
      </w:pPr>
    </w:p>
    <w:p w14:paraId="0386AB85">
      <w:pPr>
        <w:snapToGrid w:val="0"/>
        <w:spacing w:before="120" w:beforeLines="50" w:after="50"/>
        <w:rPr>
          <w:rFonts w:ascii="仿宋" w:hAnsi="仿宋" w:eastAsia="仿宋" w:cs="仿宋"/>
          <w:bCs/>
          <w:color w:val="auto"/>
          <w:sz w:val="24"/>
          <w:szCs w:val="20"/>
          <w:highlight w:val="none"/>
        </w:rPr>
      </w:pPr>
    </w:p>
    <w:p w14:paraId="0D46F25D">
      <w:pPr>
        <w:snapToGrid w:val="0"/>
        <w:spacing w:before="120" w:beforeLines="50" w:after="50"/>
        <w:rPr>
          <w:rFonts w:ascii="仿宋" w:hAnsi="仿宋" w:eastAsia="仿宋" w:cs="仿宋"/>
          <w:bCs/>
          <w:color w:val="auto"/>
          <w:sz w:val="24"/>
          <w:szCs w:val="20"/>
          <w:highlight w:val="none"/>
        </w:rPr>
      </w:pPr>
    </w:p>
    <w:p w14:paraId="7FBAFE8C">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0C012BE8">
      <w:pPr>
        <w:snapToGrid w:val="0"/>
        <w:spacing w:before="120" w:beforeLines="50" w:after="50"/>
        <w:ind w:firstLine="720" w:firstLineChars="225"/>
        <w:rPr>
          <w:rFonts w:ascii="仿宋" w:hAnsi="仿宋" w:eastAsia="仿宋" w:cs="仿宋"/>
          <w:bCs/>
          <w:color w:val="auto"/>
          <w:sz w:val="32"/>
          <w:szCs w:val="32"/>
          <w:highlight w:val="none"/>
        </w:rPr>
      </w:pPr>
    </w:p>
    <w:p w14:paraId="7DE3CE19">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32A0D2CC">
      <w:pPr>
        <w:snapToGrid w:val="0"/>
        <w:spacing w:before="120"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72CF65E0">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17CE294F">
      <w:pPr>
        <w:snapToGrid w:val="0"/>
        <w:spacing w:before="120" w:beforeLines="50" w:after="50"/>
        <w:ind w:firstLine="720" w:firstLineChars="225"/>
        <w:rPr>
          <w:rFonts w:ascii="仿宋" w:hAnsi="仿宋" w:eastAsia="仿宋" w:cs="仿宋"/>
          <w:bCs/>
          <w:color w:val="auto"/>
          <w:sz w:val="32"/>
          <w:szCs w:val="32"/>
          <w:highlight w:val="none"/>
        </w:rPr>
      </w:pPr>
    </w:p>
    <w:p w14:paraId="354D031D">
      <w:pPr>
        <w:pStyle w:val="7"/>
        <w:snapToGrid w:val="0"/>
        <w:spacing w:before="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6295E822">
      <w:pPr>
        <w:pStyle w:val="7"/>
        <w:snapToGrid w:val="0"/>
        <w:spacing w:before="50" w:after="50"/>
        <w:ind w:firstLine="720" w:firstLineChars="225"/>
        <w:rPr>
          <w:rFonts w:ascii="仿宋" w:hAnsi="仿宋" w:eastAsia="仿宋" w:cs="仿宋"/>
          <w:bCs/>
          <w:color w:val="auto"/>
          <w:sz w:val="32"/>
          <w:szCs w:val="32"/>
          <w:highlight w:val="none"/>
        </w:rPr>
      </w:pPr>
    </w:p>
    <w:p w14:paraId="16919157">
      <w:pPr>
        <w:pStyle w:val="7"/>
        <w:snapToGrid w:val="0"/>
        <w:spacing w:before="50" w:after="50"/>
        <w:ind w:firstLine="720" w:firstLineChars="225"/>
        <w:rPr>
          <w:rFonts w:ascii="仿宋" w:hAnsi="仿宋" w:eastAsia="仿宋" w:cs="仿宋"/>
          <w:bCs/>
          <w:color w:val="auto"/>
          <w:sz w:val="32"/>
          <w:szCs w:val="32"/>
          <w:highlight w:val="none"/>
        </w:rPr>
      </w:pPr>
    </w:p>
    <w:p w14:paraId="1EEF8532">
      <w:pPr>
        <w:pStyle w:val="7"/>
        <w:snapToGrid w:val="0"/>
        <w:spacing w:before="50" w:after="50"/>
        <w:ind w:firstLine="1280" w:firstLineChars="400"/>
        <w:rPr>
          <w:rFonts w:ascii="仿宋" w:hAnsi="仿宋" w:eastAsia="仿宋" w:cs="仿宋"/>
          <w:bCs/>
          <w:color w:val="auto"/>
          <w:sz w:val="32"/>
          <w:szCs w:val="32"/>
          <w:highlight w:val="none"/>
        </w:rPr>
      </w:pPr>
    </w:p>
    <w:p w14:paraId="10471B0C">
      <w:pPr>
        <w:snapToGrid w:val="0"/>
        <w:spacing w:before="120"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E622930">
      <w:pPr>
        <w:jc w:val="center"/>
        <w:rPr>
          <w:rFonts w:ascii="仿宋" w:hAnsi="仿宋" w:eastAsia="仿宋" w:cs="仿宋"/>
          <w:b/>
          <w:color w:val="auto"/>
          <w:kern w:val="0"/>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kern w:val="0"/>
          <w:sz w:val="28"/>
          <w:szCs w:val="28"/>
          <w:highlight w:val="none"/>
        </w:rPr>
        <w:t>商务技术文件目录</w:t>
      </w:r>
    </w:p>
    <w:p w14:paraId="182B715B">
      <w:pPr>
        <w:jc w:val="center"/>
        <w:rPr>
          <w:rFonts w:ascii="仿宋" w:hAnsi="仿宋" w:eastAsia="仿宋" w:cs="仿宋"/>
          <w:b/>
          <w:color w:val="auto"/>
          <w:kern w:val="0"/>
          <w:sz w:val="28"/>
          <w:szCs w:val="28"/>
          <w:highlight w:val="none"/>
        </w:rPr>
      </w:pPr>
    </w:p>
    <w:p w14:paraId="0B38CC44">
      <w:pPr>
        <w:snapToGrid w:val="0"/>
        <w:spacing w:before="120" w:beforeLines="50" w:after="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根据竞争性谈判文件规定及供应商提供的材料自行编写目录（部分格式后附）。</w:t>
      </w:r>
    </w:p>
    <w:p w14:paraId="4F66BB19">
      <w:pPr>
        <w:spacing w:line="360" w:lineRule="auto"/>
        <w:rPr>
          <w:rFonts w:ascii="仿宋" w:hAnsi="仿宋" w:eastAsia="仿宋" w:cs="仿宋"/>
          <w:b/>
          <w:bCs/>
          <w:color w:val="auto"/>
          <w:sz w:val="24"/>
          <w:highlight w:val="none"/>
        </w:rPr>
      </w:pPr>
    </w:p>
    <w:p w14:paraId="74AC9195">
      <w:pPr>
        <w:snapToGrid w:val="0"/>
        <w:spacing w:before="120" w:beforeLines="50" w:after="50" w:line="360" w:lineRule="auto"/>
        <w:ind w:left="142" w:firstLine="640" w:firstLineChars="200"/>
        <w:jc w:val="left"/>
        <w:rPr>
          <w:rFonts w:ascii="仿宋" w:hAnsi="仿宋" w:eastAsia="仿宋" w:cs="仿宋"/>
          <w:color w:val="auto"/>
          <w:sz w:val="32"/>
          <w:szCs w:val="32"/>
          <w:highlight w:val="none"/>
        </w:rPr>
      </w:pPr>
    </w:p>
    <w:p w14:paraId="2FAA1EDF">
      <w:pPr>
        <w:spacing w:line="520" w:lineRule="exact"/>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14:paraId="6E24346C">
      <w:pPr>
        <w:spacing w:line="520" w:lineRule="exact"/>
        <w:jc w:val="center"/>
        <w:rPr>
          <w:rFonts w:ascii="仿宋" w:hAnsi="仿宋" w:eastAsia="仿宋" w:cs="仿宋"/>
          <w:color w:val="auto"/>
          <w:sz w:val="44"/>
          <w:szCs w:val="44"/>
          <w:highlight w:val="none"/>
        </w:rPr>
      </w:pPr>
    </w:p>
    <w:p w14:paraId="5EDE8F9F">
      <w:pPr>
        <w:spacing w:line="520" w:lineRule="exact"/>
        <w:jc w:val="center"/>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无串通竞标行为的承诺函</w:t>
      </w:r>
    </w:p>
    <w:p w14:paraId="6D60C98F">
      <w:pPr>
        <w:spacing w:line="360" w:lineRule="auto"/>
        <w:contextualSpacing/>
        <w:rPr>
          <w:rFonts w:ascii="仿宋" w:hAnsi="仿宋" w:eastAsia="仿宋" w:cs="仿宋"/>
          <w:color w:val="auto"/>
          <w:sz w:val="32"/>
          <w:szCs w:val="32"/>
          <w:highlight w:val="none"/>
        </w:rPr>
      </w:pPr>
    </w:p>
    <w:p w14:paraId="643B6DCF">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一、我方承诺无下列相互串通竞标的情形：</w:t>
      </w:r>
    </w:p>
    <w:p w14:paraId="44AA233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1.不同供应商的响应文件由同一单位或者个人编制；</w:t>
      </w:r>
    </w:p>
    <w:p w14:paraId="0AADB1B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75A5092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3.不同的供应商的响应文件载明的项目管理员为同一个人；</w:t>
      </w:r>
    </w:p>
    <w:p w14:paraId="0A3F6C3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4.不</w:t>
      </w:r>
      <w:r>
        <w:rPr>
          <w:rFonts w:hint="eastAsia" w:ascii="仿宋" w:hAnsi="仿宋" w:eastAsia="仿宋" w:cs="仿宋"/>
          <w:color w:val="auto"/>
          <w:spacing w:val="-6"/>
          <w:sz w:val="24"/>
          <w:highlight w:val="none"/>
        </w:rPr>
        <w:t>同供应商的响应文件异常一致或者竞标报价呈规律性差异；</w:t>
      </w:r>
    </w:p>
    <w:p w14:paraId="2E06F55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0C1EA495">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二、我方承诺无下列恶意串通的情形：</w:t>
      </w:r>
    </w:p>
    <w:p w14:paraId="2C63327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28DE313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26A5804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3.供</w:t>
      </w:r>
      <w:r>
        <w:rPr>
          <w:rFonts w:hint="eastAsia" w:ascii="仿宋" w:hAnsi="仿宋" w:eastAsia="仿宋" w:cs="仿宋"/>
          <w:color w:val="auto"/>
          <w:spacing w:val="-6"/>
          <w:sz w:val="24"/>
          <w:highlight w:val="none"/>
        </w:rPr>
        <w:t>应商之间协商报价、技术方案等响应文件的实质性内容；</w:t>
      </w:r>
    </w:p>
    <w:p w14:paraId="4F1DB9C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52E6B83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45B6A7E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301B54B1">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w:t>
      </w:r>
      <w:r>
        <w:rPr>
          <w:rFonts w:hint="eastAsia" w:ascii="仿宋" w:hAnsi="仿宋" w:eastAsia="仿宋" w:cs="仿宋"/>
          <w:color w:val="auto"/>
          <w:spacing w:val="-6"/>
          <w:sz w:val="24"/>
          <w:highlight w:val="none"/>
        </w:rPr>
        <w:t>谋求特定供应商成交或者排斥其他供应商的其他串通行为。</w:t>
      </w:r>
    </w:p>
    <w:p w14:paraId="1056C8D3">
      <w:pPr>
        <w:spacing w:line="360" w:lineRule="auto"/>
        <w:ind w:firstLine="480" w:firstLineChars="200"/>
        <w:contextualSpacing/>
        <w:rPr>
          <w:rFonts w:ascii="仿宋" w:hAnsi="仿宋" w:eastAsia="仿宋" w:cs="仿宋"/>
          <w:color w:val="auto"/>
          <w:sz w:val="24"/>
          <w:highlight w:val="none"/>
        </w:rPr>
      </w:pPr>
    </w:p>
    <w:p w14:paraId="4E9B3528">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以上情形一经核查属实，我方愿意承担一切后果，并不再寻求任何旨在减轻或者免除法律责任的辩解。</w:t>
      </w:r>
    </w:p>
    <w:p w14:paraId="0328B691">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8561502">
      <w:pPr>
        <w:spacing w:line="520" w:lineRule="exact"/>
        <w:ind w:firstLine="6360" w:firstLineChars="2650"/>
        <w:jc w:val="left"/>
        <w:rPr>
          <w:rFonts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仿宋" w:hAnsi="仿宋" w:eastAsia="仿宋" w:cs="仿宋"/>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54E09F49">
      <w:pPr>
        <w:spacing w:line="520" w:lineRule="exact"/>
        <w:jc w:val="center"/>
        <w:rPr>
          <w:rFonts w:ascii="仿宋" w:hAnsi="仿宋" w:eastAsia="仿宋" w:cs="仿宋"/>
          <w:bCs/>
          <w:color w:val="auto"/>
          <w:sz w:val="44"/>
          <w:szCs w:val="44"/>
          <w:highlight w:val="none"/>
        </w:rPr>
      </w:pPr>
    </w:p>
    <w:p w14:paraId="795D0FB1">
      <w:pPr>
        <w:spacing w:line="5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法定代表人身份证明书</w:t>
      </w:r>
    </w:p>
    <w:p w14:paraId="54F626E0">
      <w:pPr>
        <w:spacing w:line="360" w:lineRule="auto"/>
        <w:ind w:left="540"/>
        <w:contextualSpacing/>
        <w:rPr>
          <w:rFonts w:ascii="仿宋" w:hAnsi="仿宋" w:eastAsia="仿宋" w:cs="仿宋"/>
          <w:color w:val="auto"/>
          <w:sz w:val="32"/>
          <w:szCs w:val="32"/>
          <w:highlight w:val="none"/>
        </w:rPr>
      </w:pPr>
    </w:p>
    <w:p w14:paraId="24C856F2">
      <w:pPr>
        <w:spacing w:line="70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14:paraId="2A406B9D">
      <w:pPr>
        <w:spacing w:line="70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79221F0D">
      <w:pPr>
        <w:spacing w:line="70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75F34D2D">
      <w:pPr>
        <w:spacing w:line="700" w:lineRule="exact"/>
        <w:ind w:firstLine="480" w:firstLineChars="2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49968E74">
      <w:pPr>
        <w:spacing w:line="70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5484F3C7">
      <w:pPr>
        <w:spacing w:line="70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的法定代表人。</w:t>
      </w:r>
    </w:p>
    <w:p w14:paraId="39C4087D">
      <w:pPr>
        <w:spacing w:line="70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C9A45F4">
      <w:pPr>
        <w:spacing w:line="360" w:lineRule="auto"/>
        <w:ind w:left="540"/>
        <w:contextualSpacing/>
        <w:rPr>
          <w:rFonts w:ascii="仿宋" w:hAnsi="仿宋" w:eastAsia="仿宋" w:cs="仿宋"/>
          <w:color w:val="auto"/>
          <w:sz w:val="24"/>
          <w:highlight w:val="none"/>
        </w:rPr>
      </w:pPr>
    </w:p>
    <w:p w14:paraId="739AB3EB">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4F79F268">
      <w:pPr>
        <w:spacing w:line="360" w:lineRule="auto"/>
        <w:ind w:left="540"/>
        <w:contextualSpacing/>
        <w:rPr>
          <w:rFonts w:ascii="仿宋" w:hAnsi="仿宋" w:eastAsia="仿宋" w:cs="仿宋"/>
          <w:color w:val="auto"/>
          <w:sz w:val="24"/>
          <w:highlight w:val="none"/>
        </w:rPr>
      </w:pPr>
    </w:p>
    <w:p w14:paraId="0BC5B92A">
      <w:pPr>
        <w:pStyle w:val="5"/>
        <w:rPr>
          <w:color w:val="auto"/>
          <w:highlight w:val="none"/>
        </w:rPr>
      </w:pPr>
    </w:p>
    <w:p w14:paraId="041785CC">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5F7DC43">
      <w:pPr>
        <w:spacing w:line="360" w:lineRule="auto"/>
        <w:contextualSpacing/>
        <w:jc w:val="center"/>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01C6455B">
      <w:pPr>
        <w:spacing w:line="360" w:lineRule="auto"/>
        <w:contextualSpacing/>
        <w:jc w:val="left"/>
        <w:rPr>
          <w:rFonts w:ascii="仿宋" w:hAnsi="仿宋" w:eastAsia="仿宋" w:cs="仿宋"/>
          <w:color w:val="auto"/>
          <w:sz w:val="24"/>
          <w:highlight w:val="none"/>
        </w:rPr>
      </w:pPr>
    </w:p>
    <w:p w14:paraId="5F380010">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注：1.自然人竞标的无需提供，联合体竞标的只需牵头人出具。</w:t>
      </w:r>
    </w:p>
    <w:p w14:paraId="08A4C8D6">
      <w:pPr>
        <w:spacing w:line="360" w:lineRule="auto"/>
        <w:ind w:firstLine="480" w:firstLineChars="200"/>
        <w:contextualSpacing/>
        <w:jc w:val="left"/>
        <w:rPr>
          <w:rFonts w:ascii="仿宋" w:hAnsi="仿宋" w:eastAsia="仿宋" w:cs="仿宋"/>
          <w:color w:val="auto"/>
          <w:sz w:val="24"/>
          <w:highlight w:val="none"/>
        </w:rPr>
        <w:sectPr>
          <w:pgSz w:w="11911" w:h="16838"/>
          <w:pgMar w:top="1338" w:right="1502" w:bottom="850" w:left="1678" w:header="1077" w:footer="720" w:gutter="0"/>
          <w:cols w:space="720" w:num="1"/>
        </w:sectPr>
      </w:pPr>
      <w:r>
        <w:rPr>
          <w:rFonts w:hint="eastAsia" w:ascii="仿宋" w:hAnsi="仿宋" w:eastAsia="仿宋" w:cs="仿宋"/>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14779C5">
      <w:pPr>
        <w:spacing w:line="360" w:lineRule="auto"/>
        <w:ind w:firstLine="482" w:firstLineChars="200"/>
        <w:contextualSpacing/>
        <w:jc w:val="left"/>
        <w:rPr>
          <w:rFonts w:ascii="仿宋" w:hAnsi="仿宋" w:eastAsia="仿宋" w:cs="仿宋"/>
          <w:color w:val="auto"/>
          <w:sz w:val="24"/>
          <w:highlight w:val="none"/>
        </w:rPr>
      </w:pPr>
      <w:r>
        <w:rPr>
          <w:rFonts w:hint="eastAsia" w:ascii="仿宋" w:hAnsi="仿宋" w:eastAsia="仿宋" w:cs="仿宋"/>
          <w:b/>
          <w:color w:val="auto"/>
          <w:sz w:val="24"/>
          <w:highlight w:val="none"/>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53E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1" w:hRule="atLeast"/>
        </w:trPr>
        <w:tc>
          <w:tcPr>
            <w:tcW w:w="8946" w:type="dxa"/>
          </w:tcPr>
          <w:p w14:paraId="777EF8C3">
            <w:pPr>
              <w:spacing w:line="360" w:lineRule="auto"/>
              <w:contextualSpacing/>
              <w:jc w:val="left"/>
              <w:rPr>
                <w:rFonts w:ascii="仿宋" w:hAnsi="仿宋" w:eastAsia="仿宋" w:cs="仿宋"/>
                <w:b/>
                <w:color w:val="auto"/>
                <w:sz w:val="24"/>
                <w:highlight w:val="none"/>
              </w:rPr>
            </w:pPr>
          </w:p>
          <w:p w14:paraId="483B2F56">
            <w:pPr>
              <w:spacing w:line="360" w:lineRule="auto"/>
              <w:contextualSpacing/>
              <w:jc w:val="left"/>
              <w:rPr>
                <w:rFonts w:ascii="仿宋" w:hAnsi="仿宋" w:eastAsia="仿宋" w:cs="仿宋"/>
                <w:color w:val="auto"/>
                <w:sz w:val="24"/>
                <w:highlight w:val="none"/>
              </w:rPr>
            </w:pPr>
            <w:r>
              <w:rPr>
                <w:rFonts w:hint="eastAsia" w:ascii="仿宋" w:hAnsi="仿宋" w:eastAsia="仿宋" w:cs="仿宋"/>
                <w:b/>
                <w:color w:val="auto"/>
                <w:sz w:val="24"/>
                <w:highlight w:val="none"/>
              </w:rPr>
              <w:t>法定代表身份证复印件粘贴处（正、反面）</w:t>
            </w:r>
          </w:p>
        </w:tc>
      </w:tr>
    </w:tbl>
    <w:p w14:paraId="5AE788A8">
      <w:pPr>
        <w:spacing w:line="360" w:lineRule="auto"/>
        <w:ind w:firstLine="480" w:firstLineChars="200"/>
        <w:contextualSpacing/>
        <w:jc w:val="left"/>
        <w:rPr>
          <w:rFonts w:ascii="仿宋" w:hAnsi="仿宋" w:eastAsia="仿宋" w:cs="仿宋"/>
          <w:color w:val="auto"/>
          <w:sz w:val="24"/>
          <w:highlight w:val="none"/>
        </w:rPr>
        <w:sectPr>
          <w:headerReference r:id="rId9" w:type="default"/>
          <w:pgSz w:w="11911" w:h="16838"/>
          <w:pgMar w:top="1338" w:right="1502" w:bottom="850" w:left="1678" w:header="1077" w:footer="720" w:gutter="0"/>
          <w:cols w:space="720" w:num="1"/>
        </w:sectPr>
      </w:pPr>
    </w:p>
    <w:p w14:paraId="1A0C7CAB">
      <w:pPr>
        <w:snapToGrid w:val="0"/>
        <w:spacing w:line="360" w:lineRule="auto"/>
        <w:rPr>
          <w:rFonts w:ascii="仿宋" w:hAnsi="仿宋" w:eastAsia="仿宋" w:cs="仿宋"/>
          <w:bCs/>
          <w:color w:val="auto"/>
          <w:sz w:val="44"/>
          <w:szCs w:val="44"/>
          <w:highlight w:val="none"/>
        </w:rPr>
      </w:pPr>
      <w:r>
        <w:rPr>
          <w:rFonts w:hint="eastAsia" w:ascii="仿宋" w:hAnsi="仿宋" w:eastAsia="仿宋" w:cs="仿宋"/>
          <w:b/>
          <w:color w:val="auto"/>
          <w:sz w:val="30"/>
          <w:szCs w:val="30"/>
          <w:highlight w:val="none"/>
        </w:rPr>
        <w:t>三、法定代表人授权委托书及委托代理人有效身份证正反面复印件</w:t>
      </w:r>
    </w:p>
    <w:p w14:paraId="7D3FCC29">
      <w:pPr>
        <w:spacing w:line="500" w:lineRule="exact"/>
        <w:jc w:val="center"/>
        <w:rPr>
          <w:rFonts w:ascii="仿宋" w:hAnsi="仿宋" w:eastAsia="仿宋" w:cs="仿宋"/>
          <w:color w:val="auto"/>
          <w:sz w:val="44"/>
          <w:szCs w:val="44"/>
          <w:highlight w:val="none"/>
        </w:rPr>
      </w:pPr>
    </w:p>
    <w:p w14:paraId="635BA04D">
      <w:pPr>
        <w:spacing w:line="52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授权委托书（非联合体竞标格式）</w:t>
      </w:r>
    </w:p>
    <w:p w14:paraId="52A71339">
      <w:pPr>
        <w:spacing w:line="52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（如有委托时）</w:t>
      </w:r>
    </w:p>
    <w:p w14:paraId="1A66A115">
      <w:pPr>
        <w:spacing w:line="520" w:lineRule="exact"/>
        <w:rPr>
          <w:rFonts w:ascii="仿宋" w:hAnsi="仿宋" w:eastAsia="仿宋" w:cs="仿宋"/>
          <w:color w:val="auto"/>
          <w:sz w:val="32"/>
          <w:szCs w:val="32"/>
          <w:highlight w:val="none"/>
        </w:rPr>
      </w:pPr>
    </w:p>
    <w:p w14:paraId="4D0624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1AEEAB7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项目的竞标活动，并代表我方全权办理针对上述项目的所有采购程序和环节的具体事务和签署相关文件。</w:t>
      </w:r>
    </w:p>
    <w:p w14:paraId="2BD292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36FDFE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77BF3A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4C7875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附：法定代表人有效身份证正反面复印件及委托代理人有效身份证正反面复印件</w:t>
      </w:r>
    </w:p>
    <w:p w14:paraId="15C7431E">
      <w:pPr>
        <w:spacing w:line="360" w:lineRule="auto"/>
        <w:rPr>
          <w:rFonts w:ascii="仿宋" w:hAnsi="仿宋" w:eastAsia="仿宋" w:cs="仿宋"/>
          <w:color w:val="auto"/>
          <w:sz w:val="24"/>
          <w:highlight w:val="none"/>
        </w:rPr>
      </w:pPr>
    </w:p>
    <w:p w14:paraId="4D039BF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委托代理人（签字）：                 法定代表人（签字或盖章）：                    </w:t>
      </w:r>
    </w:p>
    <w:p w14:paraId="3E58D3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委托代理人身份证号码：                              </w:t>
      </w:r>
    </w:p>
    <w:p w14:paraId="0ABD001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0EA5E96">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供应商名称（电子签章）：</w:t>
      </w:r>
    </w:p>
    <w:p w14:paraId="76D1F64E">
      <w:pPr>
        <w:spacing w:line="360" w:lineRule="auto"/>
        <w:contextualSpacing/>
        <w:jc w:val="center"/>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7A7C0222">
      <w:pPr>
        <w:spacing w:line="360" w:lineRule="auto"/>
        <w:rPr>
          <w:rFonts w:ascii="仿宋" w:hAnsi="仿宋" w:eastAsia="仿宋" w:cs="仿宋"/>
          <w:color w:val="auto"/>
          <w:sz w:val="24"/>
          <w:highlight w:val="none"/>
        </w:rPr>
      </w:pPr>
    </w:p>
    <w:p w14:paraId="019902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注：1.法定代表人必须在授权委托书上亲笔签字或盖章，委托代理人必须在授权委托书上亲笔签字，</w:t>
      </w:r>
      <w:r>
        <w:rPr>
          <w:rFonts w:hint="eastAsia" w:ascii="仿宋" w:hAnsi="仿宋" w:eastAsia="仿宋" w:cs="仿宋"/>
          <w:b/>
          <w:color w:val="auto"/>
          <w:sz w:val="24"/>
          <w:highlight w:val="none"/>
        </w:rPr>
        <w:t>否则其响应文件按无效响应处理。</w:t>
      </w:r>
    </w:p>
    <w:p w14:paraId="16E270A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2C363F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3.法人、其他组织竞标时“我方”是指“我单位”，自然人竞标时“我方”是指“本人”。</w:t>
      </w:r>
    </w:p>
    <w:p w14:paraId="520BDA1B">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60C0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8946" w:type="dxa"/>
          </w:tcPr>
          <w:p w14:paraId="5330BD3C">
            <w:pPr>
              <w:spacing w:line="360" w:lineRule="auto"/>
              <w:contextualSpacing/>
              <w:jc w:val="left"/>
              <w:rPr>
                <w:rFonts w:ascii="仿宋" w:hAnsi="仿宋" w:eastAsia="仿宋" w:cs="仿宋"/>
                <w:b/>
                <w:color w:val="auto"/>
                <w:sz w:val="24"/>
                <w:highlight w:val="none"/>
              </w:rPr>
            </w:pPr>
          </w:p>
          <w:p w14:paraId="7AA3691E">
            <w:pPr>
              <w:spacing w:line="360" w:lineRule="auto"/>
              <w:contextualSpacing/>
              <w:jc w:val="left"/>
              <w:rPr>
                <w:rFonts w:ascii="仿宋" w:hAnsi="仿宋" w:eastAsia="仿宋" w:cs="仿宋"/>
                <w:color w:val="auto"/>
                <w:sz w:val="24"/>
                <w:highlight w:val="none"/>
              </w:rPr>
            </w:pPr>
            <w:r>
              <w:rPr>
                <w:rFonts w:hint="eastAsia" w:ascii="仿宋" w:hAnsi="仿宋" w:eastAsia="仿宋" w:cs="仿宋"/>
                <w:b/>
                <w:color w:val="auto"/>
                <w:sz w:val="24"/>
                <w:highlight w:val="none"/>
              </w:rPr>
              <w:t>法定代表身份证复印件粘贴处（正、反面）</w:t>
            </w:r>
          </w:p>
        </w:tc>
      </w:tr>
      <w:tr w14:paraId="48E1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8946" w:type="dxa"/>
          </w:tcPr>
          <w:p w14:paraId="613DFA94">
            <w:pPr>
              <w:spacing w:line="360" w:lineRule="auto"/>
              <w:rPr>
                <w:rFonts w:ascii="仿宋" w:hAnsi="仿宋" w:eastAsia="仿宋" w:cs="仿宋"/>
                <w:b/>
                <w:bCs/>
                <w:color w:val="auto"/>
                <w:sz w:val="24"/>
                <w:highlight w:val="none"/>
              </w:rPr>
            </w:pPr>
          </w:p>
          <w:p w14:paraId="7CC394B5">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委托代理人有效身份证复印件</w:t>
            </w:r>
            <w:r>
              <w:rPr>
                <w:rFonts w:hint="eastAsia" w:ascii="仿宋" w:hAnsi="仿宋" w:eastAsia="仿宋" w:cs="仿宋"/>
                <w:b/>
                <w:color w:val="auto"/>
                <w:sz w:val="24"/>
                <w:highlight w:val="none"/>
              </w:rPr>
              <w:t>粘贴处（正、反面）</w:t>
            </w:r>
          </w:p>
          <w:p w14:paraId="2D1DC0B5">
            <w:pPr>
              <w:spacing w:line="360" w:lineRule="auto"/>
              <w:contextualSpacing/>
              <w:jc w:val="left"/>
              <w:rPr>
                <w:rFonts w:ascii="仿宋" w:hAnsi="仿宋" w:eastAsia="仿宋" w:cs="仿宋"/>
                <w:b/>
                <w:color w:val="auto"/>
                <w:sz w:val="24"/>
                <w:highlight w:val="none"/>
              </w:rPr>
            </w:pPr>
          </w:p>
        </w:tc>
      </w:tr>
    </w:tbl>
    <w:p w14:paraId="614AD966">
      <w:pPr>
        <w:spacing w:line="360" w:lineRule="auto"/>
        <w:ind w:firstLine="480" w:firstLineChars="200"/>
        <w:jc w:val="left"/>
        <w:rPr>
          <w:rFonts w:ascii="仿宋" w:hAnsi="仿宋" w:eastAsia="仿宋" w:cs="仿宋"/>
          <w:color w:val="auto"/>
          <w:sz w:val="24"/>
          <w:highlight w:val="none"/>
        </w:rPr>
      </w:pPr>
    </w:p>
    <w:p w14:paraId="34A42CD8">
      <w:pPr>
        <w:spacing w:line="360" w:lineRule="auto"/>
        <w:ind w:firstLine="420" w:firstLineChars="200"/>
        <w:jc w:val="left"/>
        <w:rPr>
          <w:rFonts w:ascii="仿宋" w:hAnsi="仿宋" w:eastAsia="仿宋" w:cs="仿宋"/>
          <w:color w:val="auto"/>
          <w:szCs w:val="21"/>
          <w:highlight w:val="none"/>
        </w:rPr>
      </w:pPr>
    </w:p>
    <w:p w14:paraId="5F284D8F">
      <w:pPr>
        <w:spacing w:line="52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授权委托书（联合体竞标格式）</w:t>
      </w:r>
    </w:p>
    <w:p w14:paraId="40BF8F53">
      <w:pPr>
        <w:spacing w:line="52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（如有委托时）</w:t>
      </w:r>
    </w:p>
    <w:p w14:paraId="6D2AD833">
      <w:pPr>
        <w:spacing w:line="500" w:lineRule="exact"/>
        <w:jc w:val="center"/>
        <w:rPr>
          <w:rFonts w:ascii="仿宋" w:hAnsi="仿宋" w:eastAsia="仿宋" w:cs="仿宋"/>
          <w:color w:val="auto"/>
          <w:sz w:val="32"/>
          <w:szCs w:val="32"/>
          <w:highlight w:val="none"/>
        </w:rPr>
      </w:pPr>
    </w:p>
    <w:p w14:paraId="591E424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（联合体其他成员名称）签订的《联合体竞标协议书》的内容，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（牵头人名称）的法定代表人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（姓名）为联合委托代理人，并代表我方全权办理针对上述项目的所有采购程序和环节的具体事务和签署相关文件。</w:t>
      </w:r>
    </w:p>
    <w:p w14:paraId="4FE512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我方对委托代理人的签字事项负全部责任。</w:t>
      </w:r>
    </w:p>
    <w:p w14:paraId="0E8F7F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61C04B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7C1E32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附：牵头人法定代表人有效身份证正反面复印件及委托代理人有效身份证正反面复印件</w:t>
      </w:r>
    </w:p>
    <w:p w14:paraId="7169CE20">
      <w:pPr>
        <w:pStyle w:val="5"/>
        <w:rPr>
          <w:color w:val="auto"/>
          <w:highlight w:val="none"/>
        </w:rPr>
      </w:pPr>
    </w:p>
    <w:p w14:paraId="2F2692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牵头人法定代表人（签字或盖章）：</w:t>
      </w:r>
    </w:p>
    <w:p w14:paraId="59A87DE8">
      <w:pPr>
        <w:spacing w:line="360" w:lineRule="auto"/>
        <w:ind w:firstLine="3000" w:firstLineChars="1250"/>
        <w:rPr>
          <w:rFonts w:ascii="仿宋" w:hAnsi="仿宋" w:eastAsia="仿宋" w:cs="仿宋"/>
          <w:color w:val="auto"/>
          <w:sz w:val="24"/>
          <w:highlight w:val="none"/>
        </w:rPr>
      </w:pPr>
      <w:r>
        <w:rPr>
          <w:rFonts w:hint="eastAsia" w:ascii="仿宋" w:hAnsi="仿宋" w:eastAsia="仿宋" w:cs="仿宋"/>
          <w:color w:val="auto"/>
          <w:sz w:val="24"/>
          <w:highlight w:val="none"/>
        </w:rPr>
        <w:t>牵头人（电子签章）：</w:t>
      </w:r>
    </w:p>
    <w:p w14:paraId="08DC1B62">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EFA2497">
      <w:pPr>
        <w:spacing w:line="360" w:lineRule="auto"/>
        <w:rPr>
          <w:rFonts w:ascii="仿宋" w:hAnsi="仿宋" w:eastAsia="仿宋" w:cs="仿宋"/>
          <w:color w:val="auto"/>
          <w:sz w:val="24"/>
          <w:highlight w:val="none"/>
        </w:rPr>
      </w:pPr>
    </w:p>
    <w:p w14:paraId="3B07BBB6">
      <w:pPr>
        <w:spacing w:line="360" w:lineRule="auto"/>
        <w:ind w:firstLine="3120" w:firstLineChars="1300"/>
        <w:rPr>
          <w:rFonts w:ascii="仿宋" w:hAnsi="仿宋" w:eastAsia="仿宋" w:cs="仿宋"/>
          <w:color w:val="auto"/>
          <w:sz w:val="24"/>
          <w:highlight w:val="none"/>
        </w:rPr>
      </w:pPr>
      <w:r>
        <w:rPr>
          <w:rFonts w:hint="eastAsia" w:ascii="仿宋" w:hAnsi="仿宋" w:eastAsia="仿宋" w:cs="仿宋"/>
          <w:color w:val="auto"/>
          <w:sz w:val="24"/>
          <w:highlight w:val="none"/>
        </w:rPr>
        <w:t>被授权人（签字）：</w:t>
      </w:r>
    </w:p>
    <w:p w14:paraId="113F6A71">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A053E51">
      <w:pPr>
        <w:spacing w:line="360" w:lineRule="auto"/>
        <w:rPr>
          <w:rFonts w:ascii="仿宋" w:hAnsi="仿宋" w:eastAsia="仿宋" w:cs="仿宋"/>
          <w:color w:val="auto"/>
          <w:sz w:val="24"/>
          <w:highlight w:val="none"/>
        </w:rPr>
      </w:pPr>
    </w:p>
    <w:p w14:paraId="69975153">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4AD71FF2">
      <w:pPr>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1.法定代表人必须在授权委托书上亲笔签字或盖章，委托代理人必须在授权委托书上亲笔签字，</w:t>
      </w:r>
      <w:r>
        <w:rPr>
          <w:rFonts w:hint="eastAsia" w:ascii="仿宋" w:hAnsi="仿宋" w:eastAsia="仿宋" w:cs="仿宋"/>
          <w:b/>
          <w:color w:val="auto"/>
          <w:sz w:val="24"/>
          <w:highlight w:val="none"/>
        </w:rPr>
        <w:t>否则其响应文件按无效响应处理。</w:t>
      </w:r>
    </w:p>
    <w:p w14:paraId="62963E46">
      <w:pPr>
        <w:snapToGrid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2.本授权委托书应由联合体牵头人的法定代表人按上述规定签署。</w:t>
      </w:r>
    </w:p>
    <w:p w14:paraId="13DCF3CD">
      <w:pPr>
        <w:snapToGrid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A71A33F">
      <w:pPr>
        <w:snapToGrid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4.法人、其他组织竞标时“我方”是指“我单位”，自然人竞标时“我方”是指“本人”。</w:t>
      </w:r>
    </w:p>
    <w:p w14:paraId="04AA3217">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附件：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0E6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8946" w:type="dxa"/>
          </w:tcPr>
          <w:p w14:paraId="73DC2CDE">
            <w:pPr>
              <w:spacing w:line="360" w:lineRule="auto"/>
              <w:contextualSpacing/>
              <w:jc w:val="left"/>
              <w:rPr>
                <w:rFonts w:ascii="仿宋" w:hAnsi="仿宋" w:eastAsia="仿宋" w:cs="仿宋"/>
                <w:b/>
                <w:color w:val="auto"/>
                <w:sz w:val="24"/>
                <w:highlight w:val="none"/>
              </w:rPr>
            </w:pPr>
          </w:p>
          <w:p w14:paraId="1C860CE1">
            <w:pPr>
              <w:spacing w:line="360" w:lineRule="auto"/>
              <w:contextualSpacing/>
              <w:jc w:val="left"/>
              <w:rPr>
                <w:rFonts w:ascii="仿宋" w:hAnsi="仿宋" w:eastAsia="仿宋" w:cs="仿宋"/>
                <w:color w:val="auto"/>
                <w:sz w:val="24"/>
                <w:highlight w:val="none"/>
              </w:rPr>
            </w:pPr>
            <w:r>
              <w:rPr>
                <w:rFonts w:hint="eastAsia" w:ascii="仿宋" w:hAnsi="仿宋" w:eastAsia="仿宋" w:cs="仿宋"/>
                <w:b/>
                <w:color w:val="auto"/>
                <w:sz w:val="24"/>
                <w:highlight w:val="none"/>
              </w:rPr>
              <w:t>牵头人法定代表身份证复印件粘贴处（正、反面）</w:t>
            </w:r>
          </w:p>
        </w:tc>
      </w:tr>
      <w:tr w14:paraId="1481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8946" w:type="dxa"/>
          </w:tcPr>
          <w:p w14:paraId="1BDA3E76">
            <w:pPr>
              <w:spacing w:line="360" w:lineRule="auto"/>
              <w:rPr>
                <w:rFonts w:ascii="仿宋" w:hAnsi="仿宋" w:eastAsia="仿宋" w:cs="仿宋"/>
                <w:b/>
                <w:bCs/>
                <w:color w:val="auto"/>
                <w:sz w:val="24"/>
                <w:highlight w:val="none"/>
              </w:rPr>
            </w:pPr>
          </w:p>
          <w:p w14:paraId="7BB8AC41">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委托代理人有效身份证复印件</w:t>
            </w:r>
            <w:r>
              <w:rPr>
                <w:rFonts w:hint="eastAsia" w:ascii="仿宋" w:hAnsi="仿宋" w:eastAsia="仿宋" w:cs="仿宋"/>
                <w:b/>
                <w:color w:val="auto"/>
                <w:sz w:val="24"/>
                <w:highlight w:val="none"/>
              </w:rPr>
              <w:t>粘贴处（正、反面）</w:t>
            </w:r>
          </w:p>
          <w:p w14:paraId="65C10693">
            <w:pPr>
              <w:spacing w:line="360" w:lineRule="auto"/>
              <w:contextualSpacing/>
              <w:jc w:val="left"/>
              <w:rPr>
                <w:rFonts w:ascii="仿宋" w:hAnsi="仿宋" w:eastAsia="仿宋" w:cs="仿宋"/>
                <w:b/>
                <w:color w:val="auto"/>
                <w:sz w:val="24"/>
                <w:highlight w:val="none"/>
              </w:rPr>
            </w:pPr>
          </w:p>
        </w:tc>
      </w:tr>
    </w:tbl>
    <w:p w14:paraId="7DD694B7">
      <w:pPr>
        <w:snapToGrid w:val="0"/>
        <w:ind w:firstLine="420" w:firstLineChars="200"/>
        <w:jc w:val="left"/>
        <w:rPr>
          <w:rFonts w:ascii="仿宋" w:hAnsi="仿宋" w:eastAsia="仿宋" w:cs="仿宋"/>
          <w:color w:val="auto"/>
          <w:szCs w:val="21"/>
          <w:highlight w:val="none"/>
        </w:rPr>
      </w:pPr>
    </w:p>
    <w:p w14:paraId="41E8F7D9">
      <w:pPr>
        <w:snapToGrid w:val="0"/>
        <w:spacing w:line="360" w:lineRule="auto"/>
        <w:rPr>
          <w:rFonts w:ascii="仿宋" w:hAnsi="仿宋" w:eastAsia="仿宋" w:cs="仿宋"/>
          <w:b/>
          <w:bCs/>
          <w:color w:val="auto"/>
          <w:sz w:val="32"/>
          <w:szCs w:val="32"/>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四、商务条款偏离表</w:t>
      </w:r>
    </w:p>
    <w:p w14:paraId="23A11708">
      <w:pPr>
        <w:spacing w:line="5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商务条款偏离表</w:t>
      </w:r>
    </w:p>
    <w:p w14:paraId="754EC6FC">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142D2E5C">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74107804">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Cs w:val="21"/>
          <w:highlight w:val="none"/>
        </w:rPr>
        <w:t>（此处有分标时填写具体分标号，无分标时填写“无”）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bl>
      <w:tblPr>
        <w:tblStyle w:val="31"/>
        <w:tblpPr w:leftFromText="180" w:rightFromText="180" w:vertAnchor="text" w:horzAnchor="margin" w:tblpXSpec="center" w:tblpY="94"/>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926"/>
        <w:gridCol w:w="3589"/>
        <w:gridCol w:w="1274"/>
      </w:tblGrid>
      <w:tr w14:paraId="5831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30" w:type="dxa"/>
            <w:tcBorders>
              <w:top w:val="single" w:color="auto" w:sz="4" w:space="0"/>
              <w:left w:val="single" w:color="auto" w:sz="4" w:space="0"/>
              <w:bottom w:val="single" w:color="auto" w:sz="4" w:space="0"/>
              <w:right w:val="single" w:color="auto" w:sz="4" w:space="0"/>
            </w:tcBorders>
            <w:vAlign w:val="center"/>
          </w:tcPr>
          <w:p w14:paraId="236FF19B">
            <w:pPr>
              <w:spacing w:line="3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964D848">
            <w:pPr>
              <w:spacing w:line="3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D980682">
            <w:pPr>
              <w:spacing w:line="3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1E91B094">
            <w:pPr>
              <w:spacing w:line="3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1BA2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30" w:type="dxa"/>
            <w:tcBorders>
              <w:top w:val="single" w:color="auto" w:sz="4" w:space="0"/>
              <w:left w:val="single" w:color="auto" w:sz="4" w:space="0"/>
              <w:bottom w:val="single" w:color="auto" w:sz="4" w:space="0"/>
              <w:right w:val="single" w:color="auto" w:sz="4" w:space="0"/>
            </w:tcBorders>
            <w:vAlign w:val="center"/>
          </w:tcPr>
          <w:p w14:paraId="0EAF9B63">
            <w:pPr>
              <w:spacing w:line="3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75B1AFA1">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7DAA7716">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14E265F0">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23F2BFAE">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21E52725">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344E1087">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28BB32F7">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2D98BA3D">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2F92E4A4">
            <w:pPr>
              <w:spacing w:line="300" w:lineRule="exact"/>
              <w:rPr>
                <w:rFonts w:ascii="仿宋" w:hAnsi="仿宋" w:eastAsia="仿宋" w:cs="仿宋"/>
                <w:color w:val="auto"/>
                <w:sz w:val="24"/>
                <w:highlight w:val="none"/>
              </w:rPr>
            </w:pPr>
          </w:p>
        </w:tc>
      </w:tr>
      <w:tr w14:paraId="5F2C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30" w:type="dxa"/>
            <w:tcBorders>
              <w:top w:val="single" w:color="auto" w:sz="4" w:space="0"/>
              <w:left w:val="single" w:color="auto" w:sz="4" w:space="0"/>
              <w:bottom w:val="single" w:color="auto" w:sz="4" w:space="0"/>
              <w:right w:val="single" w:color="auto" w:sz="4" w:space="0"/>
            </w:tcBorders>
            <w:vAlign w:val="center"/>
          </w:tcPr>
          <w:p w14:paraId="607522A9">
            <w:pPr>
              <w:spacing w:line="3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D39EA56">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3BFB1DEB">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2408DE0D">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6F94498A">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12BBD091">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203B5817">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71DCD753">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79DE04EA">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4FDD97E8">
            <w:pPr>
              <w:spacing w:line="300" w:lineRule="exact"/>
              <w:rPr>
                <w:rFonts w:ascii="仿宋" w:hAnsi="仿宋" w:eastAsia="仿宋" w:cs="仿宋"/>
                <w:color w:val="auto"/>
                <w:sz w:val="24"/>
                <w:highlight w:val="none"/>
              </w:rPr>
            </w:pPr>
          </w:p>
        </w:tc>
      </w:tr>
      <w:tr w14:paraId="436F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930" w:type="dxa"/>
            <w:tcBorders>
              <w:top w:val="single" w:color="auto" w:sz="4" w:space="0"/>
              <w:left w:val="single" w:color="auto" w:sz="4" w:space="0"/>
              <w:bottom w:val="single" w:color="auto" w:sz="4" w:space="0"/>
              <w:right w:val="single" w:color="auto" w:sz="4" w:space="0"/>
            </w:tcBorders>
            <w:vAlign w:val="center"/>
          </w:tcPr>
          <w:p w14:paraId="4D1D9A51">
            <w:pPr>
              <w:spacing w:line="3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926" w:type="dxa"/>
            <w:tcBorders>
              <w:top w:val="single" w:color="auto" w:sz="4" w:space="0"/>
              <w:left w:val="single" w:color="auto" w:sz="4" w:space="0"/>
              <w:bottom w:val="single" w:color="auto" w:sz="4" w:space="0"/>
              <w:right w:val="single" w:color="auto" w:sz="4" w:space="0"/>
            </w:tcBorders>
          </w:tcPr>
          <w:p w14:paraId="0C9DC812">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48D5EE18">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5C11D74F">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40F8DED7">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7F919C77">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551B1C79">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58CFF24A">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06B3A178">
            <w:pPr>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30767897">
            <w:pPr>
              <w:spacing w:line="300" w:lineRule="exact"/>
              <w:rPr>
                <w:rFonts w:ascii="仿宋" w:hAnsi="仿宋" w:eastAsia="仿宋" w:cs="仿宋"/>
                <w:color w:val="auto"/>
                <w:sz w:val="24"/>
                <w:highlight w:val="none"/>
              </w:rPr>
            </w:pPr>
          </w:p>
        </w:tc>
      </w:tr>
    </w:tbl>
    <w:p w14:paraId="5A03F89E">
      <w:pPr>
        <w:pStyle w:val="14"/>
        <w:spacing w:line="400" w:lineRule="exact"/>
        <w:ind w:firstLine="0" w:firstLineChars="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5A082E9">
      <w:pPr>
        <w:pStyle w:val="14"/>
        <w:spacing w:line="400" w:lineRule="exact"/>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1.说明：应对照谈判文件“第二章 采购需求”中的商务条款逐条作出明确响应，并作出偏离说明。</w:t>
      </w:r>
    </w:p>
    <w:p w14:paraId="7ACFB395">
      <w:pPr>
        <w:pStyle w:val="14"/>
        <w:spacing w:line="400" w:lineRule="exact"/>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谈判文件要求，在“偏离说明”中注明“正偏离”、“负偏离”或者“无偏离”。既不属于“正偏离”也不属于“负偏离”即为“无偏离”。当响应文件的商务内容低于竞争性谈判采购文件要求时，竞标人应当如实写明“负偏离”，否则视为虚假应标</w:t>
      </w:r>
    </w:p>
    <w:p w14:paraId="2AE54596">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3.表格内容均需按要求填写并盖章，不得留空，否则按竞标无效处理。</w:t>
      </w:r>
    </w:p>
    <w:p w14:paraId="4343E151">
      <w:pPr>
        <w:spacing w:line="400" w:lineRule="exact"/>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662F51C">
      <w:pPr>
        <w:spacing w:line="360" w:lineRule="auto"/>
        <w:ind w:right="-817" w:rightChars="-389"/>
        <w:contextualSpacing/>
        <w:rPr>
          <w:rFonts w:ascii="仿宋" w:hAnsi="仿宋" w:eastAsia="仿宋" w:cs="仿宋"/>
          <w:color w:val="auto"/>
          <w:sz w:val="24"/>
          <w:highlight w:val="none"/>
        </w:rPr>
      </w:pPr>
    </w:p>
    <w:p w14:paraId="29DD6857">
      <w:pPr>
        <w:spacing w:line="360" w:lineRule="auto"/>
        <w:ind w:firstLine="3840" w:firstLineChars="1600"/>
        <w:rPr>
          <w:rFonts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35698422">
      <w:pPr>
        <w:spacing w:line="360" w:lineRule="auto"/>
        <w:contextualSpacing/>
        <w:jc w:val="center"/>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799A6C8B">
      <w:pPr>
        <w:snapToGrid w:val="0"/>
        <w:spacing w:line="360" w:lineRule="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五、竞标人情况介绍</w:t>
      </w:r>
    </w:p>
    <w:p w14:paraId="4C716341">
      <w:pPr>
        <w:snapToGrid w:val="0"/>
        <w:spacing w:line="360" w:lineRule="auto"/>
        <w:ind w:firstLine="602" w:firstLineChars="200"/>
        <w:rPr>
          <w:rFonts w:ascii="仿宋" w:hAnsi="仿宋" w:eastAsia="仿宋" w:cs="仿宋"/>
          <w:b/>
          <w:color w:val="auto"/>
          <w:sz w:val="30"/>
          <w:szCs w:val="30"/>
          <w:highlight w:val="none"/>
        </w:rPr>
      </w:pPr>
    </w:p>
    <w:p w14:paraId="52D0075F">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5AB8B9A">
      <w:pPr>
        <w:autoSpaceDE w:val="0"/>
        <w:autoSpaceDN w:val="0"/>
        <w:spacing w:line="360" w:lineRule="auto"/>
        <w:ind w:firstLine="6480" w:firstLineChars="270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4D916A3C">
      <w:pPr>
        <w:snapToGrid w:val="0"/>
        <w:spacing w:before="120" w:beforeLines="50" w:after="50"/>
        <w:rPr>
          <w:rFonts w:ascii="仿宋" w:hAnsi="仿宋" w:eastAsia="仿宋" w:cs="仿宋"/>
          <w:b/>
          <w:color w:val="auto"/>
          <w:sz w:val="30"/>
          <w:szCs w:val="30"/>
          <w:highlight w:val="none"/>
        </w:rPr>
      </w:pPr>
    </w:p>
    <w:p w14:paraId="0E1C3434">
      <w:pPr>
        <w:snapToGrid w:val="0"/>
        <w:spacing w:before="120" w:beforeLines="50" w:after="50"/>
        <w:rPr>
          <w:rFonts w:ascii="仿宋" w:hAnsi="仿宋" w:eastAsia="仿宋" w:cs="仿宋"/>
          <w:b/>
          <w:color w:val="auto"/>
          <w:sz w:val="30"/>
          <w:szCs w:val="30"/>
          <w:highlight w:val="none"/>
        </w:rPr>
      </w:pPr>
    </w:p>
    <w:p w14:paraId="593E4E6E">
      <w:pPr>
        <w:snapToGrid w:val="0"/>
        <w:spacing w:before="120" w:beforeLines="50" w:after="5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六、供应商认为需要提供的其他有关材料</w:t>
      </w:r>
    </w:p>
    <w:p w14:paraId="5FD97FF4">
      <w:pPr>
        <w:pStyle w:val="24"/>
        <w:snapToGrid w:val="0"/>
        <w:ind w:left="480" w:hanging="480"/>
        <w:rPr>
          <w:rFonts w:ascii="仿宋" w:hAnsi="仿宋" w:eastAsia="仿宋" w:cs="仿宋"/>
          <w:color w:val="auto"/>
          <w:sz w:val="24"/>
          <w:highlight w:val="none"/>
        </w:rPr>
      </w:pPr>
    </w:p>
    <w:p w14:paraId="61956EC1">
      <w:pPr>
        <w:snapToGrid w:val="0"/>
        <w:spacing w:line="360" w:lineRule="auto"/>
        <w:ind w:firstLine="4935" w:firstLineChars="235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7F8B030F">
      <w:pPr>
        <w:snapToGrid w:val="0"/>
        <w:spacing w:line="360" w:lineRule="auto"/>
        <w:ind w:left="4410" w:leftChars="2100" w:firstLine="5670" w:firstLineChars="2700"/>
        <w:rPr>
          <w:rFonts w:ascii="仿宋" w:hAnsi="仿宋" w:eastAsia="仿宋" w:cs="仿宋"/>
          <w:color w:val="auto"/>
          <w:kern w:val="0"/>
          <w:sz w:val="24"/>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kern w:val="0"/>
          <w:sz w:val="24"/>
          <w:highlight w:val="none"/>
          <w:lang w:val="zh-CN"/>
        </w:rPr>
        <w:t>供应商名称（电子签章）：</w:t>
      </w:r>
    </w:p>
    <w:p w14:paraId="723EA879">
      <w:pPr>
        <w:spacing w:line="500" w:lineRule="exact"/>
        <w:jc w:val="center"/>
        <w:rPr>
          <w:rFonts w:ascii="仿宋" w:hAnsi="仿宋" w:eastAsia="仿宋" w:cs="仿宋"/>
          <w:color w:val="auto"/>
          <w:sz w:val="32"/>
          <w:szCs w:val="32"/>
          <w:highlight w:val="none"/>
        </w:rPr>
        <w:sectPr>
          <w:pgSz w:w="11911" w:h="16838"/>
          <w:pgMar w:top="1338" w:right="1502" w:bottom="850" w:left="1678" w:header="1077" w:footer="720" w:gutter="0"/>
          <w:cols w:space="720" w:num="1"/>
        </w:sect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8114DA0">
      <w:pPr>
        <w:snapToGrid w:val="0"/>
        <w:spacing w:line="360" w:lineRule="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七、货物需求偏离表</w:t>
      </w:r>
    </w:p>
    <w:p w14:paraId="778639EB">
      <w:pPr>
        <w:spacing w:line="5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货物需求偏离表</w:t>
      </w:r>
    </w:p>
    <w:p w14:paraId="7B6DEC04">
      <w:pPr>
        <w:spacing w:line="5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（注：按采购需求具体条款修改）</w:t>
      </w:r>
    </w:p>
    <w:p w14:paraId="5FB88AD7">
      <w:pPr>
        <w:spacing w:line="360" w:lineRule="auto"/>
        <w:contextualSpacing/>
        <w:jc w:val="left"/>
        <w:rPr>
          <w:rFonts w:ascii="仿宋" w:hAnsi="仿宋" w:eastAsia="仿宋" w:cs="仿宋"/>
          <w:color w:val="auto"/>
          <w:sz w:val="24"/>
          <w:highlight w:val="none"/>
        </w:rPr>
      </w:pPr>
    </w:p>
    <w:p w14:paraId="268C74A8">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32C6CBC7">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7A2D41FF">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sz w:val="24"/>
          <w:highlight w:val="none"/>
        </w:rPr>
        <w:t>分标号</w:t>
      </w:r>
      <w:r>
        <w:rPr>
          <w:rFonts w:hint="eastAsia" w:ascii="仿宋" w:hAnsi="仿宋" w:eastAsia="仿宋" w:cs="仿宋"/>
          <w:color w:val="auto"/>
          <w:szCs w:val="21"/>
          <w:highlight w:val="none"/>
        </w:rPr>
        <w:t>（此处有分标时填写具体分标号，无分标时填写“无”）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814"/>
        <w:gridCol w:w="2220"/>
        <w:gridCol w:w="1318"/>
        <w:gridCol w:w="737"/>
        <w:gridCol w:w="1770"/>
        <w:gridCol w:w="791"/>
      </w:tblGrid>
      <w:tr w14:paraId="6DE5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7866184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项号</w:t>
            </w:r>
          </w:p>
        </w:tc>
        <w:tc>
          <w:tcPr>
            <w:tcW w:w="4309" w:type="dxa"/>
            <w:gridSpan w:val="3"/>
            <w:tcBorders>
              <w:top w:val="single" w:color="auto" w:sz="4" w:space="0"/>
              <w:left w:val="single" w:color="auto" w:sz="4" w:space="0"/>
              <w:bottom w:val="single" w:color="auto" w:sz="4" w:space="0"/>
              <w:right w:val="single" w:color="auto" w:sz="4" w:space="0"/>
            </w:tcBorders>
            <w:vAlign w:val="center"/>
          </w:tcPr>
          <w:p w14:paraId="20442E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竞争性谈判采购文件需求</w:t>
            </w:r>
          </w:p>
        </w:tc>
        <w:tc>
          <w:tcPr>
            <w:tcW w:w="3825" w:type="dxa"/>
            <w:gridSpan w:val="3"/>
            <w:tcBorders>
              <w:top w:val="single" w:color="auto" w:sz="4" w:space="0"/>
              <w:left w:val="single" w:color="auto" w:sz="4" w:space="0"/>
              <w:bottom w:val="single" w:color="auto" w:sz="4" w:space="0"/>
              <w:right w:val="single" w:color="auto" w:sz="4" w:space="0"/>
            </w:tcBorders>
            <w:vAlign w:val="center"/>
          </w:tcPr>
          <w:p w14:paraId="08F6846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响应文件承诺</w:t>
            </w:r>
          </w:p>
        </w:tc>
        <w:tc>
          <w:tcPr>
            <w:tcW w:w="791" w:type="dxa"/>
            <w:vMerge w:val="restart"/>
            <w:tcBorders>
              <w:top w:val="single" w:color="auto" w:sz="4" w:space="0"/>
              <w:left w:val="single" w:color="auto" w:sz="4" w:space="0"/>
              <w:bottom w:val="single" w:color="auto" w:sz="4" w:space="0"/>
              <w:right w:val="single" w:color="auto" w:sz="4" w:space="0"/>
            </w:tcBorders>
            <w:vAlign w:val="center"/>
          </w:tcPr>
          <w:p w14:paraId="1C4B704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3AEB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15E0B301">
            <w:pPr>
              <w:widowControl/>
              <w:jc w:val="center"/>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DD1DE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814" w:type="dxa"/>
            <w:tcBorders>
              <w:top w:val="single" w:color="auto" w:sz="4" w:space="0"/>
              <w:left w:val="single" w:color="auto" w:sz="4" w:space="0"/>
              <w:bottom w:val="single" w:color="auto" w:sz="4" w:space="0"/>
              <w:right w:val="single" w:color="auto" w:sz="4" w:space="0"/>
            </w:tcBorders>
            <w:vAlign w:val="center"/>
          </w:tcPr>
          <w:p w14:paraId="28780B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220" w:type="dxa"/>
            <w:tcBorders>
              <w:top w:val="single" w:color="auto" w:sz="4" w:space="0"/>
              <w:left w:val="single" w:color="auto" w:sz="4" w:space="0"/>
              <w:bottom w:val="single" w:color="auto" w:sz="4" w:space="0"/>
              <w:right w:val="single" w:color="auto" w:sz="4" w:space="0"/>
            </w:tcBorders>
            <w:vAlign w:val="center"/>
          </w:tcPr>
          <w:p w14:paraId="76B593E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货物技术参数要求</w:t>
            </w:r>
          </w:p>
        </w:tc>
        <w:tc>
          <w:tcPr>
            <w:tcW w:w="1318" w:type="dxa"/>
            <w:tcBorders>
              <w:top w:val="single" w:color="auto" w:sz="4" w:space="0"/>
              <w:left w:val="single" w:color="auto" w:sz="4" w:space="0"/>
              <w:bottom w:val="single" w:color="auto" w:sz="4" w:space="0"/>
              <w:right w:val="single" w:color="auto" w:sz="4" w:space="0"/>
            </w:tcBorders>
            <w:vAlign w:val="center"/>
          </w:tcPr>
          <w:p w14:paraId="41936C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737" w:type="dxa"/>
            <w:tcBorders>
              <w:top w:val="single" w:color="auto" w:sz="4" w:space="0"/>
              <w:left w:val="single" w:color="auto" w:sz="4" w:space="0"/>
              <w:bottom w:val="single" w:color="auto" w:sz="4" w:space="0"/>
              <w:right w:val="single" w:color="auto" w:sz="4" w:space="0"/>
            </w:tcBorders>
            <w:vAlign w:val="center"/>
          </w:tcPr>
          <w:p w14:paraId="220C91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770" w:type="dxa"/>
            <w:tcBorders>
              <w:top w:val="single" w:color="auto" w:sz="4" w:space="0"/>
              <w:left w:val="single" w:color="auto" w:sz="4" w:space="0"/>
              <w:bottom w:val="single" w:color="auto" w:sz="4" w:space="0"/>
              <w:right w:val="single" w:color="auto" w:sz="4" w:space="0"/>
            </w:tcBorders>
            <w:vAlign w:val="center"/>
          </w:tcPr>
          <w:p w14:paraId="53CE07E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货物技术参数</w:t>
            </w:r>
          </w:p>
        </w:tc>
        <w:tc>
          <w:tcPr>
            <w:tcW w:w="791" w:type="dxa"/>
            <w:vMerge w:val="continue"/>
            <w:tcBorders>
              <w:top w:val="single" w:color="auto" w:sz="4" w:space="0"/>
              <w:left w:val="single" w:color="auto" w:sz="4" w:space="0"/>
              <w:bottom w:val="single" w:color="auto" w:sz="4" w:space="0"/>
              <w:right w:val="single" w:color="auto" w:sz="4" w:space="0"/>
            </w:tcBorders>
            <w:vAlign w:val="center"/>
          </w:tcPr>
          <w:p w14:paraId="3BFCAF44">
            <w:pPr>
              <w:widowControl/>
              <w:jc w:val="center"/>
              <w:rPr>
                <w:rFonts w:ascii="仿宋" w:hAnsi="仿宋" w:eastAsia="仿宋" w:cs="仿宋"/>
                <w:color w:val="auto"/>
                <w:sz w:val="24"/>
                <w:highlight w:val="none"/>
              </w:rPr>
            </w:pPr>
          </w:p>
        </w:tc>
      </w:tr>
      <w:tr w14:paraId="4B63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BF2FD9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275" w:type="dxa"/>
            <w:tcBorders>
              <w:top w:val="single" w:color="auto" w:sz="4" w:space="0"/>
              <w:left w:val="single" w:color="auto" w:sz="4" w:space="0"/>
              <w:bottom w:val="single" w:color="auto" w:sz="4" w:space="0"/>
              <w:right w:val="single" w:color="auto" w:sz="4" w:space="0"/>
            </w:tcBorders>
            <w:vAlign w:val="center"/>
          </w:tcPr>
          <w:p w14:paraId="44551621">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814" w:type="dxa"/>
            <w:tcBorders>
              <w:top w:val="single" w:color="auto" w:sz="4" w:space="0"/>
              <w:left w:val="single" w:color="auto" w:sz="4" w:space="0"/>
              <w:bottom w:val="single" w:color="auto" w:sz="4" w:space="0"/>
              <w:right w:val="single" w:color="auto" w:sz="4" w:space="0"/>
            </w:tcBorders>
            <w:vAlign w:val="center"/>
          </w:tcPr>
          <w:p w14:paraId="705A600A">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20" w:type="dxa"/>
            <w:tcBorders>
              <w:top w:val="single" w:color="auto" w:sz="4" w:space="0"/>
              <w:left w:val="single" w:color="auto" w:sz="4" w:space="0"/>
              <w:bottom w:val="single" w:color="auto" w:sz="4" w:space="0"/>
              <w:right w:val="single" w:color="auto" w:sz="4" w:space="0"/>
            </w:tcBorders>
            <w:vAlign w:val="center"/>
          </w:tcPr>
          <w:p w14:paraId="050FD856">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5F307B8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5A46855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7EEBCF5B">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18" w:type="dxa"/>
            <w:tcBorders>
              <w:top w:val="single" w:color="auto" w:sz="4" w:space="0"/>
              <w:left w:val="single" w:color="auto" w:sz="4" w:space="0"/>
              <w:bottom w:val="single" w:color="auto" w:sz="4" w:space="0"/>
              <w:right w:val="single" w:color="auto" w:sz="4" w:space="0"/>
            </w:tcBorders>
            <w:vAlign w:val="center"/>
          </w:tcPr>
          <w:p w14:paraId="061671C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37" w:type="dxa"/>
            <w:tcBorders>
              <w:top w:val="single" w:color="auto" w:sz="4" w:space="0"/>
              <w:left w:val="single" w:color="auto" w:sz="4" w:space="0"/>
              <w:bottom w:val="single" w:color="auto" w:sz="4" w:space="0"/>
              <w:right w:val="single" w:color="auto" w:sz="4" w:space="0"/>
            </w:tcBorders>
            <w:vAlign w:val="center"/>
          </w:tcPr>
          <w:p w14:paraId="3F57839E">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770" w:type="dxa"/>
            <w:tcBorders>
              <w:top w:val="single" w:color="auto" w:sz="4" w:space="0"/>
              <w:left w:val="single" w:color="auto" w:sz="4" w:space="0"/>
              <w:bottom w:val="single" w:color="auto" w:sz="4" w:space="0"/>
              <w:right w:val="single" w:color="auto" w:sz="4" w:space="0"/>
            </w:tcBorders>
            <w:vAlign w:val="center"/>
          </w:tcPr>
          <w:p w14:paraId="0007076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7080679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602F1EAB">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77C82C14">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91" w:type="dxa"/>
            <w:tcBorders>
              <w:top w:val="single" w:color="auto" w:sz="4" w:space="0"/>
              <w:left w:val="single" w:color="auto" w:sz="4" w:space="0"/>
              <w:bottom w:val="single" w:color="auto" w:sz="4" w:space="0"/>
              <w:right w:val="single" w:color="auto" w:sz="4" w:space="0"/>
            </w:tcBorders>
            <w:vAlign w:val="center"/>
          </w:tcPr>
          <w:p w14:paraId="2DB9E834">
            <w:pPr>
              <w:spacing w:line="300" w:lineRule="exact"/>
              <w:jc w:val="center"/>
              <w:rPr>
                <w:rFonts w:ascii="仿宋" w:hAnsi="仿宋" w:eastAsia="仿宋" w:cs="仿宋"/>
                <w:color w:val="auto"/>
                <w:sz w:val="24"/>
                <w:highlight w:val="none"/>
              </w:rPr>
            </w:pPr>
          </w:p>
        </w:tc>
      </w:tr>
      <w:tr w14:paraId="0222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7B1609B">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275" w:type="dxa"/>
            <w:tcBorders>
              <w:top w:val="single" w:color="auto" w:sz="4" w:space="0"/>
              <w:left w:val="single" w:color="auto" w:sz="4" w:space="0"/>
              <w:bottom w:val="single" w:color="auto" w:sz="4" w:space="0"/>
              <w:right w:val="single" w:color="auto" w:sz="4" w:space="0"/>
            </w:tcBorders>
            <w:vAlign w:val="center"/>
          </w:tcPr>
          <w:p w14:paraId="1B87A24E">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814" w:type="dxa"/>
            <w:tcBorders>
              <w:top w:val="single" w:color="auto" w:sz="4" w:space="0"/>
              <w:left w:val="single" w:color="auto" w:sz="4" w:space="0"/>
              <w:bottom w:val="single" w:color="auto" w:sz="4" w:space="0"/>
              <w:right w:val="single" w:color="auto" w:sz="4" w:space="0"/>
            </w:tcBorders>
            <w:vAlign w:val="center"/>
          </w:tcPr>
          <w:p w14:paraId="18712EA6">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20" w:type="dxa"/>
            <w:tcBorders>
              <w:top w:val="single" w:color="auto" w:sz="4" w:space="0"/>
              <w:left w:val="single" w:color="auto" w:sz="4" w:space="0"/>
              <w:bottom w:val="single" w:color="auto" w:sz="4" w:space="0"/>
              <w:right w:val="single" w:color="auto" w:sz="4" w:space="0"/>
            </w:tcBorders>
            <w:vAlign w:val="center"/>
          </w:tcPr>
          <w:p w14:paraId="3BE46720">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27EA3DF9">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43D4EDC2">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2EE3D5FE">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18" w:type="dxa"/>
            <w:tcBorders>
              <w:top w:val="single" w:color="auto" w:sz="4" w:space="0"/>
              <w:left w:val="single" w:color="auto" w:sz="4" w:space="0"/>
              <w:bottom w:val="single" w:color="auto" w:sz="4" w:space="0"/>
              <w:right w:val="single" w:color="auto" w:sz="4" w:space="0"/>
            </w:tcBorders>
            <w:vAlign w:val="center"/>
          </w:tcPr>
          <w:p w14:paraId="41839C6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37" w:type="dxa"/>
            <w:tcBorders>
              <w:top w:val="single" w:color="auto" w:sz="4" w:space="0"/>
              <w:left w:val="single" w:color="auto" w:sz="4" w:space="0"/>
              <w:bottom w:val="single" w:color="auto" w:sz="4" w:space="0"/>
              <w:right w:val="single" w:color="auto" w:sz="4" w:space="0"/>
            </w:tcBorders>
            <w:vAlign w:val="center"/>
          </w:tcPr>
          <w:p w14:paraId="01CA926A">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770" w:type="dxa"/>
            <w:tcBorders>
              <w:top w:val="single" w:color="auto" w:sz="4" w:space="0"/>
              <w:left w:val="single" w:color="auto" w:sz="4" w:space="0"/>
              <w:bottom w:val="single" w:color="auto" w:sz="4" w:space="0"/>
              <w:right w:val="single" w:color="auto" w:sz="4" w:space="0"/>
            </w:tcBorders>
            <w:vAlign w:val="center"/>
          </w:tcPr>
          <w:p w14:paraId="2C4AA9C3">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  ……</w:t>
            </w:r>
          </w:p>
          <w:p w14:paraId="490487E0">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  ……</w:t>
            </w:r>
          </w:p>
          <w:p w14:paraId="7E9C9A16">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  ……</w:t>
            </w:r>
          </w:p>
          <w:p w14:paraId="4ED96E81">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91" w:type="dxa"/>
            <w:tcBorders>
              <w:top w:val="single" w:color="auto" w:sz="4" w:space="0"/>
              <w:left w:val="single" w:color="auto" w:sz="4" w:space="0"/>
              <w:bottom w:val="single" w:color="auto" w:sz="4" w:space="0"/>
              <w:right w:val="single" w:color="auto" w:sz="4" w:space="0"/>
            </w:tcBorders>
            <w:vAlign w:val="center"/>
          </w:tcPr>
          <w:p w14:paraId="35BA9BB9">
            <w:pPr>
              <w:spacing w:line="300" w:lineRule="exact"/>
              <w:jc w:val="center"/>
              <w:rPr>
                <w:rFonts w:ascii="仿宋" w:hAnsi="仿宋" w:eastAsia="仿宋" w:cs="仿宋"/>
                <w:color w:val="auto"/>
                <w:sz w:val="24"/>
                <w:highlight w:val="none"/>
              </w:rPr>
            </w:pPr>
          </w:p>
        </w:tc>
      </w:tr>
      <w:tr w14:paraId="79D5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CF953F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5F05E1FC">
            <w:pPr>
              <w:jc w:val="center"/>
              <w:rPr>
                <w:rFonts w:ascii="仿宋" w:hAnsi="仿宋" w:eastAsia="仿宋" w:cs="仿宋"/>
                <w:color w:val="auto"/>
                <w:sz w:val="24"/>
                <w:highlight w:val="none"/>
              </w:rPr>
            </w:pPr>
          </w:p>
        </w:tc>
        <w:tc>
          <w:tcPr>
            <w:tcW w:w="814" w:type="dxa"/>
            <w:tcBorders>
              <w:top w:val="single" w:color="auto" w:sz="4" w:space="0"/>
              <w:left w:val="single" w:color="auto" w:sz="4" w:space="0"/>
              <w:bottom w:val="single" w:color="auto" w:sz="4" w:space="0"/>
              <w:right w:val="single" w:color="auto" w:sz="4" w:space="0"/>
            </w:tcBorders>
            <w:vAlign w:val="center"/>
          </w:tcPr>
          <w:p w14:paraId="3FE94240">
            <w:pPr>
              <w:jc w:val="center"/>
              <w:rPr>
                <w:rFonts w:ascii="仿宋" w:hAnsi="仿宋" w:eastAsia="仿宋" w:cs="仿宋"/>
                <w:color w:val="auto"/>
                <w:sz w:val="24"/>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625A1D59">
            <w:pPr>
              <w:jc w:val="center"/>
              <w:rPr>
                <w:rFonts w:ascii="仿宋" w:hAnsi="仿宋" w:eastAsia="仿宋" w:cs="仿宋"/>
                <w:color w:val="auto"/>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14:paraId="1117FEB6">
            <w:pPr>
              <w:jc w:val="center"/>
              <w:rPr>
                <w:rFonts w:ascii="仿宋" w:hAnsi="仿宋" w:eastAsia="仿宋" w:cs="仿宋"/>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5CAE554">
            <w:pPr>
              <w:jc w:val="center"/>
              <w:rPr>
                <w:rFonts w:ascii="仿宋" w:hAnsi="仿宋" w:eastAsia="仿宋" w:cs="仿宋"/>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14:paraId="7DDA200E">
            <w:pPr>
              <w:jc w:val="center"/>
              <w:rPr>
                <w:rFonts w:ascii="仿宋" w:hAnsi="仿宋" w:eastAsia="仿宋" w:cs="仿宋"/>
                <w:color w:val="auto"/>
                <w:sz w:val="24"/>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2BCA7885">
            <w:pPr>
              <w:jc w:val="center"/>
              <w:rPr>
                <w:rFonts w:ascii="仿宋" w:hAnsi="仿宋" w:eastAsia="仿宋" w:cs="仿宋"/>
                <w:color w:val="auto"/>
                <w:sz w:val="24"/>
                <w:highlight w:val="none"/>
              </w:rPr>
            </w:pPr>
          </w:p>
        </w:tc>
      </w:tr>
    </w:tbl>
    <w:p w14:paraId="7F4D236F">
      <w:pPr>
        <w:pStyle w:val="12"/>
        <w:spacing w:before="120" w:beforeLines="50" w:after="0" w:line="360" w:lineRule="auto"/>
        <w:contextualSpacing/>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444B62F6">
      <w:pPr>
        <w:pStyle w:val="12"/>
        <w:spacing w:after="0" w:line="360" w:lineRule="exact"/>
        <w:ind w:firstLine="480" w:firstLineChars="200"/>
        <w:contextualSpacing/>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1.说明：应对照谈判文件“第二章”中“货物需求一览表”的采购清单及技术参数条款逐条作出明确响应，并作出偏离说明。</w:t>
      </w:r>
    </w:p>
    <w:p w14:paraId="194B1F86">
      <w:pPr>
        <w:pStyle w:val="14"/>
        <w:spacing w:line="360" w:lineRule="exact"/>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谈判文件要求，在“偏离说明”中注明“正偏离”、“负偏离”或者“无偏离”。既不属于“正偏离”也不属于“负偏离”即为“无偏离”。当响应文件的商务内容低于竞争性谈判采购文件要求时，竞标人应当如实写明“负偏离”，否则视为虚假应标</w:t>
      </w:r>
    </w:p>
    <w:p w14:paraId="7FA27527">
      <w:pPr>
        <w:spacing w:line="3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3.表格内容均需按要求填写并盖章，不得留空，否则按竞标无效处理。</w:t>
      </w:r>
    </w:p>
    <w:p w14:paraId="2BF76CD2">
      <w:pPr>
        <w:spacing w:line="360" w:lineRule="exact"/>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3498594">
      <w:pPr>
        <w:pStyle w:val="14"/>
        <w:spacing w:line="36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szCs w:val="24"/>
          <w:highlight w:val="none"/>
        </w:rPr>
        <w:t>5.如技术偏离表中的竞标响应与佐证材料不一致的，以佐证材料为准。</w:t>
      </w:r>
    </w:p>
    <w:p w14:paraId="4076702B">
      <w:pPr>
        <w:snapToGrid w:val="0"/>
        <w:spacing w:line="360" w:lineRule="auto"/>
        <w:ind w:firstLine="602" w:firstLineChars="200"/>
        <w:rPr>
          <w:rFonts w:ascii="仿宋" w:hAnsi="仿宋" w:eastAsia="仿宋" w:cs="仿宋"/>
          <w:b/>
          <w:color w:val="auto"/>
          <w:sz w:val="30"/>
          <w:szCs w:val="30"/>
          <w:highlight w:val="none"/>
        </w:rPr>
      </w:pPr>
    </w:p>
    <w:p w14:paraId="32991841">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1D763B3">
      <w:pPr>
        <w:autoSpaceDE w:val="0"/>
        <w:autoSpaceDN w:val="0"/>
        <w:spacing w:line="360" w:lineRule="auto"/>
        <w:ind w:firstLine="6480" w:firstLineChars="270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66B2D14E">
      <w:pPr>
        <w:spacing w:line="500" w:lineRule="exact"/>
        <w:jc w:val="center"/>
        <w:rPr>
          <w:rFonts w:ascii="仿宋" w:hAnsi="仿宋" w:eastAsia="仿宋" w:cs="仿宋"/>
          <w:color w:val="auto"/>
          <w:sz w:val="32"/>
          <w:szCs w:val="32"/>
          <w:highlight w:val="none"/>
        </w:rPr>
        <w:sectPr>
          <w:pgSz w:w="11911" w:h="16838"/>
          <w:pgMar w:top="1338" w:right="1502" w:bottom="850" w:left="1678" w:header="1077" w:footer="720" w:gutter="0"/>
          <w:cols w:space="720" w:num="1"/>
        </w:sectPr>
      </w:pPr>
    </w:p>
    <w:p w14:paraId="1BF5F0E2">
      <w:pPr>
        <w:snapToGrid w:val="0"/>
        <w:spacing w:line="360" w:lineRule="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八、货物配置清单</w:t>
      </w:r>
    </w:p>
    <w:p w14:paraId="28EE598A">
      <w:pPr>
        <w:spacing w:line="500" w:lineRule="exact"/>
        <w:jc w:val="center"/>
        <w:rPr>
          <w:rFonts w:ascii="仿宋" w:hAnsi="仿宋" w:eastAsia="仿宋" w:cs="仿宋"/>
          <w:color w:val="auto"/>
          <w:sz w:val="32"/>
          <w:szCs w:val="32"/>
          <w:highlight w:val="none"/>
        </w:rPr>
      </w:pPr>
    </w:p>
    <w:p w14:paraId="53851CF1">
      <w:pPr>
        <w:adjustRightInd w:val="0"/>
        <w:snapToGrid w:val="0"/>
        <w:spacing w:line="5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货物配置清单</w:t>
      </w:r>
    </w:p>
    <w:p w14:paraId="55D3B2CE">
      <w:pPr>
        <w:spacing w:line="300" w:lineRule="auto"/>
        <w:rPr>
          <w:rFonts w:ascii="仿宋" w:hAnsi="仿宋" w:eastAsia="仿宋" w:cs="仿宋"/>
          <w:color w:val="auto"/>
          <w:szCs w:val="21"/>
          <w:highlight w:val="none"/>
        </w:rPr>
      </w:pPr>
    </w:p>
    <w:p w14:paraId="3F840C72">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4391BD88">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55EE043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Cs w:val="21"/>
          <w:highlight w:val="none"/>
        </w:rPr>
        <w:t>（此处有分标时填写具体分标号，无分标时填写“无”）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bl>
      <w:tblPr>
        <w:tblStyle w:val="31"/>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358"/>
        <w:gridCol w:w="1443"/>
        <w:gridCol w:w="945"/>
        <w:gridCol w:w="1412"/>
        <w:gridCol w:w="1183"/>
        <w:gridCol w:w="979"/>
        <w:gridCol w:w="1632"/>
      </w:tblGrid>
      <w:tr w14:paraId="2B676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F1B4C91">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58" w:type="dxa"/>
            <w:tcBorders>
              <w:top w:val="single" w:color="auto" w:sz="4" w:space="0"/>
              <w:left w:val="single" w:color="auto" w:sz="4" w:space="0"/>
              <w:bottom w:val="single" w:color="auto" w:sz="4" w:space="0"/>
              <w:right w:val="single" w:color="auto" w:sz="4" w:space="0"/>
            </w:tcBorders>
            <w:vAlign w:val="center"/>
          </w:tcPr>
          <w:p w14:paraId="7EDCBEED">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1443" w:type="dxa"/>
            <w:tcBorders>
              <w:top w:val="single" w:color="auto" w:sz="4" w:space="0"/>
              <w:left w:val="single" w:color="auto" w:sz="4" w:space="0"/>
              <w:bottom w:val="single" w:color="auto" w:sz="4" w:space="0"/>
              <w:right w:val="single" w:color="auto" w:sz="4" w:space="0"/>
            </w:tcBorders>
            <w:vAlign w:val="center"/>
          </w:tcPr>
          <w:p w14:paraId="7AECAC4A">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数量及单位</w:t>
            </w:r>
          </w:p>
        </w:tc>
        <w:tc>
          <w:tcPr>
            <w:tcW w:w="945" w:type="dxa"/>
            <w:tcBorders>
              <w:top w:val="single" w:color="auto" w:sz="4" w:space="0"/>
              <w:left w:val="single" w:color="auto" w:sz="4" w:space="0"/>
              <w:bottom w:val="single" w:color="auto" w:sz="4" w:space="0"/>
              <w:right w:val="single" w:color="auto" w:sz="4" w:space="0"/>
            </w:tcBorders>
            <w:vAlign w:val="center"/>
          </w:tcPr>
          <w:p w14:paraId="27AAFF79">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412" w:type="dxa"/>
            <w:tcBorders>
              <w:top w:val="single" w:color="auto" w:sz="4" w:space="0"/>
              <w:left w:val="single" w:color="auto" w:sz="4" w:space="0"/>
              <w:bottom w:val="single" w:color="auto" w:sz="4" w:space="0"/>
              <w:right w:val="single" w:color="auto" w:sz="4" w:space="0"/>
            </w:tcBorders>
            <w:vAlign w:val="center"/>
          </w:tcPr>
          <w:p w14:paraId="5CC0535D">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183" w:type="dxa"/>
            <w:tcBorders>
              <w:top w:val="single" w:color="auto" w:sz="4" w:space="0"/>
              <w:left w:val="single" w:color="auto" w:sz="4" w:space="0"/>
              <w:bottom w:val="single" w:color="auto" w:sz="4" w:space="0"/>
              <w:right w:val="single" w:color="auto" w:sz="4" w:space="0"/>
            </w:tcBorders>
            <w:vAlign w:val="center"/>
          </w:tcPr>
          <w:p w14:paraId="1D890570">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制造商</w:t>
            </w:r>
          </w:p>
        </w:tc>
        <w:tc>
          <w:tcPr>
            <w:tcW w:w="979" w:type="dxa"/>
            <w:tcBorders>
              <w:top w:val="single" w:color="auto" w:sz="4" w:space="0"/>
              <w:left w:val="single" w:color="auto" w:sz="4" w:space="0"/>
              <w:bottom w:val="single" w:color="auto" w:sz="4" w:space="0"/>
              <w:right w:val="single" w:color="auto" w:sz="4" w:space="0"/>
            </w:tcBorders>
            <w:vAlign w:val="center"/>
          </w:tcPr>
          <w:p w14:paraId="19FD4A52">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原产地</w:t>
            </w:r>
          </w:p>
        </w:tc>
        <w:tc>
          <w:tcPr>
            <w:tcW w:w="1632" w:type="dxa"/>
            <w:tcBorders>
              <w:top w:val="single" w:color="auto" w:sz="4" w:space="0"/>
              <w:left w:val="single" w:color="auto" w:sz="4" w:space="0"/>
              <w:bottom w:val="single" w:color="auto" w:sz="4" w:space="0"/>
              <w:right w:val="single" w:color="auto" w:sz="4" w:space="0"/>
            </w:tcBorders>
            <w:vAlign w:val="center"/>
          </w:tcPr>
          <w:p w14:paraId="4445C73E">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参数性能、指标及配置</w:t>
            </w:r>
          </w:p>
        </w:tc>
      </w:tr>
      <w:tr w14:paraId="56F3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895622">
            <w:pPr>
              <w:snapToGrid w:val="0"/>
              <w:spacing w:before="50" w:after="50"/>
              <w:jc w:val="center"/>
              <w:rPr>
                <w:rFonts w:ascii="仿宋" w:hAnsi="仿宋" w:eastAsia="仿宋" w:cs="仿宋"/>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72BD7AD0">
            <w:pPr>
              <w:snapToGrid w:val="0"/>
              <w:spacing w:before="50" w:after="50"/>
              <w:jc w:val="center"/>
              <w:rPr>
                <w:rFonts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783E435">
            <w:pPr>
              <w:snapToGrid w:val="0"/>
              <w:spacing w:before="50" w:after="50"/>
              <w:jc w:val="center"/>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4C0CFE0D">
            <w:pPr>
              <w:snapToGrid w:val="0"/>
              <w:spacing w:before="50" w:after="50"/>
              <w:jc w:val="center"/>
              <w:rPr>
                <w:rFonts w:ascii="仿宋" w:hAnsi="仿宋" w:eastAsia="仿宋" w:cs="仿宋"/>
                <w:color w:val="auto"/>
                <w:sz w:val="24"/>
                <w:highlight w:val="none"/>
              </w:rPr>
            </w:pPr>
          </w:p>
        </w:tc>
        <w:tc>
          <w:tcPr>
            <w:tcW w:w="1412" w:type="dxa"/>
            <w:tcBorders>
              <w:top w:val="single" w:color="auto" w:sz="4" w:space="0"/>
              <w:left w:val="single" w:color="auto" w:sz="4" w:space="0"/>
              <w:bottom w:val="single" w:color="auto" w:sz="4" w:space="0"/>
              <w:right w:val="single" w:color="auto" w:sz="4" w:space="0"/>
            </w:tcBorders>
          </w:tcPr>
          <w:p w14:paraId="3842E5D9">
            <w:pPr>
              <w:snapToGrid w:val="0"/>
              <w:spacing w:before="50" w:after="50"/>
              <w:jc w:val="center"/>
              <w:rPr>
                <w:rFonts w:ascii="仿宋" w:hAnsi="仿宋" w:eastAsia="仿宋" w:cs="仿宋"/>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67D8892">
            <w:pPr>
              <w:snapToGrid w:val="0"/>
              <w:spacing w:before="50" w:after="50"/>
              <w:jc w:val="center"/>
              <w:rPr>
                <w:rFonts w:ascii="仿宋" w:hAnsi="仿宋" w:eastAsia="仿宋" w:cs="仿宋"/>
                <w:color w:val="auto"/>
                <w:sz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14:paraId="31F3D36C">
            <w:pPr>
              <w:snapToGrid w:val="0"/>
              <w:spacing w:before="50" w:after="50"/>
              <w:jc w:val="center"/>
              <w:rPr>
                <w:rFonts w:ascii="仿宋" w:hAnsi="仿宋" w:eastAsia="仿宋" w:cs="仿宋"/>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23515F9C">
            <w:pPr>
              <w:snapToGrid w:val="0"/>
              <w:spacing w:before="50" w:after="50"/>
              <w:jc w:val="center"/>
              <w:rPr>
                <w:rFonts w:ascii="仿宋" w:hAnsi="仿宋" w:eastAsia="仿宋" w:cs="仿宋"/>
                <w:color w:val="auto"/>
                <w:sz w:val="24"/>
                <w:highlight w:val="none"/>
              </w:rPr>
            </w:pPr>
          </w:p>
        </w:tc>
      </w:tr>
      <w:tr w14:paraId="7E6B4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34A2D0">
            <w:pPr>
              <w:snapToGrid w:val="0"/>
              <w:spacing w:before="50" w:after="50"/>
              <w:jc w:val="center"/>
              <w:rPr>
                <w:rFonts w:ascii="仿宋" w:hAnsi="仿宋" w:eastAsia="仿宋" w:cs="仿宋"/>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7A8963A7">
            <w:pPr>
              <w:snapToGrid w:val="0"/>
              <w:spacing w:before="50" w:after="50"/>
              <w:jc w:val="center"/>
              <w:rPr>
                <w:rFonts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1056C1F">
            <w:pPr>
              <w:snapToGrid w:val="0"/>
              <w:spacing w:before="50" w:after="50"/>
              <w:jc w:val="center"/>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440C486C">
            <w:pPr>
              <w:snapToGrid w:val="0"/>
              <w:spacing w:before="50" w:after="50"/>
              <w:jc w:val="center"/>
              <w:rPr>
                <w:rFonts w:ascii="仿宋" w:hAnsi="仿宋" w:eastAsia="仿宋" w:cs="仿宋"/>
                <w:color w:val="auto"/>
                <w:sz w:val="24"/>
                <w:highlight w:val="none"/>
              </w:rPr>
            </w:pPr>
          </w:p>
        </w:tc>
        <w:tc>
          <w:tcPr>
            <w:tcW w:w="1412" w:type="dxa"/>
            <w:tcBorders>
              <w:top w:val="single" w:color="auto" w:sz="4" w:space="0"/>
              <w:left w:val="single" w:color="auto" w:sz="4" w:space="0"/>
              <w:bottom w:val="single" w:color="auto" w:sz="4" w:space="0"/>
              <w:right w:val="single" w:color="auto" w:sz="4" w:space="0"/>
            </w:tcBorders>
          </w:tcPr>
          <w:p w14:paraId="7372E091">
            <w:pPr>
              <w:snapToGrid w:val="0"/>
              <w:spacing w:before="50" w:after="50"/>
              <w:jc w:val="center"/>
              <w:rPr>
                <w:rFonts w:ascii="仿宋" w:hAnsi="仿宋" w:eastAsia="仿宋" w:cs="仿宋"/>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46EA421F">
            <w:pPr>
              <w:snapToGrid w:val="0"/>
              <w:spacing w:before="50" w:after="50"/>
              <w:jc w:val="center"/>
              <w:rPr>
                <w:rFonts w:ascii="仿宋" w:hAnsi="仿宋" w:eastAsia="仿宋" w:cs="仿宋"/>
                <w:color w:val="auto"/>
                <w:sz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14:paraId="4EF0D8E8">
            <w:pPr>
              <w:snapToGrid w:val="0"/>
              <w:spacing w:before="50" w:after="50"/>
              <w:jc w:val="center"/>
              <w:rPr>
                <w:rFonts w:ascii="仿宋" w:hAnsi="仿宋" w:eastAsia="仿宋" w:cs="仿宋"/>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69A42B48">
            <w:pPr>
              <w:snapToGrid w:val="0"/>
              <w:spacing w:before="50" w:after="50"/>
              <w:jc w:val="center"/>
              <w:rPr>
                <w:rFonts w:ascii="仿宋" w:hAnsi="仿宋" w:eastAsia="仿宋" w:cs="仿宋"/>
                <w:color w:val="auto"/>
                <w:sz w:val="24"/>
                <w:highlight w:val="none"/>
              </w:rPr>
            </w:pPr>
          </w:p>
        </w:tc>
      </w:tr>
      <w:tr w14:paraId="42528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570D315">
            <w:pPr>
              <w:snapToGrid w:val="0"/>
              <w:spacing w:before="50" w:after="50"/>
              <w:jc w:val="center"/>
              <w:rPr>
                <w:rFonts w:ascii="仿宋" w:hAnsi="仿宋" w:eastAsia="仿宋" w:cs="仿宋"/>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5F351464">
            <w:pPr>
              <w:snapToGrid w:val="0"/>
              <w:spacing w:before="50" w:after="50"/>
              <w:jc w:val="center"/>
              <w:rPr>
                <w:rFonts w:ascii="仿宋" w:hAnsi="仿宋" w:eastAsia="仿宋" w:cs="仿宋"/>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69B160B">
            <w:pPr>
              <w:snapToGrid w:val="0"/>
              <w:spacing w:before="50" w:after="50"/>
              <w:jc w:val="center"/>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7854D123">
            <w:pPr>
              <w:snapToGrid w:val="0"/>
              <w:spacing w:before="50" w:after="50"/>
              <w:jc w:val="center"/>
              <w:rPr>
                <w:rFonts w:ascii="仿宋" w:hAnsi="仿宋" w:eastAsia="仿宋" w:cs="仿宋"/>
                <w:color w:val="auto"/>
                <w:sz w:val="24"/>
                <w:highlight w:val="none"/>
              </w:rPr>
            </w:pPr>
          </w:p>
        </w:tc>
        <w:tc>
          <w:tcPr>
            <w:tcW w:w="1412" w:type="dxa"/>
            <w:tcBorders>
              <w:top w:val="single" w:color="auto" w:sz="4" w:space="0"/>
              <w:left w:val="single" w:color="auto" w:sz="4" w:space="0"/>
              <w:bottom w:val="single" w:color="auto" w:sz="4" w:space="0"/>
              <w:right w:val="single" w:color="auto" w:sz="4" w:space="0"/>
            </w:tcBorders>
          </w:tcPr>
          <w:p w14:paraId="62AD78E6">
            <w:pPr>
              <w:snapToGrid w:val="0"/>
              <w:spacing w:before="50" w:after="50"/>
              <w:jc w:val="center"/>
              <w:rPr>
                <w:rFonts w:ascii="仿宋" w:hAnsi="仿宋" w:eastAsia="仿宋" w:cs="仿宋"/>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AE75174">
            <w:pPr>
              <w:snapToGrid w:val="0"/>
              <w:spacing w:before="50" w:after="50"/>
              <w:jc w:val="center"/>
              <w:rPr>
                <w:rFonts w:ascii="仿宋" w:hAnsi="仿宋" w:eastAsia="仿宋" w:cs="仿宋"/>
                <w:color w:val="auto"/>
                <w:sz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14:paraId="4FBF98E5">
            <w:pPr>
              <w:snapToGrid w:val="0"/>
              <w:spacing w:before="50" w:after="50"/>
              <w:jc w:val="center"/>
              <w:rPr>
                <w:rFonts w:ascii="仿宋" w:hAnsi="仿宋" w:eastAsia="仿宋" w:cs="仿宋"/>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1A25CD91">
            <w:pPr>
              <w:snapToGrid w:val="0"/>
              <w:spacing w:before="50" w:after="50"/>
              <w:jc w:val="center"/>
              <w:rPr>
                <w:rFonts w:ascii="仿宋" w:hAnsi="仿宋" w:eastAsia="仿宋" w:cs="仿宋"/>
                <w:color w:val="auto"/>
                <w:sz w:val="24"/>
                <w:highlight w:val="none"/>
              </w:rPr>
            </w:pPr>
          </w:p>
        </w:tc>
      </w:tr>
    </w:tbl>
    <w:p w14:paraId="26CF19F9">
      <w:pPr>
        <w:spacing w:line="360" w:lineRule="auto"/>
        <w:contextualSpacing/>
        <w:rPr>
          <w:rFonts w:ascii="仿宋" w:hAnsi="仿宋" w:eastAsia="仿宋" w:cs="仿宋"/>
          <w:color w:val="auto"/>
          <w:sz w:val="24"/>
          <w:highlight w:val="none"/>
        </w:rPr>
      </w:pPr>
    </w:p>
    <w:p w14:paraId="1842C82B">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备注：</w:t>
      </w:r>
      <w:r>
        <w:rPr>
          <w:rFonts w:hint="eastAsia" w:ascii="仿宋" w:hAnsi="仿宋" w:eastAsia="仿宋" w:cs="仿宋"/>
          <w:b/>
          <w:bCs/>
          <w:color w:val="auto"/>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货物名称、数量及单位、品牌必须与“货物需求一览表”一致，</w:t>
      </w:r>
      <w:r>
        <w:rPr>
          <w:rFonts w:hint="eastAsia" w:ascii="仿宋" w:hAnsi="仿宋" w:eastAsia="仿宋" w:cs="仿宋"/>
          <w:bCs/>
          <w:color w:val="auto"/>
          <w:sz w:val="24"/>
          <w:highlight w:val="none"/>
        </w:rPr>
        <w:t>否则响应文件作无效处理</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ab/>
      </w:r>
    </w:p>
    <w:p w14:paraId="7AF2F269">
      <w:pPr>
        <w:adjustRightInd w:val="0"/>
        <w:spacing w:line="360" w:lineRule="auto"/>
        <w:contextualSpacing/>
        <w:jc w:val="left"/>
        <w:rPr>
          <w:rFonts w:ascii="仿宋" w:hAnsi="仿宋" w:eastAsia="仿宋" w:cs="仿宋"/>
          <w:color w:val="auto"/>
          <w:sz w:val="24"/>
          <w:highlight w:val="none"/>
        </w:rPr>
      </w:pPr>
    </w:p>
    <w:p w14:paraId="50080950">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AFFA927">
      <w:pPr>
        <w:autoSpaceDE w:val="0"/>
        <w:autoSpaceDN w:val="0"/>
        <w:spacing w:line="360" w:lineRule="auto"/>
        <w:ind w:firstLine="6480" w:firstLineChars="270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5A10DFA">
      <w:pPr>
        <w:spacing w:line="500" w:lineRule="exact"/>
        <w:rPr>
          <w:rFonts w:ascii="仿宋" w:hAnsi="仿宋" w:eastAsia="仿宋" w:cs="仿宋"/>
          <w:color w:val="auto"/>
          <w:sz w:val="32"/>
          <w:szCs w:val="32"/>
          <w:highlight w:val="none"/>
        </w:rPr>
      </w:pPr>
    </w:p>
    <w:p w14:paraId="5C7D0678">
      <w:pPr>
        <w:snapToGrid w:val="0"/>
        <w:spacing w:line="360" w:lineRule="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九、售后服务承诺</w:t>
      </w:r>
    </w:p>
    <w:p w14:paraId="6FD66F24">
      <w:pPr>
        <w:snapToGrid w:val="0"/>
        <w:spacing w:line="360" w:lineRule="auto"/>
        <w:jc w:val="center"/>
        <w:rPr>
          <w:rFonts w:ascii="仿宋" w:hAnsi="仿宋" w:eastAsia="仿宋" w:cs="仿宋"/>
          <w:color w:val="auto"/>
          <w:sz w:val="24"/>
          <w:highlight w:val="none"/>
        </w:rPr>
      </w:pPr>
    </w:p>
    <w:p w14:paraId="2E25896C">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（由竞标人按本项目竞争性谈判采购文件第二章“</w:t>
      </w:r>
      <w:r>
        <w:rPr>
          <w:rFonts w:hint="eastAsia" w:ascii="仿宋" w:hAnsi="仿宋" w:eastAsia="仿宋" w:cs="仿宋"/>
          <w:color w:val="auto"/>
          <w:sz w:val="24"/>
          <w:highlight w:val="none"/>
          <w:lang w:val="en-US" w:eastAsia="zh-CN"/>
        </w:rPr>
        <w:t>采购需求</w:t>
      </w:r>
      <w:r>
        <w:rPr>
          <w:rFonts w:hint="eastAsia" w:ascii="仿宋" w:hAnsi="仿宋" w:eastAsia="仿宋" w:cs="仿宋"/>
          <w:color w:val="auto"/>
          <w:sz w:val="24"/>
          <w:highlight w:val="none"/>
        </w:rPr>
        <w:t>”中商务条款部分的售后服务要求自行填写。）</w:t>
      </w:r>
    </w:p>
    <w:p w14:paraId="51F9F934">
      <w:pPr>
        <w:spacing w:line="500" w:lineRule="exact"/>
        <w:rPr>
          <w:rFonts w:ascii="仿宋" w:hAnsi="仿宋" w:eastAsia="仿宋" w:cs="仿宋"/>
          <w:color w:val="auto"/>
          <w:sz w:val="32"/>
          <w:szCs w:val="32"/>
          <w:highlight w:val="none"/>
        </w:rPr>
      </w:pPr>
    </w:p>
    <w:p w14:paraId="4EA87B9A">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242DD91">
      <w:pPr>
        <w:autoSpaceDE w:val="0"/>
        <w:autoSpaceDN w:val="0"/>
        <w:spacing w:line="360" w:lineRule="auto"/>
        <w:ind w:firstLine="6480" w:firstLineChars="27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7C3C6E9">
      <w:pPr>
        <w:snapToGrid w:val="0"/>
        <w:spacing w:line="360" w:lineRule="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十、项目实施人员一览表（如有）</w:t>
      </w:r>
    </w:p>
    <w:p w14:paraId="1A58FBF1">
      <w:pPr>
        <w:spacing w:line="360" w:lineRule="auto"/>
        <w:jc w:val="center"/>
        <w:rPr>
          <w:rFonts w:ascii="仿宋" w:hAnsi="仿宋" w:eastAsia="仿宋" w:cs="仿宋"/>
          <w:b/>
          <w:color w:val="auto"/>
          <w:sz w:val="30"/>
          <w:szCs w:val="30"/>
          <w:highlight w:val="none"/>
        </w:rPr>
      </w:pPr>
    </w:p>
    <w:p w14:paraId="0AA6B414">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项目实施人员一览表</w:t>
      </w:r>
    </w:p>
    <w:p w14:paraId="028AF470">
      <w:pPr>
        <w:spacing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（由供应商根据采购需求及采购文件要求编制）</w:t>
      </w:r>
    </w:p>
    <w:p w14:paraId="233FF14C">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01244827">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1423AEF8">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Cs w:val="21"/>
          <w:highlight w:val="none"/>
        </w:rPr>
        <w:t>（此处有分标时填写具体分标号，无分标时填写“无”）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85"/>
        <w:gridCol w:w="1170"/>
        <w:gridCol w:w="1896"/>
        <w:gridCol w:w="1278"/>
        <w:gridCol w:w="1278"/>
        <w:gridCol w:w="1278"/>
      </w:tblGrid>
      <w:tr w14:paraId="4268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1" w:type="dxa"/>
            <w:vAlign w:val="center"/>
          </w:tcPr>
          <w:p w14:paraId="3D7999D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85" w:type="dxa"/>
            <w:vAlign w:val="center"/>
          </w:tcPr>
          <w:p w14:paraId="75A036F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170" w:type="dxa"/>
            <w:vAlign w:val="center"/>
          </w:tcPr>
          <w:p w14:paraId="7727AD5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896" w:type="dxa"/>
            <w:vAlign w:val="center"/>
          </w:tcPr>
          <w:p w14:paraId="6227933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证书名称</w:t>
            </w:r>
          </w:p>
        </w:tc>
        <w:tc>
          <w:tcPr>
            <w:tcW w:w="1278" w:type="dxa"/>
            <w:vAlign w:val="center"/>
          </w:tcPr>
          <w:p w14:paraId="2FD32E4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证号</w:t>
            </w:r>
          </w:p>
        </w:tc>
        <w:tc>
          <w:tcPr>
            <w:tcW w:w="1278" w:type="dxa"/>
            <w:vAlign w:val="center"/>
          </w:tcPr>
          <w:p w14:paraId="778AB0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278" w:type="dxa"/>
            <w:vAlign w:val="center"/>
          </w:tcPr>
          <w:p w14:paraId="2CF1A2E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96A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39F75302">
            <w:pPr>
              <w:spacing w:line="360" w:lineRule="auto"/>
              <w:contextualSpacing/>
              <w:rPr>
                <w:rFonts w:ascii="仿宋" w:hAnsi="仿宋" w:eastAsia="仿宋" w:cs="仿宋"/>
                <w:color w:val="auto"/>
                <w:sz w:val="24"/>
                <w:highlight w:val="none"/>
                <w:u w:val="single"/>
              </w:rPr>
            </w:pPr>
          </w:p>
        </w:tc>
        <w:tc>
          <w:tcPr>
            <w:tcW w:w="1185" w:type="dxa"/>
          </w:tcPr>
          <w:p w14:paraId="5924E3DE">
            <w:pPr>
              <w:spacing w:line="360" w:lineRule="auto"/>
              <w:contextualSpacing/>
              <w:rPr>
                <w:rFonts w:ascii="仿宋" w:hAnsi="仿宋" w:eastAsia="仿宋" w:cs="仿宋"/>
                <w:color w:val="auto"/>
                <w:sz w:val="24"/>
                <w:highlight w:val="none"/>
                <w:u w:val="single"/>
              </w:rPr>
            </w:pPr>
          </w:p>
        </w:tc>
        <w:tc>
          <w:tcPr>
            <w:tcW w:w="1170" w:type="dxa"/>
          </w:tcPr>
          <w:p w14:paraId="04803AEA">
            <w:pPr>
              <w:spacing w:line="360" w:lineRule="auto"/>
              <w:contextualSpacing/>
              <w:rPr>
                <w:rFonts w:ascii="仿宋" w:hAnsi="仿宋" w:eastAsia="仿宋" w:cs="仿宋"/>
                <w:color w:val="auto"/>
                <w:sz w:val="24"/>
                <w:highlight w:val="none"/>
                <w:u w:val="single"/>
              </w:rPr>
            </w:pPr>
          </w:p>
        </w:tc>
        <w:tc>
          <w:tcPr>
            <w:tcW w:w="1896" w:type="dxa"/>
          </w:tcPr>
          <w:p w14:paraId="1B777512">
            <w:pPr>
              <w:spacing w:line="360" w:lineRule="auto"/>
              <w:contextualSpacing/>
              <w:rPr>
                <w:rFonts w:ascii="仿宋" w:hAnsi="仿宋" w:eastAsia="仿宋" w:cs="仿宋"/>
                <w:color w:val="auto"/>
                <w:sz w:val="24"/>
                <w:highlight w:val="none"/>
                <w:u w:val="single"/>
              </w:rPr>
            </w:pPr>
          </w:p>
        </w:tc>
        <w:tc>
          <w:tcPr>
            <w:tcW w:w="1278" w:type="dxa"/>
          </w:tcPr>
          <w:p w14:paraId="5C373721">
            <w:pPr>
              <w:spacing w:line="360" w:lineRule="auto"/>
              <w:contextualSpacing/>
              <w:rPr>
                <w:rFonts w:ascii="仿宋" w:hAnsi="仿宋" w:eastAsia="仿宋" w:cs="仿宋"/>
                <w:color w:val="auto"/>
                <w:sz w:val="24"/>
                <w:highlight w:val="none"/>
                <w:u w:val="single"/>
              </w:rPr>
            </w:pPr>
          </w:p>
        </w:tc>
        <w:tc>
          <w:tcPr>
            <w:tcW w:w="1278" w:type="dxa"/>
          </w:tcPr>
          <w:p w14:paraId="5F66428A">
            <w:pPr>
              <w:spacing w:line="360" w:lineRule="auto"/>
              <w:contextualSpacing/>
              <w:rPr>
                <w:rFonts w:ascii="仿宋" w:hAnsi="仿宋" w:eastAsia="仿宋" w:cs="仿宋"/>
                <w:color w:val="auto"/>
                <w:sz w:val="24"/>
                <w:highlight w:val="none"/>
                <w:u w:val="single"/>
              </w:rPr>
            </w:pPr>
          </w:p>
        </w:tc>
        <w:tc>
          <w:tcPr>
            <w:tcW w:w="1278" w:type="dxa"/>
          </w:tcPr>
          <w:p w14:paraId="113B2834">
            <w:pPr>
              <w:spacing w:line="360" w:lineRule="auto"/>
              <w:contextualSpacing/>
              <w:rPr>
                <w:rFonts w:ascii="仿宋" w:hAnsi="仿宋" w:eastAsia="仿宋" w:cs="仿宋"/>
                <w:color w:val="auto"/>
                <w:sz w:val="24"/>
                <w:highlight w:val="none"/>
                <w:u w:val="single"/>
              </w:rPr>
            </w:pPr>
          </w:p>
        </w:tc>
      </w:tr>
      <w:tr w14:paraId="2CA3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1991A632">
            <w:pPr>
              <w:spacing w:line="360" w:lineRule="auto"/>
              <w:contextualSpacing/>
              <w:rPr>
                <w:rFonts w:ascii="仿宋" w:hAnsi="仿宋" w:eastAsia="仿宋" w:cs="仿宋"/>
                <w:color w:val="auto"/>
                <w:sz w:val="24"/>
                <w:highlight w:val="none"/>
                <w:u w:val="single"/>
              </w:rPr>
            </w:pPr>
          </w:p>
        </w:tc>
        <w:tc>
          <w:tcPr>
            <w:tcW w:w="1185" w:type="dxa"/>
          </w:tcPr>
          <w:p w14:paraId="140CE38F">
            <w:pPr>
              <w:spacing w:line="360" w:lineRule="auto"/>
              <w:contextualSpacing/>
              <w:rPr>
                <w:rFonts w:ascii="仿宋" w:hAnsi="仿宋" w:eastAsia="仿宋" w:cs="仿宋"/>
                <w:color w:val="auto"/>
                <w:sz w:val="24"/>
                <w:highlight w:val="none"/>
                <w:u w:val="single"/>
              </w:rPr>
            </w:pPr>
          </w:p>
        </w:tc>
        <w:tc>
          <w:tcPr>
            <w:tcW w:w="1170" w:type="dxa"/>
          </w:tcPr>
          <w:p w14:paraId="1DEB94FD">
            <w:pPr>
              <w:spacing w:line="360" w:lineRule="auto"/>
              <w:contextualSpacing/>
              <w:rPr>
                <w:rFonts w:ascii="仿宋" w:hAnsi="仿宋" w:eastAsia="仿宋" w:cs="仿宋"/>
                <w:color w:val="auto"/>
                <w:sz w:val="24"/>
                <w:highlight w:val="none"/>
                <w:u w:val="single"/>
              </w:rPr>
            </w:pPr>
          </w:p>
        </w:tc>
        <w:tc>
          <w:tcPr>
            <w:tcW w:w="1896" w:type="dxa"/>
          </w:tcPr>
          <w:p w14:paraId="0A63850F">
            <w:pPr>
              <w:spacing w:line="360" w:lineRule="auto"/>
              <w:contextualSpacing/>
              <w:rPr>
                <w:rFonts w:ascii="仿宋" w:hAnsi="仿宋" w:eastAsia="仿宋" w:cs="仿宋"/>
                <w:color w:val="auto"/>
                <w:sz w:val="24"/>
                <w:highlight w:val="none"/>
                <w:u w:val="single"/>
              </w:rPr>
            </w:pPr>
          </w:p>
        </w:tc>
        <w:tc>
          <w:tcPr>
            <w:tcW w:w="1278" w:type="dxa"/>
          </w:tcPr>
          <w:p w14:paraId="77F8094D">
            <w:pPr>
              <w:spacing w:line="360" w:lineRule="auto"/>
              <w:contextualSpacing/>
              <w:rPr>
                <w:rFonts w:ascii="仿宋" w:hAnsi="仿宋" w:eastAsia="仿宋" w:cs="仿宋"/>
                <w:color w:val="auto"/>
                <w:sz w:val="24"/>
                <w:highlight w:val="none"/>
                <w:u w:val="single"/>
              </w:rPr>
            </w:pPr>
          </w:p>
        </w:tc>
        <w:tc>
          <w:tcPr>
            <w:tcW w:w="1278" w:type="dxa"/>
          </w:tcPr>
          <w:p w14:paraId="6CC52927">
            <w:pPr>
              <w:spacing w:line="360" w:lineRule="auto"/>
              <w:contextualSpacing/>
              <w:rPr>
                <w:rFonts w:ascii="仿宋" w:hAnsi="仿宋" w:eastAsia="仿宋" w:cs="仿宋"/>
                <w:color w:val="auto"/>
                <w:sz w:val="24"/>
                <w:highlight w:val="none"/>
                <w:u w:val="single"/>
              </w:rPr>
            </w:pPr>
          </w:p>
        </w:tc>
        <w:tc>
          <w:tcPr>
            <w:tcW w:w="1278" w:type="dxa"/>
          </w:tcPr>
          <w:p w14:paraId="24F03A90">
            <w:pPr>
              <w:spacing w:line="360" w:lineRule="auto"/>
              <w:contextualSpacing/>
              <w:rPr>
                <w:rFonts w:ascii="仿宋" w:hAnsi="仿宋" w:eastAsia="仿宋" w:cs="仿宋"/>
                <w:color w:val="auto"/>
                <w:sz w:val="24"/>
                <w:highlight w:val="none"/>
                <w:u w:val="single"/>
              </w:rPr>
            </w:pPr>
          </w:p>
        </w:tc>
      </w:tr>
      <w:tr w14:paraId="7EEB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3A071D7B">
            <w:pPr>
              <w:spacing w:line="360" w:lineRule="auto"/>
              <w:contextualSpacing/>
              <w:rPr>
                <w:rFonts w:ascii="仿宋" w:hAnsi="仿宋" w:eastAsia="仿宋" w:cs="仿宋"/>
                <w:color w:val="auto"/>
                <w:sz w:val="24"/>
                <w:highlight w:val="none"/>
                <w:u w:val="single"/>
              </w:rPr>
            </w:pPr>
          </w:p>
        </w:tc>
        <w:tc>
          <w:tcPr>
            <w:tcW w:w="1185" w:type="dxa"/>
          </w:tcPr>
          <w:p w14:paraId="357400B5">
            <w:pPr>
              <w:spacing w:line="360" w:lineRule="auto"/>
              <w:contextualSpacing/>
              <w:rPr>
                <w:rFonts w:ascii="仿宋" w:hAnsi="仿宋" w:eastAsia="仿宋" w:cs="仿宋"/>
                <w:color w:val="auto"/>
                <w:sz w:val="24"/>
                <w:highlight w:val="none"/>
                <w:u w:val="single"/>
              </w:rPr>
            </w:pPr>
          </w:p>
        </w:tc>
        <w:tc>
          <w:tcPr>
            <w:tcW w:w="1170" w:type="dxa"/>
          </w:tcPr>
          <w:p w14:paraId="706C2DB2">
            <w:pPr>
              <w:spacing w:line="360" w:lineRule="auto"/>
              <w:contextualSpacing/>
              <w:rPr>
                <w:rFonts w:ascii="仿宋" w:hAnsi="仿宋" w:eastAsia="仿宋" w:cs="仿宋"/>
                <w:color w:val="auto"/>
                <w:sz w:val="24"/>
                <w:highlight w:val="none"/>
                <w:u w:val="single"/>
              </w:rPr>
            </w:pPr>
          </w:p>
        </w:tc>
        <w:tc>
          <w:tcPr>
            <w:tcW w:w="1896" w:type="dxa"/>
          </w:tcPr>
          <w:p w14:paraId="1C4A8B56">
            <w:pPr>
              <w:spacing w:line="360" w:lineRule="auto"/>
              <w:contextualSpacing/>
              <w:rPr>
                <w:rFonts w:ascii="仿宋" w:hAnsi="仿宋" w:eastAsia="仿宋" w:cs="仿宋"/>
                <w:color w:val="auto"/>
                <w:sz w:val="24"/>
                <w:highlight w:val="none"/>
                <w:u w:val="single"/>
              </w:rPr>
            </w:pPr>
          </w:p>
        </w:tc>
        <w:tc>
          <w:tcPr>
            <w:tcW w:w="1278" w:type="dxa"/>
          </w:tcPr>
          <w:p w14:paraId="7BC3A8CE">
            <w:pPr>
              <w:spacing w:line="360" w:lineRule="auto"/>
              <w:contextualSpacing/>
              <w:rPr>
                <w:rFonts w:ascii="仿宋" w:hAnsi="仿宋" w:eastAsia="仿宋" w:cs="仿宋"/>
                <w:color w:val="auto"/>
                <w:sz w:val="24"/>
                <w:highlight w:val="none"/>
                <w:u w:val="single"/>
              </w:rPr>
            </w:pPr>
          </w:p>
        </w:tc>
        <w:tc>
          <w:tcPr>
            <w:tcW w:w="1278" w:type="dxa"/>
          </w:tcPr>
          <w:p w14:paraId="46F2E57A">
            <w:pPr>
              <w:spacing w:line="360" w:lineRule="auto"/>
              <w:contextualSpacing/>
              <w:rPr>
                <w:rFonts w:ascii="仿宋" w:hAnsi="仿宋" w:eastAsia="仿宋" w:cs="仿宋"/>
                <w:color w:val="auto"/>
                <w:sz w:val="24"/>
                <w:highlight w:val="none"/>
                <w:u w:val="single"/>
              </w:rPr>
            </w:pPr>
          </w:p>
        </w:tc>
        <w:tc>
          <w:tcPr>
            <w:tcW w:w="1278" w:type="dxa"/>
          </w:tcPr>
          <w:p w14:paraId="47165D82">
            <w:pPr>
              <w:spacing w:line="360" w:lineRule="auto"/>
              <w:contextualSpacing/>
              <w:rPr>
                <w:rFonts w:ascii="仿宋" w:hAnsi="仿宋" w:eastAsia="仿宋" w:cs="仿宋"/>
                <w:color w:val="auto"/>
                <w:sz w:val="24"/>
                <w:highlight w:val="none"/>
                <w:u w:val="single"/>
              </w:rPr>
            </w:pPr>
          </w:p>
        </w:tc>
      </w:tr>
      <w:tr w14:paraId="1D85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481691C9">
            <w:pPr>
              <w:spacing w:line="360" w:lineRule="auto"/>
              <w:contextualSpacing/>
              <w:rPr>
                <w:rFonts w:ascii="仿宋" w:hAnsi="仿宋" w:eastAsia="仿宋" w:cs="仿宋"/>
                <w:color w:val="auto"/>
                <w:sz w:val="24"/>
                <w:highlight w:val="none"/>
                <w:u w:val="single"/>
              </w:rPr>
            </w:pPr>
          </w:p>
        </w:tc>
        <w:tc>
          <w:tcPr>
            <w:tcW w:w="1185" w:type="dxa"/>
          </w:tcPr>
          <w:p w14:paraId="4209BB58">
            <w:pPr>
              <w:spacing w:line="360" w:lineRule="auto"/>
              <w:contextualSpacing/>
              <w:rPr>
                <w:rFonts w:ascii="仿宋" w:hAnsi="仿宋" w:eastAsia="仿宋" w:cs="仿宋"/>
                <w:color w:val="auto"/>
                <w:sz w:val="24"/>
                <w:highlight w:val="none"/>
                <w:u w:val="single"/>
              </w:rPr>
            </w:pPr>
          </w:p>
        </w:tc>
        <w:tc>
          <w:tcPr>
            <w:tcW w:w="1170" w:type="dxa"/>
          </w:tcPr>
          <w:p w14:paraId="72CA9EA8">
            <w:pPr>
              <w:spacing w:line="360" w:lineRule="auto"/>
              <w:contextualSpacing/>
              <w:rPr>
                <w:rFonts w:ascii="仿宋" w:hAnsi="仿宋" w:eastAsia="仿宋" w:cs="仿宋"/>
                <w:color w:val="auto"/>
                <w:sz w:val="24"/>
                <w:highlight w:val="none"/>
                <w:u w:val="single"/>
              </w:rPr>
            </w:pPr>
          </w:p>
        </w:tc>
        <w:tc>
          <w:tcPr>
            <w:tcW w:w="1896" w:type="dxa"/>
          </w:tcPr>
          <w:p w14:paraId="111A4C13">
            <w:pPr>
              <w:spacing w:line="360" w:lineRule="auto"/>
              <w:contextualSpacing/>
              <w:rPr>
                <w:rFonts w:ascii="仿宋" w:hAnsi="仿宋" w:eastAsia="仿宋" w:cs="仿宋"/>
                <w:color w:val="auto"/>
                <w:sz w:val="24"/>
                <w:highlight w:val="none"/>
                <w:u w:val="single"/>
              </w:rPr>
            </w:pPr>
          </w:p>
        </w:tc>
        <w:tc>
          <w:tcPr>
            <w:tcW w:w="1278" w:type="dxa"/>
          </w:tcPr>
          <w:p w14:paraId="174DE18D">
            <w:pPr>
              <w:spacing w:line="360" w:lineRule="auto"/>
              <w:contextualSpacing/>
              <w:rPr>
                <w:rFonts w:ascii="仿宋" w:hAnsi="仿宋" w:eastAsia="仿宋" w:cs="仿宋"/>
                <w:color w:val="auto"/>
                <w:sz w:val="24"/>
                <w:highlight w:val="none"/>
                <w:u w:val="single"/>
              </w:rPr>
            </w:pPr>
          </w:p>
        </w:tc>
        <w:tc>
          <w:tcPr>
            <w:tcW w:w="1278" w:type="dxa"/>
          </w:tcPr>
          <w:p w14:paraId="18F00CCC">
            <w:pPr>
              <w:spacing w:line="360" w:lineRule="auto"/>
              <w:contextualSpacing/>
              <w:rPr>
                <w:rFonts w:ascii="仿宋" w:hAnsi="仿宋" w:eastAsia="仿宋" w:cs="仿宋"/>
                <w:color w:val="auto"/>
                <w:sz w:val="24"/>
                <w:highlight w:val="none"/>
                <w:u w:val="single"/>
              </w:rPr>
            </w:pPr>
          </w:p>
        </w:tc>
        <w:tc>
          <w:tcPr>
            <w:tcW w:w="1278" w:type="dxa"/>
          </w:tcPr>
          <w:p w14:paraId="191B2D5E">
            <w:pPr>
              <w:spacing w:line="360" w:lineRule="auto"/>
              <w:contextualSpacing/>
              <w:rPr>
                <w:rFonts w:ascii="仿宋" w:hAnsi="仿宋" w:eastAsia="仿宋" w:cs="仿宋"/>
                <w:color w:val="auto"/>
                <w:sz w:val="24"/>
                <w:highlight w:val="none"/>
                <w:u w:val="single"/>
              </w:rPr>
            </w:pPr>
          </w:p>
        </w:tc>
      </w:tr>
      <w:tr w14:paraId="0678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1C219C6D">
            <w:pPr>
              <w:spacing w:line="360" w:lineRule="auto"/>
              <w:contextualSpacing/>
              <w:rPr>
                <w:rFonts w:ascii="仿宋" w:hAnsi="仿宋" w:eastAsia="仿宋" w:cs="仿宋"/>
                <w:color w:val="auto"/>
                <w:sz w:val="24"/>
                <w:highlight w:val="none"/>
                <w:u w:val="single"/>
              </w:rPr>
            </w:pPr>
          </w:p>
        </w:tc>
        <w:tc>
          <w:tcPr>
            <w:tcW w:w="1185" w:type="dxa"/>
          </w:tcPr>
          <w:p w14:paraId="2DAB38DE">
            <w:pPr>
              <w:spacing w:line="360" w:lineRule="auto"/>
              <w:contextualSpacing/>
              <w:rPr>
                <w:rFonts w:ascii="仿宋" w:hAnsi="仿宋" w:eastAsia="仿宋" w:cs="仿宋"/>
                <w:color w:val="auto"/>
                <w:sz w:val="24"/>
                <w:highlight w:val="none"/>
                <w:u w:val="single"/>
              </w:rPr>
            </w:pPr>
          </w:p>
        </w:tc>
        <w:tc>
          <w:tcPr>
            <w:tcW w:w="1170" w:type="dxa"/>
          </w:tcPr>
          <w:p w14:paraId="1EBBB3DB">
            <w:pPr>
              <w:spacing w:line="360" w:lineRule="auto"/>
              <w:contextualSpacing/>
              <w:rPr>
                <w:rFonts w:ascii="仿宋" w:hAnsi="仿宋" w:eastAsia="仿宋" w:cs="仿宋"/>
                <w:color w:val="auto"/>
                <w:sz w:val="24"/>
                <w:highlight w:val="none"/>
                <w:u w:val="single"/>
              </w:rPr>
            </w:pPr>
          </w:p>
        </w:tc>
        <w:tc>
          <w:tcPr>
            <w:tcW w:w="1896" w:type="dxa"/>
          </w:tcPr>
          <w:p w14:paraId="65D31E28">
            <w:pPr>
              <w:spacing w:line="360" w:lineRule="auto"/>
              <w:contextualSpacing/>
              <w:rPr>
                <w:rFonts w:ascii="仿宋" w:hAnsi="仿宋" w:eastAsia="仿宋" w:cs="仿宋"/>
                <w:color w:val="auto"/>
                <w:sz w:val="24"/>
                <w:highlight w:val="none"/>
                <w:u w:val="single"/>
              </w:rPr>
            </w:pPr>
          </w:p>
        </w:tc>
        <w:tc>
          <w:tcPr>
            <w:tcW w:w="1278" w:type="dxa"/>
          </w:tcPr>
          <w:p w14:paraId="1D346787">
            <w:pPr>
              <w:spacing w:line="360" w:lineRule="auto"/>
              <w:contextualSpacing/>
              <w:rPr>
                <w:rFonts w:ascii="仿宋" w:hAnsi="仿宋" w:eastAsia="仿宋" w:cs="仿宋"/>
                <w:color w:val="auto"/>
                <w:sz w:val="24"/>
                <w:highlight w:val="none"/>
                <w:u w:val="single"/>
              </w:rPr>
            </w:pPr>
          </w:p>
        </w:tc>
        <w:tc>
          <w:tcPr>
            <w:tcW w:w="1278" w:type="dxa"/>
          </w:tcPr>
          <w:p w14:paraId="6B4DE2D5">
            <w:pPr>
              <w:spacing w:line="360" w:lineRule="auto"/>
              <w:contextualSpacing/>
              <w:rPr>
                <w:rFonts w:ascii="仿宋" w:hAnsi="仿宋" w:eastAsia="仿宋" w:cs="仿宋"/>
                <w:color w:val="auto"/>
                <w:sz w:val="24"/>
                <w:highlight w:val="none"/>
                <w:u w:val="single"/>
              </w:rPr>
            </w:pPr>
          </w:p>
        </w:tc>
        <w:tc>
          <w:tcPr>
            <w:tcW w:w="1278" w:type="dxa"/>
          </w:tcPr>
          <w:p w14:paraId="4A87C3B0">
            <w:pPr>
              <w:spacing w:line="360" w:lineRule="auto"/>
              <w:contextualSpacing/>
              <w:rPr>
                <w:rFonts w:ascii="仿宋" w:hAnsi="仿宋" w:eastAsia="仿宋" w:cs="仿宋"/>
                <w:color w:val="auto"/>
                <w:sz w:val="24"/>
                <w:highlight w:val="none"/>
                <w:u w:val="single"/>
              </w:rPr>
            </w:pPr>
          </w:p>
        </w:tc>
      </w:tr>
      <w:tr w14:paraId="7FED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39E32FDD">
            <w:pPr>
              <w:spacing w:line="360" w:lineRule="auto"/>
              <w:contextualSpacing/>
              <w:rPr>
                <w:rFonts w:ascii="仿宋" w:hAnsi="仿宋" w:eastAsia="仿宋" w:cs="仿宋"/>
                <w:color w:val="auto"/>
                <w:sz w:val="24"/>
                <w:highlight w:val="none"/>
                <w:u w:val="single"/>
              </w:rPr>
            </w:pPr>
          </w:p>
        </w:tc>
        <w:tc>
          <w:tcPr>
            <w:tcW w:w="1185" w:type="dxa"/>
          </w:tcPr>
          <w:p w14:paraId="5A8F8280">
            <w:pPr>
              <w:spacing w:line="360" w:lineRule="auto"/>
              <w:contextualSpacing/>
              <w:rPr>
                <w:rFonts w:ascii="仿宋" w:hAnsi="仿宋" w:eastAsia="仿宋" w:cs="仿宋"/>
                <w:color w:val="auto"/>
                <w:sz w:val="24"/>
                <w:highlight w:val="none"/>
                <w:u w:val="single"/>
              </w:rPr>
            </w:pPr>
          </w:p>
        </w:tc>
        <w:tc>
          <w:tcPr>
            <w:tcW w:w="1170" w:type="dxa"/>
          </w:tcPr>
          <w:p w14:paraId="42E6DFC9">
            <w:pPr>
              <w:spacing w:line="360" w:lineRule="auto"/>
              <w:contextualSpacing/>
              <w:rPr>
                <w:rFonts w:ascii="仿宋" w:hAnsi="仿宋" w:eastAsia="仿宋" w:cs="仿宋"/>
                <w:color w:val="auto"/>
                <w:sz w:val="24"/>
                <w:highlight w:val="none"/>
                <w:u w:val="single"/>
              </w:rPr>
            </w:pPr>
          </w:p>
        </w:tc>
        <w:tc>
          <w:tcPr>
            <w:tcW w:w="1896" w:type="dxa"/>
          </w:tcPr>
          <w:p w14:paraId="391D94C7">
            <w:pPr>
              <w:spacing w:line="360" w:lineRule="auto"/>
              <w:contextualSpacing/>
              <w:rPr>
                <w:rFonts w:ascii="仿宋" w:hAnsi="仿宋" w:eastAsia="仿宋" w:cs="仿宋"/>
                <w:color w:val="auto"/>
                <w:sz w:val="24"/>
                <w:highlight w:val="none"/>
                <w:u w:val="single"/>
              </w:rPr>
            </w:pPr>
          </w:p>
        </w:tc>
        <w:tc>
          <w:tcPr>
            <w:tcW w:w="1278" w:type="dxa"/>
          </w:tcPr>
          <w:p w14:paraId="6951606F">
            <w:pPr>
              <w:spacing w:line="360" w:lineRule="auto"/>
              <w:contextualSpacing/>
              <w:rPr>
                <w:rFonts w:ascii="仿宋" w:hAnsi="仿宋" w:eastAsia="仿宋" w:cs="仿宋"/>
                <w:color w:val="auto"/>
                <w:sz w:val="24"/>
                <w:highlight w:val="none"/>
                <w:u w:val="single"/>
              </w:rPr>
            </w:pPr>
          </w:p>
        </w:tc>
        <w:tc>
          <w:tcPr>
            <w:tcW w:w="1278" w:type="dxa"/>
          </w:tcPr>
          <w:p w14:paraId="562B889A">
            <w:pPr>
              <w:spacing w:line="360" w:lineRule="auto"/>
              <w:contextualSpacing/>
              <w:rPr>
                <w:rFonts w:ascii="仿宋" w:hAnsi="仿宋" w:eastAsia="仿宋" w:cs="仿宋"/>
                <w:color w:val="auto"/>
                <w:sz w:val="24"/>
                <w:highlight w:val="none"/>
                <w:u w:val="single"/>
              </w:rPr>
            </w:pPr>
          </w:p>
        </w:tc>
        <w:tc>
          <w:tcPr>
            <w:tcW w:w="1278" w:type="dxa"/>
          </w:tcPr>
          <w:p w14:paraId="6E825CDA">
            <w:pPr>
              <w:spacing w:line="360" w:lineRule="auto"/>
              <w:contextualSpacing/>
              <w:rPr>
                <w:rFonts w:ascii="仿宋" w:hAnsi="仿宋" w:eastAsia="仿宋" w:cs="仿宋"/>
                <w:color w:val="auto"/>
                <w:sz w:val="24"/>
                <w:highlight w:val="none"/>
                <w:u w:val="single"/>
              </w:rPr>
            </w:pPr>
          </w:p>
        </w:tc>
      </w:tr>
      <w:tr w14:paraId="3A60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7FC53173">
            <w:pPr>
              <w:spacing w:line="360" w:lineRule="auto"/>
              <w:contextualSpacing/>
              <w:rPr>
                <w:rFonts w:ascii="仿宋" w:hAnsi="仿宋" w:eastAsia="仿宋" w:cs="仿宋"/>
                <w:color w:val="auto"/>
                <w:sz w:val="24"/>
                <w:highlight w:val="none"/>
                <w:u w:val="single"/>
              </w:rPr>
            </w:pPr>
          </w:p>
        </w:tc>
        <w:tc>
          <w:tcPr>
            <w:tcW w:w="1185" w:type="dxa"/>
          </w:tcPr>
          <w:p w14:paraId="3C5AE10B">
            <w:pPr>
              <w:spacing w:line="360" w:lineRule="auto"/>
              <w:contextualSpacing/>
              <w:rPr>
                <w:rFonts w:ascii="仿宋" w:hAnsi="仿宋" w:eastAsia="仿宋" w:cs="仿宋"/>
                <w:color w:val="auto"/>
                <w:sz w:val="24"/>
                <w:highlight w:val="none"/>
                <w:u w:val="single"/>
              </w:rPr>
            </w:pPr>
          </w:p>
        </w:tc>
        <w:tc>
          <w:tcPr>
            <w:tcW w:w="1170" w:type="dxa"/>
          </w:tcPr>
          <w:p w14:paraId="60FD1E3A">
            <w:pPr>
              <w:spacing w:line="360" w:lineRule="auto"/>
              <w:contextualSpacing/>
              <w:rPr>
                <w:rFonts w:ascii="仿宋" w:hAnsi="仿宋" w:eastAsia="仿宋" w:cs="仿宋"/>
                <w:color w:val="auto"/>
                <w:sz w:val="24"/>
                <w:highlight w:val="none"/>
                <w:u w:val="single"/>
              </w:rPr>
            </w:pPr>
          </w:p>
        </w:tc>
        <w:tc>
          <w:tcPr>
            <w:tcW w:w="1896" w:type="dxa"/>
          </w:tcPr>
          <w:p w14:paraId="207ADC39">
            <w:pPr>
              <w:spacing w:line="360" w:lineRule="auto"/>
              <w:contextualSpacing/>
              <w:rPr>
                <w:rFonts w:ascii="仿宋" w:hAnsi="仿宋" w:eastAsia="仿宋" w:cs="仿宋"/>
                <w:color w:val="auto"/>
                <w:sz w:val="24"/>
                <w:highlight w:val="none"/>
                <w:u w:val="single"/>
              </w:rPr>
            </w:pPr>
          </w:p>
        </w:tc>
        <w:tc>
          <w:tcPr>
            <w:tcW w:w="1278" w:type="dxa"/>
          </w:tcPr>
          <w:p w14:paraId="78DC0E05">
            <w:pPr>
              <w:spacing w:line="360" w:lineRule="auto"/>
              <w:contextualSpacing/>
              <w:rPr>
                <w:rFonts w:ascii="仿宋" w:hAnsi="仿宋" w:eastAsia="仿宋" w:cs="仿宋"/>
                <w:color w:val="auto"/>
                <w:sz w:val="24"/>
                <w:highlight w:val="none"/>
                <w:u w:val="single"/>
              </w:rPr>
            </w:pPr>
          </w:p>
        </w:tc>
        <w:tc>
          <w:tcPr>
            <w:tcW w:w="1278" w:type="dxa"/>
          </w:tcPr>
          <w:p w14:paraId="12AA15C2">
            <w:pPr>
              <w:spacing w:line="360" w:lineRule="auto"/>
              <w:contextualSpacing/>
              <w:rPr>
                <w:rFonts w:ascii="仿宋" w:hAnsi="仿宋" w:eastAsia="仿宋" w:cs="仿宋"/>
                <w:color w:val="auto"/>
                <w:sz w:val="24"/>
                <w:highlight w:val="none"/>
                <w:u w:val="single"/>
              </w:rPr>
            </w:pPr>
          </w:p>
        </w:tc>
        <w:tc>
          <w:tcPr>
            <w:tcW w:w="1278" w:type="dxa"/>
          </w:tcPr>
          <w:p w14:paraId="59E76C31">
            <w:pPr>
              <w:spacing w:line="360" w:lineRule="auto"/>
              <w:contextualSpacing/>
              <w:rPr>
                <w:rFonts w:ascii="仿宋" w:hAnsi="仿宋" w:eastAsia="仿宋" w:cs="仿宋"/>
                <w:color w:val="auto"/>
                <w:sz w:val="24"/>
                <w:highlight w:val="none"/>
                <w:u w:val="single"/>
              </w:rPr>
            </w:pPr>
          </w:p>
        </w:tc>
      </w:tr>
      <w:tr w14:paraId="7E5C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53E246EC">
            <w:pPr>
              <w:spacing w:line="360" w:lineRule="auto"/>
              <w:contextualSpacing/>
              <w:rPr>
                <w:rFonts w:ascii="仿宋" w:hAnsi="仿宋" w:eastAsia="仿宋" w:cs="仿宋"/>
                <w:color w:val="auto"/>
                <w:sz w:val="24"/>
                <w:highlight w:val="none"/>
                <w:u w:val="single"/>
              </w:rPr>
            </w:pPr>
          </w:p>
        </w:tc>
        <w:tc>
          <w:tcPr>
            <w:tcW w:w="1185" w:type="dxa"/>
          </w:tcPr>
          <w:p w14:paraId="3A2A8CF9">
            <w:pPr>
              <w:spacing w:line="360" w:lineRule="auto"/>
              <w:contextualSpacing/>
              <w:rPr>
                <w:rFonts w:ascii="仿宋" w:hAnsi="仿宋" w:eastAsia="仿宋" w:cs="仿宋"/>
                <w:color w:val="auto"/>
                <w:sz w:val="24"/>
                <w:highlight w:val="none"/>
                <w:u w:val="single"/>
              </w:rPr>
            </w:pPr>
          </w:p>
        </w:tc>
        <w:tc>
          <w:tcPr>
            <w:tcW w:w="1170" w:type="dxa"/>
          </w:tcPr>
          <w:p w14:paraId="525E33CE">
            <w:pPr>
              <w:spacing w:line="360" w:lineRule="auto"/>
              <w:contextualSpacing/>
              <w:rPr>
                <w:rFonts w:ascii="仿宋" w:hAnsi="仿宋" w:eastAsia="仿宋" w:cs="仿宋"/>
                <w:color w:val="auto"/>
                <w:sz w:val="24"/>
                <w:highlight w:val="none"/>
                <w:u w:val="single"/>
              </w:rPr>
            </w:pPr>
          </w:p>
        </w:tc>
        <w:tc>
          <w:tcPr>
            <w:tcW w:w="1896" w:type="dxa"/>
          </w:tcPr>
          <w:p w14:paraId="798D58D9">
            <w:pPr>
              <w:spacing w:line="360" w:lineRule="auto"/>
              <w:contextualSpacing/>
              <w:rPr>
                <w:rFonts w:ascii="仿宋" w:hAnsi="仿宋" w:eastAsia="仿宋" w:cs="仿宋"/>
                <w:color w:val="auto"/>
                <w:sz w:val="24"/>
                <w:highlight w:val="none"/>
                <w:u w:val="single"/>
              </w:rPr>
            </w:pPr>
          </w:p>
        </w:tc>
        <w:tc>
          <w:tcPr>
            <w:tcW w:w="1278" w:type="dxa"/>
          </w:tcPr>
          <w:p w14:paraId="13595DA3">
            <w:pPr>
              <w:spacing w:line="360" w:lineRule="auto"/>
              <w:contextualSpacing/>
              <w:rPr>
                <w:rFonts w:ascii="仿宋" w:hAnsi="仿宋" w:eastAsia="仿宋" w:cs="仿宋"/>
                <w:color w:val="auto"/>
                <w:sz w:val="24"/>
                <w:highlight w:val="none"/>
                <w:u w:val="single"/>
              </w:rPr>
            </w:pPr>
          </w:p>
        </w:tc>
        <w:tc>
          <w:tcPr>
            <w:tcW w:w="1278" w:type="dxa"/>
          </w:tcPr>
          <w:p w14:paraId="26C9173E">
            <w:pPr>
              <w:spacing w:line="360" w:lineRule="auto"/>
              <w:contextualSpacing/>
              <w:rPr>
                <w:rFonts w:ascii="仿宋" w:hAnsi="仿宋" w:eastAsia="仿宋" w:cs="仿宋"/>
                <w:color w:val="auto"/>
                <w:sz w:val="24"/>
                <w:highlight w:val="none"/>
                <w:u w:val="single"/>
              </w:rPr>
            </w:pPr>
          </w:p>
        </w:tc>
        <w:tc>
          <w:tcPr>
            <w:tcW w:w="1278" w:type="dxa"/>
          </w:tcPr>
          <w:p w14:paraId="28773055">
            <w:pPr>
              <w:spacing w:line="360" w:lineRule="auto"/>
              <w:contextualSpacing/>
              <w:rPr>
                <w:rFonts w:ascii="仿宋" w:hAnsi="仿宋" w:eastAsia="仿宋" w:cs="仿宋"/>
                <w:color w:val="auto"/>
                <w:sz w:val="24"/>
                <w:highlight w:val="none"/>
                <w:u w:val="single"/>
              </w:rPr>
            </w:pPr>
          </w:p>
        </w:tc>
      </w:tr>
      <w:tr w14:paraId="02EA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57C93A4C">
            <w:pPr>
              <w:spacing w:line="360" w:lineRule="auto"/>
              <w:contextualSpacing/>
              <w:rPr>
                <w:rFonts w:ascii="仿宋" w:hAnsi="仿宋" w:eastAsia="仿宋" w:cs="仿宋"/>
                <w:color w:val="auto"/>
                <w:sz w:val="24"/>
                <w:highlight w:val="none"/>
                <w:u w:val="single"/>
              </w:rPr>
            </w:pPr>
          </w:p>
        </w:tc>
        <w:tc>
          <w:tcPr>
            <w:tcW w:w="1185" w:type="dxa"/>
          </w:tcPr>
          <w:p w14:paraId="6CC593B2">
            <w:pPr>
              <w:spacing w:line="360" w:lineRule="auto"/>
              <w:contextualSpacing/>
              <w:rPr>
                <w:rFonts w:ascii="仿宋" w:hAnsi="仿宋" w:eastAsia="仿宋" w:cs="仿宋"/>
                <w:color w:val="auto"/>
                <w:sz w:val="24"/>
                <w:highlight w:val="none"/>
                <w:u w:val="single"/>
              </w:rPr>
            </w:pPr>
          </w:p>
        </w:tc>
        <w:tc>
          <w:tcPr>
            <w:tcW w:w="1170" w:type="dxa"/>
          </w:tcPr>
          <w:p w14:paraId="6430620C">
            <w:pPr>
              <w:spacing w:line="360" w:lineRule="auto"/>
              <w:contextualSpacing/>
              <w:rPr>
                <w:rFonts w:ascii="仿宋" w:hAnsi="仿宋" w:eastAsia="仿宋" w:cs="仿宋"/>
                <w:color w:val="auto"/>
                <w:sz w:val="24"/>
                <w:highlight w:val="none"/>
                <w:u w:val="single"/>
              </w:rPr>
            </w:pPr>
          </w:p>
        </w:tc>
        <w:tc>
          <w:tcPr>
            <w:tcW w:w="1896" w:type="dxa"/>
          </w:tcPr>
          <w:p w14:paraId="2470A385">
            <w:pPr>
              <w:spacing w:line="360" w:lineRule="auto"/>
              <w:contextualSpacing/>
              <w:rPr>
                <w:rFonts w:ascii="仿宋" w:hAnsi="仿宋" w:eastAsia="仿宋" w:cs="仿宋"/>
                <w:color w:val="auto"/>
                <w:sz w:val="24"/>
                <w:highlight w:val="none"/>
                <w:u w:val="single"/>
              </w:rPr>
            </w:pPr>
          </w:p>
        </w:tc>
        <w:tc>
          <w:tcPr>
            <w:tcW w:w="1278" w:type="dxa"/>
          </w:tcPr>
          <w:p w14:paraId="79DA71EF">
            <w:pPr>
              <w:spacing w:line="360" w:lineRule="auto"/>
              <w:contextualSpacing/>
              <w:rPr>
                <w:rFonts w:ascii="仿宋" w:hAnsi="仿宋" w:eastAsia="仿宋" w:cs="仿宋"/>
                <w:color w:val="auto"/>
                <w:sz w:val="24"/>
                <w:highlight w:val="none"/>
                <w:u w:val="single"/>
              </w:rPr>
            </w:pPr>
          </w:p>
        </w:tc>
        <w:tc>
          <w:tcPr>
            <w:tcW w:w="1278" w:type="dxa"/>
          </w:tcPr>
          <w:p w14:paraId="7D2B699E">
            <w:pPr>
              <w:spacing w:line="360" w:lineRule="auto"/>
              <w:contextualSpacing/>
              <w:rPr>
                <w:rFonts w:ascii="仿宋" w:hAnsi="仿宋" w:eastAsia="仿宋" w:cs="仿宋"/>
                <w:color w:val="auto"/>
                <w:sz w:val="24"/>
                <w:highlight w:val="none"/>
                <w:u w:val="single"/>
              </w:rPr>
            </w:pPr>
          </w:p>
        </w:tc>
        <w:tc>
          <w:tcPr>
            <w:tcW w:w="1278" w:type="dxa"/>
          </w:tcPr>
          <w:p w14:paraId="26407B6F">
            <w:pPr>
              <w:spacing w:line="360" w:lineRule="auto"/>
              <w:contextualSpacing/>
              <w:rPr>
                <w:rFonts w:ascii="仿宋" w:hAnsi="仿宋" w:eastAsia="仿宋" w:cs="仿宋"/>
                <w:color w:val="auto"/>
                <w:sz w:val="24"/>
                <w:highlight w:val="none"/>
                <w:u w:val="single"/>
              </w:rPr>
            </w:pPr>
          </w:p>
        </w:tc>
      </w:tr>
    </w:tbl>
    <w:p w14:paraId="53296C76">
      <w:pPr>
        <w:spacing w:line="360" w:lineRule="auto"/>
        <w:contextualSpacing/>
        <w:rPr>
          <w:rFonts w:ascii="仿宋" w:hAnsi="仿宋" w:eastAsia="仿宋" w:cs="仿宋"/>
          <w:color w:val="auto"/>
          <w:sz w:val="24"/>
          <w:highlight w:val="none"/>
          <w:u w:val="single"/>
        </w:rPr>
      </w:pPr>
    </w:p>
    <w:p w14:paraId="6DCBBB5E">
      <w:pPr>
        <w:snapToGrid w:val="0"/>
        <w:spacing w:line="360" w:lineRule="auto"/>
        <w:ind w:firstLine="602" w:firstLineChars="200"/>
        <w:rPr>
          <w:rFonts w:ascii="仿宋" w:hAnsi="仿宋" w:eastAsia="仿宋" w:cs="仿宋"/>
          <w:b/>
          <w:color w:val="auto"/>
          <w:sz w:val="30"/>
          <w:szCs w:val="30"/>
          <w:highlight w:val="none"/>
        </w:rPr>
      </w:pPr>
    </w:p>
    <w:p w14:paraId="529699F5">
      <w:pPr>
        <w:autoSpaceDE w:val="0"/>
        <w:autoSpaceDN w:val="0"/>
        <w:spacing w:line="360" w:lineRule="auto"/>
        <w:ind w:firstLine="6505" w:firstLineChars="2700"/>
        <w:rPr>
          <w:rFonts w:ascii="仿宋" w:hAnsi="仿宋" w:eastAsia="仿宋" w:cs="仿宋"/>
          <w:b/>
          <w:bCs/>
          <w:color w:val="auto"/>
          <w:sz w:val="24"/>
          <w:highlight w:val="none"/>
        </w:rPr>
      </w:pPr>
    </w:p>
    <w:p w14:paraId="2ADAA8CF">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FC3B3DA">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588406B">
      <w:pPr>
        <w:autoSpaceDE w:val="0"/>
        <w:autoSpaceDN w:val="0"/>
        <w:spacing w:line="360" w:lineRule="auto"/>
        <w:ind w:firstLine="6480" w:firstLineChars="2700"/>
        <w:rPr>
          <w:rFonts w:ascii="仿宋" w:hAnsi="仿宋" w:eastAsia="仿宋" w:cs="仿宋"/>
          <w:color w:val="auto"/>
          <w:kern w:val="0"/>
          <w:sz w:val="24"/>
          <w:highlight w:val="none"/>
          <w:lang w:val="zh-CN"/>
        </w:rPr>
      </w:pPr>
    </w:p>
    <w:p w14:paraId="191DB0FB">
      <w:pPr>
        <w:spacing w:line="500" w:lineRule="exact"/>
        <w:rPr>
          <w:rFonts w:ascii="仿宋" w:hAnsi="仿宋" w:eastAsia="仿宋" w:cs="仿宋"/>
          <w:color w:val="auto"/>
          <w:sz w:val="32"/>
          <w:szCs w:val="32"/>
          <w:highlight w:val="none"/>
        </w:rPr>
      </w:pPr>
    </w:p>
    <w:p w14:paraId="3D87E975">
      <w:pPr>
        <w:autoSpaceDE w:val="0"/>
        <w:autoSpaceDN w:val="0"/>
        <w:spacing w:line="360" w:lineRule="auto"/>
        <w:rPr>
          <w:rFonts w:ascii="仿宋" w:hAnsi="仿宋" w:eastAsia="仿宋" w:cs="仿宋"/>
          <w:color w:val="auto"/>
          <w:kern w:val="0"/>
          <w:sz w:val="2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十一、对应采购需求的货物需求、商务条款提供的其他文件资料；</w:t>
      </w:r>
      <w:r>
        <w:rPr>
          <w:rFonts w:hint="eastAsia" w:ascii="仿宋" w:hAnsi="仿宋" w:eastAsia="仿宋" w:cs="仿宋"/>
          <w:b w:val="0"/>
          <w:bCs/>
          <w:color w:val="auto"/>
          <w:sz w:val="30"/>
          <w:szCs w:val="30"/>
          <w:highlight w:val="none"/>
        </w:rPr>
        <w:t>（采购需求中有要求的则必须提供，加盖单位公章，否则竞标无效）</w:t>
      </w:r>
    </w:p>
    <w:p w14:paraId="4BB79835">
      <w:pPr>
        <w:snapToGrid w:val="0"/>
        <w:spacing w:line="360" w:lineRule="auto"/>
        <w:ind w:firstLine="602" w:firstLineChars="200"/>
        <w:rPr>
          <w:rFonts w:ascii="仿宋" w:hAnsi="仿宋" w:eastAsia="仿宋" w:cs="仿宋"/>
          <w:b/>
          <w:color w:val="auto"/>
          <w:sz w:val="30"/>
          <w:szCs w:val="30"/>
          <w:highlight w:val="none"/>
        </w:rPr>
      </w:pPr>
    </w:p>
    <w:p w14:paraId="5C7E012A">
      <w:pPr>
        <w:pStyle w:val="5"/>
        <w:rPr>
          <w:color w:val="auto"/>
          <w:highlight w:val="none"/>
        </w:rPr>
      </w:pPr>
    </w:p>
    <w:p w14:paraId="37E60E81">
      <w:pPr>
        <w:snapToGrid w:val="0"/>
        <w:spacing w:line="360" w:lineRule="auto"/>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十二、供应商认为需要提供的其他有关资料</w:t>
      </w:r>
    </w:p>
    <w:p w14:paraId="657CF42D">
      <w:pPr>
        <w:autoSpaceDE w:val="0"/>
        <w:autoSpaceDN w:val="0"/>
        <w:spacing w:line="360" w:lineRule="auto"/>
        <w:ind w:left="4335" w:leftChars="1950" w:hanging="240" w:hangingChars="100"/>
        <w:rPr>
          <w:rFonts w:ascii="仿宋" w:hAnsi="仿宋" w:eastAsia="仿宋" w:cs="仿宋"/>
          <w:color w:val="auto"/>
          <w:kern w:val="0"/>
          <w:sz w:val="24"/>
          <w:highlight w:val="none"/>
        </w:rPr>
      </w:pPr>
    </w:p>
    <w:p w14:paraId="4AD1EA84">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92A00C8">
      <w:pPr>
        <w:autoSpaceDE w:val="0"/>
        <w:autoSpaceDN w:val="0"/>
        <w:spacing w:line="360" w:lineRule="auto"/>
        <w:ind w:firstLine="6480" w:firstLineChars="27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EDE6063">
      <w:pPr>
        <w:spacing w:line="500" w:lineRule="exact"/>
        <w:rPr>
          <w:rFonts w:ascii="仿宋" w:hAnsi="仿宋" w:eastAsia="仿宋" w:cs="仿宋"/>
          <w:color w:val="auto"/>
          <w:sz w:val="32"/>
          <w:szCs w:val="32"/>
          <w:highlight w:val="none"/>
        </w:rPr>
        <w:sectPr>
          <w:pgSz w:w="11911" w:h="16838"/>
          <w:pgMar w:top="1338" w:right="1502" w:bottom="850" w:left="1678" w:header="1077" w:footer="720" w:gutter="0"/>
          <w:cols w:space="720" w:num="1"/>
        </w:sectPr>
      </w:pPr>
    </w:p>
    <w:p w14:paraId="7465D007">
      <w:pPr>
        <w:adjustRightInd w:val="0"/>
        <w:snapToGrid w:val="0"/>
        <w:spacing w:line="300" w:lineRule="auto"/>
        <w:rPr>
          <w:rFonts w:ascii="仿宋" w:hAnsi="仿宋" w:eastAsia="仿宋" w:cs="仿宋"/>
          <w:color w:val="auto"/>
          <w:szCs w:val="21"/>
          <w:highlight w:val="none"/>
          <w:u w:val="single"/>
        </w:rPr>
      </w:pPr>
    </w:p>
    <w:p w14:paraId="775A6D5C">
      <w:pPr>
        <w:pStyle w:val="4"/>
        <w:spacing w:before="0" w:after="0" w:line="360" w:lineRule="auto"/>
        <w:jc w:val="center"/>
        <w:rPr>
          <w:rFonts w:ascii="仿宋" w:hAnsi="仿宋" w:eastAsia="仿宋" w:cs="仿宋"/>
          <w:color w:val="auto"/>
          <w:highlight w:val="none"/>
        </w:rPr>
      </w:pPr>
      <w:bookmarkStart w:id="84" w:name="_Toc29382"/>
      <w:bookmarkStart w:id="85" w:name="_Toc30231"/>
      <w:r>
        <w:rPr>
          <w:rFonts w:hint="eastAsia" w:ascii="仿宋" w:hAnsi="仿宋" w:eastAsia="仿宋" w:cs="仿宋"/>
          <w:color w:val="auto"/>
          <w:highlight w:val="none"/>
        </w:rPr>
        <w:t>第四节 报价文件格式</w:t>
      </w:r>
      <w:bookmarkEnd w:id="84"/>
      <w:bookmarkEnd w:id="85"/>
    </w:p>
    <w:p w14:paraId="52C03C3D">
      <w:pPr>
        <w:snapToGrid w:val="0"/>
        <w:spacing w:before="120"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sz w:val="24"/>
          <w:szCs w:val="32"/>
          <w:highlight w:val="none"/>
        </w:rPr>
        <w:t>全流程电子文件</w:t>
      </w:r>
    </w:p>
    <w:p w14:paraId="650B37B3">
      <w:pPr>
        <w:snapToGrid w:val="0"/>
        <w:spacing w:before="120" w:beforeLines="50" w:after="50"/>
        <w:rPr>
          <w:rFonts w:ascii="仿宋" w:hAnsi="仿宋" w:eastAsia="仿宋" w:cs="仿宋"/>
          <w:color w:val="auto"/>
          <w:sz w:val="24"/>
          <w:szCs w:val="20"/>
          <w:highlight w:val="none"/>
        </w:rPr>
      </w:pPr>
    </w:p>
    <w:p w14:paraId="7B7E5FCC">
      <w:pPr>
        <w:snapToGrid w:val="0"/>
        <w:spacing w:before="120" w:beforeLines="50" w:after="50"/>
        <w:rPr>
          <w:rFonts w:ascii="仿宋" w:hAnsi="仿宋" w:eastAsia="仿宋" w:cs="仿宋"/>
          <w:color w:val="auto"/>
          <w:sz w:val="24"/>
          <w:szCs w:val="20"/>
          <w:highlight w:val="none"/>
        </w:rPr>
      </w:pPr>
    </w:p>
    <w:p w14:paraId="655CF0B8">
      <w:pPr>
        <w:snapToGrid w:val="0"/>
        <w:spacing w:before="120" w:beforeLines="50" w:after="50"/>
        <w:rPr>
          <w:rFonts w:ascii="仿宋" w:hAnsi="仿宋" w:eastAsia="仿宋" w:cs="仿宋"/>
          <w:color w:val="auto"/>
          <w:sz w:val="24"/>
          <w:szCs w:val="20"/>
          <w:highlight w:val="none"/>
        </w:rPr>
      </w:pPr>
    </w:p>
    <w:p w14:paraId="6CBB90C1">
      <w:pPr>
        <w:snapToGrid w:val="0"/>
        <w:spacing w:before="120" w:beforeLines="50" w:after="50"/>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报价文件（封面）</w:t>
      </w:r>
    </w:p>
    <w:p w14:paraId="3381C8ED">
      <w:pPr>
        <w:snapToGrid w:val="0"/>
        <w:spacing w:before="120" w:beforeLines="50" w:after="50"/>
        <w:rPr>
          <w:rFonts w:ascii="仿宋" w:hAnsi="仿宋" w:eastAsia="仿宋" w:cs="仿宋"/>
          <w:bCs/>
          <w:color w:val="auto"/>
          <w:sz w:val="24"/>
          <w:szCs w:val="20"/>
          <w:highlight w:val="none"/>
        </w:rPr>
      </w:pPr>
    </w:p>
    <w:p w14:paraId="0C7EB0E9">
      <w:pPr>
        <w:snapToGrid w:val="0"/>
        <w:spacing w:before="120" w:beforeLines="50" w:after="50"/>
        <w:rPr>
          <w:rFonts w:ascii="仿宋" w:hAnsi="仿宋" w:eastAsia="仿宋" w:cs="仿宋"/>
          <w:bCs/>
          <w:color w:val="auto"/>
          <w:sz w:val="24"/>
          <w:szCs w:val="20"/>
          <w:highlight w:val="none"/>
        </w:rPr>
      </w:pPr>
    </w:p>
    <w:p w14:paraId="3E2B744E">
      <w:pPr>
        <w:snapToGrid w:val="0"/>
        <w:spacing w:before="120" w:beforeLines="50" w:after="50"/>
        <w:rPr>
          <w:rFonts w:ascii="仿宋" w:hAnsi="仿宋" w:eastAsia="仿宋" w:cs="仿宋"/>
          <w:bCs/>
          <w:color w:val="auto"/>
          <w:sz w:val="24"/>
          <w:szCs w:val="20"/>
          <w:highlight w:val="none"/>
        </w:rPr>
      </w:pPr>
    </w:p>
    <w:p w14:paraId="2C510B1A">
      <w:pPr>
        <w:snapToGrid w:val="0"/>
        <w:spacing w:before="120" w:beforeLines="50" w:after="50"/>
        <w:rPr>
          <w:rFonts w:ascii="仿宋" w:hAnsi="仿宋" w:eastAsia="仿宋" w:cs="仿宋"/>
          <w:bCs/>
          <w:color w:val="auto"/>
          <w:sz w:val="24"/>
          <w:szCs w:val="20"/>
          <w:highlight w:val="none"/>
        </w:rPr>
      </w:pPr>
    </w:p>
    <w:p w14:paraId="2F1E743D">
      <w:pPr>
        <w:snapToGrid w:val="0"/>
        <w:spacing w:before="120" w:beforeLines="50" w:after="50"/>
        <w:rPr>
          <w:rFonts w:ascii="仿宋" w:hAnsi="仿宋" w:eastAsia="仿宋" w:cs="仿宋"/>
          <w:bCs/>
          <w:color w:val="auto"/>
          <w:sz w:val="24"/>
          <w:szCs w:val="20"/>
          <w:highlight w:val="none"/>
        </w:rPr>
      </w:pPr>
    </w:p>
    <w:p w14:paraId="5C323E45">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0C0641DB">
      <w:pPr>
        <w:snapToGrid w:val="0"/>
        <w:spacing w:before="120" w:beforeLines="50" w:after="50"/>
        <w:ind w:firstLine="720" w:firstLineChars="225"/>
        <w:rPr>
          <w:rFonts w:ascii="仿宋" w:hAnsi="仿宋" w:eastAsia="仿宋" w:cs="仿宋"/>
          <w:bCs/>
          <w:color w:val="auto"/>
          <w:sz w:val="32"/>
          <w:szCs w:val="32"/>
          <w:highlight w:val="none"/>
        </w:rPr>
      </w:pPr>
    </w:p>
    <w:p w14:paraId="6A8605E8">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09D39716">
      <w:pPr>
        <w:snapToGrid w:val="0"/>
        <w:spacing w:before="120"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536489F9">
      <w:pPr>
        <w:snapToGrid w:val="0"/>
        <w:spacing w:before="120"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0FA52FE0">
      <w:pPr>
        <w:snapToGrid w:val="0"/>
        <w:spacing w:before="120" w:beforeLines="50" w:after="50"/>
        <w:ind w:firstLine="720" w:firstLineChars="225"/>
        <w:rPr>
          <w:rFonts w:ascii="仿宋" w:hAnsi="仿宋" w:eastAsia="仿宋" w:cs="仿宋"/>
          <w:bCs/>
          <w:color w:val="auto"/>
          <w:sz w:val="32"/>
          <w:szCs w:val="32"/>
          <w:highlight w:val="none"/>
        </w:rPr>
      </w:pPr>
    </w:p>
    <w:p w14:paraId="2569BDF8">
      <w:pPr>
        <w:pStyle w:val="7"/>
        <w:snapToGrid w:val="0"/>
        <w:spacing w:before="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445A800D">
      <w:pPr>
        <w:pStyle w:val="7"/>
        <w:snapToGrid w:val="0"/>
        <w:spacing w:before="50" w:after="50"/>
        <w:ind w:firstLine="720" w:firstLineChars="225"/>
        <w:rPr>
          <w:rFonts w:ascii="仿宋" w:hAnsi="仿宋" w:eastAsia="仿宋" w:cs="仿宋"/>
          <w:bCs/>
          <w:color w:val="auto"/>
          <w:sz w:val="32"/>
          <w:szCs w:val="32"/>
          <w:highlight w:val="none"/>
        </w:rPr>
      </w:pPr>
    </w:p>
    <w:p w14:paraId="5416EDAA">
      <w:pPr>
        <w:pStyle w:val="7"/>
        <w:snapToGrid w:val="0"/>
        <w:spacing w:before="50" w:after="50"/>
        <w:ind w:firstLine="720" w:firstLineChars="225"/>
        <w:rPr>
          <w:rFonts w:ascii="仿宋" w:hAnsi="仿宋" w:eastAsia="仿宋" w:cs="仿宋"/>
          <w:bCs/>
          <w:color w:val="auto"/>
          <w:sz w:val="32"/>
          <w:szCs w:val="32"/>
          <w:highlight w:val="none"/>
        </w:rPr>
      </w:pPr>
    </w:p>
    <w:p w14:paraId="46462026">
      <w:pPr>
        <w:pStyle w:val="7"/>
        <w:snapToGrid w:val="0"/>
        <w:spacing w:before="50" w:after="50"/>
        <w:ind w:firstLine="1280" w:firstLineChars="400"/>
        <w:rPr>
          <w:rFonts w:ascii="仿宋" w:hAnsi="仿宋" w:eastAsia="仿宋" w:cs="仿宋"/>
          <w:bCs/>
          <w:color w:val="auto"/>
          <w:sz w:val="32"/>
          <w:szCs w:val="32"/>
          <w:highlight w:val="none"/>
        </w:rPr>
      </w:pPr>
    </w:p>
    <w:p w14:paraId="39982B5D">
      <w:pPr>
        <w:snapToGrid w:val="0"/>
        <w:spacing w:before="120"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1A549F7">
      <w:pPr>
        <w:snapToGrid w:val="0"/>
        <w:spacing w:before="120" w:beforeLines="50" w:after="50" w:line="400" w:lineRule="exact"/>
        <w:jc w:val="center"/>
        <w:rPr>
          <w:rFonts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报价文件目录</w:t>
      </w:r>
    </w:p>
    <w:p w14:paraId="03006519">
      <w:pPr>
        <w:rPr>
          <w:rFonts w:ascii="仿宋" w:hAnsi="仿宋" w:eastAsia="仿宋" w:cs="仿宋"/>
          <w:color w:val="auto"/>
          <w:highlight w:val="none"/>
        </w:rPr>
      </w:pPr>
    </w:p>
    <w:p w14:paraId="28CAD92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根据竞争性谈判文件规定及供应商提供的材料自行编写目录（部分格式后附）。</w:t>
      </w:r>
    </w:p>
    <w:p w14:paraId="2228BAB5">
      <w:pPr>
        <w:snapToGrid w:val="0"/>
        <w:spacing w:before="120" w:beforeLines="50" w:after="50" w:line="360" w:lineRule="auto"/>
        <w:ind w:left="142" w:firstLine="640" w:firstLineChars="200"/>
        <w:jc w:val="left"/>
        <w:rPr>
          <w:rFonts w:ascii="仿宋" w:hAnsi="仿宋" w:eastAsia="仿宋" w:cs="仿宋"/>
          <w:color w:val="auto"/>
          <w:sz w:val="32"/>
          <w:szCs w:val="32"/>
          <w:highlight w:val="none"/>
        </w:rPr>
      </w:pPr>
    </w:p>
    <w:p w14:paraId="483E2257">
      <w:pPr>
        <w:spacing w:line="500" w:lineRule="exact"/>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br w:type="page"/>
      </w:r>
      <w:r>
        <w:rPr>
          <w:rFonts w:hint="eastAsia" w:ascii="仿宋" w:hAnsi="仿宋" w:eastAsia="仿宋" w:cs="仿宋"/>
          <w:b/>
          <w:color w:val="auto"/>
          <w:sz w:val="30"/>
          <w:szCs w:val="30"/>
          <w:highlight w:val="none"/>
        </w:rPr>
        <w:t>一、响应函</w:t>
      </w:r>
    </w:p>
    <w:p w14:paraId="04AA2726">
      <w:pPr>
        <w:spacing w:line="500" w:lineRule="exact"/>
        <w:jc w:val="center"/>
        <w:rPr>
          <w:rFonts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响应函</w:t>
      </w:r>
    </w:p>
    <w:p w14:paraId="0AF43530">
      <w:pPr>
        <w:spacing w:line="500" w:lineRule="exact"/>
        <w:rPr>
          <w:rFonts w:ascii="仿宋" w:hAnsi="仿宋" w:eastAsia="仿宋" w:cs="仿宋"/>
          <w:color w:val="auto"/>
          <w:kern w:val="0"/>
          <w:sz w:val="32"/>
          <w:szCs w:val="21"/>
          <w:highlight w:val="none"/>
        </w:rPr>
      </w:pPr>
    </w:p>
    <w:p w14:paraId="396DCD95">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2938387A">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290A60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项目的竞标，为便于贵方公正、择优地确定成交供应商及其竞标产品和货物，我方就本次竞标有关事项郑重声明如下：</w:t>
      </w:r>
    </w:p>
    <w:p w14:paraId="10A68A7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25142BA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579DAA7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4B8DD25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（1）将按谈判文件的约定履行合同责任和义务；</w:t>
      </w:r>
    </w:p>
    <w:p w14:paraId="7ECE780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（2）已详细审查全部谈判文件，包括补遗文件（如有）；</w:t>
      </w:r>
    </w:p>
    <w:p w14:paraId="7CAA531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651C61B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（4）响应谈判文件规定的竞标有效期。</w:t>
      </w:r>
    </w:p>
    <w:p w14:paraId="4E9F7D8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69C3D67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FD99FF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2C84DF5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176DD9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762DEB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3A2539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700B19A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087756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C8CA81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5403610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CC52614">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7.以上事项如有虚假或者隐瞒，我方愿意承担一切后果，并不再寻求任何旨在减轻或者免除法律责任的辩解。</w:t>
      </w:r>
    </w:p>
    <w:p w14:paraId="3A59A75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8.与本谈判有关的一切正式往来信函请寄：</w:t>
      </w:r>
    </w:p>
    <w:p w14:paraId="62F50E9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4ADAA479">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313A08E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w:t>
      </w:r>
    </w:p>
    <w:p w14:paraId="1ACB3C14">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u w:val="single"/>
        </w:rPr>
        <w:t xml:space="preserve">                                                    </w:t>
      </w:r>
    </w:p>
    <w:p w14:paraId="3008E160">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开户名称：</w:t>
      </w:r>
      <w:r>
        <w:rPr>
          <w:rFonts w:hint="eastAsia" w:ascii="仿宋" w:hAnsi="仿宋" w:eastAsia="仿宋" w:cs="仿宋"/>
          <w:color w:val="auto"/>
          <w:kern w:val="0"/>
          <w:sz w:val="24"/>
          <w:highlight w:val="none"/>
          <w:u w:val="single"/>
        </w:rPr>
        <w:t xml:space="preserve">                                                    </w:t>
      </w:r>
    </w:p>
    <w:p w14:paraId="210BA7FA">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开户银行：</w:t>
      </w:r>
      <w:r>
        <w:rPr>
          <w:rFonts w:hint="eastAsia" w:ascii="仿宋" w:hAnsi="仿宋" w:eastAsia="仿宋" w:cs="仿宋"/>
          <w:color w:val="auto"/>
          <w:kern w:val="0"/>
          <w:sz w:val="24"/>
          <w:highlight w:val="none"/>
          <w:u w:val="single"/>
        </w:rPr>
        <w:t xml:space="preserve">                                                    </w:t>
      </w:r>
    </w:p>
    <w:p w14:paraId="42444ED1">
      <w:pPr>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银行账号：</w:t>
      </w:r>
      <w:r>
        <w:rPr>
          <w:rFonts w:hint="eastAsia" w:ascii="仿宋" w:hAnsi="仿宋" w:eastAsia="仿宋" w:cs="仿宋"/>
          <w:color w:val="auto"/>
          <w:kern w:val="0"/>
          <w:sz w:val="24"/>
          <w:highlight w:val="none"/>
          <w:u w:val="single"/>
        </w:rPr>
        <w:t xml:space="preserve">                                                    </w:t>
      </w:r>
    </w:p>
    <w:p w14:paraId="66595DF7">
      <w:pPr>
        <w:pStyle w:val="16"/>
        <w:tabs>
          <w:tab w:val="left" w:pos="939"/>
        </w:tabs>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7F11E610">
      <w:pPr>
        <w:spacing w:line="360" w:lineRule="auto"/>
        <w:contextualSpacing/>
        <w:jc w:val="left"/>
        <w:rPr>
          <w:rFonts w:ascii="仿宋" w:hAnsi="仿宋" w:eastAsia="仿宋" w:cs="仿宋"/>
          <w:color w:val="auto"/>
          <w:szCs w:val="21"/>
          <w:highlight w:val="none"/>
        </w:rPr>
      </w:pPr>
    </w:p>
    <w:p w14:paraId="03122F90">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E0457E8">
      <w:pPr>
        <w:autoSpaceDE w:val="0"/>
        <w:autoSpaceDN w:val="0"/>
        <w:spacing w:line="360" w:lineRule="auto"/>
        <w:ind w:firstLine="6480" w:firstLineChars="27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BA68FD7">
      <w:pPr>
        <w:spacing w:line="360" w:lineRule="auto"/>
        <w:ind w:firstLine="420"/>
        <w:rPr>
          <w:rFonts w:ascii="仿宋" w:hAnsi="仿宋" w:eastAsia="仿宋" w:cs="仿宋"/>
          <w:color w:val="auto"/>
          <w:kern w:val="0"/>
          <w:sz w:val="20"/>
          <w:szCs w:val="21"/>
          <w:highlight w:val="none"/>
        </w:rPr>
      </w:pPr>
    </w:p>
    <w:p w14:paraId="0337F51D">
      <w:pPr>
        <w:spacing w:line="520" w:lineRule="exact"/>
        <w:ind w:firstLine="420" w:firstLineChars="200"/>
        <w:rPr>
          <w:rFonts w:ascii="仿宋" w:hAnsi="仿宋" w:eastAsia="仿宋" w:cs="仿宋"/>
          <w:color w:val="auto"/>
          <w:highlight w:val="none"/>
        </w:rPr>
        <w:sectPr>
          <w:pgSz w:w="11911" w:h="16838"/>
          <w:pgMar w:top="1338" w:right="1502" w:bottom="850" w:left="1678" w:header="1077" w:footer="720" w:gutter="0"/>
          <w:cols w:space="720" w:num="1"/>
        </w:sectPr>
      </w:pPr>
    </w:p>
    <w:p w14:paraId="47767539">
      <w:pPr>
        <w:spacing w:line="500" w:lineRule="exac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二、响应报价表 </w:t>
      </w:r>
    </w:p>
    <w:p w14:paraId="0E49CFBF">
      <w:pPr>
        <w:snapToGrid w:val="0"/>
        <w:spacing w:before="50" w:after="50"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响应报价表</w:t>
      </w:r>
    </w:p>
    <w:p w14:paraId="1D6D3449">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分标：</w:t>
      </w:r>
      <w:r>
        <w:rPr>
          <w:rFonts w:hint="eastAsia" w:ascii="仿宋" w:hAnsi="仿宋" w:eastAsia="仿宋" w:cs="仿宋"/>
          <w:color w:val="auto"/>
          <w:sz w:val="24"/>
          <w:highlight w:val="none"/>
          <w:u w:val="single"/>
        </w:rPr>
        <w:t xml:space="preserve">           </w:t>
      </w:r>
    </w:p>
    <w:p w14:paraId="1F19FFC2">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31"/>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19"/>
        <w:gridCol w:w="1659"/>
        <w:gridCol w:w="1035"/>
        <w:gridCol w:w="1275"/>
        <w:gridCol w:w="2100"/>
        <w:gridCol w:w="1765"/>
      </w:tblGrid>
      <w:tr w14:paraId="3810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2E0CB5A">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序号</w:t>
            </w:r>
          </w:p>
        </w:tc>
        <w:tc>
          <w:tcPr>
            <w:tcW w:w="1319" w:type="dxa"/>
            <w:tcBorders>
              <w:top w:val="single" w:color="auto" w:sz="4" w:space="0"/>
              <w:left w:val="single" w:color="auto" w:sz="4" w:space="0"/>
              <w:bottom w:val="single" w:color="auto" w:sz="4" w:space="0"/>
              <w:right w:val="single" w:color="auto" w:sz="4" w:space="0"/>
            </w:tcBorders>
            <w:vAlign w:val="center"/>
          </w:tcPr>
          <w:p w14:paraId="46C50C81">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货物名称</w:t>
            </w:r>
          </w:p>
        </w:tc>
        <w:tc>
          <w:tcPr>
            <w:tcW w:w="1659" w:type="dxa"/>
            <w:tcBorders>
              <w:top w:val="single" w:color="auto" w:sz="4" w:space="0"/>
              <w:left w:val="single" w:color="auto" w:sz="4" w:space="0"/>
              <w:bottom w:val="single" w:color="auto" w:sz="4" w:space="0"/>
              <w:right w:val="single" w:color="auto" w:sz="4" w:space="0"/>
            </w:tcBorders>
            <w:vAlign w:val="center"/>
          </w:tcPr>
          <w:p w14:paraId="4C6DB47F">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品牌、规格型号</w:t>
            </w:r>
          </w:p>
        </w:tc>
        <w:tc>
          <w:tcPr>
            <w:tcW w:w="1035" w:type="dxa"/>
            <w:tcBorders>
              <w:top w:val="single" w:color="auto" w:sz="4" w:space="0"/>
              <w:left w:val="single" w:color="auto" w:sz="4" w:space="0"/>
              <w:bottom w:val="single" w:color="auto" w:sz="4" w:space="0"/>
              <w:right w:val="single" w:color="auto" w:sz="4" w:space="0"/>
            </w:tcBorders>
            <w:vAlign w:val="center"/>
          </w:tcPr>
          <w:p w14:paraId="52BBC429">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数量①</w:t>
            </w:r>
          </w:p>
        </w:tc>
        <w:tc>
          <w:tcPr>
            <w:tcW w:w="1275" w:type="dxa"/>
            <w:tcBorders>
              <w:top w:val="single" w:color="auto" w:sz="4" w:space="0"/>
              <w:left w:val="single" w:color="auto" w:sz="4" w:space="0"/>
              <w:bottom w:val="single" w:color="auto" w:sz="4" w:space="0"/>
              <w:right w:val="single" w:color="auto" w:sz="4" w:space="0"/>
            </w:tcBorders>
            <w:vAlign w:val="center"/>
          </w:tcPr>
          <w:p w14:paraId="393F99D9">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单价（元）②</w:t>
            </w:r>
          </w:p>
        </w:tc>
        <w:tc>
          <w:tcPr>
            <w:tcW w:w="2100" w:type="dxa"/>
            <w:tcBorders>
              <w:top w:val="single" w:color="auto" w:sz="4" w:space="0"/>
              <w:left w:val="single" w:color="auto" w:sz="4" w:space="0"/>
              <w:bottom w:val="single" w:color="auto" w:sz="4" w:space="0"/>
              <w:right w:val="single" w:color="auto" w:sz="4" w:space="0"/>
            </w:tcBorders>
            <w:vAlign w:val="center"/>
          </w:tcPr>
          <w:p w14:paraId="1B710641">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单项合价（元）</w:t>
            </w:r>
          </w:p>
          <w:p w14:paraId="2978AED7">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③＝①×②</w:t>
            </w:r>
          </w:p>
        </w:tc>
        <w:tc>
          <w:tcPr>
            <w:tcW w:w="1765" w:type="dxa"/>
            <w:tcBorders>
              <w:top w:val="single" w:color="auto" w:sz="4" w:space="0"/>
              <w:left w:val="single" w:color="auto" w:sz="4" w:space="0"/>
              <w:bottom w:val="single" w:color="auto" w:sz="4" w:space="0"/>
              <w:right w:val="single" w:color="auto" w:sz="4" w:space="0"/>
            </w:tcBorders>
            <w:vAlign w:val="center"/>
          </w:tcPr>
          <w:p w14:paraId="109F1125">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备注</w:t>
            </w:r>
          </w:p>
        </w:tc>
      </w:tr>
      <w:tr w14:paraId="5856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3F2D3BB">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p>
        </w:tc>
        <w:tc>
          <w:tcPr>
            <w:tcW w:w="1319" w:type="dxa"/>
            <w:tcBorders>
              <w:top w:val="single" w:color="auto" w:sz="4" w:space="0"/>
              <w:left w:val="single" w:color="auto" w:sz="4" w:space="0"/>
              <w:bottom w:val="single" w:color="auto" w:sz="4" w:space="0"/>
              <w:right w:val="single" w:color="auto" w:sz="4" w:space="0"/>
            </w:tcBorders>
            <w:vAlign w:val="center"/>
          </w:tcPr>
          <w:p w14:paraId="164627F8">
            <w:pPr>
              <w:spacing w:line="400" w:lineRule="exact"/>
              <w:jc w:val="center"/>
              <w:rPr>
                <w:rFonts w:ascii="仿宋" w:hAnsi="仿宋" w:eastAsia="仿宋" w:cs="仿宋"/>
                <w:color w:val="auto"/>
                <w:sz w:val="24"/>
                <w:szCs w:val="28"/>
                <w:highlight w:val="none"/>
              </w:rPr>
            </w:pPr>
          </w:p>
        </w:tc>
        <w:tc>
          <w:tcPr>
            <w:tcW w:w="1659" w:type="dxa"/>
            <w:tcBorders>
              <w:top w:val="single" w:color="auto" w:sz="4" w:space="0"/>
              <w:left w:val="single" w:color="auto" w:sz="4" w:space="0"/>
              <w:bottom w:val="single" w:color="auto" w:sz="4" w:space="0"/>
              <w:right w:val="single" w:color="auto" w:sz="4" w:space="0"/>
            </w:tcBorders>
            <w:vAlign w:val="center"/>
          </w:tcPr>
          <w:p w14:paraId="1D31E6BF">
            <w:pPr>
              <w:spacing w:line="400" w:lineRule="exact"/>
              <w:jc w:val="center"/>
              <w:rPr>
                <w:rFonts w:ascii="仿宋" w:hAnsi="仿宋" w:eastAsia="仿宋" w:cs="仿宋"/>
                <w:color w:val="auto"/>
                <w:sz w:val="24"/>
                <w:szCs w:val="28"/>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094B441C">
            <w:pPr>
              <w:spacing w:line="400" w:lineRule="exact"/>
              <w:jc w:val="center"/>
              <w:rPr>
                <w:rFonts w:ascii="仿宋" w:hAnsi="仿宋" w:eastAsia="仿宋" w:cs="仿宋"/>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92ABE5F">
            <w:pPr>
              <w:spacing w:line="400" w:lineRule="exact"/>
              <w:jc w:val="center"/>
              <w:rPr>
                <w:rFonts w:ascii="仿宋" w:hAnsi="仿宋" w:eastAsia="仿宋" w:cs="仿宋"/>
                <w:color w:val="auto"/>
                <w:sz w:val="24"/>
                <w:szCs w:val="28"/>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283CAAB">
            <w:pPr>
              <w:spacing w:line="400" w:lineRule="exact"/>
              <w:jc w:val="center"/>
              <w:rPr>
                <w:rFonts w:ascii="仿宋" w:hAnsi="仿宋" w:eastAsia="仿宋" w:cs="仿宋"/>
                <w:color w:val="auto"/>
                <w:sz w:val="24"/>
                <w:szCs w:val="28"/>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14:paraId="00CD9C68">
            <w:pPr>
              <w:spacing w:line="400" w:lineRule="exact"/>
              <w:jc w:val="center"/>
              <w:rPr>
                <w:rFonts w:ascii="仿宋" w:hAnsi="仿宋" w:eastAsia="仿宋" w:cs="仿宋"/>
                <w:color w:val="auto"/>
                <w:sz w:val="24"/>
                <w:szCs w:val="28"/>
                <w:highlight w:val="none"/>
              </w:rPr>
            </w:pPr>
          </w:p>
        </w:tc>
      </w:tr>
      <w:tr w14:paraId="6193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2601745">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p>
        </w:tc>
        <w:tc>
          <w:tcPr>
            <w:tcW w:w="1319" w:type="dxa"/>
            <w:tcBorders>
              <w:top w:val="single" w:color="auto" w:sz="4" w:space="0"/>
              <w:left w:val="single" w:color="auto" w:sz="4" w:space="0"/>
              <w:bottom w:val="single" w:color="auto" w:sz="4" w:space="0"/>
              <w:right w:val="single" w:color="auto" w:sz="4" w:space="0"/>
            </w:tcBorders>
            <w:vAlign w:val="center"/>
          </w:tcPr>
          <w:p w14:paraId="714CFEC4">
            <w:pPr>
              <w:spacing w:line="400" w:lineRule="exact"/>
              <w:jc w:val="center"/>
              <w:rPr>
                <w:rFonts w:ascii="仿宋" w:hAnsi="仿宋" w:eastAsia="仿宋" w:cs="仿宋"/>
                <w:color w:val="auto"/>
                <w:sz w:val="24"/>
                <w:szCs w:val="28"/>
                <w:highlight w:val="none"/>
              </w:rPr>
            </w:pPr>
          </w:p>
        </w:tc>
        <w:tc>
          <w:tcPr>
            <w:tcW w:w="1659" w:type="dxa"/>
            <w:tcBorders>
              <w:top w:val="single" w:color="auto" w:sz="4" w:space="0"/>
              <w:left w:val="single" w:color="auto" w:sz="4" w:space="0"/>
              <w:bottom w:val="single" w:color="auto" w:sz="4" w:space="0"/>
              <w:right w:val="single" w:color="auto" w:sz="4" w:space="0"/>
            </w:tcBorders>
            <w:vAlign w:val="center"/>
          </w:tcPr>
          <w:p w14:paraId="0517CB97">
            <w:pPr>
              <w:spacing w:line="400" w:lineRule="exact"/>
              <w:jc w:val="center"/>
              <w:rPr>
                <w:rFonts w:ascii="仿宋" w:hAnsi="仿宋" w:eastAsia="仿宋" w:cs="仿宋"/>
                <w:color w:val="auto"/>
                <w:sz w:val="24"/>
                <w:szCs w:val="28"/>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8A1F544">
            <w:pPr>
              <w:spacing w:line="400" w:lineRule="exact"/>
              <w:jc w:val="center"/>
              <w:rPr>
                <w:rFonts w:ascii="仿宋" w:hAnsi="仿宋" w:eastAsia="仿宋" w:cs="仿宋"/>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6B19998">
            <w:pPr>
              <w:spacing w:line="400" w:lineRule="exact"/>
              <w:jc w:val="center"/>
              <w:rPr>
                <w:rFonts w:ascii="仿宋" w:hAnsi="仿宋" w:eastAsia="仿宋" w:cs="仿宋"/>
                <w:color w:val="auto"/>
                <w:sz w:val="24"/>
                <w:szCs w:val="28"/>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E7EECCC">
            <w:pPr>
              <w:spacing w:line="400" w:lineRule="exact"/>
              <w:jc w:val="center"/>
              <w:rPr>
                <w:rFonts w:ascii="仿宋" w:hAnsi="仿宋" w:eastAsia="仿宋" w:cs="仿宋"/>
                <w:color w:val="auto"/>
                <w:sz w:val="24"/>
                <w:szCs w:val="28"/>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14:paraId="1996E9A7">
            <w:pPr>
              <w:spacing w:line="400" w:lineRule="exact"/>
              <w:jc w:val="center"/>
              <w:rPr>
                <w:rFonts w:ascii="仿宋" w:hAnsi="仿宋" w:eastAsia="仿宋" w:cs="仿宋"/>
                <w:color w:val="auto"/>
                <w:sz w:val="24"/>
                <w:szCs w:val="28"/>
                <w:highlight w:val="none"/>
              </w:rPr>
            </w:pPr>
          </w:p>
        </w:tc>
      </w:tr>
      <w:tr w14:paraId="24FF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6CE8CF9">
            <w:pPr>
              <w:spacing w:line="400" w:lineRule="exact"/>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tc>
        <w:tc>
          <w:tcPr>
            <w:tcW w:w="1319" w:type="dxa"/>
            <w:tcBorders>
              <w:top w:val="single" w:color="auto" w:sz="4" w:space="0"/>
              <w:left w:val="single" w:color="auto" w:sz="4" w:space="0"/>
              <w:bottom w:val="single" w:color="auto" w:sz="4" w:space="0"/>
              <w:right w:val="single" w:color="auto" w:sz="4" w:space="0"/>
            </w:tcBorders>
            <w:vAlign w:val="center"/>
          </w:tcPr>
          <w:p w14:paraId="683580DA">
            <w:pPr>
              <w:spacing w:line="400" w:lineRule="exact"/>
              <w:jc w:val="center"/>
              <w:rPr>
                <w:rFonts w:ascii="仿宋" w:hAnsi="仿宋" w:eastAsia="仿宋" w:cs="仿宋"/>
                <w:color w:val="auto"/>
                <w:sz w:val="24"/>
                <w:szCs w:val="28"/>
                <w:highlight w:val="none"/>
              </w:rPr>
            </w:pPr>
          </w:p>
        </w:tc>
        <w:tc>
          <w:tcPr>
            <w:tcW w:w="1659" w:type="dxa"/>
            <w:tcBorders>
              <w:top w:val="single" w:color="auto" w:sz="4" w:space="0"/>
              <w:left w:val="single" w:color="auto" w:sz="4" w:space="0"/>
              <w:bottom w:val="single" w:color="auto" w:sz="4" w:space="0"/>
              <w:right w:val="single" w:color="auto" w:sz="4" w:space="0"/>
            </w:tcBorders>
            <w:vAlign w:val="center"/>
          </w:tcPr>
          <w:p w14:paraId="69AF408B">
            <w:pPr>
              <w:spacing w:line="400" w:lineRule="exact"/>
              <w:jc w:val="center"/>
              <w:rPr>
                <w:rFonts w:ascii="仿宋" w:hAnsi="仿宋" w:eastAsia="仿宋" w:cs="仿宋"/>
                <w:color w:val="auto"/>
                <w:sz w:val="24"/>
                <w:szCs w:val="28"/>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2F31F80">
            <w:pPr>
              <w:spacing w:line="400" w:lineRule="exact"/>
              <w:jc w:val="center"/>
              <w:rPr>
                <w:rFonts w:ascii="仿宋" w:hAnsi="仿宋" w:eastAsia="仿宋" w:cs="仿宋"/>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6850AD7">
            <w:pPr>
              <w:spacing w:line="400" w:lineRule="exact"/>
              <w:jc w:val="center"/>
              <w:rPr>
                <w:rFonts w:ascii="仿宋" w:hAnsi="仿宋" w:eastAsia="仿宋" w:cs="仿宋"/>
                <w:color w:val="auto"/>
                <w:sz w:val="24"/>
                <w:szCs w:val="28"/>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6D5ED69">
            <w:pPr>
              <w:spacing w:line="400" w:lineRule="exact"/>
              <w:jc w:val="center"/>
              <w:rPr>
                <w:rFonts w:ascii="仿宋" w:hAnsi="仿宋" w:eastAsia="仿宋" w:cs="仿宋"/>
                <w:color w:val="auto"/>
                <w:sz w:val="24"/>
                <w:szCs w:val="28"/>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14:paraId="09E1B3E8">
            <w:pPr>
              <w:spacing w:line="400" w:lineRule="exact"/>
              <w:jc w:val="center"/>
              <w:rPr>
                <w:rFonts w:ascii="仿宋" w:hAnsi="仿宋" w:eastAsia="仿宋" w:cs="仿宋"/>
                <w:color w:val="auto"/>
                <w:sz w:val="24"/>
                <w:szCs w:val="28"/>
                <w:highlight w:val="none"/>
              </w:rPr>
            </w:pPr>
          </w:p>
        </w:tc>
      </w:tr>
      <w:tr w14:paraId="2D69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262876C4">
            <w:pPr>
              <w:wordWrap w:val="0"/>
              <w:spacing w:line="4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报价合计（包含税费等所有费用）：（大写）人民币</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元）</w:t>
            </w:r>
          </w:p>
        </w:tc>
      </w:tr>
      <w:tr w14:paraId="00E6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2138D24D">
            <w:pPr>
              <w:spacing w:line="4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验收标准：</w:t>
            </w:r>
          </w:p>
        </w:tc>
      </w:tr>
      <w:tr w14:paraId="77AB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627C64B7">
            <w:pPr>
              <w:spacing w:line="4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保质期：</w:t>
            </w:r>
          </w:p>
        </w:tc>
      </w:tr>
      <w:tr w14:paraId="16AC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6" w:type="dxa"/>
            <w:gridSpan w:val="7"/>
            <w:tcBorders>
              <w:top w:val="single" w:color="auto" w:sz="4" w:space="0"/>
              <w:left w:val="single" w:color="auto" w:sz="4" w:space="0"/>
              <w:bottom w:val="single" w:color="auto" w:sz="4" w:space="0"/>
              <w:right w:val="single" w:color="auto" w:sz="4" w:space="0"/>
            </w:tcBorders>
            <w:vAlign w:val="center"/>
          </w:tcPr>
          <w:p w14:paraId="1C550C2A">
            <w:pPr>
              <w:spacing w:line="4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优惠及其它：</w:t>
            </w:r>
          </w:p>
        </w:tc>
      </w:tr>
    </w:tbl>
    <w:p w14:paraId="4EAC44C5">
      <w:pPr>
        <w:snapToGrid w:val="0"/>
        <w:spacing w:before="165" w:beforeLines="5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注： </w:t>
      </w:r>
    </w:p>
    <w:p w14:paraId="2A7D8D1F">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供应商需按本表格式填写，不得自行更改，也不得留空，如有多分标，按分标分别提供响应报价表</w:t>
      </w:r>
      <w:r>
        <w:rPr>
          <w:rFonts w:hint="eastAsia" w:ascii="仿宋" w:hAnsi="仿宋" w:eastAsia="仿宋" w:cs="仿宋"/>
          <w:bCs/>
          <w:color w:val="auto"/>
          <w:kern w:val="0"/>
          <w:sz w:val="24"/>
          <w:highlight w:val="none"/>
          <w:lang w:val="zh-CN"/>
        </w:rPr>
        <w:t>。</w:t>
      </w:r>
    </w:p>
    <w:p w14:paraId="06590627">
      <w:pPr>
        <w:snapToGrid w:val="0"/>
        <w:spacing w:line="360" w:lineRule="auto"/>
        <w:ind w:firstLine="480" w:firstLineChars="200"/>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如为联合体响应的，“供应商名称”处必须列明联合体各方名称，并标注联合体牵头人名称，且盖章处须加盖联合体各方公章，</w:t>
      </w:r>
      <w:r>
        <w:rPr>
          <w:rFonts w:hint="eastAsia" w:ascii="仿宋" w:hAnsi="仿宋" w:eastAsia="仿宋" w:cs="仿宋"/>
          <w:b/>
          <w:color w:val="auto"/>
          <w:kern w:val="0"/>
          <w:sz w:val="24"/>
          <w:highlight w:val="none"/>
          <w:lang w:val="zh-CN"/>
        </w:rPr>
        <w:t>否则其响应作无效响应处理。</w:t>
      </w:r>
    </w:p>
    <w:p w14:paraId="235F90B7">
      <w:pPr>
        <w:snapToGrid w:val="0"/>
        <w:spacing w:line="360" w:lineRule="auto"/>
        <w:ind w:firstLine="480" w:firstLineChars="200"/>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以上表格要求细分项目及报价，在“具体货物内容”一栏中，填写具体货物，</w:t>
      </w:r>
      <w:r>
        <w:rPr>
          <w:rFonts w:hint="eastAsia" w:ascii="仿宋" w:hAnsi="仿宋" w:eastAsia="仿宋" w:cs="仿宋"/>
          <w:b/>
          <w:color w:val="auto"/>
          <w:kern w:val="0"/>
          <w:sz w:val="24"/>
          <w:highlight w:val="none"/>
          <w:lang w:val="zh-CN"/>
        </w:rPr>
        <w:t>否则其响应作无效响应处理。</w:t>
      </w:r>
    </w:p>
    <w:p w14:paraId="6EF46B44">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特别提示：采购机构将对项目名称和项目编号，成交供应商名称、地址和成交金额，主要成交标的的名称、规格型号、数量、单价、货物要求等予以公示。</w:t>
      </w:r>
    </w:p>
    <w:p w14:paraId="63D392D2">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szCs w:val="22"/>
          <w:highlight w:val="none"/>
        </w:rPr>
        <w:t>.</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7E8D88">
      <w:pPr>
        <w:autoSpaceDE w:val="0"/>
        <w:autoSpaceDN w:val="0"/>
        <w:spacing w:line="360" w:lineRule="auto"/>
        <w:ind w:left="4335" w:leftChars="1950" w:hanging="240" w:hangingChars="100"/>
        <w:rPr>
          <w:rFonts w:ascii="仿宋" w:hAnsi="仿宋" w:eastAsia="仿宋" w:cs="仿宋"/>
          <w:color w:val="auto"/>
          <w:kern w:val="0"/>
          <w:sz w:val="24"/>
          <w:highlight w:val="none"/>
        </w:rPr>
      </w:pPr>
    </w:p>
    <w:p w14:paraId="1E7CD9E1">
      <w:pPr>
        <w:autoSpaceDE w:val="0"/>
        <w:autoSpaceDN w:val="0"/>
        <w:spacing w:line="360" w:lineRule="auto"/>
        <w:ind w:left="4335" w:leftChars="195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F77CFEB">
      <w:pPr>
        <w:autoSpaceDE w:val="0"/>
        <w:autoSpaceDN w:val="0"/>
        <w:spacing w:line="360" w:lineRule="auto"/>
        <w:ind w:firstLine="6480" w:firstLineChars="27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46E1545">
      <w:pPr>
        <w:pStyle w:val="4"/>
        <w:spacing w:before="0" w:after="0" w:line="360" w:lineRule="auto"/>
        <w:jc w:val="center"/>
        <w:rPr>
          <w:rFonts w:ascii="仿宋" w:hAnsi="仿宋" w:eastAsia="仿宋" w:cs="仿宋"/>
          <w:b w:val="0"/>
          <w:color w:val="auto"/>
          <w:highlight w:val="none"/>
        </w:rPr>
      </w:pPr>
      <w:r>
        <w:rPr>
          <w:rFonts w:hint="eastAsia" w:ascii="仿宋" w:hAnsi="仿宋" w:eastAsia="仿宋" w:cs="仿宋"/>
          <w:b w:val="0"/>
          <w:bCs w:val="0"/>
          <w:color w:val="auto"/>
          <w:sz w:val="24"/>
          <w:highlight w:val="none"/>
        </w:rPr>
        <w:br w:type="page"/>
      </w:r>
      <w:bookmarkStart w:id="86" w:name="_Toc19049"/>
      <w:bookmarkStart w:id="87" w:name="_Toc32327"/>
      <w:r>
        <w:rPr>
          <w:rFonts w:hint="eastAsia" w:ascii="仿宋" w:hAnsi="仿宋" w:eastAsia="仿宋" w:cs="仿宋"/>
          <w:color w:val="auto"/>
          <w:highlight w:val="none"/>
        </w:rPr>
        <w:t>第五节 其他文书、文件格式</w:t>
      </w:r>
      <w:bookmarkEnd w:id="86"/>
      <w:bookmarkEnd w:id="87"/>
    </w:p>
    <w:p w14:paraId="6F7623DC">
      <w:pPr>
        <w:spacing w:line="520" w:lineRule="exact"/>
        <w:rPr>
          <w:rFonts w:ascii="仿宋" w:hAnsi="仿宋" w:eastAsia="仿宋" w:cs="仿宋"/>
          <w:color w:val="auto"/>
          <w:sz w:val="24"/>
          <w:highlight w:val="none"/>
        </w:rPr>
      </w:pPr>
    </w:p>
    <w:p w14:paraId="3EF82095">
      <w:pPr>
        <w:ind w:firstLine="482"/>
        <w:jc w:val="center"/>
        <w:rPr>
          <w:rFonts w:ascii="仿宋" w:hAnsi="仿宋" w:eastAsia="仿宋" w:cs="仿宋"/>
          <w:b/>
          <w:bCs/>
          <w:color w:val="auto"/>
          <w:sz w:val="32"/>
          <w:szCs w:val="32"/>
          <w:highlight w:val="none"/>
          <w:lang w:val="en"/>
        </w:rPr>
      </w:pPr>
      <w:r>
        <w:rPr>
          <w:rFonts w:hint="eastAsia" w:ascii="仿宋" w:hAnsi="仿宋" w:eastAsia="仿宋" w:cs="仿宋"/>
          <w:b/>
          <w:bCs/>
          <w:color w:val="auto"/>
          <w:sz w:val="32"/>
          <w:szCs w:val="32"/>
          <w:highlight w:val="none"/>
          <w:lang w:val="en"/>
        </w:rPr>
        <w:t>知识产权合规性声明</w:t>
      </w:r>
    </w:p>
    <w:p w14:paraId="2FE350A3">
      <w:pPr>
        <w:ind w:firstLine="600" w:firstLineChars="200"/>
        <w:rPr>
          <w:rFonts w:ascii="宋体" w:hAnsi="宋体" w:cs="仿宋_GB2312"/>
          <w:color w:val="auto"/>
          <w:sz w:val="30"/>
          <w:szCs w:val="30"/>
          <w:highlight w:val="none"/>
        </w:rPr>
      </w:pPr>
    </w:p>
    <w:p w14:paraId="23947DB9">
      <w:pPr>
        <w:snapToGrid w:val="0"/>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val="en"/>
        </w:rPr>
        <w:t>企业（单位）自愿参与政府投资政府采购的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lang w:val="en"/>
        </w:rPr>
        <w:t>，</w:t>
      </w:r>
      <w:r>
        <w:rPr>
          <w:rFonts w:hint="eastAsia" w:ascii="仿宋" w:hAnsi="仿宋" w:eastAsia="仿宋" w:cs="仿宋"/>
          <w:b/>
          <w:bCs/>
          <w:color w:val="auto"/>
          <w:sz w:val="24"/>
          <w:highlight w:val="none"/>
          <w:lang w:val="en"/>
        </w:rPr>
        <w:t>在此郑重承诺：</w:t>
      </w:r>
      <w:r>
        <w:rPr>
          <w:rFonts w:hint="eastAsia" w:ascii="仿宋" w:hAnsi="仿宋" w:eastAsia="仿宋" w:cs="仿宋"/>
          <w:color w:val="auto"/>
          <w:sz w:val="24"/>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D2472EC">
      <w:pPr>
        <w:snapToGrid w:val="0"/>
        <w:spacing w:line="360" w:lineRule="auto"/>
        <w:ind w:left="5634" w:leftChars="1736" w:hanging="1988" w:hangingChars="825"/>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02403F94">
      <w:pPr>
        <w:snapToGrid w:val="0"/>
        <w:spacing w:line="360" w:lineRule="auto"/>
        <w:ind w:left="5634" w:leftChars="1736" w:hanging="1988" w:hangingChars="825"/>
        <w:rPr>
          <w:rFonts w:ascii="仿宋" w:hAnsi="仿宋" w:eastAsia="仿宋" w:cs="仿宋"/>
          <w:b/>
          <w:color w:val="auto"/>
          <w:sz w:val="24"/>
          <w:highlight w:val="none"/>
        </w:rPr>
      </w:pPr>
    </w:p>
    <w:p w14:paraId="5D7724C7">
      <w:pPr>
        <w:snapToGrid w:val="0"/>
        <w:spacing w:line="360" w:lineRule="auto"/>
        <w:ind w:left="5634" w:leftChars="1736" w:hanging="1988" w:hangingChars="825"/>
        <w:rPr>
          <w:rFonts w:ascii="仿宋" w:hAnsi="仿宋" w:eastAsia="仿宋" w:cs="仿宋"/>
          <w:b/>
          <w:color w:val="auto"/>
          <w:sz w:val="24"/>
          <w:highlight w:val="none"/>
        </w:rPr>
      </w:pPr>
    </w:p>
    <w:p w14:paraId="2D384955">
      <w:pPr>
        <w:snapToGrid w:val="0"/>
        <w:spacing w:line="360" w:lineRule="auto"/>
        <w:ind w:left="5634" w:leftChars="1736" w:hanging="1988" w:hangingChars="825"/>
        <w:rPr>
          <w:rFonts w:ascii="仿宋" w:hAnsi="仿宋" w:eastAsia="仿宋" w:cs="仿宋"/>
          <w:b/>
          <w:color w:val="auto"/>
          <w:sz w:val="24"/>
          <w:highlight w:val="none"/>
        </w:rPr>
      </w:pPr>
    </w:p>
    <w:p w14:paraId="1E80EE2F">
      <w:pPr>
        <w:snapToGrid w:val="0"/>
        <w:spacing w:line="360" w:lineRule="auto"/>
        <w:ind w:left="5634" w:leftChars="1736" w:hanging="1988" w:hangingChars="825"/>
        <w:rPr>
          <w:rFonts w:ascii="仿宋" w:hAnsi="仿宋" w:eastAsia="仿宋" w:cs="仿宋"/>
          <w:color w:val="auto"/>
          <w:kern w:val="0"/>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lang w:val="zh-CN"/>
        </w:rPr>
        <w:t>投标人名称(电子签章)：</w:t>
      </w:r>
    </w:p>
    <w:p w14:paraId="1D8F09E2">
      <w:pPr>
        <w:snapToGrid w:val="0"/>
        <w:spacing w:line="360" w:lineRule="auto"/>
        <w:ind w:firstLine="5160" w:firstLineChars="21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73AC2F4">
      <w:pPr>
        <w:spacing w:line="520" w:lineRule="exact"/>
        <w:ind w:firstLine="360"/>
        <w:rPr>
          <w:rFonts w:ascii="仿宋" w:hAnsi="仿宋" w:eastAsia="仿宋" w:cs="仿宋"/>
          <w:color w:val="auto"/>
          <w:sz w:val="24"/>
          <w:highlight w:val="none"/>
        </w:rPr>
        <w:sectPr>
          <w:pgSz w:w="11906" w:h="16838"/>
          <w:pgMar w:top="1134" w:right="1134" w:bottom="1134" w:left="1134" w:header="720" w:footer="720" w:gutter="0"/>
          <w:cols w:space="720" w:num="1"/>
          <w:docGrid w:type="lines" w:linePitch="331" w:charSpace="0"/>
        </w:sectPr>
      </w:pPr>
    </w:p>
    <w:p w14:paraId="6CCB5BB4">
      <w:pPr>
        <w:spacing w:line="520" w:lineRule="exact"/>
        <w:jc w:val="center"/>
        <w:rPr>
          <w:rFonts w:ascii="仿宋" w:hAnsi="仿宋" w:eastAsia="仿宋" w:cs="仿宋"/>
          <w:b/>
          <w:bCs/>
          <w:color w:val="auto"/>
          <w:sz w:val="32"/>
          <w:szCs w:val="32"/>
          <w:highlight w:val="none"/>
        </w:rPr>
      </w:pPr>
    </w:p>
    <w:p w14:paraId="5401CC0C">
      <w:pPr>
        <w:spacing w:line="52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15275BF9">
      <w:pPr>
        <w:spacing w:line="520" w:lineRule="exact"/>
        <w:rPr>
          <w:rFonts w:ascii="仿宋" w:hAnsi="仿宋" w:eastAsia="仿宋" w:cs="仿宋"/>
          <w:color w:val="auto"/>
          <w:sz w:val="32"/>
          <w:szCs w:val="32"/>
          <w:highlight w:val="none"/>
        </w:rPr>
      </w:pPr>
    </w:p>
    <w:p w14:paraId="1FC5CB3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26D395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EBB3E3C">
      <w:pPr>
        <w:spacing w:line="360" w:lineRule="auto"/>
        <w:contextualSpacing/>
        <w:rPr>
          <w:rFonts w:ascii="仿宋" w:hAnsi="仿宋" w:eastAsia="仿宋" w:cs="仿宋"/>
          <w:color w:val="auto"/>
          <w:sz w:val="24"/>
          <w:highlight w:val="none"/>
        </w:rPr>
      </w:pPr>
    </w:p>
    <w:p w14:paraId="1391A139">
      <w:pPr>
        <w:spacing w:line="360" w:lineRule="auto"/>
        <w:contextualSpacing/>
        <w:rPr>
          <w:rFonts w:ascii="仿宋" w:hAnsi="仿宋" w:eastAsia="仿宋" w:cs="仿宋"/>
          <w:color w:val="auto"/>
          <w:sz w:val="24"/>
          <w:highlight w:val="none"/>
        </w:rPr>
      </w:pPr>
    </w:p>
    <w:p w14:paraId="697D9DAB">
      <w:pPr>
        <w:spacing w:line="360" w:lineRule="auto"/>
        <w:contextualSpacing/>
        <w:rPr>
          <w:rFonts w:ascii="仿宋" w:hAnsi="仿宋" w:eastAsia="仿宋" w:cs="仿宋"/>
          <w:color w:val="auto"/>
          <w:sz w:val="24"/>
          <w:highlight w:val="none"/>
        </w:rPr>
      </w:pPr>
    </w:p>
    <w:p w14:paraId="2A56493A">
      <w:pPr>
        <w:spacing w:line="360" w:lineRule="auto"/>
        <w:ind w:firstLine="2400" w:firstLineChars="10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45D6E544">
      <w:pPr>
        <w:spacing w:line="360" w:lineRule="auto"/>
        <w:ind w:firstLine="4320" w:firstLineChars="18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2174737">
      <w:pPr>
        <w:spacing w:line="360" w:lineRule="auto"/>
        <w:contextualSpacing/>
        <w:rPr>
          <w:rFonts w:ascii="仿宋" w:hAnsi="仿宋" w:eastAsia="仿宋" w:cs="仿宋"/>
          <w:color w:val="auto"/>
          <w:sz w:val="24"/>
          <w:highlight w:val="none"/>
        </w:rPr>
      </w:pPr>
    </w:p>
    <w:p w14:paraId="6497AD39">
      <w:pPr>
        <w:spacing w:line="360" w:lineRule="auto"/>
        <w:contextualSpacing/>
        <w:rPr>
          <w:rFonts w:ascii="仿宋" w:hAnsi="仿宋" w:eastAsia="仿宋" w:cs="仿宋"/>
          <w:color w:val="auto"/>
          <w:sz w:val="24"/>
          <w:highlight w:val="none"/>
        </w:rPr>
      </w:pPr>
    </w:p>
    <w:p w14:paraId="6E5A12C6">
      <w:pPr>
        <w:spacing w:line="360" w:lineRule="auto"/>
        <w:contextualSpacing/>
        <w:rPr>
          <w:rFonts w:ascii="仿宋" w:hAnsi="仿宋" w:eastAsia="仿宋" w:cs="仿宋"/>
          <w:color w:val="auto"/>
          <w:sz w:val="24"/>
          <w:highlight w:val="none"/>
        </w:rPr>
      </w:pPr>
    </w:p>
    <w:p w14:paraId="6F02747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6949A7D">
      <w:pPr>
        <w:spacing w:line="520" w:lineRule="exact"/>
        <w:jc w:val="center"/>
        <w:rPr>
          <w:rFonts w:ascii="仿宋" w:hAnsi="仿宋" w:eastAsia="仿宋" w:cs="仿宋"/>
          <w:color w:val="auto"/>
          <w:sz w:val="24"/>
          <w:highlight w:val="none"/>
        </w:rPr>
      </w:pPr>
    </w:p>
    <w:p w14:paraId="19330927">
      <w:pPr>
        <w:spacing w:line="520" w:lineRule="exact"/>
        <w:jc w:val="center"/>
        <w:rPr>
          <w:rFonts w:ascii="仿宋" w:hAnsi="仿宋" w:eastAsia="仿宋" w:cs="仿宋"/>
          <w:color w:val="auto"/>
          <w:sz w:val="24"/>
          <w:highlight w:val="none"/>
        </w:rPr>
      </w:pPr>
    </w:p>
    <w:p w14:paraId="0D289FFF">
      <w:pPr>
        <w:spacing w:line="520" w:lineRule="exact"/>
        <w:jc w:val="center"/>
        <w:rPr>
          <w:rFonts w:ascii="仿宋" w:hAnsi="仿宋" w:eastAsia="仿宋" w:cs="仿宋"/>
          <w:color w:val="auto"/>
          <w:sz w:val="24"/>
          <w:highlight w:val="none"/>
        </w:rPr>
      </w:pPr>
    </w:p>
    <w:p w14:paraId="72F6A85B">
      <w:pPr>
        <w:spacing w:line="520" w:lineRule="exact"/>
        <w:jc w:val="center"/>
        <w:rPr>
          <w:rFonts w:ascii="仿宋" w:hAnsi="仿宋" w:eastAsia="仿宋" w:cs="仿宋"/>
          <w:color w:val="auto"/>
          <w:sz w:val="24"/>
          <w:highlight w:val="none"/>
        </w:rPr>
      </w:pPr>
    </w:p>
    <w:p w14:paraId="6CDF5F12">
      <w:pPr>
        <w:spacing w:line="520" w:lineRule="exact"/>
        <w:jc w:val="center"/>
        <w:rPr>
          <w:rFonts w:ascii="仿宋" w:hAnsi="仿宋" w:eastAsia="仿宋" w:cs="仿宋"/>
          <w:color w:val="auto"/>
          <w:sz w:val="24"/>
          <w:highlight w:val="none"/>
        </w:rPr>
      </w:pPr>
    </w:p>
    <w:p w14:paraId="646862E0">
      <w:pPr>
        <w:spacing w:line="520" w:lineRule="exact"/>
        <w:jc w:val="center"/>
        <w:rPr>
          <w:rFonts w:ascii="仿宋" w:hAnsi="仿宋" w:eastAsia="仿宋" w:cs="仿宋"/>
          <w:color w:val="auto"/>
          <w:sz w:val="24"/>
          <w:highlight w:val="none"/>
        </w:rPr>
      </w:pPr>
    </w:p>
    <w:p w14:paraId="5FC5D482">
      <w:pPr>
        <w:spacing w:line="520" w:lineRule="exact"/>
        <w:jc w:val="center"/>
        <w:rPr>
          <w:rFonts w:ascii="仿宋" w:hAnsi="仿宋" w:eastAsia="仿宋" w:cs="仿宋"/>
          <w:color w:val="auto"/>
          <w:sz w:val="24"/>
          <w:highlight w:val="none"/>
        </w:rPr>
      </w:pPr>
    </w:p>
    <w:p w14:paraId="0B0F3629">
      <w:pPr>
        <w:spacing w:line="52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监狱企业证明</w:t>
      </w:r>
    </w:p>
    <w:p w14:paraId="4E0B3477">
      <w:pPr>
        <w:spacing w:line="520" w:lineRule="exact"/>
        <w:ind w:firstLine="480" w:firstLineChars="200"/>
        <w:jc w:val="left"/>
        <w:rPr>
          <w:rFonts w:ascii="仿宋" w:hAnsi="仿宋" w:eastAsia="仿宋" w:cs="仿宋"/>
          <w:color w:val="auto"/>
          <w:sz w:val="24"/>
          <w:highlight w:val="none"/>
        </w:rPr>
      </w:pPr>
    </w:p>
    <w:p w14:paraId="06C0C6E7">
      <w:pPr>
        <w:spacing w:line="5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提供由省级以上监狱管理局、戒毒管理局（含新疆生产建设兵团）出具的属于监狱企业的证明文件。</w:t>
      </w:r>
    </w:p>
    <w:p w14:paraId="0C5768A0">
      <w:pPr>
        <w:spacing w:line="520" w:lineRule="exact"/>
        <w:jc w:val="center"/>
        <w:rPr>
          <w:rFonts w:ascii="仿宋" w:hAnsi="仿宋" w:eastAsia="仿宋" w:cs="仿宋"/>
          <w:color w:val="auto"/>
          <w:sz w:val="24"/>
          <w:highlight w:val="none"/>
        </w:rPr>
      </w:pPr>
    </w:p>
    <w:p w14:paraId="44437B76">
      <w:pPr>
        <w:spacing w:line="360" w:lineRule="auto"/>
        <w:jc w:val="center"/>
        <w:rPr>
          <w:rFonts w:ascii="仿宋" w:hAnsi="仿宋" w:eastAsia="仿宋" w:cs="仿宋"/>
          <w:b/>
          <w:bCs/>
          <w:color w:val="auto"/>
          <w:sz w:val="44"/>
          <w:szCs w:val="44"/>
          <w:highlight w:val="none"/>
        </w:rPr>
      </w:pPr>
    </w:p>
    <w:p w14:paraId="6CECEFFC">
      <w:pPr>
        <w:spacing w:line="360" w:lineRule="auto"/>
        <w:ind w:firstLine="4320" w:firstLineChars="18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7E92C944">
      <w:pPr>
        <w:spacing w:line="360" w:lineRule="auto"/>
        <w:ind w:firstLine="4320" w:firstLineChars="18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1A8D9C9">
      <w:pPr>
        <w:spacing w:line="520" w:lineRule="exact"/>
        <w:jc w:val="center"/>
        <w:rPr>
          <w:rFonts w:ascii="仿宋" w:hAnsi="仿宋" w:eastAsia="仿宋" w:cs="仿宋"/>
          <w:color w:val="auto"/>
          <w:sz w:val="24"/>
          <w:highlight w:val="none"/>
        </w:rPr>
      </w:pPr>
    </w:p>
    <w:p w14:paraId="66905943">
      <w:pPr>
        <w:spacing w:line="520" w:lineRule="exact"/>
        <w:jc w:val="center"/>
        <w:rPr>
          <w:rFonts w:ascii="仿宋" w:hAnsi="仿宋" w:eastAsia="仿宋" w:cs="仿宋"/>
          <w:color w:val="auto"/>
          <w:sz w:val="24"/>
          <w:highlight w:val="none"/>
        </w:rPr>
      </w:pPr>
    </w:p>
    <w:p w14:paraId="51A5A505">
      <w:pPr>
        <w:spacing w:line="520" w:lineRule="exact"/>
        <w:jc w:val="center"/>
        <w:rPr>
          <w:rFonts w:ascii="仿宋" w:hAnsi="仿宋" w:eastAsia="仿宋" w:cs="仿宋"/>
          <w:color w:val="auto"/>
          <w:sz w:val="24"/>
          <w:highlight w:val="none"/>
        </w:rPr>
      </w:pPr>
    </w:p>
    <w:p w14:paraId="2E751A01">
      <w:pPr>
        <w:spacing w:line="520" w:lineRule="exact"/>
        <w:jc w:val="center"/>
        <w:rPr>
          <w:rFonts w:ascii="仿宋" w:hAnsi="仿宋" w:eastAsia="仿宋" w:cs="仿宋"/>
          <w:color w:val="auto"/>
          <w:sz w:val="24"/>
          <w:highlight w:val="none"/>
        </w:rPr>
      </w:pPr>
    </w:p>
    <w:p w14:paraId="2E858838">
      <w:pPr>
        <w:spacing w:line="520" w:lineRule="exact"/>
        <w:jc w:val="center"/>
        <w:rPr>
          <w:rFonts w:ascii="仿宋" w:hAnsi="仿宋" w:eastAsia="仿宋" w:cs="仿宋"/>
          <w:color w:val="auto"/>
          <w:sz w:val="24"/>
          <w:highlight w:val="none"/>
        </w:rPr>
      </w:pPr>
    </w:p>
    <w:p w14:paraId="56CB62FE">
      <w:pPr>
        <w:spacing w:line="520" w:lineRule="exact"/>
        <w:jc w:val="center"/>
        <w:rPr>
          <w:rFonts w:ascii="仿宋" w:hAnsi="仿宋" w:eastAsia="仿宋" w:cs="仿宋"/>
          <w:color w:val="auto"/>
          <w:sz w:val="24"/>
          <w:highlight w:val="none"/>
        </w:rPr>
      </w:pPr>
    </w:p>
    <w:p w14:paraId="0BB4998D">
      <w:pPr>
        <w:spacing w:line="520" w:lineRule="exact"/>
        <w:jc w:val="center"/>
        <w:rPr>
          <w:rFonts w:ascii="仿宋" w:hAnsi="仿宋" w:eastAsia="仿宋" w:cs="仿宋"/>
          <w:color w:val="auto"/>
          <w:sz w:val="24"/>
          <w:highlight w:val="none"/>
        </w:rPr>
      </w:pPr>
    </w:p>
    <w:p w14:paraId="6354C037">
      <w:pPr>
        <w:spacing w:line="520" w:lineRule="exact"/>
        <w:jc w:val="center"/>
        <w:rPr>
          <w:rFonts w:ascii="仿宋" w:hAnsi="仿宋" w:eastAsia="仿宋" w:cs="仿宋"/>
          <w:color w:val="auto"/>
          <w:sz w:val="24"/>
          <w:highlight w:val="none"/>
        </w:rPr>
      </w:pPr>
    </w:p>
    <w:p w14:paraId="7D317BAE">
      <w:pPr>
        <w:spacing w:line="520" w:lineRule="exact"/>
        <w:jc w:val="center"/>
        <w:rPr>
          <w:rFonts w:ascii="仿宋" w:hAnsi="仿宋" w:eastAsia="仿宋" w:cs="仿宋"/>
          <w:color w:val="auto"/>
          <w:sz w:val="24"/>
          <w:highlight w:val="none"/>
        </w:rPr>
      </w:pPr>
    </w:p>
    <w:p w14:paraId="6B13E665">
      <w:pPr>
        <w:spacing w:line="360" w:lineRule="auto"/>
        <w:jc w:val="center"/>
        <w:rPr>
          <w:rFonts w:ascii="仿宋" w:hAnsi="仿宋" w:eastAsia="仿宋" w:cs="仿宋"/>
          <w:b/>
          <w:bCs/>
          <w:color w:val="auto"/>
          <w:sz w:val="44"/>
          <w:szCs w:val="44"/>
          <w:highlight w:val="none"/>
        </w:rPr>
      </w:pPr>
    </w:p>
    <w:p w14:paraId="743F395C">
      <w:pPr>
        <w:spacing w:line="360" w:lineRule="auto"/>
        <w:jc w:val="center"/>
        <w:rPr>
          <w:rFonts w:ascii="仿宋" w:hAnsi="仿宋" w:eastAsia="仿宋" w:cs="仿宋"/>
          <w:b/>
          <w:bCs/>
          <w:color w:val="auto"/>
          <w:sz w:val="44"/>
          <w:szCs w:val="44"/>
          <w:highlight w:val="none"/>
        </w:rPr>
      </w:pPr>
    </w:p>
    <w:p w14:paraId="11E1961B">
      <w:pPr>
        <w:spacing w:line="360" w:lineRule="auto"/>
        <w:jc w:val="center"/>
        <w:rPr>
          <w:rFonts w:ascii="仿宋" w:hAnsi="仿宋" w:eastAsia="仿宋" w:cs="仿宋"/>
          <w:b/>
          <w:bCs/>
          <w:color w:val="auto"/>
          <w:sz w:val="44"/>
          <w:szCs w:val="44"/>
          <w:highlight w:val="none"/>
        </w:rPr>
      </w:pPr>
    </w:p>
    <w:p w14:paraId="70E332F2">
      <w:pPr>
        <w:spacing w:line="360" w:lineRule="auto"/>
        <w:jc w:val="center"/>
        <w:rPr>
          <w:rFonts w:ascii="仿宋" w:hAnsi="仿宋" w:eastAsia="仿宋" w:cs="仿宋"/>
          <w:b/>
          <w:bCs/>
          <w:color w:val="auto"/>
          <w:sz w:val="44"/>
          <w:szCs w:val="44"/>
          <w:highlight w:val="none"/>
        </w:rPr>
      </w:pPr>
    </w:p>
    <w:p w14:paraId="6747F8F4">
      <w:pPr>
        <w:spacing w:line="360" w:lineRule="auto"/>
        <w:jc w:val="center"/>
        <w:rPr>
          <w:rFonts w:ascii="仿宋" w:hAnsi="仿宋" w:eastAsia="仿宋" w:cs="仿宋"/>
          <w:b/>
          <w:bCs/>
          <w:color w:val="auto"/>
          <w:sz w:val="44"/>
          <w:szCs w:val="44"/>
          <w:highlight w:val="none"/>
        </w:rPr>
      </w:pPr>
    </w:p>
    <w:p w14:paraId="162D6EF7">
      <w:pPr>
        <w:spacing w:line="360" w:lineRule="auto"/>
        <w:jc w:val="center"/>
        <w:rPr>
          <w:rFonts w:ascii="仿宋" w:hAnsi="仿宋" w:eastAsia="仿宋" w:cs="仿宋"/>
          <w:b/>
          <w:bCs/>
          <w:color w:val="auto"/>
          <w:sz w:val="44"/>
          <w:szCs w:val="44"/>
          <w:highlight w:val="none"/>
        </w:rPr>
      </w:pPr>
    </w:p>
    <w:p w14:paraId="234C951B">
      <w:pPr>
        <w:pStyle w:val="2"/>
        <w:jc w:val="center"/>
        <w:rPr>
          <w:rFonts w:ascii="仿宋" w:hAnsi="仿宋" w:eastAsia="仿宋" w:cs="仿宋"/>
          <w:b/>
          <w:bCs/>
          <w:color w:val="auto"/>
          <w:highlight w:val="none"/>
        </w:rPr>
      </w:pPr>
    </w:p>
    <w:p w14:paraId="02DDF639">
      <w:pPr>
        <w:pStyle w:val="2"/>
        <w:jc w:val="center"/>
        <w:rPr>
          <w:rFonts w:ascii="仿宋" w:hAnsi="仿宋" w:eastAsia="仿宋" w:cs="仿宋"/>
          <w:b/>
          <w:bCs/>
          <w:color w:val="auto"/>
          <w:highlight w:val="none"/>
        </w:rPr>
      </w:pPr>
    </w:p>
    <w:p w14:paraId="77B44B05">
      <w:pPr>
        <w:pStyle w:val="2"/>
        <w:jc w:val="center"/>
        <w:rPr>
          <w:rFonts w:ascii="仿宋" w:hAnsi="仿宋" w:eastAsia="仿宋" w:cs="仿宋"/>
          <w:b/>
          <w:bCs/>
          <w:color w:val="auto"/>
          <w:highlight w:val="none"/>
        </w:rPr>
      </w:pPr>
    </w:p>
    <w:p w14:paraId="48979394">
      <w:pPr>
        <w:pStyle w:val="2"/>
        <w:spacing w:before="0" w:after="0" w:line="360" w:lineRule="auto"/>
        <w:jc w:val="center"/>
        <w:rPr>
          <w:rFonts w:ascii="仿宋" w:hAnsi="仿宋" w:eastAsia="仿宋" w:cs="仿宋"/>
          <w:color w:val="auto"/>
          <w:sz w:val="24"/>
          <w:highlight w:val="none"/>
          <w:u w:val="single"/>
        </w:rPr>
      </w:pPr>
      <w:bookmarkStart w:id="88" w:name="_Toc14728"/>
      <w:bookmarkStart w:id="89" w:name="_Toc10949"/>
      <w:r>
        <w:rPr>
          <w:rFonts w:hint="eastAsia" w:ascii="仿宋" w:hAnsi="仿宋" w:eastAsia="仿宋" w:cs="仿宋"/>
          <w:b/>
          <w:bCs/>
          <w:color w:val="auto"/>
          <w:sz w:val="32"/>
          <w:szCs w:val="32"/>
          <w:highlight w:val="none"/>
        </w:rPr>
        <w:t>第六章  合同文本</w:t>
      </w:r>
      <w:r>
        <w:rPr>
          <w:rFonts w:hint="eastAsia" w:ascii="仿宋" w:hAnsi="仿宋" w:eastAsia="仿宋" w:cs="仿宋"/>
          <w:b/>
          <w:bCs/>
          <w:color w:val="auto"/>
          <w:highlight w:val="none"/>
        </w:rPr>
        <w:br w:type="page"/>
      </w:r>
      <w:bookmarkEnd w:id="88"/>
      <w:bookmarkEnd w:id="89"/>
    </w:p>
    <w:p w14:paraId="19786D17">
      <w:pPr>
        <w:spacing w:line="360" w:lineRule="auto"/>
        <w:jc w:val="center"/>
        <w:rPr>
          <w:rFonts w:ascii="仿宋" w:hAnsi="仿宋" w:eastAsia="仿宋" w:cs="仿宋"/>
          <w:b/>
          <w:bCs/>
          <w:color w:val="auto"/>
          <w:sz w:val="52"/>
          <w:highlight w:val="none"/>
        </w:rPr>
      </w:pPr>
    </w:p>
    <w:p w14:paraId="4FC6E938">
      <w:pPr>
        <w:pStyle w:val="5"/>
        <w:rPr>
          <w:color w:val="auto"/>
          <w:highlight w:val="none"/>
        </w:rPr>
      </w:pPr>
    </w:p>
    <w:p w14:paraId="7E54406F">
      <w:pPr>
        <w:spacing w:line="360" w:lineRule="auto"/>
        <w:jc w:val="center"/>
        <w:rPr>
          <w:rFonts w:ascii="仿宋" w:hAnsi="仿宋" w:eastAsia="仿宋" w:cs="仿宋"/>
          <w:b/>
          <w:bCs/>
          <w:color w:val="auto"/>
          <w:sz w:val="52"/>
          <w:highlight w:val="none"/>
        </w:rPr>
      </w:pPr>
      <w:r>
        <w:rPr>
          <w:rFonts w:hint="eastAsia" w:ascii="仿宋" w:hAnsi="仿宋" w:eastAsia="仿宋" w:cs="仿宋"/>
          <w:b/>
          <w:bCs/>
          <w:color w:val="auto"/>
          <w:sz w:val="52"/>
          <w:highlight w:val="none"/>
        </w:rPr>
        <w:t>梧 州 市 政 府 采 购</w:t>
      </w:r>
    </w:p>
    <w:p w14:paraId="64081E97">
      <w:pPr>
        <w:spacing w:line="360" w:lineRule="auto"/>
        <w:jc w:val="center"/>
        <w:rPr>
          <w:rFonts w:ascii="仿宋" w:hAnsi="仿宋" w:eastAsia="仿宋" w:cs="仿宋"/>
          <w:b/>
          <w:bCs/>
          <w:color w:val="auto"/>
          <w:sz w:val="52"/>
          <w:highlight w:val="none"/>
        </w:rPr>
      </w:pPr>
    </w:p>
    <w:p w14:paraId="6C5F969B">
      <w:pPr>
        <w:spacing w:line="360" w:lineRule="auto"/>
        <w:ind w:firstLine="420" w:firstLineChars="200"/>
        <w:rPr>
          <w:rFonts w:ascii="仿宋" w:hAnsi="仿宋" w:eastAsia="仿宋" w:cs="仿宋"/>
          <w:color w:val="auto"/>
          <w:highlight w:val="none"/>
        </w:rPr>
      </w:pPr>
    </w:p>
    <w:p w14:paraId="7E09D749">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                                                 </w:t>
      </w:r>
    </w:p>
    <w:p w14:paraId="1D97AAEC">
      <w:pPr>
        <w:spacing w:line="360" w:lineRule="auto"/>
        <w:jc w:val="center"/>
        <w:rPr>
          <w:rFonts w:ascii="仿宋" w:hAnsi="仿宋" w:eastAsia="仿宋" w:cs="仿宋"/>
          <w:b/>
          <w:bCs/>
          <w:color w:val="auto"/>
          <w:sz w:val="44"/>
          <w:highlight w:val="none"/>
        </w:rPr>
      </w:pPr>
      <w:r>
        <w:rPr>
          <w:rFonts w:hint="eastAsia" w:ascii="仿宋" w:hAnsi="仿宋" w:eastAsia="仿宋" w:cs="仿宋"/>
          <w:b/>
          <w:bCs/>
          <w:color w:val="auto"/>
          <w:sz w:val="44"/>
          <w:highlight w:val="none"/>
          <w:u w:val="single"/>
        </w:rPr>
        <w:t xml:space="preserve">         （项目名称）         </w:t>
      </w:r>
      <w:r>
        <w:rPr>
          <w:rFonts w:hint="eastAsia" w:ascii="仿宋" w:hAnsi="仿宋" w:eastAsia="仿宋" w:cs="仿宋"/>
          <w:b/>
          <w:bCs/>
          <w:color w:val="auto"/>
          <w:sz w:val="44"/>
          <w:highlight w:val="none"/>
        </w:rPr>
        <w:t>合同</w:t>
      </w:r>
    </w:p>
    <w:p w14:paraId="1993BC9B">
      <w:pPr>
        <w:spacing w:line="360" w:lineRule="auto"/>
        <w:jc w:val="center"/>
        <w:rPr>
          <w:rFonts w:ascii="仿宋" w:hAnsi="仿宋" w:eastAsia="仿宋" w:cs="仿宋"/>
          <w:b/>
          <w:bCs/>
          <w:color w:val="auto"/>
          <w:sz w:val="44"/>
          <w:highlight w:val="none"/>
        </w:rPr>
      </w:pPr>
    </w:p>
    <w:p w14:paraId="627011CA">
      <w:pPr>
        <w:spacing w:line="360" w:lineRule="auto"/>
        <w:ind w:firstLine="3507" w:firstLineChars="794"/>
        <w:rPr>
          <w:rFonts w:ascii="仿宋" w:hAnsi="仿宋" w:eastAsia="仿宋" w:cs="仿宋"/>
          <w:b/>
          <w:bCs/>
          <w:color w:val="auto"/>
          <w:sz w:val="44"/>
          <w:highlight w:val="none"/>
        </w:rPr>
      </w:pPr>
    </w:p>
    <w:p w14:paraId="602DC9ED">
      <w:pPr>
        <w:spacing w:line="360" w:lineRule="auto"/>
        <w:ind w:firstLine="3507" w:firstLineChars="794"/>
        <w:rPr>
          <w:rFonts w:ascii="仿宋" w:hAnsi="仿宋" w:eastAsia="仿宋" w:cs="仿宋"/>
          <w:b/>
          <w:bCs/>
          <w:color w:val="auto"/>
          <w:sz w:val="44"/>
          <w:highlight w:val="none"/>
        </w:rPr>
      </w:pPr>
    </w:p>
    <w:p w14:paraId="57907D7F">
      <w:pPr>
        <w:ind w:firstLine="1995" w:firstLineChars="552"/>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采购项目编号：</w:t>
      </w:r>
      <w:r>
        <w:rPr>
          <w:rFonts w:hint="eastAsia" w:ascii="仿宋" w:hAnsi="仿宋" w:eastAsia="仿宋" w:cs="仿宋"/>
          <w:b/>
          <w:color w:val="auto"/>
          <w:sz w:val="36"/>
          <w:szCs w:val="36"/>
          <w:highlight w:val="none"/>
          <w:u w:val="single"/>
        </w:rPr>
        <w:t xml:space="preserve">                     </w:t>
      </w:r>
    </w:p>
    <w:p w14:paraId="62D2AC79">
      <w:pPr>
        <w:ind w:firstLine="1995" w:firstLineChars="552"/>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采购计划编号：</w:t>
      </w:r>
      <w:r>
        <w:rPr>
          <w:rFonts w:hint="eastAsia" w:ascii="仿宋" w:hAnsi="仿宋" w:eastAsia="仿宋" w:cs="仿宋"/>
          <w:b/>
          <w:color w:val="auto"/>
          <w:sz w:val="36"/>
          <w:szCs w:val="36"/>
          <w:highlight w:val="none"/>
          <w:u w:val="single"/>
        </w:rPr>
        <w:t xml:space="preserve">                     </w:t>
      </w:r>
    </w:p>
    <w:p w14:paraId="640B976C">
      <w:pPr>
        <w:ind w:firstLine="1308" w:firstLineChars="545"/>
        <w:rPr>
          <w:rFonts w:ascii="仿宋" w:hAnsi="仿宋" w:eastAsia="仿宋" w:cs="仿宋"/>
          <w:color w:val="auto"/>
          <w:sz w:val="24"/>
          <w:highlight w:val="none"/>
        </w:rPr>
      </w:pPr>
    </w:p>
    <w:p w14:paraId="3840BFD7">
      <w:pPr>
        <w:ind w:firstLine="1995" w:firstLineChars="552"/>
        <w:rPr>
          <w:rFonts w:ascii="仿宋" w:hAnsi="仿宋" w:eastAsia="仿宋" w:cs="仿宋"/>
          <w:b/>
          <w:color w:val="auto"/>
          <w:sz w:val="36"/>
          <w:szCs w:val="36"/>
          <w:highlight w:val="none"/>
          <w:u w:val="single"/>
        </w:rPr>
      </w:pPr>
    </w:p>
    <w:p w14:paraId="0452EA1A">
      <w:pPr>
        <w:ind w:firstLine="1995" w:firstLineChars="552"/>
        <w:rPr>
          <w:rFonts w:ascii="仿宋" w:hAnsi="仿宋" w:eastAsia="仿宋" w:cs="仿宋"/>
          <w:b/>
          <w:color w:val="auto"/>
          <w:sz w:val="36"/>
          <w:szCs w:val="36"/>
          <w:highlight w:val="none"/>
          <w:u w:val="single"/>
        </w:rPr>
      </w:pPr>
    </w:p>
    <w:p w14:paraId="02A8A594">
      <w:pPr>
        <w:tabs>
          <w:tab w:val="left" w:pos="7200"/>
        </w:tabs>
        <w:spacing w:line="360" w:lineRule="auto"/>
        <w:ind w:firstLine="1995" w:firstLineChars="552"/>
        <w:rPr>
          <w:rFonts w:ascii="仿宋" w:hAnsi="仿宋" w:eastAsia="仿宋" w:cs="仿宋"/>
          <w:b/>
          <w:color w:val="auto"/>
          <w:sz w:val="36"/>
          <w:szCs w:val="36"/>
          <w:highlight w:val="none"/>
          <w:u w:val="single"/>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u w:val="single"/>
        </w:rPr>
        <w:t xml:space="preserve">                       </w:t>
      </w:r>
    </w:p>
    <w:p w14:paraId="4E74E4D0">
      <w:pPr>
        <w:tabs>
          <w:tab w:val="left" w:pos="7380"/>
        </w:tabs>
        <w:spacing w:line="360" w:lineRule="auto"/>
        <w:ind w:firstLine="1995" w:firstLineChars="552"/>
        <w:rPr>
          <w:rFonts w:ascii="仿宋" w:hAnsi="仿宋" w:eastAsia="仿宋" w:cs="仿宋"/>
          <w:b/>
          <w:bCs/>
          <w:color w:val="auto"/>
          <w:sz w:val="44"/>
          <w:highlight w:val="none"/>
        </w:rPr>
      </w:pPr>
      <w:r>
        <w:rPr>
          <w:rFonts w:hint="eastAsia" w:ascii="仿宋" w:hAnsi="仿宋" w:eastAsia="仿宋" w:cs="仿宋"/>
          <w:b/>
          <w:color w:val="auto"/>
          <w:sz w:val="36"/>
          <w:szCs w:val="36"/>
          <w:highlight w:val="none"/>
        </w:rPr>
        <w:t>成交供应商：</w:t>
      </w:r>
      <w:r>
        <w:rPr>
          <w:rFonts w:hint="eastAsia" w:ascii="仿宋" w:hAnsi="仿宋" w:eastAsia="仿宋" w:cs="仿宋"/>
          <w:b/>
          <w:color w:val="auto"/>
          <w:sz w:val="36"/>
          <w:szCs w:val="36"/>
          <w:highlight w:val="none"/>
          <w:u w:val="single"/>
        </w:rPr>
        <w:t xml:space="preserve">                   </w:t>
      </w:r>
    </w:p>
    <w:p w14:paraId="3CE2AA6D">
      <w:pPr>
        <w:tabs>
          <w:tab w:val="left" w:pos="7380"/>
        </w:tabs>
        <w:spacing w:line="360" w:lineRule="auto"/>
        <w:rPr>
          <w:rFonts w:ascii="仿宋" w:hAnsi="仿宋" w:eastAsia="仿宋" w:cs="仿宋"/>
          <w:b/>
          <w:bCs/>
          <w:color w:val="auto"/>
          <w:sz w:val="44"/>
          <w:highlight w:val="none"/>
        </w:rPr>
      </w:pPr>
    </w:p>
    <w:p w14:paraId="4787E009">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44"/>
          <w:highlight w:val="none"/>
        </w:rPr>
        <w:br w:type="page"/>
      </w:r>
      <w:r>
        <w:rPr>
          <w:rFonts w:hint="eastAsia" w:ascii="仿宋" w:hAnsi="仿宋" w:eastAsia="仿宋" w:cs="仿宋"/>
          <w:b/>
          <w:bCs/>
          <w:color w:val="auto"/>
          <w:sz w:val="28"/>
          <w:szCs w:val="28"/>
          <w:highlight w:val="none"/>
        </w:rPr>
        <w:t>政府采购合同使用说明</w:t>
      </w:r>
    </w:p>
    <w:p w14:paraId="02995817">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pacing w:val="12"/>
          <w:sz w:val="24"/>
          <w:highlight w:val="none"/>
        </w:rPr>
        <w:t>（一般货物类）</w:t>
      </w:r>
    </w:p>
    <w:p w14:paraId="0D3F97A4">
      <w:pPr>
        <w:spacing w:line="360" w:lineRule="exact"/>
        <w:ind w:firstLine="476" w:firstLineChars="200"/>
        <w:rPr>
          <w:rFonts w:ascii="仿宋" w:hAnsi="仿宋" w:eastAsia="仿宋" w:cs="仿宋"/>
          <w:color w:val="auto"/>
          <w:sz w:val="24"/>
          <w:highlight w:val="none"/>
        </w:rPr>
      </w:pPr>
      <w:r>
        <w:rPr>
          <w:rFonts w:hint="eastAsia" w:ascii="仿宋" w:hAnsi="仿宋" w:eastAsia="仿宋" w:cs="仿宋"/>
          <w:color w:val="auto"/>
          <w:spacing w:val="-1"/>
          <w:sz w:val="24"/>
          <w:highlight w:val="none"/>
        </w:rPr>
        <w:t>《政府</w:t>
      </w:r>
      <w:r>
        <w:rPr>
          <w:rFonts w:hint="eastAsia" w:ascii="仿宋" w:hAnsi="仿宋" w:eastAsia="仿宋" w:cs="仿宋"/>
          <w:color w:val="auto"/>
          <w:sz w:val="24"/>
          <w:highlight w:val="none"/>
        </w:rPr>
        <w:t>采购合同》是对竞争性谈判文件规定或者响应文件承诺中的货物和服务要约事项</w:t>
      </w:r>
      <w:r>
        <w:rPr>
          <w:rFonts w:hint="eastAsia" w:ascii="仿宋" w:hAnsi="仿宋" w:eastAsia="仿宋" w:cs="仿宋"/>
          <w:color w:val="auto"/>
          <w:spacing w:val="-6"/>
          <w:sz w:val="24"/>
          <w:highlight w:val="none"/>
        </w:rPr>
        <w:t>的细化和补充，所签</w:t>
      </w:r>
      <w:r>
        <w:rPr>
          <w:rFonts w:hint="eastAsia" w:ascii="仿宋" w:hAnsi="仿宋" w:eastAsia="仿宋" w:cs="仿宋"/>
          <w:color w:val="auto"/>
          <w:spacing w:val="-5"/>
          <w:sz w:val="24"/>
          <w:highlight w:val="none"/>
        </w:rPr>
        <w:t>订</w:t>
      </w:r>
      <w:r>
        <w:rPr>
          <w:rFonts w:hint="eastAsia" w:ascii="仿宋" w:hAnsi="仿宋" w:eastAsia="仿宋" w:cs="仿宋"/>
          <w:color w:val="auto"/>
          <w:spacing w:val="-3"/>
          <w:sz w:val="24"/>
          <w:highlight w:val="none"/>
        </w:rPr>
        <w:t>的合同不得对竞争性谈判文件和成交供应商响应文件作实质性修改；</w:t>
      </w:r>
      <w:r>
        <w:rPr>
          <w:rFonts w:hint="eastAsia" w:ascii="仿宋" w:hAnsi="仿宋" w:eastAsia="仿宋" w:cs="仿宋"/>
          <w:color w:val="auto"/>
          <w:spacing w:val="-1"/>
          <w:sz w:val="24"/>
          <w:highlight w:val="none"/>
        </w:rPr>
        <w:t>采</w:t>
      </w:r>
      <w:r>
        <w:rPr>
          <w:rFonts w:hint="eastAsia" w:ascii="仿宋" w:hAnsi="仿宋" w:eastAsia="仿宋" w:cs="仿宋"/>
          <w:color w:val="auto"/>
          <w:sz w:val="24"/>
          <w:highlight w:val="none"/>
        </w:rPr>
        <w:t>购活动过程中有关项目标的性状的重要澄清和承诺事项必须在合同相应条款中予以明确表</w:t>
      </w:r>
      <w:r>
        <w:rPr>
          <w:rFonts w:hint="eastAsia" w:ascii="仿宋" w:hAnsi="仿宋" w:eastAsia="仿宋" w:cs="仿宋"/>
          <w:color w:val="auto"/>
          <w:spacing w:val="-4"/>
          <w:sz w:val="24"/>
          <w:highlight w:val="none"/>
        </w:rPr>
        <w:t>达。采购人和成交供应商不</w:t>
      </w:r>
      <w:r>
        <w:rPr>
          <w:rFonts w:hint="eastAsia" w:ascii="仿宋" w:hAnsi="仿宋" w:eastAsia="仿宋" w:cs="仿宋"/>
          <w:color w:val="auto"/>
          <w:spacing w:val="-2"/>
          <w:sz w:val="24"/>
          <w:highlight w:val="none"/>
        </w:rPr>
        <w:t>得提出任何不合理的要求作为签订合同的条件；不得私下订立背</w:t>
      </w:r>
      <w:r>
        <w:rPr>
          <w:rFonts w:hint="eastAsia" w:ascii="仿宋" w:hAnsi="仿宋" w:eastAsia="仿宋" w:cs="仿宋"/>
          <w:color w:val="auto"/>
          <w:spacing w:val="-1"/>
          <w:sz w:val="24"/>
          <w:highlight w:val="none"/>
        </w:rPr>
        <w:t>离竞争</w:t>
      </w:r>
      <w:r>
        <w:rPr>
          <w:rFonts w:hint="eastAsia" w:ascii="仿宋" w:hAnsi="仿宋" w:eastAsia="仿宋" w:cs="仿宋"/>
          <w:color w:val="auto"/>
          <w:sz w:val="24"/>
          <w:highlight w:val="none"/>
        </w:rPr>
        <w:t>性谈判文件实质性内容的协议。</w:t>
      </w:r>
    </w:p>
    <w:p w14:paraId="1F57EA78">
      <w:pPr>
        <w:spacing w:line="360" w:lineRule="exact"/>
        <w:ind w:firstLine="476" w:firstLineChars="200"/>
        <w:rPr>
          <w:rFonts w:ascii="仿宋" w:hAnsi="仿宋" w:eastAsia="仿宋" w:cs="仿宋"/>
          <w:color w:val="auto"/>
          <w:sz w:val="24"/>
          <w:highlight w:val="none"/>
        </w:rPr>
      </w:pPr>
      <w:r>
        <w:rPr>
          <w:rFonts w:hint="eastAsia" w:ascii="仿宋" w:hAnsi="仿宋" w:eastAsia="仿宋" w:cs="仿宋"/>
          <w:color w:val="auto"/>
          <w:spacing w:val="-1"/>
          <w:sz w:val="24"/>
          <w:highlight w:val="none"/>
        </w:rPr>
        <w:t>一</w:t>
      </w:r>
      <w:r>
        <w:rPr>
          <w:rFonts w:hint="eastAsia" w:ascii="仿宋" w:hAnsi="仿宋" w:eastAsia="仿宋" w:cs="仿宋"/>
          <w:color w:val="auto"/>
          <w:sz w:val="24"/>
          <w:highlight w:val="none"/>
        </w:rPr>
        <w:t>、本合同适用范围</w:t>
      </w:r>
    </w:p>
    <w:p w14:paraId="07EF59DD">
      <w:pPr>
        <w:spacing w:line="360" w:lineRule="exact"/>
        <w:ind w:firstLine="476" w:firstLineChars="200"/>
        <w:rPr>
          <w:rFonts w:ascii="仿宋" w:hAnsi="仿宋" w:eastAsia="仿宋" w:cs="仿宋"/>
          <w:color w:val="auto"/>
          <w:sz w:val="24"/>
          <w:highlight w:val="none"/>
        </w:rPr>
      </w:pPr>
      <w:r>
        <w:rPr>
          <w:rFonts w:hint="eastAsia" w:ascii="仿宋" w:hAnsi="仿宋" w:eastAsia="仿宋" w:cs="仿宋"/>
          <w:color w:val="auto"/>
          <w:spacing w:val="-1"/>
          <w:sz w:val="24"/>
          <w:highlight w:val="none"/>
        </w:rPr>
        <w:t>家用电器、电子产品、教学仪器设备、医疗仪器设备、广播电视仪器设备、体</w:t>
      </w:r>
      <w:r>
        <w:rPr>
          <w:rFonts w:hint="eastAsia" w:ascii="仿宋" w:hAnsi="仿宋" w:eastAsia="仿宋" w:cs="仿宋"/>
          <w:color w:val="auto"/>
          <w:sz w:val="24"/>
          <w:highlight w:val="none"/>
        </w:rPr>
        <w:t>育器材、</w:t>
      </w:r>
      <w:r>
        <w:rPr>
          <w:rFonts w:hint="eastAsia" w:ascii="仿宋" w:hAnsi="仿宋" w:eastAsia="仿宋" w:cs="仿宋"/>
          <w:color w:val="auto"/>
          <w:spacing w:val="2"/>
          <w:sz w:val="24"/>
          <w:highlight w:val="none"/>
        </w:rPr>
        <w:t>音响乐器、药品、服装、印刷设备和印刷品等政府采购项</w:t>
      </w:r>
      <w:r>
        <w:rPr>
          <w:rFonts w:hint="eastAsia" w:ascii="仿宋" w:hAnsi="仿宋" w:eastAsia="仿宋" w:cs="仿宋"/>
          <w:color w:val="auto"/>
          <w:spacing w:val="1"/>
          <w:sz w:val="24"/>
          <w:highlight w:val="none"/>
        </w:rPr>
        <w:t>目（协议供货除外）适用于本合同。</w:t>
      </w:r>
    </w:p>
    <w:p w14:paraId="177EE096">
      <w:pPr>
        <w:spacing w:line="360" w:lineRule="exact"/>
        <w:ind w:firstLine="476" w:firstLineChars="200"/>
        <w:rPr>
          <w:rFonts w:ascii="仿宋" w:hAnsi="仿宋" w:eastAsia="仿宋" w:cs="仿宋"/>
          <w:color w:val="auto"/>
          <w:sz w:val="24"/>
          <w:highlight w:val="none"/>
        </w:rPr>
      </w:pPr>
      <w:r>
        <w:rPr>
          <w:rFonts w:hint="eastAsia" w:ascii="仿宋" w:hAnsi="仿宋" w:eastAsia="仿宋" w:cs="仿宋"/>
          <w:color w:val="auto"/>
          <w:spacing w:val="-1"/>
          <w:sz w:val="24"/>
          <w:highlight w:val="none"/>
        </w:rPr>
        <w:t>二、填写</w:t>
      </w:r>
      <w:r>
        <w:rPr>
          <w:rFonts w:hint="eastAsia" w:ascii="仿宋" w:hAnsi="仿宋" w:eastAsia="仿宋" w:cs="仿宋"/>
          <w:color w:val="auto"/>
          <w:sz w:val="24"/>
          <w:highlight w:val="none"/>
        </w:rPr>
        <w:t>说明</w:t>
      </w:r>
    </w:p>
    <w:p w14:paraId="6370FF50">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（一）合同标题：地市县使用时可在“广西壮族自治区”后再加所在地名称或者将“广西壮族自治区”删除加所在地名称。</w:t>
      </w:r>
    </w:p>
    <w:p w14:paraId="2BFD69FE">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（二）本合同划线部分所需填写内容，除以下条款特殊要求外，按竞争性谈判文件规定或者响应文件承诺的要求填写，如竞争性谈判文件规定或者响应文件承诺的没有明确，按甲乙双方商定意见填写。</w:t>
      </w:r>
    </w:p>
    <w:p w14:paraId="76106767">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（三）第一条合同标的：按表中各项目要求填写，内容填写不下时可另加附页。</w:t>
      </w:r>
    </w:p>
    <w:p w14:paraId="51CE56E8">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（四）第四条包装和运输：货物运输方式包括；汽车、火车、轮船等。</w:t>
      </w:r>
    </w:p>
    <w:p w14:paraId="47E1DA23">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（五）货物交付和验收：时间按合同签订（或者生效）后多少日（或者工作日）或者直接填X年X月X日前交货。</w:t>
      </w:r>
    </w:p>
    <w:p w14:paraId="30E073F5">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（六）第八条付款方式：资金性质按一般预算拨款、财政性基金拨款、纳入财政专户管理的收入安排的资金、未纳入财政专户管理的收入安排的资金、上年结余填写。</w:t>
      </w:r>
    </w:p>
    <w:p w14:paraId="541B01B1">
      <w:pPr>
        <w:spacing w:line="360" w:lineRule="exact"/>
        <w:ind w:firstLine="476" w:firstLineChars="200"/>
        <w:rPr>
          <w:rFonts w:ascii="仿宋" w:hAnsi="仿宋" w:eastAsia="仿宋" w:cs="仿宋"/>
          <w:color w:val="auto"/>
          <w:sz w:val="24"/>
          <w:highlight w:val="none"/>
        </w:rPr>
      </w:pPr>
      <w:r>
        <w:rPr>
          <w:rFonts w:hint="eastAsia" w:ascii="仿宋" w:hAnsi="仿宋" w:eastAsia="仿宋" w:cs="仿宋"/>
          <w:color w:val="auto"/>
          <w:spacing w:val="-1"/>
          <w:sz w:val="24"/>
          <w:highlight w:val="none"/>
        </w:rPr>
        <w:t>三</w:t>
      </w:r>
      <w:r>
        <w:rPr>
          <w:rFonts w:hint="eastAsia" w:ascii="仿宋" w:hAnsi="仿宋" w:eastAsia="仿宋" w:cs="仿宋"/>
          <w:color w:val="auto"/>
          <w:sz w:val="24"/>
          <w:highlight w:val="none"/>
        </w:rPr>
        <w:t>、有关要求</w:t>
      </w:r>
    </w:p>
    <w:p w14:paraId="6FDF01D6">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（一）各单位现使用的专业合同可作为本合同附件，但专业合同各条款必须符合竞争性谈判文件规定或者响应文件承诺的和本合同各条款要求，如发生矛盾以本合同为准。</w:t>
      </w:r>
    </w:p>
    <w:p w14:paraId="6EC6FDDE">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（二）协议供货合同应使用原文本。</w:t>
      </w:r>
    </w:p>
    <w:p w14:paraId="13C2DAC6">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（三）甲乙双方对本合同各条款均不能改动，只能在划线位置填写，如有改动视同无效合同。</w:t>
      </w:r>
    </w:p>
    <w:p w14:paraId="1CC444BB">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（四）本合同统一用A4纸打印。</w:t>
      </w:r>
    </w:p>
    <w:p w14:paraId="2B932C3A">
      <w:pPr>
        <w:spacing w:line="360" w:lineRule="exact"/>
        <w:ind w:firstLine="492" w:firstLineChars="200"/>
        <w:rPr>
          <w:rFonts w:ascii="仿宋" w:hAnsi="仿宋" w:eastAsia="仿宋" w:cs="仿宋"/>
          <w:color w:val="auto"/>
          <w:spacing w:val="3"/>
          <w:sz w:val="24"/>
          <w:highlight w:val="none"/>
        </w:rPr>
      </w:pPr>
      <w:r>
        <w:rPr>
          <w:rFonts w:hint="eastAsia" w:ascii="仿宋" w:hAnsi="仿宋" w:eastAsia="仿宋" w:cs="仿宋"/>
          <w:color w:val="auto"/>
          <w:spacing w:val="3"/>
          <w:sz w:val="24"/>
          <w:highlight w:val="none"/>
        </w:rPr>
        <w:t>（五）本合同为试行文本，采购人和成交供应商在使用过程中如发现不当之处，请及时提出建议，以便修正。</w:t>
      </w:r>
    </w:p>
    <w:p w14:paraId="27929A5D">
      <w:pPr>
        <w:spacing w:line="360" w:lineRule="exact"/>
        <w:ind w:firstLine="476" w:firstLineChars="200"/>
        <w:rPr>
          <w:rFonts w:ascii="仿宋" w:hAnsi="仿宋" w:eastAsia="仿宋" w:cs="仿宋"/>
          <w:color w:val="auto"/>
          <w:sz w:val="24"/>
          <w:highlight w:val="none"/>
        </w:rPr>
      </w:pPr>
      <w:r>
        <w:rPr>
          <w:rFonts w:hint="eastAsia" w:ascii="仿宋" w:hAnsi="仿宋" w:eastAsia="仿宋" w:cs="仿宋"/>
          <w:color w:val="auto"/>
          <w:spacing w:val="-1"/>
          <w:sz w:val="24"/>
          <w:highlight w:val="none"/>
        </w:rPr>
        <w:t>本合同各条款由广西壮族自治区财政厅政府</w:t>
      </w:r>
      <w:r>
        <w:rPr>
          <w:rFonts w:hint="eastAsia" w:ascii="仿宋" w:hAnsi="仿宋" w:eastAsia="仿宋" w:cs="仿宋"/>
          <w:color w:val="auto"/>
          <w:sz w:val="24"/>
          <w:highlight w:val="none"/>
        </w:rPr>
        <w:t>采购监督管理处负责解释。</w:t>
      </w:r>
    </w:p>
    <w:p w14:paraId="75266A2F">
      <w:pPr>
        <w:pStyle w:val="29"/>
        <w:ind w:firstLine="240"/>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《梧州市政府采购合同》文本</w:t>
      </w:r>
    </w:p>
    <w:p w14:paraId="1F6BF2D7">
      <w:pPr>
        <w:spacing w:before="68" w:line="221" w:lineRule="auto"/>
        <w:ind w:left="7165"/>
        <w:rPr>
          <w:rFonts w:ascii="仿宋" w:hAnsi="仿宋" w:eastAsia="仿宋" w:cs="仿宋"/>
          <w:color w:val="auto"/>
          <w:sz w:val="24"/>
          <w:highlight w:val="none"/>
        </w:rPr>
      </w:pPr>
      <w:r>
        <w:rPr>
          <w:rFonts w:hint="eastAsia" w:ascii="仿宋" w:hAnsi="仿宋" w:eastAsia="仿宋" w:cs="仿宋"/>
          <w:color w:val="auto"/>
          <w:spacing w:val="-7"/>
          <w:sz w:val="24"/>
          <w:highlight w:val="none"/>
        </w:rPr>
        <w:t>合</w:t>
      </w:r>
      <w:r>
        <w:rPr>
          <w:rFonts w:hint="eastAsia" w:ascii="仿宋" w:hAnsi="仿宋" w:eastAsia="仿宋" w:cs="仿宋"/>
          <w:color w:val="auto"/>
          <w:spacing w:val="-6"/>
          <w:sz w:val="24"/>
          <w:highlight w:val="none"/>
        </w:rPr>
        <w:t>同编号：</w:t>
      </w:r>
    </w:p>
    <w:p w14:paraId="1B5DF7A8">
      <w:pPr>
        <w:spacing w:before="156" w:line="361" w:lineRule="auto"/>
        <w:ind w:left="192"/>
        <w:rPr>
          <w:rFonts w:ascii="仿宋" w:hAnsi="仿宋" w:eastAsia="仿宋" w:cs="仿宋"/>
          <w:color w:val="auto"/>
          <w:sz w:val="24"/>
          <w:highlight w:val="none"/>
        </w:rPr>
      </w:pPr>
      <w:r>
        <w:rPr>
          <w:rFonts w:hint="eastAsia" w:ascii="仿宋" w:hAnsi="仿宋" w:eastAsia="仿宋" w:cs="仿宋"/>
          <w:color w:val="auto"/>
          <w:spacing w:val="11"/>
          <w:sz w:val="24"/>
          <w:highlight w:val="none"/>
        </w:rPr>
        <w:t>采购人（甲方） ：</w:t>
      </w:r>
      <w:r>
        <w:rPr>
          <w:rFonts w:hint="eastAsia" w:ascii="仿宋" w:hAnsi="仿宋" w:eastAsia="仿宋" w:cs="仿宋"/>
          <w:color w:val="auto"/>
          <w:sz w:val="24"/>
          <w:highlight w:val="none"/>
          <w:u w:val="single"/>
        </w:rPr>
        <w:t xml:space="preserve">                      </w:t>
      </w:r>
    </w:p>
    <w:p w14:paraId="228F07FE">
      <w:pPr>
        <w:spacing w:line="220" w:lineRule="auto"/>
        <w:ind w:left="193"/>
        <w:rPr>
          <w:rFonts w:ascii="仿宋" w:hAnsi="仿宋" w:eastAsia="仿宋" w:cs="仿宋"/>
          <w:color w:val="auto"/>
          <w:sz w:val="24"/>
          <w:highlight w:val="none"/>
        </w:rPr>
      </w:pPr>
      <w:r>
        <w:rPr>
          <w:rFonts w:hint="eastAsia" w:ascii="仿宋" w:hAnsi="仿宋" w:eastAsia="仿宋" w:cs="仿宋"/>
          <w:color w:val="auto"/>
          <w:spacing w:val="11"/>
          <w:sz w:val="24"/>
          <w:highlight w:val="none"/>
        </w:rPr>
        <w:t xml:space="preserve">供应商（乙方） </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u w:val="single"/>
        </w:rPr>
        <w:t xml:space="preserve">                      </w:t>
      </w:r>
    </w:p>
    <w:p w14:paraId="58252845">
      <w:pPr>
        <w:spacing w:before="156" w:line="221" w:lineRule="auto"/>
        <w:ind w:left="192"/>
        <w:rPr>
          <w:rFonts w:ascii="仿宋" w:hAnsi="仿宋" w:eastAsia="仿宋" w:cs="仿宋"/>
          <w:color w:val="auto"/>
          <w:sz w:val="24"/>
          <w:highlight w:val="none"/>
        </w:rPr>
      </w:pPr>
      <w:r>
        <w:rPr>
          <w:rFonts w:hint="eastAsia" w:ascii="仿宋" w:hAnsi="仿宋" w:eastAsia="仿宋" w:cs="仿宋"/>
          <w:color w:val="auto"/>
          <w:spacing w:val="1"/>
          <w:sz w:val="24"/>
          <w:highlight w:val="none"/>
        </w:rPr>
        <w:t>采购计划</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rPr>
        <w:t xml:space="preserve">                         </w:t>
      </w:r>
    </w:p>
    <w:p w14:paraId="58E3450A">
      <w:pPr>
        <w:spacing w:before="157" w:line="359" w:lineRule="auto"/>
        <w:ind w:left="196"/>
        <w:rPr>
          <w:rFonts w:ascii="仿宋" w:hAnsi="仿宋" w:eastAsia="仿宋" w:cs="仿宋"/>
          <w:color w:val="auto"/>
          <w:sz w:val="24"/>
          <w:highlight w:val="none"/>
        </w:rPr>
      </w:pPr>
      <w:r>
        <w:rPr>
          <w:rFonts w:hint="eastAsia" w:ascii="仿宋" w:hAnsi="仿宋" w:eastAsia="仿宋" w:cs="仿宋"/>
          <w:color w:val="auto"/>
          <w:spacing w:val="-3"/>
          <w:sz w:val="24"/>
          <w:highlight w:val="none"/>
        </w:rPr>
        <w:t>项目名称：</w:t>
      </w:r>
      <w:r>
        <w:rPr>
          <w:rFonts w:hint="eastAsia" w:ascii="仿宋" w:hAnsi="仿宋" w:eastAsia="仿宋" w:cs="仿宋"/>
          <w:color w:val="auto"/>
          <w:spacing w:val="-3"/>
          <w:sz w:val="24"/>
          <w:highlight w:val="none"/>
          <w:u w:val="single"/>
        </w:rPr>
        <w:t xml:space="preserve">                              </w:t>
      </w:r>
      <w:r>
        <w:rPr>
          <w:rFonts w:hint="eastAsia" w:ascii="仿宋" w:hAnsi="仿宋" w:eastAsia="仿宋" w:cs="仿宋"/>
          <w:color w:val="auto"/>
          <w:spacing w:val="-3"/>
          <w:sz w:val="24"/>
          <w:highlight w:val="none"/>
        </w:rPr>
        <w:t>项目编</w:t>
      </w:r>
      <w:r>
        <w:rPr>
          <w:rFonts w:hint="eastAsia" w:ascii="仿宋" w:hAnsi="仿宋" w:eastAsia="仿宋" w:cs="仿宋"/>
          <w:color w:val="auto"/>
          <w:spacing w:val="-1"/>
          <w:sz w:val="24"/>
          <w:highlight w:val="none"/>
        </w:rPr>
        <w:t>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D8727DE">
      <w:pPr>
        <w:spacing w:line="223" w:lineRule="auto"/>
        <w:ind w:left="193"/>
        <w:rPr>
          <w:rFonts w:ascii="仿宋" w:hAnsi="仿宋" w:eastAsia="仿宋" w:cs="仿宋"/>
          <w:color w:val="auto"/>
          <w:sz w:val="24"/>
          <w:highlight w:val="none"/>
        </w:rPr>
      </w:pPr>
      <w:r>
        <w:rPr>
          <w:rFonts w:hint="eastAsia" w:ascii="仿宋" w:hAnsi="仿宋" w:eastAsia="仿宋" w:cs="仿宋"/>
          <w:color w:val="auto"/>
          <w:spacing w:val="-4"/>
          <w:sz w:val="24"/>
          <w:highlight w:val="none"/>
        </w:rPr>
        <w:t>签订地点：</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签订时间：</w:t>
      </w:r>
      <w:r>
        <w:rPr>
          <w:rFonts w:hint="eastAsia" w:ascii="仿宋" w:hAnsi="仿宋" w:eastAsia="仿宋" w:cs="仿宋"/>
          <w:color w:val="auto"/>
          <w:sz w:val="24"/>
          <w:highlight w:val="none"/>
          <w:u w:val="single"/>
        </w:rPr>
        <w:t xml:space="preserve">            </w:t>
      </w:r>
    </w:p>
    <w:p w14:paraId="4EB39FF1">
      <w:pPr>
        <w:spacing w:before="153" w:line="221" w:lineRule="auto"/>
        <w:ind w:left="193"/>
        <w:rPr>
          <w:rFonts w:ascii="仿宋" w:hAnsi="仿宋" w:eastAsia="仿宋" w:cs="仿宋"/>
          <w:color w:val="auto"/>
          <w:sz w:val="24"/>
          <w:highlight w:val="none"/>
        </w:rPr>
      </w:pPr>
      <w:r>
        <w:rPr>
          <w:rFonts w:hint="eastAsia" w:ascii="仿宋" w:hAnsi="仿宋" w:eastAsia="仿宋" w:cs="仿宋"/>
          <w:color w:val="auto"/>
          <w:spacing w:val="-9"/>
          <w:sz w:val="24"/>
          <w:highlight w:val="none"/>
        </w:rPr>
        <w:t>本</w:t>
      </w:r>
      <w:r>
        <w:rPr>
          <w:rFonts w:hint="eastAsia" w:ascii="仿宋" w:hAnsi="仿宋" w:eastAsia="仿宋" w:cs="仿宋"/>
          <w:color w:val="auto"/>
          <w:spacing w:val="-6"/>
          <w:sz w:val="24"/>
          <w:highlight w:val="none"/>
        </w:rPr>
        <w:t xml:space="preserve">合同为中小企业预留合同：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w:t>
      </w:r>
    </w:p>
    <w:p w14:paraId="6C1F7F12">
      <w:pPr>
        <w:snapToGrid w:val="0"/>
        <w:spacing w:line="360" w:lineRule="auto"/>
        <w:ind w:firstLine="480" w:firstLineChars="200"/>
        <w:rPr>
          <w:rFonts w:ascii="仿宋" w:hAnsi="仿宋" w:eastAsia="仿宋" w:cs="仿宋"/>
          <w:color w:val="auto"/>
          <w:sz w:val="24"/>
          <w:highlight w:val="none"/>
        </w:rPr>
      </w:pPr>
    </w:p>
    <w:p w14:paraId="0CA9A146">
      <w:pPr>
        <w:pStyle w:val="1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根据《中华人民共和国政府采购法》、《中华人民共和国民法典》等法律、法规规定， 按照采购文件规定条款和乙方投标（竞标）承诺， 甲乙双方签订本合同。</w:t>
      </w:r>
    </w:p>
    <w:p w14:paraId="3F28F325">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第一条　合同标的</w:t>
      </w:r>
    </w:p>
    <w:p w14:paraId="567CBF11">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1.供货一览表</w:t>
      </w:r>
    </w:p>
    <w:tbl>
      <w:tblPr>
        <w:tblStyle w:val="31"/>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3FB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6F819D85">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233" w:type="dxa"/>
            <w:vAlign w:val="center"/>
          </w:tcPr>
          <w:p w14:paraId="0B9D925A">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1059" w:type="dxa"/>
            <w:vAlign w:val="center"/>
          </w:tcPr>
          <w:p w14:paraId="6911CFC2">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商标品牌</w:t>
            </w:r>
          </w:p>
        </w:tc>
        <w:tc>
          <w:tcPr>
            <w:tcW w:w="1233" w:type="dxa"/>
            <w:vAlign w:val="center"/>
          </w:tcPr>
          <w:p w14:paraId="61536D05">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规格型号</w:t>
            </w:r>
          </w:p>
        </w:tc>
        <w:tc>
          <w:tcPr>
            <w:tcW w:w="1210" w:type="dxa"/>
            <w:vAlign w:val="center"/>
          </w:tcPr>
          <w:p w14:paraId="56063E8C">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生产厂家</w:t>
            </w:r>
          </w:p>
        </w:tc>
        <w:tc>
          <w:tcPr>
            <w:tcW w:w="737" w:type="dxa"/>
            <w:vAlign w:val="center"/>
          </w:tcPr>
          <w:p w14:paraId="5002D8EB">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735" w:type="dxa"/>
            <w:vAlign w:val="center"/>
          </w:tcPr>
          <w:p w14:paraId="578C885A">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095" w:type="dxa"/>
            <w:vAlign w:val="center"/>
          </w:tcPr>
          <w:p w14:paraId="7DCD32A7">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单价（元）</w:t>
            </w:r>
          </w:p>
        </w:tc>
        <w:tc>
          <w:tcPr>
            <w:tcW w:w="1145" w:type="dxa"/>
            <w:vAlign w:val="center"/>
          </w:tcPr>
          <w:p w14:paraId="36492B55">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金额（元）</w:t>
            </w:r>
          </w:p>
        </w:tc>
      </w:tr>
      <w:tr w14:paraId="3E20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4358B94">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233" w:type="dxa"/>
            <w:vAlign w:val="center"/>
          </w:tcPr>
          <w:p w14:paraId="30B3D40E">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059" w:type="dxa"/>
            <w:vAlign w:val="center"/>
          </w:tcPr>
          <w:p w14:paraId="10B85E22">
            <w:pPr>
              <w:snapToGrid w:val="0"/>
              <w:spacing w:line="360" w:lineRule="auto"/>
              <w:jc w:val="center"/>
              <w:rPr>
                <w:rFonts w:ascii="仿宋" w:hAnsi="仿宋" w:eastAsia="仿宋" w:cs="仿宋"/>
                <w:color w:val="auto"/>
                <w:kern w:val="0"/>
                <w:sz w:val="24"/>
                <w:highlight w:val="none"/>
              </w:rPr>
            </w:pPr>
          </w:p>
        </w:tc>
        <w:tc>
          <w:tcPr>
            <w:tcW w:w="1233" w:type="dxa"/>
            <w:vAlign w:val="center"/>
          </w:tcPr>
          <w:p w14:paraId="7E1048C5">
            <w:pPr>
              <w:snapToGrid w:val="0"/>
              <w:spacing w:line="360" w:lineRule="auto"/>
              <w:jc w:val="center"/>
              <w:rPr>
                <w:rFonts w:ascii="仿宋" w:hAnsi="仿宋" w:eastAsia="仿宋" w:cs="仿宋"/>
                <w:color w:val="auto"/>
                <w:kern w:val="0"/>
                <w:sz w:val="24"/>
                <w:highlight w:val="none"/>
              </w:rPr>
            </w:pPr>
          </w:p>
        </w:tc>
        <w:tc>
          <w:tcPr>
            <w:tcW w:w="1210" w:type="dxa"/>
          </w:tcPr>
          <w:p w14:paraId="4CCFB819">
            <w:pPr>
              <w:snapToGrid w:val="0"/>
              <w:spacing w:line="360" w:lineRule="auto"/>
              <w:jc w:val="center"/>
              <w:rPr>
                <w:rFonts w:ascii="仿宋" w:hAnsi="仿宋" w:eastAsia="仿宋" w:cs="仿宋"/>
                <w:color w:val="auto"/>
                <w:kern w:val="0"/>
                <w:sz w:val="24"/>
                <w:highlight w:val="none"/>
              </w:rPr>
            </w:pPr>
          </w:p>
        </w:tc>
        <w:tc>
          <w:tcPr>
            <w:tcW w:w="737" w:type="dxa"/>
          </w:tcPr>
          <w:p w14:paraId="2B466459">
            <w:pPr>
              <w:snapToGrid w:val="0"/>
              <w:spacing w:line="360" w:lineRule="auto"/>
              <w:jc w:val="center"/>
              <w:rPr>
                <w:rFonts w:ascii="仿宋" w:hAnsi="仿宋" w:eastAsia="仿宋" w:cs="仿宋"/>
                <w:color w:val="auto"/>
                <w:kern w:val="0"/>
                <w:sz w:val="24"/>
                <w:highlight w:val="none"/>
              </w:rPr>
            </w:pPr>
          </w:p>
        </w:tc>
        <w:tc>
          <w:tcPr>
            <w:tcW w:w="735" w:type="dxa"/>
          </w:tcPr>
          <w:p w14:paraId="712B4654">
            <w:pPr>
              <w:snapToGrid w:val="0"/>
              <w:spacing w:line="360" w:lineRule="auto"/>
              <w:jc w:val="center"/>
              <w:rPr>
                <w:rFonts w:ascii="仿宋" w:hAnsi="仿宋" w:eastAsia="仿宋" w:cs="仿宋"/>
                <w:color w:val="auto"/>
                <w:kern w:val="0"/>
                <w:sz w:val="24"/>
                <w:highlight w:val="none"/>
              </w:rPr>
            </w:pPr>
          </w:p>
        </w:tc>
        <w:tc>
          <w:tcPr>
            <w:tcW w:w="1095" w:type="dxa"/>
            <w:vAlign w:val="center"/>
          </w:tcPr>
          <w:p w14:paraId="2B47DDBB">
            <w:pPr>
              <w:snapToGrid w:val="0"/>
              <w:spacing w:line="360" w:lineRule="auto"/>
              <w:jc w:val="center"/>
              <w:rPr>
                <w:rFonts w:ascii="仿宋" w:hAnsi="仿宋" w:eastAsia="仿宋" w:cs="仿宋"/>
                <w:color w:val="auto"/>
                <w:kern w:val="0"/>
                <w:sz w:val="24"/>
                <w:highlight w:val="none"/>
              </w:rPr>
            </w:pPr>
          </w:p>
        </w:tc>
        <w:tc>
          <w:tcPr>
            <w:tcW w:w="1145" w:type="dxa"/>
            <w:vAlign w:val="center"/>
          </w:tcPr>
          <w:p w14:paraId="3CBABDEA">
            <w:pPr>
              <w:snapToGrid w:val="0"/>
              <w:spacing w:line="360" w:lineRule="auto"/>
              <w:jc w:val="center"/>
              <w:rPr>
                <w:rFonts w:ascii="仿宋" w:hAnsi="仿宋" w:eastAsia="仿宋" w:cs="仿宋"/>
                <w:color w:val="auto"/>
                <w:kern w:val="0"/>
                <w:sz w:val="24"/>
                <w:highlight w:val="none"/>
              </w:rPr>
            </w:pPr>
          </w:p>
        </w:tc>
      </w:tr>
      <w:tr w14:paraId="3E54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5F89A1A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人民币合计金额（大写）                   （小写）                 </w:t>
            </w:r>
          </w:p>
        </w:tc>
      </w:tr>
    </w:tbl>
    <w:p w14:paraId="10C6E9B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14:paraId="5F73A30A">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第二条　质量要求</w:t>
      </w:r>
    </w:p>
    <w:p w14:paraId="2BF083FC">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005500C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2.乙方所提供的货物必须是全新、未使用的原装产品，且在正常安装、使用和保养条件下，其使用寿命期内各项指标均达到竞争性谈判文件规定或者响应文件承诺的质量要求。</w:t>
      </w:r>
    </w:p>
    <w:p w14:paraId="67E64752">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第三条　权利保证</w:t>
      </w:r>
    </w:p>
    <w:p w14:paraId="072E4038">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1.乙方应保证所提供货物在使用时不会侵犯任何第三方的专利权、商标权、工业设计权或者其他权利。</w:t>
      </w:r>
    </w:p>
    <w:p w14:paraId="3FF2B89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2.乙方应按竞争性谈判文件规定或者响应文件承诺的时间向甲方提供使用货物的有关技术资料。</w:t>
      </w:r>
    </w:p>
    <w:p w14:paraId="117447E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0EBD38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4.乙方保证将要交付的货物的所有权完全属于乙方且无任何抵押、质押、查封等产权瑕疵。</w:t>
      </w:r>
    </w:p>
    <w:p w14:paraId="5F469A28">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第四条　包装和运输</w:t>
      </w:r>
    </w:p>
    <w:p w14:paraId="53D40C0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1.乙方提供的货物均应按竞争性谈判文件规定或者响应文件承诺的要求的包装材料、包装标准、包装方式进行包装，每一包装单元内应附详细的装箱单和质量合格证。</w:t>
      </w:r>
    </w:p>
    <w:p w14:paraId="189A378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2.货物的运输方式：             。</w:t>
      </w:r>
    </w:p>
    <w:p w14:paraId="2BF97EF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3.乙方负责货物运输，货物运输合理损耗及计算方法：</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47C6841D">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第五条　交付和验收</w:t>
      </w:r>
    </w:p>
    <w:p w14:paraId="1365362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1.交付时间：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；交付地点：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36D72EB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2.乙方提供不符合竞争性谈判文件规定或者响应文件承诺的和本合同规定的货物，甲方有权拒绝接受。</w:t>
      </w:r>
    </w:p>
    <w:p w14:paraId="78536A3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2CFBBA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4.甲方应当在到货（安装、调试完）后七个工作日内进行验收，逾期不验收的，乙方可视同验收合格。验收合格后由甲乙双方签署货物验收单并加盖甲方公章，甲乙双方各执一份。</w:t>
      </w:r>
    </w:p>
    <w:p w14:paraId="6BBF2BD9">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C6534CE">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6.甲方对验收有异议的，在验收后五个工作日内以书面形式向乙方提出，乙方应自收到甲方书面异议后</w:t>
      </w:r>
      <w:r>
        <w:rPr>
          <w:rFonts w:hint="eastAsia" w:ascii="仿宋" w:hAnsi="仿宋" w:eastAsia="仿宋" w:cs="仿宋"/>
          <w:color w:val="auto"/>
          <w:kern w:val="0"/>
          <w:sz w:val="24"/>
          <w:highlight w:val="none"/>
          <w:u w:val="single"/>
        </w:rPr>
        <w:t xml:space="preserve">    日</w:t>
      </w:r>
      <w:r>
        <w:rPr>
          <w:rFonts w:hint="eastAsia" w:ascii="仿宋" w:hAnsi="仿宋" w:eastAsia="仿宋" w:cs="仿宋"/>
          <w:color w:val="auto"/>
          <w:kern w:val="0"/>
          <w:sz w:val="24"/>
          <w:highlight w:val="none"/>
        </w:rPr>
        <w:t>内及时予以解决。</w:t>
      </w:r>
    </w:p>
    <w:p w14:paraId="32F17F7E">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第六条　安装和培训</w:t>
      </w:r>
    </w:p>
    <w:p w14:paraId="206E229C">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1.甲方应提供必要安装条件（如场地、电源、水源等）。</w:t>
      </w:r>
    </w:p>
    <w:p w14:paraId="1749B17C">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2.乙方响应文件承诺负责甲方有关人员的培训。培训时间、地点：                   。</w:t>
      </w:r>
    </w:p>
    <w:p w14:paraId="4368DE1D">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第七条  售后服务、保修期</w:t>
      </w:r>
    </w:p>
    <w:p w14:paraId="12BE925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1.乙方应按照国家有关法律法规和“三包”规定以及本合同所附的《服务承诺》，为甲方提供售后服务。</w:t>
      </w:r>
    </w:p>
    <w:p w14:paraId="3FE2A9C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2.货物保修期：               。</w:t>
      </w:r>
    </w:p>
    <w:p w14:paraId="39801A8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3.乙方提供的服务承诺和售后服务及保修期责任等其它具体约定事项。（见合同附件）</w:t>
      </w:r>
    </w:p>
    <w:p w14:paraId="0AB72999">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第八条　付款方式</w:t>
      </w:r>
    </w:p>
    <w:p w14:paraId="225AC1E0">
      <w:pPr>
        <w:pStyle w:val="98"/>
        <w:spacing w:line="360" w:lineRule="auto"/>
        <w:ind w:firstLine="480" w:firstLineChars="200"/>
        <w:jc w:val="both"/>
        <w:rPr>
          <w:rFonts w:hint="default"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本项目无预付款。经采购人安装调试通过验收后，采购人收到发票30日内支付合同总额的100%支付成交供应商。</w:t>
      </w:r>
    </w:p>
    <w:p w14:paraId="0B1CDFC9">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合同签署的成交供应商名称及发票开具单位与收款单位必须一致，在合同执行过程中，成交供应商不得以其他不正当理由要求调整发票开具单位或收款单位，否则视为成交供应商违约。</w:t>
      </w:r>
    </w:p>
    <w:p w14:paraId="1C3C0517">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第九条　履约保证金</w:t>
      </w:r>
    </w:p>
    <w:p w14:paraId="369534A9">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无</w:t>
      </w:r>
    </w:p>
    <w:p w14:paraId="26A9004D">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第十条  税费</w:t>
      </w:r>
    </w:p>
    <w:p w14:paraId="142674A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本合同执行中相关的一切税费均由乙方负担，合同另有约定的除外。</w:t>
      </w:r>
    </w:p>
    <w:p w14:paraId="6C3DFA9D">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第十一条  质量保证及售后服务</w:t>
      </w:r>
    </w:p>
    <w:p w14:paraId="399CED05">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1.乙方应按竞争性谈判文件规定的产品名称、商标品牌、生产厂家、规格型号、技术参数、质量标准向甲方提供未经使用的全新产品。不符合要求的，根据实际情况，经双方协商，可按以下办法处理：</w:t>
      </w:r>
    </w:p>
    <w:p w14:paraId="6843EC93">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⑴更换：由乙方承担所发生的全部费用。</w:t>
      </w:r>
    </w:p>
    <w:p w14:paraId="621CE255">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5C58CF6A">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⑶退货处理：乙方应退还甲方支付的合同款，同时应承担该货物的直接费用（运输、保险、检验、货款利息及银行手续费等）。</w:t>
      </w:r>
    </w:p>
    <w:p w14:paraId="5F65C151">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2.如在使用过程中发生质量问题，乙方在接到甲方通知后到达甲方现场处理的时间（按响应文件承诺的数据填写）小时内。</w:t>
      </w:r>
    </w:p>
    <w:p w14:paraId="7BC7F249">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3.在保修期内，乙方应对货物出现的质量及安全问题负责处理解决并承担一切费用。</w:t>
      </w:r>
    </w:p>
    <w:p w14:paraId="4636609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4.上述的货物保修期为</w:t>
      </w:r>
      <w:r>
        <w:rPr>
          <w:rFonts w:hint="eastAsia" w:ascii="仿宋" w:hAnsi="仿宋" w:eastAsia="仿宋" w:cs="仿宋"/>
          <w:color w:val="auto"/>
          <w:kern w:val="0"/>
          <w:sz w:val="24"/>
          <w:highlight w:val="none"/>
          <w:u w:val="single"/>
        </w:rPr>
        <w:t xml:space="preserve">     年</w:t>
      </w:r>
      <w:r>
        <w:rPr>
          <w:rFonts w:hint="eastAsia" w:ascii="仿宋" w:hAnsi="仿宋" w:eastAsia="仿宋" w:cs="仿宋"/>
          <w:color w:val="auto"/>
          <w:kern w:val="0"/>
          <w:sz w:val="24"/>
          <w:highlight w:val="none"/>
        </w:rPr>
        <w:t>，因人为因素出现的故障不在免费保修范围内。超过保修期的机器设备，终生维修，维修时只收部件成本费。</w:t>
      </w:r>
    </w:p>
    <w:p w14:paraId="5AC03704">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第十二条  调试和验收（本条款适用于甲方自行验收，委托第三方验收的另行规定）</w:t>
      </w:r>
    </w:p>
    <w:p w14:paraId="20B86F8B">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0310F798">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2.乙方交货前应对产品作出全面检查和对验收文件进行整理，并列出清单，作为甲方收货验收和使用的技术条件依据，检验的结果应随货物交甲方。</w:t>
      </w:r>
    </w:p>
    <w:p w14:paraId="76C7044E">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3.甲方对乙方提供的货物在使用前进行调试时，乙方需负责安装并培训甲方的使用操作人员，并协助甲方一起调试，直到符合技术要求，甲方才做最终验收。</w:t>
      </w:r>
    </w:p>
    <w:p w14:paraId="745CC784">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4.对技术复杂的货物，甲方应请国家认可的专业检测机构参与初步验收及最终验收，并由其出具质量检测报告。</w:t>
      </w:r>
    </w:p>
    <w:p w14:paraId="6C76637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5.验收时乙方必须在现场，验收完毕后作出验收结果报告；验收费用按竞争性谈判文件约定承担方负责。</w:t>
      </w:r>
    </w:p>
    <w:p w14:paraId="17FB39E7">
      <w:pPr>
        <w:pStyle w:val="18"/>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第十三条  货物包装、发运及运输</w:t>
      </w:r>
    </w:p>
    <w:p w14:paraId="40BD1475">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1.乙方应在货物发运前对其进行满足运输距离、防潮、防震、防锈和防破损装卸等要求包装，以保证货物安全运达甲方指定地点。</w:t>
      </w:r>
    </w:p>
    <w:p w14:paraId="5B2D0FAB">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2.使用说明书（货物属于进口产品的，供货时应同时附上中文使用说明书）、质量检验证明书、随配附件和工具以及清单一并附于货物内。</w:t>
      </w:r>
    </w:p>
    <w:p w14:paraId="22E60C64">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3.乙方在货物发运手续办理完毕后二十四小时内或者货到甲方四十八小时前通知甲方，以准备接货。</w:t>
      </w:r>
    </w:p>
    <w:p w14:paraId="5489B354">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4.货物在交付甲方前发生的风险均由乙方负责。</w:t>
      </w:r>
    </w:p>
    <w:p w14:paraId="26EF6C57">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5.货物在规定的交付期限内由乙方送达甲方指定的地点视为交付，乙方同时需通知甲方货物已送达。</w:t>
      </w:r>
    </w:p>
    <w:p w14:paraId="0A345878">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第十四条　违约责任</w:t>
      </w:r>
    </w:p>
    <w:p w14:paraId="21860B7B">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0887D147">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2.乙方提供的货物如侵犯了第三方合法权益而引发的任何纠纷或者诉讼，均由乙方负责交涉并承担全部责任。</w:t>
      </w:r>
    </w:p>
    <w:p w14:paraId="70A67F2B">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3.因包装、运输引起的货物损坏，按质量不合格处罚。</w:t>
      </w:r>
    </w:p>
    <w:p w14:paraId="42CA4B7D">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14:paraId="7630979E">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5.乙方未按本合同和响应文件中规定的服务承诺提供售后服务的，乙方应按本合同合计金额 5%向甲方支付违约金。</w:t>
      </w:r>
    </w:p>
    <w:p w14:paraId="582C4F53">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6.乙方提供的货物在保修期内，因设计、工艺或者材料的缺陷和其它质量原因造成的问题，由乙方负责，费用从余款中扣除或另付，不足另补。</w:t>
      </w:r>
    </w:p>
    <w:p w14:paraId="204E1EB5">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7.甲乙双方有其它违约行为的，由违约方向对方支付违约内容涉及货款额的5%，违约内容涉及货款额的5%不足以赔偿经济损失的按实际赔偿。</w:t>
      </w:r>
    </w:p>
    <w:p w14:paraId="2992638C">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在产品验收合格之日起保修期内，如乙方未按合同第七条、第十一条的约定履行售后服务，甲方可以自行委托第三方来维护或提供售后服务，所产生的维护费用、售后服务费用由乙方承担，同时，乙方按照合同价款的10%向甲方支付违约金。</w:t>
      </w:r>
    </w:p>
    <w:p w14:paraId="2305C9FA">
      <w:pPr>
        <w:pStyle w:val="18"/>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第十五条  不可抗力事件处理</w:t>
      </w:r>
    </w:p>
    <w:p w14:paraId="220ACF1B">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096166E3">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55CE6BC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3.不可抗力事件延续一百二十天以上，双方应通过友好协商，确定是否继续履行合同。</w:t>
      </w:r>
    </w:p>
    <w:p w14:paraId="6B0B207C">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第十六条  合同争议解决</w:t>
      </w:r>
    </w:p>
    <w:p w14:paraId="4ECD512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1.因货物质量问题发生争议的，应邀请国家认可的质量检测机构对货物质量进行鉴定。货物符合标准的，鉴定费由甲方承担；货物不符合标准的，鉴定费由乙方承担。</w:t>
      </w:r>
    </w:p>
    <w:p w14:paraId="43B2C95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2.因履行本合同引起的或者与本合同有关的争议，甲乙双方应首先通过友好协商解决，如果协商不能解决，可向甲方所在地人民法院提起诉讼。</w:t>
      </w:r>
    </w:p>
    <w:p w14:paraId="53E7F9D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3.诉讼期间，本合同继续履行。</w:t>
      </w:r>
    </w:p>
    <w:p w14:paraId="47A326B1">
      <w:pPr>
        <w:pStyle w:val="18"/>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第十七条  合同生效及其它</w:t>
      </w:r>
    </w:p>
    <w:p w14:paraId="1DA98E2C">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合同经双方法定代表人或者委托代理人签字并加盖单位公章后生效（委托代理人签字的需后附授权委托书，格式自拟）。</w:t>
      </w:r>
    </w:p>
    <w:p w14:paraId="59B8D762">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2.合同执行中涉及采购资金和采购内容修改或者补充的，须经财政部门审批，并签书面补充协议报财政部门备案，方可作为主合同不可分割的一部分。</w:t>
      </w:r>
    </w:p>
    <w:p w14:paraId="4B4BEC79">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3.本合同未尽事宜，遵照《中华人民共和国民法典》有关条文执行。</w:t>
      </w:r>
    </w:p>
    <w:p w14:paraId="20145DE8">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第十八条　合同的变更、终止与转让</w:t>
      </w:r>
    </w:p>
    <w:p w14:paraId="17D5F3E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1.除《中华人民共和国政府采购法》第五十条规定的情形外，本合同一经签订，甲乙双方不得擅自变更、中止或者终止。</w:t>
      </w:r>
    </w:p>
    <w:p w14:paraId="698F3D5F">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2.乙方不得擅自转让（无进口资格的供应商委托进口货物除外）其应履行的合同义务。</w:t>
      </w:r>
    </w:p>
    <w:p w14:paraId="3D28C5E0">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第十九条　本合同书与下列文件一起构成合同文件</w:t>
      </w:r>
    </w:p>
    <w:p w14:paraId="34080330">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14:paraId="21D6EEED">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2.竞标声明书；</w:t>
      </w:r>
    </w:p>
    <w:p w14:paraId="4D579ECC">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3.商务要求偏离表和技术要求偏离表；</w:t>
      </w:r>
    </w:p>
    <w:p w14:paraId="52D25067">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4.采购需求；</w:t>
      </w:r>
    </w:p>
    <w:p w14:paraId="0CF33E8B">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5.竞标报价表；</w:t>
      </w:r>
    </w:p>
    <w:p w14:paraId="4F3652F5">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6.其他合同文件。</w:t>
      </w:r>
    </w:p>
    <w:p w14:paraId="53C6275D">
      <w:pPr>
        <w:pStyle w:val="18"/>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7.上述合同文件互相补充和解释。如果合同文件之间存在矛盾或者不一致之处，以上述文件的排列顺序在先者为准。</w:t>
      </w:r>
    </w:p>
    <w:p w14:paraId="501C1E6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第二十条　本合同一式四份，具有同等法律效力，财政部门（政府采购监管部门）、采购代理机构各一份，甲乙双方各一份（可根据需要另增加）。</w:t>
      </w:r>
    </w:p>
    <w:p w14:paraId="0A763A2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本合同甲乙双方签字盖章后生效，自签订之日起七个工作日内，甲方应当将合同副本报同级财政部门备案。</w:t>
      </w:r>
    </w:p>
    <w:p w14:paraId="2157D94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本合同自签订之日起2个工作日内，甲方应当将采购合同在广西壮族自治区财政厅指定的媒体上公告。</w:t>
      </w:r>
    </w:p>
    <w:p w14:paraId="1BF46A09">
      <w:pPr>
        <w:snapToGrid w:val="0"/>
        <w:spacing w:line="360" w:lineRule="auto"/>
        <w:ind w:firstLine="480" w:firstLineChars="200"/>
        <w:rPr>
          <w:rFonts w:ascii="仿宋" w:hAnsi="仿宋" w:eastAsia="仿宋" w:cs="仿宋"/>
          <w:color w:val="auto"/>
          <w:kern w:val="0"/>
          <w:sz w:val="24"/>
          <w:highlight w:val="none"/>
        </w:rPr>
      </w:pPr>
    </w:p>
    <w:p w14:paraId="70FF783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C2A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0A21710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甲方（章）           </w:t>
            </w:r>
          </w:p>
          <w:p w14:paraId="067E78EE">
            <w:pPr>
              <w:snapToGrid w:val="0"/>
              <w:spacing w:line="360" w:lineRule="auto"/>
              <w:rPr>
                <w:rFonts w:ascii="仿宋" w:hAnsi="仿宋" w:eastAsia="仿宋" w:cs="仿宋"/>
                <w:color w:val="auto"/>
                <w:kern w:val="0"/>
                <w:sz w:val="24"/>
                <w:highlight w:val="none"/>
              </w:rPr>
            </w:pPr>
          </w:p>
          <w:p w14:paraId="737FA237">
            <w:pPr>
              <w:snapToGrid w:val="0"/>
              <w:spacing w:line="360" w:lineRule="auto"/>
              <w:ind w:firstLine="1080" w:firstLineChars="450"/>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年   月   日</w:t>
            </w:r>
          </w:p>
        </w:tc>
        <w:tc>
          <w:tcPr>
            <w:tcW w:w="4517" w:type="dxa"/>
            <w:vAlign w:val="center"/>
          </w:tcPr>
          <w:p w14:paraId="57C78E2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乙方（章）              </w:t>
            </w:r>
          </w:p>
          <w:p w14:paraId="3DE6EE2E">
            <w:pPr>
              <w:snapToGrid w:val="0"/>
              <w:spacing w:line="360" w:lineRule="auto"/>
              <w:rPr>
                <w:rFonts w:ascii="仿宋" w:hAnsi="仿宋" w:eastAsia="仿宋" w:cs="仿宋"/>
                <w:color w:val="auto"/>
                <w:kern w:val="0"/>
                <w:sz w:val="24"/>
                <w:highlight w:val="none"/>
              </w:rPr>
            </w:pPr>
          </w:p>
          <w:p w14:paraId="34F574F3">
            <w:pPr>
              <w:snapToGrid w:val="0"/>
              <w:spacing w:line="360" w:lineRule="auto"/>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年   月   日</w:t>
            </w:r>
          </w:p>
        </w:tc>
      </w:tr>
      <w:tr w14:paraId="7216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0AB8882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单位地址：</w:t>
            </w:r>
          </w:p>
        </w:tc>
        <w:tc>
          <w:tcPr>
            <w:tcW w:w="4517" w:type="dxa"/>
            <w:vAlign w:val="center"/>
          </w:tcPr>
          <w:p w14:paraId="1CA06C3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单位地址：</w:t>
            </w:r>
          </w:p>
        </w:tc>
      </w:tr>
      <w:tr w14:paraId="5189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598D285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法定代表人或者委托代理人：</w:t>
            </w:r>
          </w:p>
        </w:tc>
        <w:tc>
          <w:tcPr>
            <w:tcW w:w="4517" w:type="dxa"/>
          </w:tcPr>
          <w:p w14:paraId="5CF9395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法定代表人或者委托代理人：</w:t>
            </w:r>
          </w:p>
        </w:tc>
      </w:tr>
      <w:tr w14:paraId="6DA8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22D6915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4517" w:type="dxa"/>
            <w:vAlign w:val="center"/>
          </w:tcPr>
          <w:p w14:paraId="0E08CD0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r>
      <w:tr w14:paraId="5B11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502E500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电子邮箱：</w:t>
            </w:r>
          </w:p>
        </w:tc>
        <w:tc>
          <w:tcPr>
            <w:tcW w:w="4517" w:type="dxa"/>
            <w:vAlign w:val="center"/>
          </w:tcPr>
          <w:p w14:paraId="3A87991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电子邮箱：</w:t>
            </w:r>
          </w:p>
        </w:tc>
      </w:tr>
      <w:tr w14:paraId="6FA8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2EBEFB9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tc>
        <w:tc>
          <w:tcPr>
            <w:tcW w:w="4517" w:type="dxa"/>
            <w:vAlign w:val="center"/>
          </w:tcPr>
          <w:p w14:paraId="52355A3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tc>
      </w:tr>
      <w:tr w14:paraId="3F1E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719F945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c>
          <w:tcPr>
            <w:tcW w:w="4517" w:type="dxa"/>
            <w:vAlign w:val="center"/>
          </w:tcPr>
          <w:p w14:paraId="15893B2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r>
      <w:tr w14:paraId="6E02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2D90581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邮政编码：</w:t>
            </w:r>
          </w:p>
        </w:tc>
        <w:tc>
          <w:tcPr>
            <w:tcW w:w="4517" w:type="dxa"/>
            <w:vAlign w:val="center"/>
          </w:tcPr>
          <w:p w14:paraId="7E29703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邮政编码：</w:t>
            </w:r>
          </w:p>
        </w:tc>
      </w:tr>
    </w:tbl>
    <w:p w14:paraId="46DF98B0">
      <w:pPr>
        <w:tabs>
          <w:tab w:val="left" w:pos="7380"/>
        </w:tabs>
        <w:spacing w:line="360" w:lineRule="auto"/>
        <w:jc w:val="center"/>
        <w:rPr>
          <w:rFonts w:ascii="仿宋" w:hAnsi="仿宋" w:eastAsia="仿宋" w:cs="仿宋"/>
          <w:b/>
          <w:color w:val="auto"/>
          <w:sz w:val="44"/>
          <w:szCs w:val="44"/>
          <w:highlight w:val="none"/>
        </w:rPr>
      </w:pPr>
      <w:r>
        <w:rPr>
          <w:color w:val="auto"/>
          <w:highlight w:val="none"/>
        </w:rPr>
        <w:br w:type="page"/>
      </w:r>
    </w:p>
    <w:p w14:paraId="169E1E33">
      <w:pPr>
        <w:tabs>
          <w:tab w:val="left" w:pos="3261"/>
        </w:tabs>
        <w:spacing w:line="360" w:lineRule="auto"/>
        <w:contextualSpacing/>
        <w:jc w:val="center"/>
        <w:rPr>
          <w:rFonts w:ascii="仿宋" w:hAnsi="仿宋" w:eastAsia="仿宋" w:cs="仿宋"/>
          <w:b/>
          <w:color w:val="auto"/>
          <w:sz w:val="44"/>
          <w:szCs w:val="44"/>
          <w:highlight w:val="none"/>
        </w:rPr>
      </w:pPr>
    </w:p>
    <w:p w14:paraId="464BD3B5">
      <w:pPr>
        <w:tabs>
          <w:tab w:val="left" w:pos="3261"/>
        </w:tabs>
        <w:spacing w:line="360" w:lineRule="auto"/>
        <w:contextualSpacing/>
        <w:jc w:val="center"/>
        <w:rPr>
          <w:rFonts w:ascii="仿宋" w:hAnsi="仿宋" w:eastAsia="仿宋" w:cs="仿宋"/>
          <w:b/>
          <w:color w:val="auto"/>
          <w:sz w:val="44"/>
          <w:szCs w:val="44"/>
          <w:highlight w:val="none"/>
        </w:rPr>
      </w:pPr>
    </w:p>
    <w:p w14:paraId="3DCADEDD">
      <w:pPr>
        <w:tabs>
          <w:tab w:val="left" w:pos="3261"/>
        </w:tabs>
        <w:spacing w:line="360" w:lineRule="auto"/>
        <w:contextualSpacing/>
        <w:jc w:val="center"/>
        <w:rPr>
          <w:rFonts w:ascii="仿宋" w:hAnsi="仿宋" w:eastAsia="仿宋" w:cs="仿宋"/>
          <w:b/>
          <w:color w:val="auto"/>
          <w:sz w:val="44"/>
          <w:szCs w:val="44"/>
          <w:highlight w:val="none"/>
        </w:rPr>
      </w:pPr>
    </w:p>
    <w:p w14:paraId="79F6E27B">
      <w:pPr>
        <w:pStyle w:val="2"/>
        <w:jc w:val="center"/>
        <w:rPr>
          <w:rFonts w:ascii="仿宋" w:hAnsi="仿宋" w:eastAsia="仿宋" w:cs="仿宋"/>
          <w:b/>
          <w:color w:val="auto"/>
          <w:highlight w:val="none"/>
        </w:rPr>
      </w:pPr>
    </w:p>
    <w:p w14:paraId="08A64EE8">
      <w:pPr>
        <w:pStyle w:val="2"/>
        <w:spacing w:before="0" w:after="0" w:line="360" w:lineRule="auto"/>
        <w:jc w:val="center"/>
        <w:rPr>
          <w:rFonts w:ascii="仿宋" w:hAnsi="仿宋" w:eastAsia="仿宋" w:cs="仿宋"/>
          <w:b/>
          <w:color w:val="auto"/>
          <w:sz w:val="32"/>
          <w:szCs w:val="32"/>
          <w:highlight w:val="none"/>
        </w:rPr>
        <w:sectPr>
          <w:pgSz w:w="11911" w:h="16838"/>
          <w:pgMar w:top="1338" w:right="1502" w:bottom="850" w:left="1678" w:header="1077" w:footer="720" w:gutter="0"/>
          <w:cols w:space="720" w:num="1"/>
        </w:sectPr>
      </w:pPr>
      <w:bookmarkStart w:id="90" w:name="_Toc6119"/>
      <w:bookmarkStart w:id="91" w:name="_Toc29732"/>
      <w:r>
        <w:rPr>
          <w:rFonts w:hint="eastAsia" w:ascii="仿宋" w:hAnsi="仿宋" w:eastAsia="仿宋" w:cs="仿宋"/>
          <w:b/>
          <w:color w:val="auto"/>
          <w:sz w:val="32"/>
          <w:szCs w:val="32"/>
          <w:highlight w:val="none"/>
        </w:rPr>
        <w:t>第七章 质疑、投诉材料格式</w:t>
      </w:r>
      <w:bookmarkEnd w:id="90"/>
      <w:bookmarkEnd w:id="91"/>
    </w:p>
    <w:p w14:paraId="00B88DE4">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质疑函（格式）</w:t>
      </w:r>
    </w:p>
    <w:p w14:paraId="733339E9">
      <w:pPr>
        <w:spacing w:line="360" w:lineRule="auto"/>
        <w:ind w:firstLine="482" w:firstLineChars="200"/>
        <w:contextualSpacing/>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一、质疑供应商基本信息：</w:t>
      </w:r>
    </w:p>
    <w:p w14:paraId="146D2CE1">
      <w:pPr>
        <w:spacing w:line="360" w:lineRule="auto"/>
        <w:ind w:firstLine="480" w:firstLineChars="200"/>
        <w:contextualSpacing/>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质疑供应商：</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6DF9CBAA">
      <w:pPr>
        <w:spacing w:line="360" w:lineRule="auto"/>
        <w:ind w:firstLine="480" w:firstLineChars="200"/>
        <w:contextualSpacing/>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6AFD6AA9">
      <w:pPr>
        <w:spacing w:line="360" w:lineRule="auto"/>
        <w:ind w:firstLine="480" w:firstLineChars="200"/>
        <w:contextualSpacing/>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024DC447">
      <w:pPr>
        <w:spacing w:line="360" w:lineRule="auto"/>
        <w:ind w:firstLine="480" w:firstLineChars="200"/>
        <w:contextualSpacing/>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授权代表：</w:t>
      </w:r>
      <w:r>
        <w:rPr>
          <w:rFonts w:hint="eastAsia" w:ascii="仿宋" w:hAnsi="仿宋" w:eastAsia="仿宋" w:cs="仿宋"/>
          <w:bCs/>
          <w:color w:val="auto"/>
          <w:kern w:val="0"/>
          <w:sz w:val="24"/>
          <w:highlight w:val="none"/>
          <w:u w:val="single"/>
        </w:rPr>
        <w:t xml:space="preserve">                      </w:t>
      </w:r>
    </w:p>
    <w:p w14:paraId="09BC3C20">
      <w:pPr>
        <w:spacing w:line="360" w:lineRule="auto"/>
        <w:ind w:firstLine="480" w:firstLineChars="200"/>
        <w:contextualSpacing/>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7A9A00A8">
      <w:pPr>
        <w:spacing w:line="360" w:lineRule="auto"/>
        <w:ind w:firstLine="480" w:firstLineChars="200"/>
        <w:contextualSpacing/>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52B0B64F">
      <w:pPr>
        <w:spacing w:line="360" w:lineRule="auto"/>
        <w:ind w:firstLine="482" w:firstLineChars="200"/>
        <w:contextualSpacing/>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二、质疑项目基本情况：</w:t>
      </w:r>
    </w:p>
    <w:p w14:paraId="0B3517D5">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质疑</w:t>
      </w:r>
      <w:r>
        <w:rPr>
          <w:rFonts w:hint="eastAsia" w:ascii="仿宋" w:hAnsi="仿宋" w:eastAsia="仿宋" w:cs="仿宋"/>
          <w:color w:val="auto"/>
          <w:kern w:val="0"/>
          <w:sz w:val="24"/>
          <w:highlight w:val="none"/>
        </w:rPr>
        <w:t>项目的名称：</w:t>
      </w:r>
      <w:r>
        <w:rPr>
          <w:rFonts w:hint="eastAsia" w:ascii="仿宋" w:hAnsi="仿宋" w:eastAsia="仿宋" w:cs="仿宋"/>
          <w:bCs/>
          <w:color w:val="auto"/>
          <w:kern w:val="0"/>
          <w:sz w:val="24"/>
          <w:highlight w:val="none"/>
          <w:u w:val="single"/>
        </w:rPr>
        <w:t xml:space="preserve">                                     </w:t>
      </w:r>
    </w:p>
    <w:p w14:paraId="0294CFE0">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质疑</w:t>
      </w:r>
      <w:r>
        <w:rPr>
          <w:rFonts w:hint="eastAsia" w:ascii="仿宋" w:hAnsi="仿宋" w:eastAsia="仿宋" w:cs="仿宋"/>
          <w:color w:val="auto"/>
          <w:kern w:val="0"/>
          <w:sz w:val="24"/>
          <w:highlight w:val="none"/>
        </w:rPr>
        <w:t>项目的编号：</w:t>
      </w:r>
      <w:r>
        <w:rPr>
          <w:rFonts w:hint="eastAsia" w:ascii="仿宋" w:hAnsi="仿宋" w:eastAsia="仿宋" w:cs="仿宋"/>
          <w:bCs/>
          <w:color w:val="auto"/>
          <w:kern w:val="0"/>
          <w:sz w:val="24"/>
          <w:highlight w:val="none"/>
          <w:u w:val="single"/>
        </w:rPr>
        <w:t xml:space="preserve">                                     </w:t>
      </w:r>
    </w:p>
    <w:p w14:paraId="649C3EDF">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采购人名称：</w:t>
      </w:r>
      <w:r>
        <w:rPr>
          <w:rFonts w:hint="eastAsia" w:ascii="仿宋" w:hAnsi="仿宋" w:eastAsia="仿宋" w:cs="仿宋"/>
          <w:bCs/>
          <w:color w:val="auto"/>
          <w:kern w:val="0"/>
          <w:sz w:val="24"/>
          <w:highlight w:val="none"/>
          <w:u w:val="single"/>
        </w:rPr>
        <w:t xml:space="preserve">                                         </w:t>
      </w:r>
    </w:p>
    <w:p w14:paraId="689356C3">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w:t>
      </w:r>
    </w:p>
    <w:p w14:paraId="3D51CB02">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□采购文件   采购文件获取日期：</w:t>
      </w:r>
      <w:r>
        <w:rPr>
          <w:rFonts w:hint="eastAsia" w:ascii="仿宋" w:hAnsi="仿宋" w:eastAsia="仿宋" w:cs="仿宋"/>
          <w:bCs/>
          <w:color w:val="auto"/>
          <w:kern w:val="0"/>
          <w:sz w:val="24"/>
          <w:highlight w:val="none"/>
          <w:u w:val="single"/>
        </w:rPr>
        <w:t xml:space="preserve">                                   </w:t>
      </w:r>
    </w:p>
    <w:p w14:paraId="5F31C1F0">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□采购过程   </w:t>
      </w:r>
    </w:p>
    <w:p w14:paraId="567E44D8">
      <w:pPr>
        <w:spacing w:line="360" w:lineRule="auto"/>
        <w:ind w:firstLine="480" w:firstLineChars="200"/>
        <w:contextualSpacing/>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 xml:space="preserve">□成交结果   </w:t>
      </w:r>
    </w:p>
    <w:p w14:paraId="3ABC45F6">
      <w:pPr>
        <w:spacing w:line="360" w:lineRule="auto"/>
        <w:ind w:firstLine="482" w:firstLineChars="200"/>
        <w:contextualSpacing/>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三、质疑事项具体内容</w:t>
      </w:r>
    </w:p>
    <w:p w14:paraId="7F2F81E4">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质疑事项1：</w:t>
      </w:r>
      <w:r>
        <w:rPr>
          <w:rFonts w:hint="eastAsia" w:ascii="仿宋" w:hAnsi="仿宋" w:eastAsia="仿宋" w:cs="仿宋"/>
          <w:bCs/>
          <w:color w:val="auto"/>
          <w:kern w:val="0"/>
          <w:sz w:val="24"/>
          <w:highlight w:val="none"/>
          <w:u w:val="single"/>
        </w:rPr>
        <w:t xml:space="preserve">                                                                    </w:t>
      </w:r>
    </w:p>
    <w:p w14:paraId="52DA8413">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事实依据：</w:t>
      </w:r>
      <w:r>
        <w:rPr>
          <w:rFonts w:hint="eastAsia" w:ascii="仿宋" w:hAnsi="仿宋" w:eastAsia="仿宋" w:cs="仿宋"/>
          <w:bCs/>
          <w:color w:val="auto"/>
          <w:kern w:val="0"/>
          <w:sz w:val="24"/>
          <w:highlight w:val="none"/>
          <w:u w:val="single"/>
        </w:rPr>
        <w:t xml:space="preserve">                                                                      </w:t>
      </w:r>
    </w:p>
    <w:p w14:paraId="0F4267AE">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法律依据：</w:t>
      </w:r>
      <w:r>
        <w:rPr>
          <w:rFonts w:hint="eastAsia" w:ascii="仿宋" w:hAnsi="仿宋" w:eastAsia="仿宋" w:cs="仿宋"/>
          <w:color w:val="auto"/>
          <w:kern w:val="0"/>
          <w:sz w:val="24"/>
          <w:highlight w:val="none"/>
          <w:u w:val="single"/>
        </w:rPr>
        <w:t xml:space="preserve">                                                        </w:t>
      </w:r>
      <w:r>
        <w:rPr>
          <w:rFonts w:hint="eastAsia" w:ascii="仿宋" w:hAnsi="仿宋" w:eastAsia="仿宋" w:cs="仿宋"/>
          <w:bCs/>
          <w:color w:val="auto"/>
          <w:kern w:val="0"/>
          <w:sz w:val="24"/>
          <w:highlight w:val="none"/>
          <w:u w:val="single"/>
        </w:rPr>
        <w:t xml:space="preserve">               </w:t>
      </w:r>
    </w:p>
    <w:p w14:paraId="6C29F3AD">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质疑事项2</w:t>
      </w:r>
    </w:p>
    <w:p w14:paraId="2A6F3804">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1E97623B">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四、与质疑事项相关的质疑请求：</w:t>
      </w:r>
    </w:p>
    <w:p w14:paraId="7E093182">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请求：</w:t>
      </w:r>
      <w:r>
        <w:rPr>
          <w:rFonts w:hint="eastAsia" w:ascii="仿宋" w:hAnsi="仿宋" w:eastAsia="仿宋" w:cs="仿宋"/>
          <w:bCs/>
          <w:color w:val="auto"/>
          <w:kern w:val="0"/>
          <w:sz w:val="24"/>
          <w:highlight w:val="none"/>
          <w:u w:val="single"/>
        </w:rPr>
        <w:t xml:space="preserve">                                                                </w:t>
      </w:r>
    </w:p>
    <w:p w14:paraId="2C9FFEE3">
      <w:pPr>
        <w:spacing w:line="360" w:lineRule="auto"/>
        <w:ind w:left="25" w:leftChars="12" w:firstLine="352" w:firstLineChars="147"/>
        <w:contextualSpacing/>
        <w:rPr>
          <w:rFonts w:ascii="仿宋" w:hAnsi="仿宋" w:eastAsia="仿宋" w:cs="仿宋"/>
          <w:color w:val="auto"/>
          <w:kern w:val="0"/>
          <w:sz w:val="24"/>
          <w:highlight w:val="none"/>
        </w:rPr>
      </w:pPr>
    </w:p>
    <w:p w14:paraId="3A74FFE8">
      <w:pPr>
        <w:spacing w:line="360" w:lineRule="auto"/>
        <w:ind w:left="25" w:leftChars="12" w:firstLine="472" w:firstLineChars="197"/>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签字（签章）：                                       公章：</w:t>
      </w:r>
    </w:p>
    <w:p w14:paraId="716FADF7">
      <w:pPr>
        <w:spacing w:line="360" w:lineRule="auto"/>
        <w:ind w:left="25" w:leftChars="12" w:firstLine="352" w:firstLineChars="147"/>
        <w:contextualSpacing/>
        <w:rPr>
          <w:rFonts w:ascii="仿宋" w:hAnsi="仿宋" w:eastAsia="仿宋" w:cs="仿宋"/>
          <w:color w:val="auto"/>
          <w:kern w:val="0"/>
          <w:sz w:val="24"/>
          <w:highlight w:val="none"/>
        </w:rPr>
      </w:pPr>
    </w:p>
    <w:p w14:paraId="1CF6DF9E">
      <w:pPr>
        <w:spacing w:line="360" w:lineRule="auto"/>
        <w:ind w:left="25" w:leftChars="12" w:firstLine="472" w:firstLineChars="197"/>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70C4EFD6">
      <w:pPr>
        <w:spacing w:line="360" w:lineRule="auto"/>
        <w:contextualSpacing/>
        <w:rPr>
          <w:rFonts w:ascii="仿宋" w:hAnsi="仿宋" w:eastAsia="仿宋" w:cs="仿宋"/>
          <w:b/>
          <w:color w:val="auto"/>
          <w:kern w:val="0"/>
          <w:sz w:val="24"/>
          <w:highlight w:val="none"/>
        </w:rPr>
      </w:pPr>
    </w:p>
    <w:p w14:paraId="3D5FF61C">
      <w:pPr>
        <w:spacing w:line="360" w:lineRule="auto"/>
        <w:contextualSpacing/>
        <w:rPr>
          <w:rFonts w:ascii="仿宋" w:hAnsi="仿宋" w:eastAsia="仿宋" w:cs="仿宋"/>
          <w:b/>
          <w:color w:val="auto"/>
          <w:kern w:val="0"/>
          <w:sz w:val="24"/>
          <w:highlight w:val="none"/>
        </w:rPr>
      </w:pPr>
    </w:p>
    <w:p w14:paraId="2A1227D0">
      <w:pPr>
        <w:spacing w:line="360" w:lineRule="auto"/>
        <w:contextualSpacing/>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说明：</w:t>
      </w:r>
    </w:p>
    <w:p w14:paraId="5E3F83B3">
      <w:pPr>
        <w:spacing w:line="360" w:lineRule="auto"/>
        <w:ind w:left="25" w:leftChars="12" w:firstLine="354" w:firstLineChars="147"/>
        <w:contextualSpacing/>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1.供应商提出质疑时，应提交质疑函和必要的证明材料</w:t>
      </w:r>
      <w:r>
        <w:rPr>
          <w:rFonts w:hint="eastAsia" w:ascii="仿宋" w:hAnsi="仿宋" w:eastAsia="仿宋" w:cs="仿宋"/>
          <w:b/>
          <w:bCs/>
          <w:color w:val="auto"/>
          <w:kern w:val="0"/>
          <w:sz w:val="24"/>
          <w:highlight w:val="none"/>
        </w:rPr>
        <w:t>。</w:t>
      </w:r>
    </w:p>
    <w:p w14:paraId="116D6F8E">
      <w:pPr>
        <w:spacing w:line="360" w:lineRule="auto"/>
        <w:ind w:left="25" w:leftChars="12" w:firstLine="354" w:firstLineChars="147"/>
        <w:contextualSpacing/>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78D731">
      <w:pPr>
        <w:spacing w:line="360" w:lineRule="auto"/>
        <w:ind w:left="25" w:leftChars="12" w:firstLine="354" w:firstLineChars="147"/>
        <w:contextualSpacing/>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3.质疑函的质疑事项应具体、明确，并有必要的事实依据和法律依据。</w:t>
      </w:r>
    </w:p>
    <w:p w14:paraId="560AA3A8">
      <w:pPr>
        <w:spacing w:line="360" w:lineRule="auto"/>
        <w:ind w:left="25" w:leftChars="12" w:firstLine="354" w:firstLineChars="147"/>
        <w:contextualSpacing/>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4.质疑函的质疑请求应与质疑事项相关。</w:t>
      </w:r>
    </w:p>
    <w:p w14:paraId="4D0E36C2">
      <w:pPr>
        <w:spacing w:line="360" w:lineRule="auto"/>
        <w:ind w:left="25" w:leftChars="12" w:firstLine="354" w:firstLineChars="147"/>
        <w:contextualSpacing/>
        <w:rPr>
          <w:rFonts w:ascii="仿宋" w:hAnsi="仿宋" w:eastAsia="仿宋" w:cs="仿宋"/>
          <w:b/>
          <w:color w:val="auto"/>
          <w:kern w:val="0"/>
          <w:sz w:val="20"/>
          <w:szCs w:val="21"/>
          <w:highlight w:val="none"/>
        </w:rPr>
      </w:pPr>
      <w:r>
        <w:rPr>
          <w:rFonts w:hint="eastAsia" w:ascii="仿宋" w:hAnsi="仿宋" w:eastAsia="仿宋" w:cs="仿宋"/>
          <w:b/>
          <w:color w:val="auto"/>
          <w:kern w:val="0"/>
          <w:sz w:val="24"/>
          <w:highlight w:val="none"/>
        </w:rPr>
        <w:t>5.质疑供应商为法人或者其他组织的，质疑函应由法定代表人、主要负责人，或者其授权代表签字或者盖章，并加盖公章。</w:t>
      </w:r>
    </w:p>
    <w:p w14:paraId="496AB5DC">
      <w:pPr>
        <w:snapToGrid w:val="0"/>
        <w:rPr>
          <w:rFonts w:ascii="仿宋" w:hAnsi="仿宋" w:eastAsia="仿宋" w:cs="仿宋"/>
          <w:b/>
          <w:color w:val="auto"/>
          <w:kern w:val="0"/>
          <w:sz w:val="24"/>
          <w:highlight w:val="none"/>
        </w:rPr>
      </w:pPr>
    </w:p>
    <w:p w14:paraId="188AD310">
      <w:pPr>
        <w:spacing w:line="460" w:lineRule="exact"/>
        <w:jc w:val="center"/>
        <w:rPr>
          <w:rFonts w:ascii="仿宋" w:hAnsi="仿宋" w:eastAsia="仿宋" w:cs="仿宋"/>
          <w:b/>
          <w:bCs/>
          <w:color w:val="auto"/>
          <w:sz w:val="32"/>
          <w:szCs w:val="32"/>
          <w:highlight w:val="none"/>
        </w:rPr>
      </w:pPr>
      <w:r>
        <w:rPr>
          <w:rFonts w:hint="eastAsia" w:ascii="仿宋" w:hAnsi="仿宋" w:eastAsia="仿宋" w:cs="仿宋"/>
          <w:color w:val="auto"/>
          <w:sz w:val="44"/>
          <w:highlight w:val="none"/>
        </w:rPr>
        <w:br w:type="page"/>
      </w:r>
      <w:r>
        <w:rPr>
          <w:rFonts w:hint="eastAsia" w:ascii="仿宋" w:hAnsi="仿宋" w:eastAsia="仿宋" w:cs="仿宋"/>
          <w:b/>
          <w:bCs/>
          <w:color w:val="auto"/>
          <w:sz w:val="32"/>
          <w:szCs w:val="32"/>
          <w:highlight w:val="none"/>
        </w:rPr>
        <w:t>投诉书（格式）</w:t>
      </w:r>
    </w:p>
    <w:p w14:paraId="2C39B0FB">
      <w:pPr>
        <w:snapToGrid w:val="0"/>
        <w:spacing w:before="120" w:beforeLines="50"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一、投诉相关主体基本情况：</w:t>
      </w:r>
    </w:p>
    <w:p w14:paraId="1E32B0A4">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7B50393A">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142AA60C">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法定代表人/主要负责人：</w:t>
      </w:r>
      <w:r>
        <w:rPr>
          <w:rFonts w:hint="eastAsia" w:ascii="仿宋" w:hAnsi="仿宋" w:eastAsia="仿宋" w:cs="仿宋"/>
          <w:bCs/>
          <w:color w:val="auto"/>
          <w:kern w:val="0"/>
          <w:sz w:val="24"/>
          <w:highlight w:val="none"/>
          <w:u w:val="single"/>
        </w:rPr>
        <w:t xml:space="preserve">                                                         </w:t>
      </w:r>
    </w:p>
    <w:p w14:paraId="1A2B0CDC">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651C9D62">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授权代表：</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2BFB6450">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p>
    <w:p w14:paraId="7437F8AF">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0A3F03FD">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被投诉人1：</w:t>
      </w:r>
    </w:p>
    <w:p w14:paraId="5F5CED1A">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p>
    <w:p w14:paraId="689A722A">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46413CF3">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p>
    <w:p w14:paraId="0B58B5E4">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被投诉人2：</w:t>
      </w:r>
    </w:p>
    <w:p w14:paraId="3193254D">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p w14:paraId="77666620">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相关供应商：</w:t>
      </w:r>
      <w:r>
        <w:rPr>
          <w:rFonts w:hint="eastAsia" w:ascii="仿宋" w:hAnsi="仿宋" w:eastAsia="仿宋" w:cs="仿宋"/>
          <w:bCs/>
          <w:color w:val="auto"/>
          <w:kern w:val="0"/>
          <w:sz w:val="24"/>
          <w:highlight w:val="none"/>
          <w:u w:val="single"/>
        </w:rPr>
        <w:t xml:space="preserve">                                                                       </w:t>
      </w:r>
    </w:p>
    <w:p w14:paraId="28B52D74">
      <w:pPr>
        <w:snapToGrid w:val="0"/>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地址：</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邮编：</w:t>
      </w:r>
      <w:r>
        <w:rPr>
          <w:rFonts w:hint="eastAsia" w:ascii="仿宋" w:hAnsi="仿宋" w:eastAsia="仿宋" w:cs="仿宋"/>
          <w:bCs/>
          <w:color w:val="auto"/>
          <w:kern w:val="0"/>
          <w:sz w:val="24"/>
          <w:highlight w:val="none"/>
          <w:u w:val="single"/>
        </w:rPr>
        <w:t xml:space="preserve">                         </w:t>
      </w:r>
    </w:p>
    <w:p w14:paraId="12A6B42B">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联系人：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联系电话：</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 xml:space="preserve">                </w:t>
      </w:r>
    </w:p>
    <w:p w14:paraId="5BD261DF">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二、投诉项目基本情况：</w:t>
      </w:r>
    </w:p>
    <w:p w14:paraId="23E6DB1C">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采购</w:t>
      </w:r>
      <w:r>
        <w:rPr>
          <w:rFonts w:hint="eastAsia" w:ascii="仿宋" w:hAnsi="仿宋" w:eastAsia="仿宋" w:cs="仿宋"/>
          <w:color w:val="auto"/>
          <w:kern w:val="0"/>
          <w:sz w:val="24"/>
          <w:highlight w:val="none"/>
        </w:rPr>
        <w:t>项目的名称：</w:t>
      </w:r>
      <w:r>
        <w:rPr>
          <w:rFonts w:hint="eastAsia" w:ascii="仿宋" w:hAnsi="仿宋" w:eastAsia="仿宋" w:cs="仿宋"/>
          <w:bCs/>
          <w:color w:val="auto"/>
          <w:kern w:val="0"/>
          <w:sz w:val="24"/>
          <w:highlight w:val="none"/>
          <w:u w:val="single"/>
        </w:rPr>
        <w:t xml:space="preserve">                                                                   </w:t>
      </w:r>
    </w:p>
    <w:p w14:paraId="0763BCC1">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采购</w:t>
      </w:r>
      <w:r>
        <w:rPr>
          <w:rFonts w:hint="eastAsia" w:ascii="仿宋" w:hAnsi="仿宋" w:eastAsia="仿宋" w:cs="仿宋"/>
          <w:color w:val="auto"/>
          <w:kern w:val="0"/>
          <w:sz w:val="24"/>
          <w:highlight w:val="none"/>
        </w:rPr>
        <w:t>项目的编号：</w:t>
      </w:r>
      <w:r>
        <w:rPr>
          <w:rFonts w:hint="eastAsia" w:ascii="仿宋" w:hAnsi="仿宋" w:eastAsia="仿宋" w:cs="仿宋"/>
          <w:bCs/>
          <w:color w:val="auto"/>
          <w:kern w:val="0"/>
          <w:sz w:val="24"/>
          <w:highlight w:val="none"/>
          <w:u w:val="single"/>
        </w:rPr>
        <w:t xml:space="preserve">                                          </w:t>
      </w:r>
    </w:p>
    <w:p w14:paraId="0E96661E">
      <w:pPr>
        <w:spacing w:line="360" w:lineRule="auto"/>
        <w:ind w:left="25" w:leftChars="12" w:firstLine="472" w:firstLineChars="197"/>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采购人名称：</w:t>
      </w:r>
      <w:r>
        <w:rPr>
          <w:rFonts w:hint="eastAsia" w:ascii="仿宋" w:hAnsi="仿宋" w:eastAsia="仿宋" w:cs="仿宋"/>
          <w:bCs/>
          <w:color w:val="auto"/>
          <w:kern w:val="0"/>
          <w:sz w:val="24"/>
          <w:highlight w:val="none"/>
          <w:u w:val="single"/>
        </w:rPr>
        <w:t xml:space="preserve">                                                                        </w:t>
      </w:r>
    </w:p>
    <w:p w14:paraId="4CF3172E">
      <w:pPr>
        <w:spacing w:line="360" w:lineRule="auto"/>
        <w:ind w:left="25" w:leftChars="12" w:firstLine="472" w:firstLineChars="197"/>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代理机构名称：</w:t>
      </w:r>
      <w:r>
        <w:rPr>
          <w:rFonts w:hint="eastAsia" w:ascii="仿宋" w:hAnsi="仿宋" w:eastAsia="仿宋" w:cs="仿宋"/>
          <w:bCs/>
          <w:color w:val="auto"/>
          <w:kern w:val="0"/>
          <w:sz w:val="24"/>
          <w:highlight w:val="none"/>
          <w:u w:val="single"/>
        </w:rPr>
        <w:t xml:space="preserve">                                                                      </w:t>
      </w:r>
    </w:p>
    <w:p w14:paraId="1C78F294">
      <w:pPr>
        <w:spacing w:line="360" w:lineRule="auto"/>
        <w:ind w:left="25" w:leftChars="12" w:firstLine="472" w:firstLineChars="197"/>
        <w:rPr>
          <w:rFonts w:ascii="仿宋" w:hAnsi="仿宋" w:eastAsia="仿宋" w:cs="仿宋"/>
          <w:bCs/>
          <w:color w:val="auto"/>
          <w:kern w:val="0"/>
          <w:sz w:val="24"/>
          <w:highlight w:val="none"/>
          <w:u w:val="single"/>
        </w:rPr>
      </w:pPr>
      <w:r>
        <w:rPr>
          <w:rFonts w:ascii="仿宋" w:hAnsi="仿宋" w:eastAsia="仿宋" w:cs="仿宋"/>
          <w:bCs/>
          <w:color w:val="auto"/>
          <w:kern w:val="0"/>
          <w:sz w:val="24"/>
          <w:highlight w:val="none"/>
        </w:rPr>
        <w:t>采购文件</w:t>
      </w:r>
      <w:r>
        <w:rPr>
          <w:rFonts w:hint="eastAsia" w:ascii="仿宋" w:hAnsi="仿宋" w:eastAsia="仿宋" w:cs="仿宋"/>
          <w:bCs/>
          <w:color w:val="auto"/>
          <w:kern w:val="0"/>
          <w:sz w:val="24"/>
          <w:highlight w:val="none"/>
        </w:rPr>
        <w:t>公告：</w:t>
      </w:r>
      <w:r>
        <w:rPr>
          <w:rFonts w:hint="eastAsia" w:ascii="仿宋" w:hAnsi="仿宋" w:eastAsia="仿宋" w:cs="仿宋"/>
          <w:bCs/>
          <w:color w:val="auto"/>
          <w:kern w:val="0"/>
          <w:sz w:val="24"/>
          <w:highlight w:val="none"/>
          <w:u w:val="single"/>
        </w:rPr>
        <w:t>是/否</w:t>
      </w:r>
      <w:r>
        <w:rPr>
          <w:rFonts w:hint="eastAsia" w:ascii="仿宋" w:hAnsi="仿宋" w:eastAsia="仿宋" w:cs="仿宋"/>
          <w:bCs/>
          <w:color w:val="auto"/>
          <w:kern w:val="0"/>
          <w:sz w:val="24"/>
          <w:highlight w:val="none"/>
        </w:rPr>
        <w:t>公告期限：</w:t>
      </w:r>
      <w:r>
        <w:rPr>
          <w:rFonts w:hint="eastAsia" w:ascii="仿宋" w:hAnsi="仿宋" w:eastAsia="仿宋" w:cs="仿宋"/>
          <w:bCs/>
          <w:color w:val="auto"/>
          <w:kern w:val="0"/>
          <w:sz w:val="24"/>
          <w:highlight w:val="none"/>
          <w:u w:val="single"/>
        </w:rPr>
        <w:t xml:space="preserve">                                                       </w:t>
      </w:r>
    </w:p>
    <w:p w14:paraId="4D91DD2F">
      <w:pPr>
        <w:spacing w:line="360" w:lineRule="auto"/>
        <w:ind w:left="25" w:leftChars="12" w:firstLine="472" w:firstLineChars="197"/>
        <w:rPr>
          <w:rFonts w:ascii="仿宋" w:hAnsi="仿宋" w:eastAsia="仿宋" w:cs="仿宋"/>
          <w:b/>
          <w:color w:val="auto"/>
          <w:kern w:val="0"/>
          <w:sz w:val="24"/>
          <w:highlight w:val="none"/>
        </w:rPr>
      </w:pPr>
      <w:r>
        <w:rPr>
          <w:rFonts w:hint="eastAsia" w:ascii="仿宋" w:hAnsi="仿宋" w:eastAsia="仿宋" w:cs="仿宋"/>
          <w:bCs/>
          <w:color w:val="auto"/>
          <w:kern w:val="0"/>
          <w:sz w:val="24"/>
          <w:highlight w:val="none"/>
        </w:rPr>
        <w:t>采购结果公告：</w:t>
      </w:r>
      <w:r>
        <w:rPr>
          <w:rFonts w:hint="eastAsia" w:ascii="仿宋" w:hAnsi="仿宋" w:eastAsia="仿宋" w:cs="仿宋"/>
          <w:bCs/>
          <w:color w:val="auto"/>
          <w:kern w:val="0"/>
          <w:sz w:val="24"/>
          <w:highlight w:val="none"/>
          <w:u w:val="single"/>
        </w:rPr>
        <w:t>是/否</w:t>
      </w:r>
      <w:r>
        <w:rPr>
          <w:rFonts w:hint="eastAsia" w:ascii="仿宋" w:hAnsi="仿宋" w:eastAsia="仿宋" w:cs="仿宋"/>
          <w:bCs/>
          <w:color w:val="auto"/>
          <w:kern w:val="0"/>
          <w:sz w:val="24"/>
          <w:highlight w:val="none"/>
        </w:rPr>
        <w:t>公告期限：</w:t>
      </w:r>
      <w:r>
        <w:rPr>
          <w:rFonts w:hint="eastAsia" w:ascii="仿宋" w:hAnsi="仿宋" w:eastAsia="仿宋" w:cs="仿宋"/>
          <w:bCs/>
          <w:color w:val="auto"/>
          <w:kern w:val="0"/>
          <w:sz w:val="24"/>
          <w:highlight w:val="none"/>
          <w:u w:val="single"/>
        </w:rPr>
        <w:t xml:space="preserve">                                                       </w:t>
      </w:r>
    </w:p>
    <w:p w14:paraId="554DA149">
      <w:pPr>
        <w:spacing w:line="360" w:lineRule="auto"/>
        <w:ind w:left="25" w:leftChars="12"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三、质疑基本情况</w:t>
      </w:r>
    </w:p>
    <w:p w14:paraId="5539AA39">
      <w:pPr>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投诉人于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提出质疑，质疑事项为：</w:t>
      </w:r>
      <w:r>
        <w:rPr>
          <w:rFonts w:hint="eastAsia" w:ascii="仿宋" w:hAnsi="仿宋" w:eastAsia="仿宋" w:cs="仿宋"/>
          <w:bCs/>
          <w:color w:val="auto"/>
          <w:kern w:val="0"/>
          <w:sz w:val="24"/>
          <w:highlight w:val="none"/>
          <w:u w:val="single"/>
        </w:rPr>
        <w:t xml:space="preserve">                                                                                      </w:t>
      </w:r>
    </w:p>
    <w:p w14:paraId="6CBADC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u w:val="single"/>
        </w:rPr>
        <w:t>采购人/代理机构</w:t>
      </w:r>
      <w:r>
        <w:rPr>
          <w:rFonts w:hint="eastAsia" w:ascii="仿宋" w:hAnsi="仿宋" w:eastAsia="仿宋" w:cs="仿宋"/>
          <w:bCs/>
          <w:color w:val="auto"/>
          <w:kern w:val="0"/>
          <w:sz w:val="24"/>
          <w:highlight w:val="none"/>
        </w:rPr>
        <w:t>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bCs/>
          <w:color w:val="auto"/>
          <w:kern w:val="0"/>
          <w:sz w:val="24"/>
          <w:highlight w:val="none"/>
        </w:rPr>
        <w:t xml:space="preserve">就质疑事项作出了答复/没有在法定期限内作出答复。                                                                                             </w:t>
      </w:r>
    </w:p>
    <w:p w14:paraId="22D2D830">
      <w:pPr>
        <w:spacing w:line="360" w:lineRule="auto"/>
        <w:ind w:left="25" w:leftChars="12"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四、投诉事项具体内容</w:t>
      </w:r>
    </w:p>
    <w:p w14:paraId="5E9131E0">
      <w:pPr>
        <w:spacing w:line="360" w:lineRule="auto"/>
        <w:ind w:left="25" w:leftChars="12" w:firstLine="472" w:firstLineChars="197"/>
        <w:rPr>
          <w:rFonts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投诉事项1：</w:t>
      </w:r>
      <w:r>
        <w:rPr>
          <w:rFonts w:hint="eastAsia" w:ascii="仿宋" w:hAnsi="仿宋" w:eastAsia="仿宋" w:cs="仿宋"/>
          <w:bCs/>
          <w:color w:val="auto"/>
          <w:kern w:val="0"/>
          <w:sz w:val="24"/>
          <w:highlight w:val="none"/>
          <w:u w:val="single"/>
        </w:rPr>
        <w:t xml:space="preserve">                                                                           </w:t>
      </w:r>
    </w:p>
    <w:p w14:paraId="02CDF110">
      <w:pPr>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事实依据：</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59C1035F">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u w:val="single"/>
        </w:rPr>
        <w:t xml:space="preserve">                                                                                        </w:t>
      </w:r>
    </w:p>
    <w:p w14:paraId="78159467">
      <w:pPr>
        <w:spacing w:line="360" w:lineRule="auto"/>
        <w:ind w:firstLine="480" w:firstLineChars="200"/>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法律依据：</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32C1AC5E">
      <w:pPr>
        <w:spacing w:line="360" w:lineRule="auto"/>
        <w:ind w:left="25" w:leftChars="12" w:firstLine="352" w:firstLineChars="147"/>
        <w:rPr>
          <w:rFonts w:ascii="仿宋" w:hAnsi="仿宋" w:eastAsia="仿宋" w:cs="仿宋"/>
          <w:bCs/>
          <w:color w:val="auto"/>
          <w:kern w:val="0"/>
          <w:sz w:val="24"/>
          <w:highlight w:val="none"/>
          <w:u w:val="single"/>
        </w:rPr>
      </w:pPr>
      <w:r>
        <w:rPr>
          <w:rFonts w:hint="eastAsia" w:ascii="仿宋" w:hAnsi="仿宋" w:eastAsia="仿宋" w:cs="仿宋"/>
          <w:bCs/>
          <w:color w:val="auto"/>
          <w:kern w:val="0"/>
          <w:sz w:val="24"/>
          <w:highlight w:val="none"/>
        </w:rPr>
        <w:t xml:space="preserve"> </w:t>
      </w:r>
      <w:r>
        <w:rPr>
          <w:rFonts w:hint="eastAsia" w:ascii="仿宋" w:hAnsi="仿宋" w:eastAsia="仿宋" w:cs="仿宋"/>
          <w:bCs/>
          <w:color w:val="auto"/>
          <w:kern w:val="0"/>
          <w:sz w:val="24"/>
          <w:highlight w:val="none"/>
          <w:u w:val="single"/>
        </w:rPr>
        <w:t xml:space="preserve">                                                                                        </w:t>
      </w:r>
    </w:p>
    <w:p w14:paraId="02D8720D">
      <w:pPr>
        <w:spacing w:line="360" w:lineRule="auto"/>
        <w:ind w:left="25" w:leftChars="12" w:firstLine="472" w:firstLineChars="197"/>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 xml:space="preserve">投诉事项2  </w:t>
      </w:r>
      <w:r>
        <w:rPr>
          <w:rFonts w:hint="eastAsia" w:ascii="仿宋" w:hAnsi="仿宋" w:eastAsia="仿宋" w:cs="仿宋"/>
          <w:bCs/>
          <w:color w:val="auto"/>
          <w:kern w:val="0"/>
          <w:sz w:val="24"/>
          <w:highlight w:val="none"/>
        </w:rPr>
        <w:t xml:space="preserve">   </w:t>
      </w:r>
    </w:p>
    <w:p w14:paraId="5E98D398">
      <w:pPr>
        <w:spacing w:line="360" w:lineRule="auto"/>
        <w:ind w:left="25" w:leftChars="12" w:firstLine="472" w:firstLineChars="197"/>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p w14:paraId="06DE6026">
      <w:pPr>
        <w:spacing w:line="360" w:lineRule="auto"/>
        <w:ind w:left="25" w:leftChars="12"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五、与投诉事项相关的投诉请求：</w:t>
      </w:r>
    </w:p>
    <w:p w14:paraId="2DE0C228">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请求：</w:t>
      </w:r>
      <w:r>
        <w:rPr>
          <w:rFonts w:hint="eastAsia" w:ascii="仿宋" w:hAnsi="仿宋" w:eastAsia="仿宋" w:cs="仿宋"/>
          <w:bCs/>
          <w:color w:val="auto"/>
          <w:kern w:val="0"/>
          <w:sz w:val="24"/>
          <w:highlight w:val="none"/>
          <w:u w:val="single"/>
        </w:rPr>
        <w:t xml:space="preserve">                                                                                 </w:t>
      </w:r>
    </w:p>
    <w:p w14:paraId="1A8100AC">
      <w:pPr>
        <w:spacing w:line="360" w:lineRule="auto"/>
        <w:ind w:left="25" w:leftChars="12" w:firstLine="352" w:firstLineChars="147"/>
        <w:rPr>
          <w:rFonts w:ascii="仿宋" w:hAnsi="仿宋" w:eastAsia="仿宋" w:cs="仿宋"/>
          <w:color w:val="auto"/>
          <w:kern w:val="0"/>
          <w:sz w:val="24"/>
          <w:highlight w:val="none"/>
        </w:rPr>
      </w:pPr>
    </w:p>
    <w:p w14:paraId="075555B6">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签字（签章）：                                       公章：</w:t>
      </w:r>
    </w:p>
    <w:p w14:paraId="227E6879">
      <w:pPr>
        <w:spacing w:line="360" w:lineRule="auto"/>
        <w:ind w:left="25" w:leftChars="12" w:firstLine="352" w:firstLineChars="147"/>
        <w:rPr>
          <w:rFonts w:ascii="仿宋" w:hAnsi="仿宋" w:eastAsia="仿宋" w:cs="仿宋"/>
          <w:color w:val="auto"/>
          <w:kern w:val="0"/>
          <w:sz w:val="24"/>
          <w:highlight w:val="none"/>
        </w:rPr>
      </w:pPr>
    </w:p>
    <w:p w14:paraId="53D7E501">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00ECE9A3">
      <w:pPr>
        <w:spacing w:line="360" w:lineRule="auto"/>
        <w:ind w:left="25" w:leftChars="12" w:firstLine="472" w:firstLineChars="197"/>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 xml:space="preserve">                                                                                 </w:t>
      </w:r>
    </w:p>
    <w:p w14:paraId="43456462">
      <w:pPr>
        <w:snapToGrid w:val="0"/>
        <w:spacing w:line="360" w:lineRule="auto"/>
        <w:rPr>
          <w:rFonts w:ascii="仿宋" w:hAnsi="仿宋" w:eastAsia="仿宋" w:cs="仿宋"/>
          <w:b/>
          <w:color w:val="auto"/>
          <w:kern w:val="0"/>
          <w:sz w:val="24"/>
          <w:highlight w:val="none"/>
        </w:rPr>
      </w:pPr>
    </w:p>
    <w:p w14:paraId="5B3C6E78">
      <w:pPr>
        <w:snapToGrid w:val="0"/>
        <w:spacing w:line="360" w:lineRule="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说明：</w:t>
      </w:r>
    </w:p>
    <w:p w14:paraId="5961FDCC">
      <w:pPr>
        <w:spacing w:line="360" w:lineRule="auto"/>
        <w:ind w:left="25" w:leftChars="12" w:firstLine="354" w:firstLineChars="147"/>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kern w:val="0"/>
          <w:sz w:val="24"/>
          <w:highlight w:val="none"/>
        </w:rPr>
        <w:t>。</w:t>
      </w:r>
    </w:p>
    <w:p w14:paraId="73AB4C1C">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2A4FB0">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3.投诉书应简要列明质疑事项，质疑函、质疑答复等作为附件材料提供。</w:t>
      </w:r>
    </w:p>
    <w:p w14:paraId="114AEF9E">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4.投诉书的投诉事项应具体、明确，并有必要的事实依据和法律依据。</w:t>
      </w:r>
    </w:p>
    <w:p w14:paraId="63FE9F30">
      <w:pPr>
        <w:spacing w:line="360" w:lineRule="auto"/>
        <w:ind w:left="25" w:leftChars="12" w:firstLine="354" w:firstLineChars="14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5.投诉书的投诉请求应与投诉事项相关。</w:t>
      </w:r>
    </w:p>
    <w:p w14:paraId="25B1B4B2">
      <w:pPr>
        <w:spacing w:line="360" w:lineRule="auto"/>
        <w:ind w:left="25" w:leftChars="12" w:firstLine="354" w:firstLineChars="147"/>
        <w:rPr>
          <w:rFonts w:ascii="仿宋" w:hAnsi="仿宋" w:eastAsia="仿宋" w:cs="仿宋"/>
          <w:b/>
          <w:color w:val="auto"/>
          <w:kern w:val="0"/>
          <w:sz w:val="20"/>
          <w:szCs w:val="21"/>
          <w:highlight w:val="none"/>
        </w:rPr>
      </w:pPr>
      <w:r>
        <w:rPr>
          <w:rFonts w:hint="eastAsia" w:ascii="仿宋" w:hAnsi="仿宋" w:eastAsia="仿宋" w:cs="仿宋"/>
          <w:b/>
          <w:color w:val="auto"/>
          <w:kern w:val="0"/>
          <w:sz w:val="24"/>
          <w:highlight w:val="none"/>
        </w:rPr>
        <w:t>6.投诉人为法人或者其他组织的，投诉书应由法定代表人、主要负责人，或者其授权代表签字或者盖章，并加盖公章。</w:t>
      </w:r>
    </w:p>
    <w:p w14:paraId="1DCD5645">
      <w:pPr>
        <w:pStyle w:val="18"/>
        <w:spacing w:line="360" w:lineRule="auto"/>
        <w:rPr>
          <w:rFonts w:hAnsi="宋体"/>
          <w:b/>
          <w:color w:val="auto"/>
          <w:highlight w:val="none"/>
        </w:rPr>
      </w:pPr>
    </w:p>
    <w:sectPr>
      <w:pgSz w:w="11911" w:h="16838"/>
      <w:pgMar w:top="1338" w:right="1502" w:bottom="850" w:left="1678" w:header="1077"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7774">
    <w:pPr>
      <w:pStyle w:val="21"/>
      <w:tabs>
        <w:tab w:val="center" w:pos="4439"/>
        <w:tab w:val="clear" w:pos="4153"/>
      </w:tabs>
      <w:jc w:val="both"/>
    </w:pPr>
  </w:p>
  <w:p w14:paraId="42EDEB9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7FE1">
    <w:pPr>
      <w:pStyle w:val="21"/>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9D7641"/>
                      </w:txbxContent>
                    </wps:txbx>
                    <wps:bodyPr wrap="none" lIns="0" tIns="0" rIns="0" bIns="0">
                      <a:spAutoFit/>
                    </wps:bodyPr>
                  </wps:wsp>
                </a:graphicData>
              </a:graphic>
            </wp:anchor>
          </w:drawing>
        </mc:Choice>
        <mc:Fallback>
          <w:pict>
            <v:shape id="文本框 51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I+IcQBAACQ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ylx3OLAL9+/XX78uvz8Sl4s&#10;V6+yQn2AGhPvAqam4Y0fcG9mP6AzEx9UtPmLlAjGUd/zVV85JCLyo/Vqva4wJDA2XxCf3T8PEdJb&#10;6S3JRkMjDrDoyk/vIY2pc0qu5vytNqYM0bi/HIiZPSz3PvaYrTTsh4nQ3rdn5NPj7BvqcNUpMe8c&#10;SpvXZDbibOwnI9eA8PqYsHDpJ6OOUFMxHFRhNC1V3oQ/7yXr/k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9FI+IcQBAACQAwAADgAAAAAAAAABACAAAAAeAQAAZHJzL2Uyb0RvYy54bWxQ&#10;SwUGAAAAAAYABgBZAQAAVAUAAAAA&#10;">
              <v:fill on="f" focussize="0,0"/>
              <v:stroke on="f"/>
              <v:imagedata o:title=""/>
              <o:lock v:ext="edit" aspectratio="f"/>
              <v:textbox inset="0mm,0mm,0mm,0mm" style="mso-fit-shape-to-text:t;">
                <w:txbxContent>
                  <w:p w14:paraId="5E9D764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28A6">
    <w:pPr>
      <w:pStyle w:val="21"/>
      <w:tabs>
        <w:tab w:val="center" w:pos="4439"/>
        <w:tab w:val="clear" w:pos="4153"/>
      </w:tabs>
      <w:jc w:val="both"/>
    </w:pPr>
  </w:p>
  <w:p w14:paraId="1FE0D275">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C045">
    <w:pPr>
      <w:pStyle w:val="21"/>
      <w:tabs>
        <w:tab w:val="center" w:pos="4365"/>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6C7C7">
                          <w:pPr>
                            <w:pStyle w:val="21"/>
                          </w:pPr>
                          <w:r>
                            <w:fldChar w:fldCharType="begin"/>
                          </w:r>
                          <w:r>
                            <w:instrText xml:space="preserve"> PAGE  \* MERGEFORMAT </w:instrText>
                          </w:r>
                          <w:r>
                            <w:fldChar w:fldCharType="separate"/>
                          </w:r>
                          <w:r>
                            <w:t>3</w:t>
                          </w:r>
                          <w:r>
                            <w:fldChar w:fldCharType="end"/>
                          </w:r>
                        </w:p>
                      </w:txbxContent>
                    </wps:txbx>
                    <wps:bodyPr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E6gk9tkBAAC1AwAADgAAAAAAAAABACAA&#10;AAAeAQAAZHJzL2Uyb0RvYy54bWxQSwUGAAAAAAYABgBZAQAAaQUAAAAA&#10;">
              <v:fill on="f" focussize="0,0"/>
              <v:stroke on="f"/>
              <v:imagedata o:title=""/>
              <o:lock v:ext="edit" aspectratio="f"/>
              <v:textbox inset="0mm,0mm,0mm,0mm" style="mso-fit-shape-to-text:t;">
                <w:txbxContent>
                  <w:p w14:paraId="0646C7C7">
                    <w:pPr>
                      <w:pStyle w:val="2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p w14:paraId="12C56CF0">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37F5">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839ECE">
                          <w:pPr>
                            <w:pStyle w:val="21"/>
                            <w:jc w:val="center"/>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51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SFHnvaAQAAtQMAAA4AAAAAAAAAAQAg&#10;AAAAHgEAAGRycy9lMm9Eb2MueG1sUEsFBgAAAAAGAAYAWQEAAGoFAAAAAA==&#10;">
              <v:fill on="f" focussize="0,0"/>
              <v:stroke on="f"/>
              <v:imagedata o:title=""/>
              <o:lock v:ext="edit" aspectratio="f"/>
              <v:textbox inset="0mm,0mm,0mm,0mm" style="mso-fit-shape-to-text:t;">
                <w:txbxContent>
                  <w:p w14:paraId="67839ECE">
                    <w:pPr>
                      <w:pStyle w:val="21"/>
                      <w:jc w:val="center"/>
                    </w:pPr>
                    <w:r>
                      <w:fldChar w:fldCharType="begin"/>
                    </w:r>
                    <w:r>
                      <w:instrText xml:space="preserve"> PAGE  \* MERGEFORMAT </w:instrText>
                    </w:r>
                    <w:r>
                      <w:fldChar w:fldCharType="separate"/>
                    </w:r>
                    <w:r>
                      <w:t>42</w:t>
                    </w:r>
                    <w:r>
                      <w:fldChar w:fldCharType="end"/>
                    </w:r>
                  </w:p>
                </w:txbxContent>
              </v:textbox>
            </v:shape>
          </w:pict>
        </mc:Fallback>
      </mc:AlternateContent>
    </w:r>
  </w:p>
  <w:p w14:paraId="43814EA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31B9">
    <w:pPr>
      <w:pStyle w:val="22"/>
      <w:tabs>
        <w:tab w:val="center" w:pos="0"/>
        <w:tab w:val="clear" w:pos="4153"/>
      </w:tabs>
    </w:pPr>
    <w:r>
      <w:rPr>
        <w:rFonts w:hint="eastAsia"/>
      </w:rPr>
      <w:t>梧州市公安局城东派出所执法办案管理区建设项目WZZC2022-J1-0XXXX-HRCW</w:t>
    </w:r>
  </w:p>
  <w:p w14:paraId="52E6D6BB">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D9A9">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6A34C"/>
    <w:multiLevelType w:val="singleLevel"/>
    <w:tmpl w:val="E306A34C"/>
    <w:lvl w:ilvl="0" w:tentative="0">
      <w:start w:val="1"/>
      <w:numFmt w:val="decimal"/>
      <w:suff w:val="nothing"/>
      <w:lvlText w:val="%1、"/>
      <w:lvlJc w:val="left"/>
      <w:pPr>
        <w:ind w:left="150"/>
      </w:pPr>
    </w:lvl>
  </w:abstractNum>
  <w:abstractNum w:abstractNumId="1">
    <w:nsid w:val="68CEE0A3"/>
    <w:multiLevelType w:val="singleLevel"/>
    <w:tmpl w:val="68CEE0A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YzQ0OTY1NTFmMGYyNzJkNWNjMWFhOTEzY2M0ZDc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C3C"/>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3840"/>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5DF4"/>
    <w:rsid w:val="001263B8"/>
    <w:rsid w:val="0012763E"/>
    <w:rsid w:val="00130217"/>
    <w:rsid w:val="00130783"/>
    <w:rsid w:val="00130A47"/>
    <w:rsid w:val="00130D7C"/>
    <w:rsid w:val="001313DA"/>
    <w:rsid w:val="0013195F"/>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CE7"/>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2DBF"/>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1CCE"/>
    <w:rsid w:val="00312504"/>
    <w:rsid w:val="00313026"/>
    <w:rsid w:val="00313913"/>
    <w:rsid w:val="0031421F"/>
    <w:rsid w:val="00314B31"/>
    <w:rsid w:val="00315A65"/>
    <w:rsid w:val="003165D7"/>
    <w:rsid w:val="00317BA7"/>
    <w:rsid w:val="00320BE2"/>
    <w:rsid w:val="00321886"/>
    <w:rsid w:val="00323694"/>
    <w:rsid w:val="00323BE7"/>
    <w:rsid w:val="00324236"/>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958"/>
    <w:rsid w:val="0034575A"/>
    <w:rsid w:val="00345F57"/>
    <w:rsid w:val="00346975"/>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3712"/>
    <w:rsid w:val="0038444F"/>
    <w:rsid w:val="003861F0"/>
    <w:rsid w:val="00387051"/>
    <w:rsid w:val="00387ECF"/>
    <w:rsid w:val="0039021B"/>
    <w:rsid w:val="00390429"/>
    <w:rsid w:val="003906A0"/>
    <w:rsid w:val="0039366C"/>
    <w:rsid w:val="00393EC8"/>
    <w:rsid w:val="003950F5"/>
    <w:rsid w:val="0039538F"/>
    <w:rsid w:val="00395E42"/>
    <w:rsid w:val="00396409"/>
    <w:rsid w:val="00396643"/>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78A"/>
    <w:rsid w:val="003C7898"/>
    <w:rsid w:val="003D0FF5"/>
    <w:rsid w:val="003D11A3"/>
    <w:rsid w:val="003D1537"/>
    <w:rsid w:val="003D15DE"/>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1983"/>
    <w:rsid w:val="00413442"/>
    <w:rsid w:val="00413821"/>
    <w:rsid w:val="00413BA5"/>
    <w:rsid w:val="004141A3"/>
    <w:rsid w:val="00414909"/>
    <w:rsid w:val="0041582F"/>
    <w:rsid w:val="00416112"/>
    <w:rsid w:val="00416125"/>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2C"/>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4EF"/>
    <w:rsid w:val="0048590F"/>
    <w:rsid w:val="00486D60"/>
    <w:rsid w:val="00491FA1"/>
    <w:rsid w:val="00492A25"/>
    <w:rsid w:val="004938A3"/>
    <w:rsid w:val="0049558B"/>
    <w:rsid w:val="0049609C"/>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54B"/>
    <w:rsid w:val="004D4701"/>
    <w:rsid w:val="004D47C7"/>
    <w:rsid w:val="004D4F35"/>
    <w:rsid w:val="004D5D45"/>
    <w:rsid w:val="004D600D"/>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8D5"/>
    <w:rsid w:val="00567B5D"/>
    <w:rsid w:val="00570080"/>
    <w:rsid w:val="00570757"/>
    <w:rsid w:val="0057240E"/>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C79C0"/>
    <w:rsid w:val="005D02E3"/>
    <w:rsid w:val="005D1F34"/>
    <w:rsid w:val="005D2C1F"/>
    <w:rsid w:val="005D2DE8"/>
    <w:rsid w:val="005D34B2"/>
    <w:rsid w:val="005D3B54"/>
    <w:rsid w:val="005D40CD"/>
    <w:rsid w:val="005D5903"/>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153"/>
    <w:rsid w:val="005F6D58"/>
    <w:rsid w:val="005F7383"/>
    <w:rsid w:val="0060058E"/>
    <w:rsid w:val="00601600"/>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69D"/>
    <w:rsid w:val="0062181E"/>
    <w:rsid w:val="0062211B"/>
    <w:rsid w:val="00622BB7"/>
    <w:rsid w:val="00622C1E"/>
    <w:rsid w:val="00623389"/>
    <w:rsid w:val="00623DAA"/>
    <w:rsid w:val="00623FAF"/>
    <w:rsid w:val="006265C4"/>
    <w:rsid w:val="0062678A"/>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C4"/>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A4C"/>
    <w:rsid w:val="006E2D39"/>
    <w:rsid w:val="006E32B0"/>
    <w:rsid w:val="006E348E"/>
    <w:rsid w:val="006E396A"/>
    <w:rsid w:val="006E3D63"/>
    <w:rsid w:val="006E58BF"/>
    <w:rsid w:val="006E5DD8"/>
    <w:rsid w:val="006E5EA1"/>
    <w:rsid w:val="006E6B0B"/>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A114E"/>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140"/>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DE1"/>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1F3C"/>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5396"/>
    <w:rsid w:val="008C6118"/>
    <w:rsid w:val="008C6341"/>
    <w:rsid w:val="008C731F"/>
    <w:rsid w:val="008C74D9"/>
    <w:rsid w:val="008D219E"/>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5839"/>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325A"/>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665"/>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56"/>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18E"/>
    <w:rsid w:val="009D3A2E"/>
    <w:rsid w:val="009D5ADE"/>
    <w:rsid w:val="009D5BAC"/>
    <w:rsid w:val="009D5C56"/>
    <w:rsid w:val="009D6265"/>
    <w:rsid w:val="009D64BD"/>
    <w:rsid w:val="009D6CB1"/>
    <w:rsid w:val="009E0286"/>
    <w:rsid w:val="009E153F"/>
    <w:rsid w:val="009E245E"/>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39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2A2"/>
    <w:rsid w:val="00A75DF5"/>
    <w:rsid w:val="00A75EF9"/>
    <w:rsid w:val="00A8311C"/>
    <w:rsid w:val="00A835D0"/>
    <w:rsid w:val="00A84C5F"/>
    <w:rsid w:val="00A857A7"/>
    <w:rsid w:val="00A85930"/>
    <w:rsid w:val="00A863F7"/>
    <w:rsid w:val="00A86604"/>
    <w:rsid w:val="00A871B0"/>
    <w:rsid w:val="00A87519"/>
    <w:rsid w:val="00A92040"/>
    <w:rsid w:val="00A9246D"/>
    <w:rsid w:val="00A92CCA"/>
    <w:rsid w:val="00A93BD0"/>
    <w:rsid w:val="00A93CC2"/>
    <w:rsid w:val="00A974CC"/>
    <w:rsid w:val="00AA2001"/>
    <w:rsid w:val="00AA2404"/>
    <w:rsid w:val="00AA2B5C"/>
    <w:rsid w:val="00AA32D2"/>
    <w:rsid w:val="00AA4016"/>
    <w:rsid w:val="00AA4C1F"/>
    <w:rsid w:val="00AA5328"/>
    <w:rsid w:val="00AA5393"/>
    <w:rsid w:val="00AA63D4"/>
    <w:rsid w:val="00AA71BF"/>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37D8"/>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453"/>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6B7B"/>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74"/>
    <w:rsid w:val="00C35953"/>
    <w:rsid w:val="00C35D01"/>
    <w:rsid w:val="00C360B3"/>
    <w:rsid w:val="00C37027"/>
    <w:rsid w:val="00C37653"/>
    <w:rsid w:val="00C37B19"/>
    <w:rsid w:val="00C413CB"/>
    <w:rsid w:val="00C42752"/>
    <w:rsid w:val="00C42973"/>
    <w:rsid w:val="00C445E8"/>
    <w:rsid w:val="00C44C69"/>
    <w:rsid w:val="00C4712A"/>
    <w:rsid w:val="00C5034F"/>
    <w:rsid w:val="00C50830"/>
    <w:rsid w:val="00C52479"/>
    <w:rsid w:val="00C5266E"/>
    <w:rsid w:val="00C52C59"/>
    <w:rsid w:val="00C5349E"/>
    <w:rsid w:val="00C539FF"/>
    <w:rsid w:val="00C544BD"/>
    <w:rsid w:val="00C54C8B"/>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3BA7"/>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78"/>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ACF"/>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3AA4"/>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050F"/>
    <w:rsid w:val="00E50BB7"/>
    <w:rsid w:val="00E51E16"/>
    <w:rsid w:val="00E530D0"/>
    <w:rsid w:val="00E53730"/>
    <w:rsid w:val="00E5438D"/>
    <w:rsid w:val="00E54511"/>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960B3"/>
    <w:rsid w:val="00EA14C8"/>
    <w:rsid w:val="00EA2110"/>
    <w:rsid w:val="00EA283A"/>
    <w:rsid w:val="00EA2C90"/>
    <w:rsid w:val="00EA2E07"/>
    <w:rsid w:val="00EA383B"/>
    <w:rsid w:val="00EA48F3"/>
    <w:rsid w:val="00EA511B"/>
    <w:rsid w:val="00EA5991"/>
    <w:rsid w:val="00EA60BF"/>
    <w:rsid w:val="00EA7365"/>
    <w:rsid w:val="00EA763F"/>
    <w:rsid w:val="00EA77E9"/>
    <w:rsid w:val="00EB05D0"/>
    <w:rsid w:val="00EB1151"/>
    <w:rsid w:val="00EB1CD0"/>
    <w:rsid w:val="00EB1D49"/>
    <w:rsid w:val="00EB234C"/>
    <w:rsid w:val="00EB23D9"/>
    <w:rsid w:val="00EB39A0"/>
    <w:rsid w:val="00EB4507"/>
    <w:rsid w:val="00EB559F"/>
    <w:rsid w:val="00EB566C"/>
    <w:rsid w:val="00EB5F3D"/>
    <w:rsid w:val="00EB6D01"/>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09"/>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67FB"/>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375"/>
    <w:rsid w:val="00F94D79"/>
    <w:rsid w:val="00F9658C"/>
    <w:rsid w:val="00F97A7F"/>
    <w:rsid w:val="00F97BE3"/>
    <w:rsid w:val="00FA0889"/>
    <w:rsid w:val="00FA16E7"/>
    <w:rsid w:val="00FA31C7"/>
    <w:rsid w:val="00FA472D"/>
    <w:rsid w:val="00FB0CBF"/>
    <w:rsid w:val="00FB18F6"/>
    <w:rsid w:val="00FB23E5"/>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4F82"/>
    <w:rsid w:val="00FF57E4"/>
    <w:rsid w:val="00FF72B5"/>
    <w:rsid w:val="00FF78E5"/>
    <w:rsid w:val="016C2D4F"/>
    <w:rsid w:val="01AF3D99"/>
    <w:rsid w:val="01E803F8"/>
    <w:rsid w:val="02511F9D"/>
    <w:rsid w:val="02733CB1"/>
    <w:rsid w:val="02A17CAC"/>
    <w:rsid w:val="02EE5303"/>
    <w:rsid w:val="030F16AE"/>
    <w:rsid w:val="03573FC7"/>
    <w:rsid w:val="03A314B8"/>
    <w:rsid w:val="03D82B98"/>
    <w:rsid w:val="03F83E8B"/>
    <w:rsid w:val="046A771C"/>
    <w:rsid w:val="048A00C2"/>
    <w:rsid w:val="04FB02F8"/>
    <w:rsid w:val="05966A2E"/>
    <w:rsid w:val="05A80523"/>
    <w:rsid w:val="05C56868"/>
    <w:rsid w:val="061F02F9"/>
    <w:rsid w:val="065D5A7C"/>
    <w:rsid w:val="06E04BAD"/>
    <w:rsid w:val="0749321E"/>
    <w:rsid w:val="075025DE"/>
    <w:rsid w:val="07B3102F"/>
    <w:rsid w:val="07B72767"/>
    <w:rsid w:val="08077E72"/>
    <w:rsid w:val="08882DD0"/>
    <w:rsid w:val="08B50B44"/>
    <w:rsid w:val="09B64B76"/>
    <w:rsid w:val="09C36FF9"/>
    <w:rsid w:val="09CC2AAC"/>
    <w:rsid w:val="09D26E76"/>
    <w:rsid w:val="0A25545C"/>
    <w:rsid w:val="0A652D3E"/>
    <w:rsid w:val="0A9357F1"/>
    <w:rsid w:val="0B326F2A"/>
    <w:rsid w:val="0C0F7C12"/>
    <w:rsid w:val="0C1E2888"/>
    <w:rsid w:val="0C290234"/>
    <w:rsid w:val="0C2A6870"/>
    <w:rsid w:val="0C92213C"/>
    <w:rsid w:val="0D84032B"/>
    <w:rsid w:val="0E062DE9"/>
    <w:rsid w:val="0E1236BA"/>
    <w:rsid w:val="0EF75EFA"/>
    <w:rsid w:val="0EFB258B"/>
    <w:rsid w:val="0F2A74C4"/>
    <w:rsid w:val="0FA83AEC"/>
    <w:rsid w:val="0FBF6AB0"/>
    <w:rsid w:val="0FD10BBE"/>
    <w:rsid w:val="10A27F31"/>
    <w:rsid w:val="10D17073"/>
    <w:rsid w:val="1132275A"/>
    <w:rsid w:val="117D12F5"/>
    <w:rsid w:val="11927058"/>
    <w:rsid w:val="11B81FE1"/>
    <w:rsid w:val="11C20C65"/>
    <w:rsid w:val="13AF4F03"/>
    <w:rsid w:val="13D56A0C"/>
    <w:rsid w:val="13F25FD0"/>
    <w:rsid w:val="14736E66"/>
    <w:rsid w:val="147F458F"/>
    <w:rsid w:val="149F5675"/>
    <w:rsid w:val="14D958EC"/>
    <w:rsid w:val="1534169A"/>
    <w:rsid w:val="15520056"/>
    <w:rsid w:val="15C03E03"/>
    <w:rsid w:val="15FD705D"/>
    <w:rsid w:val="162A25EB"/>
    <w:rsid w:val="167631F1"/>
    <w:rsid w:val="16FD2A55"/>
    <w:rsid w:val="17067C1A"/>
    <w:rsid w:val="17366761"/>
    <w:rsid w:val="177C01F0"/>
    <w:rsid w:val="177C0F63"/>
    <w:rsid w:val="17CE6630"/>
    <w:rsid w:val="18020E6A"/>
    <w:rsid w:val="183D4FEE"/>
    <w:rsid w:val="19F0393A"/>
    <w:rsid w:val="1A18186E"/>
    <w:rsid w:val="1A2C1262"/>
    <w:rsid w:val="1AFF0AFE"/>
    <w:rsid w:val="1B1F2D27"/>
    <w:rsid w:val="1B4F19F8"/>
    <w:rsid w:val="1BC2131D"/>
    <w:rsid w:val="1BC670A8"/>
    <w:rsid w:val="1C226F03"/>
    <w:rsid w:val="1C422D87"/>
    <w:rsid w:val="1CCB10F4"/>
    <w:rsid w:val="1CE7106A"/>
    <w:rsid w:val="1D53585A"/>
    <w:rsid w:val="1D6A78C3"/>
    <w:rsid w:val="1D7F34D2"/>
    <w:rsid w:val="1E7417AF"/>
    <w:rsid w:val="1EBA7398"/>
    <w:rsid w:val="1ECC44FA"/>
    <w:rsid w:val="1F063325"/>
    <w:rsid w:val="1FBC5DF5"/>
    <w:rsid w:val="1FF90588"/>
    <w:rsid w:val="20322F5E"/>
    <w:rsid w:val="20523600"/>
    <w:rsid w:val="2069687A"/>
    <w:rsid w:val="20C3623F"/>
    <w:rsid w:val="20DF0586"/>
    <w:rsid w:val="217163F4"/>
    <w:rsid w:val="21781212"/>
    <w:rsid w:val="21B83F86"/>
    <w:rsid w:val="221178A8"/>
    <w:rsid w:val="221213CF"/>
    <w:rsid w:val="22327A92"/>
    <w:rsid w:val="224C1889"/>
    <w:rsid w:val="225341B6"/>
    <w:rsid w:val="22745AB0"/>
    <w:rsid w:val="23123E6C"/>
    <w:rsid w:val="231D53A2"/>
    <w:rsid w:val="236B29CC"/>
    <w:rsid w:val="236D5383"/>
    <w:rsid w:val="23B7504C"/>
    <w:rsid w:val="23EB3467"/>
    <w:rsid w:val="24571307"/>
    <w:rsid w:val="25110A2A"/>
    <w:rsid w:val="25537BFE"/>
    <w:rsid w:val="256C0944"/>
    <w:rsid w:val="25DF5E86"/>
    <w:rsid w:val="26446DE3"/>
    <w:rsid w:val="26465B6A"/>
    <w:rsid w:val="269669E7"/>
    <w:rsid w:val="26D7699F"/>
    <w:rsid w:val="26FB2685"/>
    <w:rsid w:val="27CE5180"/>
    <w:rsid w:val="280305D4"/>
    <w:rsid w:val="2A4F1E36"/>
    <w:rsid w:val="2A8F56E0"/>
    <w:rsid w:val="2B043ED6"/>
    <w:rsid w:val="2B774624"/>
    <w:rsid w:val="2C602CA2"/>
    <w:rsid w:val="2C7A72BE"/>
    <w:rsid w:val="2C9A7D75"/>
    <w:rsid w:val="2CC17412"/>
    <w:rsid w:val="2CE95113"/>
    <w:rsid w:val="2DA02A7D"/>
    <w:rsid w:val="2E1C51B6"/>
    <w:rsid w:val="2E3C62C0"/>
    <w:rsid w:val="2E9976CE"/>
    <w:rsid w:val="2EAD6628"/>
    <w:rsid w:val="2F3B12C0"/>
    <w:rsid w:val="2F401D3C"/>
    <w:rsid w:val="2F50640C"/>
    <w:rsid w:val="2F5B24E1"/>
    <w:rsid w:val="2F5E12EF"/>
    <w:rsid w:val="2F6C71B0"/>
    <w:rsid w:val="2FA95C88"/>
    <w:rsid w:val="301E705B"/>
    <w:rsid w:val="3041370F"/>
    <w:rsid w:val="30926CF5"/>
    <w:rsid w:val="310F5189"/>
    <w:rsid w:val="312B50A3"/>
    <w:rsid w:val="31A86C1C"/>
    <w:rsid w:val="31E50689"/>
    <w:rsid w:val="32453A27"/>
    <w:rsid w:val="3263064A"/>
    <w:rsid w:val="32A43132"/>
    <w:rsid w:val="32A86877"/>
    <w:rsid w:val="32AB45CC"/>
    <w:rsid w:val="32AC0C06"/>
    <w:rsid w:val="330F1C5E"/>
    <w:rsid w:val="33344EF5"/>
    <w:rsid w:val="33481C8A"/>
    <w:rsid w:val="33CD7905"/>
    <w:rsid w:val="34934894"/>
    <w:rsid w:val="349639E8"/>
    <w:rsid w:val="34D801F1"/>
    <w:rsid w:val="3537750C"/>
    <w:rsid w:val="3537798C"/>
    <w:rsid w:val="35C13FC9"/>
    <w:rsid w:val="364257B6"/>
    <w:rsid w:val="36541F70"/>
    <w:rsid w:val="365E0D0B"/>
    <w:rsid w:val="36B97F95"/>
    <w:rsid w:val="372E4267"/>
    <w:rsid w:val="37620483"/>
    <w:rsid w:val="37EA5922"/>
    <w:rsid w:val="38276B93"/>
    <w:rsid w:val="38520942"/>
    <w:rsid w:val="38AC3431"/>
    <w:rsid w:val="39124EA3"/>
    <w:rsid w:val="392F2E16"/>
    <w:rsid w:val="395E7E53"/>
    <w:rsid w:val="39CB4D8C"/>
    <w:rsid w:val="39CE4CF3"/>
    <w:rsid w:val="39E00529"/>
    <w:rsid w:val="3A0B64A7"/>
    <w:rsid w:val="3A1A4D37"/>
    <w:rsid w:val="3A574DDA"/>
    <w:rsid w:val="3AAC46D0"/>
    <w:rsid w:val="3AD3075A"/>
    <w:rsid w:val="3ADF038D"/>
    <w:rsid w:val="3AF74C02"/>
    <w:rsid w:val="3B351E28"/>
    <w:rsid w:val="3B6E05C1"/>
    <w:rsid w:val="3BD11D17"/>
    <w:rsid w:val="3C0059A5"/>
    <w:rsid w:val="3C134E78"/>
    <w:rsid w:val="3D090613"/>
    <w:rsid w:val="3DEC7285"/>
    <w:rsid w:val="3DF6345D"/>
    <w:rsid w:val="3E2B5515"/>
    <w:rsid w:val="3E4D4F28"/>
    <w:rsid w:val="3E8E0134"/>
    <w:rsid w:val="3EE13701"/>
    <w:rsid w:val="3EFB6DAE"/>
    <w:rsid w:val="3F1A4BB3"/>
    <w:rsid w:val="3F8D7CC4"/>
    <w:rsid w:val="3FA71E47"/>
    <w:rsid w:val="40192BA6"/>
    <w:rsid w:val="40754BAD"/>
    <w:rsid w:val="40A11942"/>
    <w:rsid w:val="41620011"/>
    <w:rsid w:val="41766EA9"/>
    <w:rsid w:val="42550A18"/>
    <w:rsid w:val="425D7556"/>
    <w:rsid w:val="429D496A"/>
    <w:rsid w:val="42F473A1"/>
    <w:rsid w:val="441E62C0"/>
    <w:rsid w:val="44543F5C"/>
    <w:rsid w:val="45325D14"/>
    <w:rsid w:val="45811B0D"/>
    <w:rsid w:val="45811C7C"/>
    <w:rsid w:val="45906116"/>
    <w:rsid w:val="4591479D"/>
    <w:rsid w:val="463F0B36"/>
    <w:rsid w:val="468B3EFB"/>
    <w:rsid w:val="46D56B8C"/>
    <w:rsid w:val="46D7289C"/>
    <w:rsid w:val="470A6193"/>
    <w:rsid w:val="47317E50"/>
    <w:rsid w:val="47385210"/>
    <w:rsid w:val="47C460CD"/>
    <w:rsid w:val="47C72F42"/>
    <w:rsid w:val="47DC4F5C"/>
    <w:rsid w:val="482644BF"/>
    <w:rsid w:val="483B525A"/>
    <w:rsid w:val="48B40671"/>
    <w:rsid w:val="495D4F33"/>
    <w:rsid w:val="49676598"/>
    <w:rsid w:val="499B5738"/>
    <w:rsid w:val="499B7866"/>
    <w:rsid w:val="499F244D"/>
    <w:rsid w:val="4A973F3F"/>
    <w:rsid w:val="4AF84C20"/>
    <w:rsid w:val="4AF96BC7"/>
    <w:rsid w:val="4B5A416B"/>
    <w:rsid w:val="4B63146A"/>
    <w:rsid w:val="4B862A85"/>
    <w:rsid w:val="4C4B33F3"/>
    <w:rsid w:val="4CB25D6A"/>
    <w:rsid w:val="4CD65E9B"/>
    <w:rsid w:val="4CDC1D8E"/>
    <w:rsid w:val="4CEF36E2"/>
    <w:rsid w:val="4CEF4DC5"/>
    <w:rsid w:val="4D017F56"/>
    <w:rsid w:val="4DD875CC"/>
    <w:rsid w:val="4E1E21FB"/>
    <w:rsid w:val="4E257655"/>
    <w:rsid w:val="4E7E5BF5"/>
    <w:rsid w:val="4E8E7871"/>
    <w:rsid w:val="4F372380"/>
    <w:rsid w:val="4F372FFB"/>
    <w:rsid w:val="4FA774A6"/>
    <w:rsid w:val="4FA84B42"/>
    <w:rsid w:val="5025116D"/>
    <w:rsid w:val="507B2BDD"/>
    <w:rsid w:val="50DF4F27"/>
    <w:rsid w:val="519D2308"/>
    <w:rsid w:val="519F69FC"/>
    <w:rsid w:val="52395ECD"/>
    <w:rsid w:val="523C08C1"/>
    <w:rsid w:val="52C10D75"/>
    <w:rsid w:val="534A3D46"/>
    <w:rsid w:val="53C27FF8"/>
    <w:rsid w:val="549E1A80"/>
    <w:rsid w:val="54C658F4"/>
    <w:rsid w:val="550C4BD7"/>
    <w:rsid w:val="554C1D56"/>
    <w:rsid w:val="55572986"/>
    <w:rsid w:val="55866D69"/>
    <w:rsid w:val="55C062DD"/>
    <w:rsid w:val="55FB7491"/>
    <w:rsid w:val="56090F70"/>
    <w:rsid w:val="565340FA"/>
    <w:rsid w:val="5717642E"/>
    <w:rsid w:val="5723343E"/>
    <w:rsid w:val="573D7EAB"/>
    <w:rsid w:val="57825B12"/>
    <w:rsid w:val="5794627D"/>
    <w:rsid w:val="57EC78FB"/>
    <w:rsid w:val="58902E07"/>
    <w:rsid w:val="59AA1175"/>
    <w:rsid w:val="5A2F2CC8"/>
    <w:rsid w:val="5A533C21"/>
    <w:rsid w:val="5BA26962"/>
    <w:rsid w:val="5C087E03"/>
    <w:rsid w:val="5C10702D"/>
    <w:rsid w:val="5C152601"/>
    <w:rsid w:val="5C591F03"/>
    <w:rsid w:val="5C8A1B2F"/>
    <w:rsid w:val="5CD77DE5"/>
    <w:rsid w:val="5D551762"/>
    <w:rsid w:val="5D825803"/>
    <w:rsid w:val="5D8B5B9E"/>
    <w:rsid w:val="5D914004"/>
    <w:rsid w:val="5F561B72"/>
    <w:rsid w:val="603B30BA"/>
    <w:rsid w:val="606007BB"/>
    <w:rsid w:val="60AC7F66"/>
    <w:rsid w:val="60D9032F"/>
    <w:rsid w:val="614C2436"/>
    <w:rsid w:val="618260C3"/>
    <w:rsid w:val="61A36741"/>
    <w:rsid w:val="61BF10D9"/>
    <w:rsid w:val="61C176C2"/>
    <w:rsid w:val="61CE6C50"/>
    <w:rsid w:val="61D128A5"/>
    <w:rsid w:val="61DA3D4C"/>
    <w:rsid w:val="62AC22DC"/>
    <w:rsid w:val="62DF44DB"/>
    <w:rsid w:val="632E24C7"/>
    <w:rsid w:val="637833E8"/>
    <w:rsid w:val="645A1AD6"/>
    <w:rsid w:val="646D1D84"/>
    <w:rsid w:val="64E45EF7"/>
    <w:rsid w:val="65402B07"/>
    <w:rsid w:val="658409AE"/>
    <w:rsid w:val="65C07C91"/>
    <w:rsid w:val="65E76C8C"/>
    <w:rsid w:val="65F7192C"/>
    <w:rsid w:val="668840EF"/>
    <w:rsid w:val="6691014E"/>
    <w:rsid w:val="66A6461A"/>
    <w:rsid w:val="66C87CCE"/>
    <w:rsid w:val="677435B2"/>
    <w:rsid w:val="67EF75F1"/>
    <w:rsid w:val="681C5AA1"/>
    <w:rsid w:val="68B406B1"/>
    <w:rsid w:val="690F274E"/>
    <w:rsid w:val="69124F16"/>
    <w:rsid w:val="694A5205"/>
    <w:rsid w:val="69CD5C14"/>
    <w:rsid w:val="69CF0D33"/>
    <w:rsid w:val="6A8D6CDC"/>
    <w:rsid w:val="6B317667"/>
    <w:rsid w:val="6B7129B3"/>
    <w:rsid w:val="6B9946B3"/>
    <w:rsid w:val="6BFB5EC7"/>
    <w:rsid w:val="6BFE0288"/>
    <w:rsid w:val="6C2C29A8"/>
    <w:rsid w:val="6C662189"/>
    <w:rsid w:val="6C7007C7"/>
    <w:rsid w:val="6C7B1C49"/>
    <w:rsid w:val="6DA738BA"/>
    <w:rsid w:val="6DE76850"/>
    <w:rsid w:val="6FB20BD4"/>
    <w:rsid w:val="6FB650F7"/>
    <w:rsid w:val="6FBA59BE"/>
    <w:rsid w:val="6FFE1AE2"/>
    <w:rsid w:val="70296B3E"/>
    <w:rsid w:val="70324462"/>
    <w:rsid w:val="703B4CF8"/>
    <w:rsid w:val="70611204"/>
    <w:rsid w:val="70772990"/>
    <w:rsid w:val="70964299"/>
    <w:rsid w:val="713B4D36"/>
    <w:rsid w:val="71755DD4"/>
    <w:rsid w:val="73445350"/>
    <w:rsid w:val="7366631C"/>
    <w:rsid w:val="742B78C8"/>
    <w:rsid w:val="74D71567"/>
    <w:rsid w:val="74D74DCC"/>
    <w:rsid w:val="74FA2C30"/>
    <w:rsid w:val="754D5C4B"/>
    <w:rsid w:val="76C240A7"/>
    <w:rsid w:val="775246B7"/>
    <w:rsid w:val="780675BB"/>
    <w:rsid w:val="781E69D1"/>
    <w:rsid w:val="79794555"/>
    <w:rsid w:val="7A263B6B"/>
    <w:rsid w:val="7A651CE6"/>
    <w:rsid w:val="7AF46346"/>
    <w:rsid w:val="7AFC18FB"/>
    <w:rsid w:val="7B0F5EBF"/>
    <w:rsid w:val="7B130FB9"/>
    <w:rsid w:val="7B22506F"/>
    <w:rsid w:val="7BF64EDE"/>
    <w:rsid w:val="7C387B70"/>
    <w:rsid w:val="7C400C1E"/>
    <w:rsid w:val="7C4C20B9"/>
    <w:rsid w:val="7C9D5A79"/>
    <w:rsid w:val="7DA41F1A"/>
    <w:rsid w:val="7DD11708"/>
    <w:rsid w:val="7DF60EC6"/>
    <w:rsid w:val="7E2D0419"/>
    <w:rsid w:val="7EBD579E"/>
    <w:rsid w:val="7EC167BD"/>
    <w:rsid w:val="7EC46B81"/>
    <w:rsid w:val="7F272D9E"/>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1"/>
    <w:qFormat/>
    <w:uiPriority w:val="9"/>
    <w:pPr>
      <w:spacing w:before="340" w:after="330" w:line="578" w:lineRule="auto"/>
      <w:outlineLvl w:val="0"/>
    </w:pPr>
    <w:rPr>
      <w:b w:val="0"/>
      <w:bCs w:val="0"/>
      <w:kern w:val="44"/>
      <w:sz w:val="44"/>
      <w:szCs w:val="44"/>
    </w:rPr>
  </w:style>
  <w:style w:type="paragraph" w:styleId="4">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40"/>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3"/>
    <w:qFormat/>
    <w:uiPriority w:val="9"/>
    <w:pPr>
      <w:keepNext/>
      <w:keepLines/>
      <w:spacing w:before="280" w:after="290" w:line="376" w:lineRule="auto"/>
      <w:outlineLvl w:val="4"/>
    </w:pPr>
    <w:rPr>
      <w:b/>
      <w:bCs/>
      <w:sz w:val="28"/>
      <w:szCs w:val="28"/>
    </w:rPr>
  </w:style>
  <w:style w:type="paragraph" w:styleId="8">
    <w:name w:val="heading 8"/>
    <w:basedOn w:val="1"/>
    <w:next w:val="1"/>
    <w:link w:val="44"/>
    <w:qFormat/>
    <w:uiPriority w:val="9"/>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45"/>
    <w:qFormat/>
    <w:uiPriority w:val="9"/>
    <w:pPr>
      <w:keepNext/>
      <w:keepLines/>
      <w:spacing w:before="240" w:after="64" w:line="320" w:lineRule="auto"/>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6"/>
    <w:qFormat/>
    <w:uiPriority w:val="0"/>
    <w:pPr>
      <w:jc w:val="left"/>
    </w:pPr>
  </w:style>
  <w:style w:type="paragraph" w:styleId="12">
    <w:name w:val="Body Text 3"/>
    <w:basedOn w:val="1"/>
    <w:link w:val="47"/>
    <w:unhideWhenUsed/>
    <w:qFormat/>
    <w:uiPriority w:val="99"/>
    <w:pPr>
      <w:spacing w:after="120"/>
    </w:pPr>
    <w:rPr>
      <w:sz w:val="16"/>
      <w:szCs w:val="16"/>
    </w:rPr>
  </w:style>
  <w:style w:type="paragraph" w:styleId="13">
    <w:name w:val="Body Text"/>
    <w:basedOn w:val="1"/>
    <w:next w:val="1"/>
    <w:link w:val="48"/>
    <w:unhideWhenUsed/>
    <w:qFormat/>
    <w:uiPriority w:val="0"/>
    <w:pPr>
      <w:spacing w:after="120"/>
    </w:pPr>
  </w:style>
  <w:style w:type="paragraph" w:styleId="14">
    <w:name w:val="Body Text Indent"/>
    <w:basedOn w:val="1"/>
    <w:next w:val="15"/>
    <w:link w:val="49"/>
    <w:qFormat/>
    <w:uiPriority w:val="0"/>
    <w:pPr>
      <w:ind w:firstLine="830" w:firstLineChars="352"/>
    </w:pPr>
    <w:rPr>
      <w:rFonts w:ascii="仿宋_GB2312" w:eastAsia="仿宋_GB2312"/>
      <w:kern w:val="0"/>
      <w:sz w:val="32"/>
      <w:szCs w:val="20"/>
    </w:rPr>
  </w:style>
  <w:style w:type="paragraph" w:customStyle="1" w:styleId="1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link w:val="50"/>
    <w:qFormat/>
    <w:uiPriority w:val="0"/>
    <w:rPr>
      <w:rFonts w:ascii="宋体" w:hAnsi="Courier New"/>
      <w:kern w:val="0"/>
      <w:sz w:val="20"/>
      <w:szCs w:val="21"/>
    </w:rPr>
  </w:style>
  <w:style w:type="paragraph" w:styleId="19">
    <w:name w:val="Date"/>
    <w:basedOn w:val="1"/>
    <w:next w:val="1"/>
    <w:link w:val="51"/>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52"/>
    <w:unhideWhenUsed/>
    <w:qFormat/>
    <w:uiPriority w:val="0"/>
    <w:pPr>
      <w:tabs>
        <w:tab w:val="center" w:pos="4153"/>
        <w:tab w:val="right" w:pos="8306"/>
      </w:tabs>
      <w:snapToGrid w:val="0"/>
      <w:jc w:val="left"/>
    </w:pPr>
    <w:rPr>
      <w:kern w:val="0"/>
      <w:sz w:val="18"/>
      <w:szCs w:val="18"/>
    </w:rPr>
  </w:style>
  <w:style w:type="paragraph" w:styleId="22">
    <w:name w:val="header"/>
    <w:basedOn w:val="1"/>
    <w:link w:val="5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qFormat/>
    <w:uiPriority w:val="99"/>
    <w:rPr>
      <w:rFonts w:ascii="Calibri" w:hAnsi="Calibri"/>
      <w:kern w:val="0"/>
      <w:sz w:val="24"/>
    </w:rPr>
  </w:style>
  <w:style w:type="paragraph" w:styleId="27">
    <w:name w:val="Title"/>
    <w:basedOn w:val="1"/>
    <w:link w:val="54"/>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1"/>
    <w:next w:val="11"/>
    <w:link w:val="55"/>
    <w:qFormat/>
    <w:uiPriority w:val="99"/>
    <w:rPr>
      <w:b/>
      <w:bCs/>
    </w:rPr>
  </w:style>
  <w:style w:type="paragraph" w:styleId="29">
    <w:name w:val="Body Text First Indent"/>
    <w:basedOn w:val="13"/>
    <w:qFormat/>
    <w:uiPriority w:val="0"/>
    <w:pPr>
      <w:ind w:firstLine="420" w:firstLineChars="100"/>
    </w:pPr>
  </w:style>
  <w:style w:type="paragraph" w:styleId="30">
    <w:name w:val="Body Text First Indent 2"/>
    <w:basedOn w:val="14"/>
    <w:link w:val="56"/>
    <w:unhideWhenUsed/>
    <w:qFormat/>
    <w:uiPriority w:val="99"/>
    <w:pPr>
      <w:spacing w:after="120"/>
      <w:ind w:left="420" w:leftChars="200" w:firstLine="420" w:firstLineChars="200"/>
    </w:pPr>
    <w:rPr>
      <w:rFonts w:ascii="Times New Roman" w:eastAsia="宋体"/>
      <w:kern w:val="2"/>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qFormat/>
    <w:uiPriority w:val="0"/>
    <w:rPr>
      <w:rFonts w:ascii="Arial" w:hAnsi="Arial" w:eastAsia="黑体" w:cs="Arial"/>
      <w:snapToGrid w:val="0"/>
      <w:kern w:val="0"/>
      <w:szCs w:val="21"/>
    </w:rPr>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标题 3 字符"/>
    <w:link w:val="3"/>
    <w:semiHidden/>
    <w:qFormat/>
    <w:uiPriority w:val="9"/>
    <w:rPr>
      <w:b/>
      <w:bCs/>
      <w:kern w:val="2"/>
      <w:sz w:val="32"/>
      <w:szCs w:val="32"/>
    </w:rPr>
  </w:style>
  <w:style w:type="character" w:customStyle="1" w:styleId="41">
    <w:name w:val="标题 1 字符"/>
    <w:link w:val="2"/>
    <w:qFormat/>
    <w:uiPriority w:val="9"/>
    <w:rPr>
      <w:b/>
      <w:bCs/>
      <w:kern w:val="44"/>
      <w:sz w:val="44"/>
      <w:szCs w:val="44"/>
    </w:rPr>
  </w:style>
  <w:style w:type="character" w:customStyle="1" w:styleId="42">
    <w:name w:val="标题 2 字符"/>
    <w:link w:val="4"/>
    <w:qFormat/>
    <w:uiPriority w:val="9"/>
    <w:rPr>
      <w:rFonts w:ascii="Cambria" w:hAnsi="Cambria" w:eastAsia="宋体" w:cs="Times New Roman"/>
      <w:b/>
      <w:bCs/>
      <w:kern w:val="2"/>
      <w:sz w:val="32"/>
      <w:szCs w:val="32"/>
    </w:rPr>
  </w:style>
  <w:style w:type="character" w:customStyle="1" w:styleId="43">
    <w:name w:val="标题 5 字符"/>
    <w:link w:val="6"/>
    <w:qFormat/>
    <w:uiPriority w:val="9"/>
    <w:rPr>
      <w:rFonts w:ascii="Times New Roman" w:hAnsi="Times New Roman"/>
      <w:b/>
      <w:bCs/>
      <w:kern w:val="2"/>
      <w:sz w:val="28"/>
      <w:szCs w:val="28"/>
    </w:rPr>
  </w:style>
  <w:style w:type="character" w:customStyle="1" w:styleId="44">
    <w:name w:val="标题 8 字符"/>
    <w:link w:val="8"/>
    <w:semiHidden/>
    <w:qFormat/>
    <w:uiPriority w:val="9"/>
    <w:rPr>
      <w:rFonts w:ascii="等线 Light" w:hAnsi="等线 Light" w:eastAsia="等线 Light" w:cs="Times New Roman"/>
      <w:kern w:val="2"/>
      <w:sz w:val="24"/>
      <w:szCs w:val="24"/>
    </w:rPr>
  </w:style>
  <w:style w:type="character" w:customStyle="1" w:styleId="45">
    <w:name w:val="标题 9 字符"/>
    <w:link w:val="9"/>
    <w:semiHidden/>
    <w:qFormat/>
    <w:uiPriority w:val="9"/>
    <w:rPr>
      <w:rFonts w:ascii="Cambria" w:hAnsi="Cambria" w:eastAsia="宋体" w:cs="Times New Roman"/>
      <w:kern w:val="2"/>
      <w:sz w:val="21"/>
      <w:szCs w:val="21"/>
    </w:rPr>
  </w:style>
  <w:style w:type="character" w:customStyle="1" w:styleId="46">
    <w:name w:val="批注文字 字符2"/>
    <w:link w:val="11"/>
    <w:qFormat/>
    <w:uiPriority w:val="0"/>
    <w:rPr>
      <w:rFonts w:ascii="Times New Roman" w:hAnsi="Times New Roman"/>
      <w:kern w:val="2"/>
      <w:sz w:val="21"/>
      <w:szCs w:val="24"/>
    </w:rPr>
  </w:style>
  <w:style w:type="character" w:customStyle="1" w:styleId="47">
    <w:name w:val="正文文本 3 字符"/>
    <w:link w:val="12"/>
    <w:semiHidden/>
    <w:qFormat/>
    <w:uiPriority w:val="99"/>
    <w:rPr>
      <w:kern w:val="2"/>
      <w:sz w:val="16"/>
      <w:szCs w:val="16"/>
    </w:rPr>
  </w:style>
  <w:style w:type="character" w:customStyle="1" w:styleId="48">
    <w:name w:val="正文文本 字符1"/>
    <w:link w:val="13"/>
    <w:qFormat/>
    <w:uiPriority w:val="0"/>
    <w:rPr>
      <w:rFonts w:ascii="Times New Roman" w:hAnsi="Times New Roman"/>
      <w:kern w:val="2"/>
      <w:sz w:val="21"/>
      <w:szCs w:val="24"/>
    </w:rPr>
  </w:style>
  <w:style w:type="character" w:customStyle="1" w:styleId="49">
    <w:name w:val="正文文本缩进 字符1"/>
    <w:link w:val="14"/>
    <w:qFormat/>
    <w:uiPriority w:val="0"/>
    <w:rPr>
      <w:rFonts w:ascii="仿宋_GB2312" w:hAnsi="Times New Roman" w:eastAsia="仿宋_GB2312" w:cs="Times New Roman"/>
      <w:sz w:val="32"/>
      <w:szCs w:val="20"/>
    </w:rPr>
  </w:style>
  <w:style w:type="character" w:customStyle="1" w:styleId="50">
    <w:name w:val="纯文本 字符3"/>
    <w:link w:val="18"/>
    <w:qFormat/>
    <w:uiPriority w:val="0"/>
    <w:rPr>
      <w:rFonts w:ascii="宋体" w:hAnsi="Courier New" w:eastAsia="宋体" w:cs="Courier New"/>
      <w:szCs w:val="21"/>
    </w:rPr>
  </w:style>
  <w:style w:type="character" w:customStyle="1" w:styleId="51">
    <w:name w:val="日期 字符"/>
    <w:link w:val="19"/>
    <w:semiHidden/>
    <w:qFormat/>
    <w:uiPriority w:val="99"/>
    <w:rPr>
      <w:rFonts w:ascii="Times New Roman" w:hAnsi="Times New Roman"/>
      <w:kern w:val="2"/>
      <w:sz w:val="21"/>
      <w:szCs w:val="24"/>
    </w:rPr>
  </w:style>
  <w:style w:type="character" w:customStyle="1" w:styleId="52">
    <w:name w:val="页脚 字符"/>
    <w:link w:val="21"/>
    <w:qFormat/>
    <w:uiPriority w:val="0"/>
    <w:rPr>
      <w:sz w:val="18"/>
      <w:szCs w:val="18"/>
    </w:rPr>
  </w:style>
  <w:style w:type="character" w:customStyle="1" w:styleId="53">
    <w:name w:val="页眉 字符"/>
    <w:link w:val="22"/>
    <w:qFormat/>
    <w:uiPriority w:val="0"/>
    <w:rPr>
      <w:sz w:val="18"/>
      <w:szCs w:val="18"/>
    </w:rPr>
  </w:style>
  <w:style w:type="character" w:customStyle="1" w:styleId="54">
    <w:name w:val="标题 字符"/>
    <w:link w:val="27"/>
    <w:qFormat/>
    <w:uiPriority w:val="10"/>
    <w:rPr>
      <w:rFonts w:ascii="Cambria" w:hAnsi="Cambria" w:cs="Times New Roman"/>
      <w:b/>
      <w:bCs/>
      <w:kern w:val="2"/>
      <w:sz w:val="32"/>
      <w:szCs w:val="32"/>
    </w:rPr>
  </w:style>
  <w:style w:type="character" w:customStyle="1" w:styleId="55">
    <w:name w:val="批注主题 字符"/>
    <w:link w:val="28"/>
    <w:qFormat/>
    <w:uiPriority w:val="99"/>
    <w:rPr>
      <w:rFonts w:ascii="Times New Roman" w:hAnsi="Times New Roman"/>
      <w:b/>
      <w:bCs/>
      <w:kern w:val="2"/>
      <w:sz w:val="21"/>
      <w:szCs w:val="24"/>
    </w:rPr>
  </w:style>
  <w:style w:type="character" w:customStyle="1" w:styleId="56">
    <w:name w:val="正文首行缩进 2 字符"/>
    <w:link w:val="30"/>
    <w:semiHidden/>
    <w:qFormat/>
    <w:uiPriority w:val="99"/>
    <w:rPr>
      <w:kern w:val="2"/>
      <w:sz w:val="21"/>
      <w:szCs w:val="24"/>
    </w:rPr>
  </w:style>
  <w:style w:type="character" w:customStyle="1" w:styleId="57">
    <w:name w:val="纯文本 字符2"/>
    <w:qFormat/>
    <w:uiPriority w:val="0"/>
    <w:rPr>
      <w:rFonts w:ascii="宋体" w:hAnsi="Courier New" w:eastAsia="宋体" w:cs="Courier New"/>
      <w:szCs w:val="21"/>
    </w:rPr>
  </w:style>
  <w:style w:type="character" w:customStyle="1" w:styleId="58">
    <w:name w:val="标题 Char1"/>
    <w:qFormat/>
    <w:uiPriority w:val="0"/>
    <w:rPr>
      <w:rFonts w:ascii="Calibri" w:hAnsi="Calibri"/>
      <w:b/>
      <w:sz w:val="24"/>
      <w:lang w:val="en-GB"/>
    </w:rPr>
  </w:style>
  <w:style w:type="character" w:customStyle="1" w:styleId="59">
    <w:name w:val="标题 8 Char"/>
    <w:qFormat/>
    <w:uiPriority w:val="0"/>
    <w:rPr>
      <w:rFonts w:ascii="Arial" w:hAnsi="Arial" w:eastAsia="黑体"/>
      <w:kern w:val="2"/>
      <w:sz w:val="24"/>
      <w:szCs w:val="24"/>
    </w:rPr>
  </w:style>
  <w:style w:type="character" w:customStyle="1" w:styleId="60">
    <w:name w:val="批注文字 字符"/>
    <w:qFormat/>
    <w:uiPriority w:val="0"/>
    <w:rPr>
      <w:rFonts w:ascii="Times New Roman" w:hAnsi="Times New Roman"/>
      <w:kern w:val="2"/>
      <w:sz w:val="21"/>
      <w:szCs w:val="24"/>
    </w:rPr>
  </w:style>
  <w:style w:type="character" w:customStyle="1" w:styleId="61">
    <w:name w:val="textcontents"/>
    <w:qFormat/>
    <w:uiPriority w:val="0"/>
  </w:style>
  <w:style w:type="character" w:customStyle="1" w:styleId="62">
    <w:name w:val="批注文字 Char"/>
    <w:qFormat/>
    <w:uiPriority w:val="0"/>
    <w:rPr>
      <w:rFonts w:ascii="Times New Roman" w:hAnsi="Times New Roman"/>
      <w:kern w:val="2"/>
      <w:sz w:val="21"/>
      <w:szCs w:val="24"/>
    </w:rPr>
  </w:style>
  <w:style w:type="character" w:customStyle="1" w:styleId="63">
    <w:name w:val="批注文字 字符1"/>
    <w:qFormat/>
    <w:uiPriority w:val="0"/>
    <w:rPr>
      <w:rFonts w:ascii="Times New Roman" w:hAnsi="Times New Roman"/>
      <w:kern w:val="2"/>
      <w:sz w:val="21"/>
      <w:szCs w:val="24"/>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apple-style-span"/>
    <w:qFormat/>
    <w:uiPriority w:val="0"/>
  </w:style>
  <w:style w:type="character" w:customStyle="1" w:styleId="66">
    <w:name w:val="纯文本 字符"/>
    <w:qFormat/>
    <w:uiPriority w:val="0"/>
    <w:rPr>
      <w:rFonts w:ascii="宋体" w:hAnsi="Courier New" w:eastAsia="宋体" w:cs="Courier New"/>
      <w:szCs w:val="21"/>
    </w:rPr>
  </w:style>
  <w:style w:type="character" w:customStyle="1" w:styleId="67">
    <w:name w:val="NormalCharacter"/>
    <w:qFormat/>
    <w:uiPriority w:val="0"/>
  </w:style>
  <w:style w:type="character" w:customStyle="1" w:styleId="68">
    <w:name w:val="正文文本 字符"/>
    <w:qFormat/>
    <w:uiPriority w:val="0"/>
    <w:rPr>
      <w:rFonts w:ascii="Times New Roman" w:hAnsi="Times New Roman"/>
      <w:kern w:val="2"/>
      <w:sz w:val="21"/>
      <w:szCs w:val="24"/>
    </w:rPr>
  </w:style>
  <w:style w:type="character" w:customStyle="1" w:styleId="69">
    <w:name w:val="标题 1 字符1"/>
    <w:qFormat/>
    <w:uiPriority w:val="0"/>
    <w:rPr>
      <w:b/>
      <w:bCs/>
      <w:kern w:val="44"/>
      <w:sz w:val="44"/>
      <w:szCs w:val="44"/>
    </w:rPr>
  </w:style>
  <w:style w:type="character" w:customStyle="1" w:styleId="70">
    <w:name w:val="正文2 Char Char"/>
    <w:link w:val="71"/>
    <w:qFormat/>
    <w:uiPriority w:val="0"/>
    <w:rPr>
      <w:sz w:val="24"/>
    </w:rPr>
  </w:style>
  <w:style w:type="paragraph" w:customStyle="1" w:styleId="71">
    <w:name w:val="正文2"/>
    <w:basedOn w:val="1"/>
    <w:link w:val="70"/>
    <w:qFormat/>
    <w:uiPriority w:val="0"/>
    <w:pPr>
      <w:adjustRightInd w:val="0"/>
      <w:spacing w:before="156" w:line="360" w:lineRule="auto"/>
      <w:ind w:firstLine="510" w:firstLineChars="200"/>
    </w:pPr>
    <w:rPr>
      <w:kern w:val="0"/>
      <w:sz w:val="24"/>
      <w:szCs w:val="20"/>
    </w:rPr>
  </w:style>
  <w:style w:type="character" w:customStyle="1" w:styleId="72">
    <w:name w:val="标题 2 Char"/>
    <w:qFormat/>
    <w:uiPriority w:val="9"/>
    <w:rPr>
      <w:rFonts w:ascii="Cambria" w:hAnsi="Cambria" w:eastAsia="宋体" w:cs="Times New Roman"/>
      <w:b/>
      <w:bCs/>
      <w:kern w:val="2"/>
      <w:sz w:val="32"/>
      <w:szCs w:val="32"/>
    </w:rPr>
  </w:style>
  <w:style w:type="character" w:customStyle="1" w:styleId="73">
    <w:name w:val="未处理的提及1"/>
    <w:unhideWhenUsed/>
    <w:qFormat/>
    <w:uiPriority w:val="99"/>
    <w:rPr>
      <w:color w:val="605E5C"/>
      <w:shd w:val="clear" w:color="auto" w:fill="E1DFDD"/>
    </w:rPr>
  </w:style>
  <w:style w:type="character" w:customStyle="1" w:styleId="74">
    <w:name w:val="纯文本 Char"/>
    <w:qFormat/>
    <w:uiPriority w:val="0"/>
    <w:rPr>
      <w:rFonts w:ascii="宋体" w:hAnsi="Courier New" w:eastAsia="宋体" w:cs="Courier New"/>
      <w:szCs w:val="21"/>
    </w:rPr>
  </w:style>
  <w:style w:type="character" w:customStyle="1" w:styleId="75">
    <w:name w:val="正文文本 Char"/>
    <w:qFormat/>
    <w:uiPriority w:val="0"/>
    <w:rPr>
      <w:rFonts w:ascii="Times New Roman" w:hAnsi="Times New Roman"/>
      <w:kern w:val="2"/>
      <w:sz w:val="21"/>
      <w:szCs w:val="24"/>
    </w:rPr>
  </w:style>
  <w:style w:type="character" w:customStyle="1" w:styleId="76">
    <w:name w:val="纯文本 字符1"/>
    <w:qFormat/>
    <w:uiPriority w:val="0"/>
    <w:rPr>
      <w:rFonts w:ascii="宋体" w:hAnsi="Courier New"/>
    </w:rPr>
  </w:style>
  <w:style w:type="character" w:customStyle="1" w:styleId="77">
    <w:name w:val="正文文本缩进 字符"/>
    <w:qFormat/>
    <w:uiPriority w:val="0"/>
    <w:rPr>
      <w:rFonts w:ascii="仿宋_GB2312" w:hAnsi="Times New Roman" w:eastAsia="仿宋_GB2312" w:cs="Times New Roman"/>
      <w:sz w:val="32"/>
      <w:szCs w:val="20"/>
    </w:rPr>
  </w:style>
  <w:style w:type="character" w:customStyle="1" w:styleId="78">
    <w:name w:val="纯文本 Char2"/>
    <w:qFormat/>
    <w:uiPriority w:val="0"/>
    <w:rPr>
      <w:rFonts w:ascii="宋体" w:hAnsi="Courier New" w:cs="Arial"/>
      <w:snapToGrid w:val="0"/>
      <w:szCs w:val="21"/>
    </w:rPr>
  </w:style>
  <w:style w:type="character" w:customStyle="1" w:styleId="79">
    <w:name w:val="页眉 Char"/>
    <w:qFormat/>
    <w:uiPriority w:val="99"/>
    <w:rPr>
      <w:lang w:eastAsia="zh-CN"/>
    </w:rPr>
  </w:style>
  <w:style w:type="paragraph" w:customStyle="1" w:styleId="80">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83">
    <w:name w:val="List Paragraph"/>
    <w:basedOn w:val="1"/>
    <w:qFormat/>
    <w:uiPriority w:val="34"/>
    <w:pPr>
      <w:ind w:firstLine="420" w:firstLineChars="200"/>
    </w:pPr>
  </w:style>
  <w:style w:type="paragraph" w:customStyle="1" w:styleId="8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5">
    <w:name w:val="Table Paragraph"/>
    <w:basedOn w:val="1"/>
    <w:qFormat/>
    <w:uiPriority w:val="1"/>
    <w:pPr>
      <w:jc w:val="left"/>
    </w:pPr>
    <w:rPr>
      <w:rFonts w:ascii="Calibri" w:hAnsi="Calibri"/>
      <w:kern w:val="0"/>
      <w:sz w:val="22"/>
      <w:szCs w:val="22"/>
      <w:lang w:eastAsia="en-US"/>
    </w:rPr>
  </w:style>
  <w:style w:type="paragraph" w:customStyle="1" w:styleId="86">
    <w:name w:val="表格文字"/>
    <w:basedOn w:val="1"/>
    <w:next w:val="13"/>
    <w:qFormat/>
    <w:uiPriority w:val="0"/>
    <w:pPr>
      <w:adjustRightInd w:val="0"/>
      <w:spacing w:line="420" w:lineRule="atLeast"/>
      <w:jc w:val="left"/>
      <w:textAlignment w:val="baseline"/>
    </w:pPr>
    <w:rPr>
      <w:kern w:val="0"/>
    </w:rPr>
  </w:style>
  <w:style w:type="paragraph" w:customStyle="1" w:styleId="87">
    <w:name w:val="_Style 86"/>
    <w:basedOn w:val="2"/>
    <w:next w:val="1"/>
    <w:qFormat/>
    <w:uiPriority w:val="39"/>
    <w:pPr>
      <w:widowControl/>
      <w:spacing w:before="240" w:after="0" w:line="259" w:lineRule="auto"/>
      <w:jc w:val="left"/>
      <w:outlineLvl w:val="9"/>
    </w:pPr>
    <w:rPr>
      <w:rFonts w:ascii="等线 Light" w:hAnsi="等线 Light" w:eastAsia="等线 Light"/>
      <w:b/>
      <w:bCs/>
      <w:color w:val="2F5496"/>
      <w:kern w:val="0"/>
      <w:sz w:val="32"/>
      <w:szCs w:val="32"/>
    </w:rPr>
  </w:style>
  <w:style w:type="paragraph" w:customStyle="1" w:styleId="88">
    <w:name w:val="Char Char Char Char"/>
    <w:basedOn w:val="1"/>
    <w:qFormat/>
    <w:uiPriority w:val="0"/>
    <w:pPr>
      <w:widowControl/>
      <w:spacing w:after="160" w:line="240" w:lineRule="exact"/>
      <w:jc w:val="left"/>
    </w:pPr>
  </w:style>
  <w:style w:type="paragraph" w:customStyle="1" w:styleId="89">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90">
    <w:name w:val="列出段落1"/>
    <w:basedOn w:val="1"/>
    <w:qFormat/>
    <w:uiPriority w:val="99"/>
    <w:pPr>
      <w:ind w:firstLine="420" w:firstLineChars="200"/>
    </w:pPr>
    <w:rPr>
      <w:rFonts w:ascii="等线" w:hAnsi="等线" w:eastAsia="等线"/>
    </w:rPr>
  </w:style>
  <w:style w:type="paragraph" w:customStyle="1" w:styleId="9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2">
    <w:name w:val="font11"/>
    <w:basedOn w:val="33"/>
    <w:qFormat/>
    <w:uiPriority w:val="0"/>
    <w:rPr>
      <w:rFonts w:hint="eastAsia" w:ascii="宋体" w:hAnsi="宋体" w:eastAsia="宋体" w:cs="宋体"/>
      <w:color w:val="000000"/>
      <w:sz w:val="20"/>
      <w:szCs w:val="20"/>
      <w:u w:val="none"/>
      <w:vertAlign w:val="superscript"/>
    </w:rPr>
  </w:style>
  <w:style w:type="character" w:customStyle="1" w:styleId="93">
    <w:name w:val="font41"/>
    <w:basedOn w:val="33"/>
    <w:qFormat/>
    <w:uiPriority w:val="0"/>
    <w:rPr>
      <w:rFonts w:hint="eastAsia" w:ascii="宋体" w:hAnsi="宋体" w:eastAsia="宋体" w:cs="宋体"/>
      <w:color w:val="000000"/>
      <w:sz w:val="20"/>
      <w:szCs w:val="20"/>
      <w:u w:val="none"/>
    </w:rPr>
  </w:style>
  <w:style w:type="table" w:customStyle="1" w:styleId="94">
    <w:name w:val="Table Normal"/>
    <w:unhideWhenUsed/>
    <w:qFormat/>
    <w:uiPriority w:val="0"/>
    <w:tblPr>
      <w:tblCellMar>
        <w:top w:w="0" w:type="dxa"/>
        <w:left w:w="0" w:type="dxa"/>
        <w:bottom w:w="0" w:type="dxa"/>
        <w:right w:w="0" w:type="dxa"/>
      </w:tblCellMar>
    </w:tblPr>
  </w:style>
  <w:style w:type="paragraph" w:customStyle="1" w:styleId="95">
    <w:name w:val="_Style 1"/>
    <w:basedOn w:val="1"/>
    <w:qFormat/>
    <w:uiPriority w:val="34"/>
    <w:pPr>
      <w:ind w:firstLine="420" w:firstLineChars="200"/>
    </w:pPr>
  </w:style>
  <w:style w:type="paragraph" w:customStyle="1" w:styleId="96">
    <w:name w:val="无间隔1"/>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97">
    <w:name w:val="正文1"/>
    <w:basedOn w:val="1"/>
    <w:qFormat/>
    <w:uiPriority w:val="0"/>
    <w:pPr>
      <w:adjustRightInd w:val="0"/>
      <w:spacing w:line="318" w:lineRule="atLeast"/>
      <w:ind w:left="369" w:firstLine="369"/>
      <w:textAlignment w:val="baseline"/>
    </w:pPr>
    <w:rPr>
      <w:szCs w:val="20"/>
    </w:rPr>
  </w:style>
  <w:style w:type="paragraph" w:customStyle="1" w:styleId="98">
    <w:name w:val="null3"/>
    <w:qFormat/>
    <w:uiPriority w:val="0"/>
    <w:rPr>
      <w:rFonts w:hint="eastAsia" w:ascii="Calibri" w:hAnsi="Calibri" w:eastAsia="宋体" w:cs="Times New Roman"/>
      <w:lang w:val="en-US" w:eastAsia="zh-Hans" w:bidi="ar-SA"/>
    </w:rPr>
  </w:style>
  <w:style w:type="character" w:customStyle="1" w:styleId="99">
    <w:name w:val="font61"/>
    <w:basedOn w:val="33"/>
    <w:qFormat/>
    <w:uiPriority w:val="0"/>
    <w:rPr>
      <w:rFonts w:hint="eastAsia" w:ascii="宋体" w:hAnsi="宋体" w:eastAsia="宋体" w:cs="宋体"/>
      <w:color w:val="000000"/>
      <w:sz w:val="20"/>
      <w:szCs w:val="20"/>
      <w:u w:val="none"/>
    </w:rPr>
  </w:style>
  <w:style w:type="character" w:customStyle="1" w:styleId="100">
    <w:name w:val="font81"/>
    <w:basedOn w:val="33"/>
    <w:qFormat/>
    <w:uiPriority w:val="0"/>
    <w:rPr>
      <w:rFonts w:hint="eastAsia" w:ascii="宋体" w:hAnsi="宋体" w:eastAsia="宋体" w:cs="宋体"/>
      <w:color w:val="FF0000"/>
      <w:sz w:val="20"/>
      <w:szCs w:val="20"/>
      <w:u w:val="none"/>
    </w:rPr>
  </w:style>
  <w:style w:type="character" w:customStyle="1" w:styleId="101">
    <w:name w:val="font111"/>
    <w:basedOn w:val="33"/>
    <w:qFormat/>
    <w:uiPriority w:val="0"/>
    <w:rPr>
      <w:rFonts w:ascii="微软雅黑" w:hAnsi="微软雅黑" w:eastAsia="微软雅黑" w:cs="微软雅黑"/>
      <w:color w:val="000000"/>
      <w:sz w:val="20"/>
      <w:szCs w:val="20"/>
      <w:u w:val="none"/>
    </w:rPr>
  </w:style>
  <w:style w:type="character" w:customStyle="1" w:styleId="102">
    <w:name w:val="font21"/>
    <w:basedOn w:val="33"/>
    <w:qFormat/>
    <w:uiPriority w:val="0"/>
    <w:rPr>
      <w:rFonts w:hint="eastAsia" w:ascii="宋体" w:hAnsi="宋体" w:eastAsia="宋体" w:cs="宋体"/>
      <w:color w:val="000000"/>
      <w:sz w:val="20"/>
      <w:szCs w:val="20"/>
      <w:u w:val="none"/>
    </w:rPr>
  </w:style>
  <w:style w:type="paragraph" w:customStyle="1" w:styleId="10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120</Pages>
  <Words>3903</Words>
  <Characters>4328</Characters>
  <Lines>462</Lines>
  <Paragraphs>130</Paragraphs>
  <TotalTime>221</TotalTime>
  <ScaleCrop>false</ScaleCrop>
  <LinksUpToDate>false</LinksUpToDate>
  <CharactersWithSpaces>4415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2025-07-16T09:05:00Z</dcterms:created>
  <dc:creator>唐冰</dc:creator>
  <cp:lastModifiedBy>laotee</cp:lastModifiedBy>
  <cp:lastPrinted>2022-09-21T07:59:00Z</cp:lastPrinted>
  <dcterms:modified xsi:type="dcterms:W3CDTF">2025-08-08T07:17:39Z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B7973F18426B43688DBD0D20DF258491_13</vt:lpwstr>
  </property>
  <property fmtid="{D5CDD505-2E9C-101B-9397-08002B2CF9AE}" pid="4" name="KSOTemplateDocerSaveRecord">
    <vt:lpwstr>eyJoZGlkIjoiODdjYzQ0OTY1NTFmMGYyNzJkNWNjMWFhOTEzY2M0ZDciLCJ1c2VySWQiOiIxMDQyNTk0NjY2In0=</vt:lpwstr>
  </property>
  <property fmtid="{D5CDD505-2E9C-101B-9397-08002B2CF9AE}" pid="5" name="GSEDS_HWMT_d46a6755">
    <vt:lpwstr>f2454ba6_mFV3xz84JSk3OMpOlnv9qxi+uBE=_8QYrr15fIzUrXdNOlXeI0sgeLLxe0cNvW649vRtgNtz+9HX39zaOcuZdFvwW6HqqMTTUDEeXux+CUhT5Ye55sqzpJnk=_badc6bfe</vt:lpwstr>
  </property>
</Properties>
</file>