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highlight w:val="none"/>
        </w:rPr>
      </w:pPr>
    </w:p>
    <w:p>
      <w:pPr>
        <w:rPr>
          <w:highlight w:val="none"/>
        </w:rPr>
      </w:pPr>
    </w:p>
    <w:p>
      <w:pPr>
        <w:rPr>
          <w:highlight w:val="none"/>
        </w:rPr>
      </w:pPr>
    </w:p>
    <w:p>
      <w:pPr>
        <w:rPr>
          <w:highlight w:val="none"/>
        </w:rPr>
      </w:pPr>
    </w:p>
    <w:p>
      <w:pPr>
        <w:jc w:val="center"/>
        <w:rPr>
          <w:rFonts w:ascii="黑体" w:eastAsia="黑体"/>
          <w:spacing w:val="30"/>
          <w:sz w:val="44"/>
          <w:szCs w:val="44"/>
          <w:highlight w:val="none"/>
        </w:rPr>
      </w:pPr>
      <w:r>
        <w:rPr>
          <w:rFonts w:hint="eastAsia" w:ascii="黑体" w:eastAsia="黑体"/>
          <w:spacing w:val="30"/>
          <w:sz w:val="44"/>
          <w:szCs w:val="44"/>
          <w:highlight w:val="none"/>
        </w:rPr>
        <w:t>广西海川工程咨询有限公司</w:t>
      </w:r>
    </w:p>
    <w:p>
      <w:pPr>
        <w:jc w:val="center"/>
        <w:rPr>
          <w:rFonts w:ascii="幼圆" w:eastAsia="幼圆"/>
          <w:b/>
          <w:spacing w:val="30"/>
          <w:sz w:val="48"/>
          <w:szCs w:val="48"/>
          <w:highlight w:val="none"/>
        </w:rPr>
      </w:pPr>
    </w:p>
    <w:p>
      <w:pPr>
        <w:jc w:val="center"/>
        <w:rPr>
          <w:rFonts w:ascii="幼圆" w:eastAsia="幼圆"/>
          <w:b/>
          <w:spacing w:val="30"/>
          <w:sz w:val="48"/>
          <w:szCs w:val="48"/>
          <w:highlight w:val="none"/>
        </w:rPr>
      </w:pPr>
    </w:p>
    <w:p>
      <w:pPr>
        <w:jc w:val="center"/>
        <w:rPr>
          <w:rFonts w:ascii="幼圆" w:eastAsia="幼圆"/>
          <w:b/>
          <w:spacing w:val="30"/>
          <w:sz w:val="48"/>
          <w:szCs w:val="48"/>
          <w:highlight w:val="none"/>
        </w:rPr>
      </w:pPr>
    </w:p>
    <w:p>
      <w:pPr>
        <w:jc w:val="center"/>
        <w:rPr>
          <w:rFonts w:ascii="幼圆" w:eastAsia="幼圆"/>
          <w:b/>
          <w:spacing w:val="30"/>
          <w:sz w:val="48"/>
          <w:szCs w:val="48"/>
          <w:highlight w:val="none"/>
        </w:rPr>
      </w:pPr>
    </w:p>
    <w:p>
      <w:pPr>
        <w:pStyle w:val="2"/>
        <w:spacing w:line="1300" w:lineRule="exact"/>
        <w:jc w:val="center"/>
        <w:rPr>
          <w:b/>
          <w:sz w:val="84"/>
          <w:szCs w:val="84"/>
          <w:highlight w:val="none"/>
        </w:rPr>
      </w:pPr>
      <w:r>
        <w:rPr>
          <w:rFonts w:hint="eastAsia"/>
          <w:b/>
          <w:sz w:val="84"/>
          <w:szCs w:val="84"/>
          <w:highlight w:val="none"/>
        </w:rPr>
        <w:t>竞争性谈判采购文件</w:t>
      </w:r>
    </w:p>
    <w:p>
      <w:pPr>
        <w:pStyle w:val="2"/>
        <w:spacing w:line="1300" w:lineRule="exact"/>
        <w:rPr>
          <w:b/>
          <w:sz w:val="120"/>
          <w:szCs w:val="120"/>
          <w:highlight w:val="none"/>
        </w:rPr>
      </w:pPr>
    </w:p>
    <w:p>
      <w:pPr>
        <w:pStyle w:val="2"/>
        <w:rPr>
          <w:highlight w:val="none"/>
        </w:rPr>
      </w:pPr>
    </w:p>
    <w:p>
      <w:pPr>
        <w:tabs>
          <w:tab w:val="left" w:pos="4285"/>
        </w:tabs>
        <w:adjustRightInd w:val="0"/>
        <w:snapToGrid w:val="0"/>
        <w:spacing w:line="317" w:lineRule="auto"/>
        <w:ind w:firstLine="525" w:firstLineChars="250"/>
        <w:rPr>
          <w:highlight w:val="none"/>
        </w:rPr>
      </w:pPr>
    </w:p>
    <w:p>
      <w:pPr>
        <w:tabs>
          <w:tab w:val="left" w:pos="4285"/>
        </w:tabs>
        <w:adjustRightInd w:val="0"/>
        <w:snapToGrid w:val="0"/>
        <w:spacing w:line="317" w:lineRule="auto"/>
        <w:ind w:firstLine="525" w:firstLineChars="250"/>
        <w:rPr>
          <w:highlight w:val="none"/>
        </w:rPr>
      </w:pPr>
    </w:p>
    <w:p>
      <w:pPr>
        <w:tabs>
          <w:tab w:val="left" w:pos="7181"/>
        </w:tabs>
        <w:adjustRightInd w:val="0"/>
        <w:snapToGrid w:val="0"/>
        <w:spacing w:line="317" w:lineRule="auto"/>
        <w:ind w:firstLine="525" w:firstLineChars="250"/>
        <w:rPr>
          <w:highlight w:val="none"/>
        </w:rPr>
      </w:pPr>
      <w:r>
        <w:rPr>
          <w:rFonts w:hint="eastAsia"/>
          <w:highlight w:val="none"/>
        </w:rPr>
        <w:tab/>
      </w:r>
    </w:p>
    <w:p>
      <w:pPr>
        <w:tabs>
          <w:tab w:val="left" w:pos="4285"/>
        </w:tabs>
        <w:adjustRightInd w:val="0"/>
        <w:snapToGrid w:val="0"/>
        <w:spacing w:line="317" w:lineRule="auto"/>
        <w:ind w:firstLine="525" w:firstLineChars="250"/>
        <w:rPr>
          <w:highlight w:val="none"/>
        </w:rPr>
      </w:pPr>
    </w:p>
    <w:p>
      <w:pPr>
        <w:pStyle w:val="2"/>
        <w:rPr>
          <w:highlight w:val="none"/>
        </w:rPr>
      </w:pPr>
    </w:p>
    <w:p>
      <w:pPr>
        <w:pStyle w:val="2"/>
        <w:rPr>
          <w:highlight w:val="none"/>
        </w:rPr>
      </w:pPr>
    </w:p>
    <w:p>
      <w:pPr>
        <w:tabs>
          <w:tab w:val="left" w:pos="4285"/>
        </w:tabs>
        <w:adjustRightInd w:val="0"/>
        <w:snapToGrid w:val="0"/>
        <w:spacing w:line="317" w:lineRule="auto"/>
        <w:ind w:firstLine="525" w:firstLineChars="250"/>
        <w:rPr>
          <w:highlight w:val="none"/>
        </w:rPr>
      </w:pPr>
    </w:p>
    <w:p>
      <w:pPr>
        <w:autoSpaceDE w:val="0"/>
        <w:autoSpaceDN w:val="0"/>
        <w:adjustRightInd w:val="0"/>
        <w:spacing w:line="500" w:lineRule="exact"/>
        <w:ind w:left="105" w:leftChars="50" w:right="105" w:rightChars="50" w:firstLine="1400" w:firstLineChars="500"/>
        <w:rPr>
          <w:rFonts w:ascii="宋体" w:hAnsi="宋体"/>
          <w:sz w:val="28"/>
          <w:szCs w:val="28"/>
          <w:highlight w:val="none"/>
        </w:rPr>
      </w:pPr>
      <w:r>
        <w:rPr>
          <w:rFonts w:hint="eastAsia" w:ascii="宋体" w:hAnsi="宋体"/>
          <w:sz w:val="28"/>
          <w:szCs w:val="28"/>
          <w:highlight w:val="none"/>
        </w:rPr>
        <w:t>项目名称：梧州学院图书馆2024年图书采购</w:t>
      </w:r>
    </w:p>
    <w:p>
      <w:pPr>
        <w:tabs>
          <w:tab w:val="left" w:pos="4285"/>
        </w:tabs>
        <w:adjustRightInd w:val="0"/>
        <w:snapToGrid w:val="0"/>
        <w:spacing w:line="276" w:lineRule="auto"/>
        <w:ind w:firstLine="1416" w:firstLineChars="506"/>
        <w:jc w:val="left"/>
        <w:rPr>
          <w:rFonts w:ascii="宋体" w:hAnsi="宋体"/>
          <w:sz w:val="28"/>
          <w:szCs w:val="28"/>
          <w:highlight w:val="none"/>
        </w:rPr>
      </w:pPr>
    </w:p>
    <w:p>
      <w:pPr>
        <w:spacing w:line="480" w:lineRule="auto"/>
        <w:ind w:firstLine="1680" w:firstLineChars="600"/>
        <w:rPr>
          <w:rFonts w:ascii="宋体" w:hAnsi="宋体"/>
          <w:sz w:val="28"/>
          <w:szCs w:val="28"/>
          <w:highlight w:val="none"/>
        </w:rPr>
      </w:pPr>
      <w:r>
        <w:rPr>
          <w:sz w:val="28"/>
          <w:szCs w:val="28"/>
          <w:highlight w:val="none"/>
        </w:rPr>
        <mc:AlternateContent>
          <mc:Choice Requires="wps">
            <w:drawing>
              <wp:anchor distT="0" distB="0" distL="114300" distR="114300" simplePos="0" relativeHeight="251659264" behindDoc="0" locked="0" layoutInCell="1" allowOverlap="1">
                <wp:simplePos x="0" y="0"/>
                <wp:positionH relativeFrom="column">
                  <wp:posOffset>171450</wp:posOffset>
                </wp:positionH>
                <wp:positionV relativeFrom="paragraph">
                  <wp:posOffset>346710</wp:posOffset>
                </wp:positionV>
                <wp:extent cx="5896610" cy="3175"/>
                <wp:effectExtent l="0" t="13970" r="8890" b="20955"/>
                <wp:wrapNone/>
                <wp:docPr id="4" name="直接连接符 4"/>
                <wp:cNvGraphicFramePr/>
                <a:graphic xmlns:a="http://schemas.openxmlformats.org/drawingml/2006/main">
                  <a:graphicData uri="http://schemas.microsoft.com/office/word/2010/wordprocessingShape">
                    <wps:wsp>
                      <wps:cNvCnPr/>
                      <wps:spPr>
                        <a:xfrm>
                          <a:off x="0" y="0"/>
                          <a:ext cx="5896610" cy="3175"/>
                        </a:xfrm>
                        <a:prstGeom prst="line">
                          <a:avLst/>
                        </a:prstGeom>
                        <a:ln w="2857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13.5pt;margin-top:27.3pt;height:0.25pt;width:464.3pt;z-index:251659264;mso-width-relative:page;mso-height-relative:page;" filled="f" stroked="t" coordsize="21600,21600" o:gfxdata="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UYHUX2AAAAAgBAAAPAAAAAAAAAAEAIAAAACIAAABkcnMvZG93bnJldi54bWxQSwEC&#10;FAAUAAAACACHTuJAVZiRVfQBAADqAwAADgAAAAAAAAABACAAAAAnAQAAZHJzL2Uyb0RvYy54bWxQ&#10;SwUGAAAAAAYABgBZAQAAjQUAAAAA&#10;">
                <v:fill on="f" focussize="0,0"/>
                <v:stroke weight="2.25pt" color="#000000" joinstyle="round"/>
                <v:imagedata o:title=""/>
                <o:lock v:ext="edit" aspectratio="f"/>
              </v:line>
            </w:pict>
          </mc:Fallback>
        </mc:AlternateContent>
      </w:r>
      <w:r>
        <w:rPr>
          <w:rFonts w:hint="eastAsia" w:ascii="宋体" w:hAnsi="宋体"/>
          <w:sz w:val="28"/>
          <w:szCs w:val="28"/>
          <w:highlight w:val="none"/>
        </w:rPr>
        <w:t>项目编号：GXZC2024-J1-003885-GXHC</w:t>
      </w:r>
    </w:p>
    <w:p>
      <w:pPr>
        <w:pStyle w:val="2"/>
        <w:spacing w:line="480" w:lineRule="auto"/>
        <w:ind w:right="-260" w:rightChars="-124" w:firstLine="1416" w:firstLineChars="506"/>
        <w:rPr>
          <w:sz w:val="28"/>
          <w:szCs w:val="28"/>
          <w:highlight w:val="none"/>
        </w:rPr>
      </w:pPr>
      <w:r>
        <w:rPr>
          <w:rFonts w:hint="eastAsia"/>
          <w:sz w:val="28"/>
          <w:szCs w:val="28"/>
          <w:highlight w:val="none"/>
        </w:rPr>
        <w:t>采购人：梧州学院</w:t>
      </w:r>
    </w:p>
    <w:p>
      <w:pPr>
        <w:pStyle w:val="2"/>
        <w:spacing w:line="480" w:lineRule="auto"/>
        <w:ind w:right="-260" w:rightChars="-124" w:firstLine="1416" w:firstLineChars="506"/>
        <w:rPr>
          <w:rFonts w:ascii="宋体" w:hAnsi="宋体" w:cs="宋体"/>
          <w:sz w:val="28"/>
          <w:szCs w:val="28"/>
          <w:highlight w:val="none"/>
        </w:rPr>
      </w:pPr>
      <w:r>
        <w:rPr>
          <w:rFonts w:hint="eastAsia"/>
          <w:sz w:val="28"/>
          <w:szCs w:val="28"/>
          <w:highlight w:val="none"/>
        </w:rPr>
        <w:t>采购代理机构：广西海川工程咨询有限公司</w:t>
      </w:r>
    </w:p>
    <w:p>
      <w:pPr>
        <w:jc w:val="center"/>
        <w:rPr>
          <w:sz w:val="28"/>
          <w:szCs w:val="28"/>
          <w:highlight w:val="none"/>
        </w:rPr>
      </w:pPr>
      <w:r>
        <w:rPr>
          <w:rFonts w:hint="eastAsia"/>
          <w:sz w:val="28"/>
          <w:szCs w:val="28"/>
          <w:highlight w:val="none"/>
        </w:rPr>
        <w:t>2024年6月</w:t>
      </w:r>
    </w:p>
    <w:p>
      <w:pPr>
        <w:pStyle w:val="8"/>
        <w:ind w:firstLine="105"/>
        <w:rPr>
          <w:highlight w:val="none"/>
        </w:rPr>
      </w:pPr>
    </w:p>
    <w:p>
      <w:pPr>
        <w:pStyle w:val="8"/>
        <w:rPr>
          <w:rFonts w:ascii="隶书" w:eastAsia="隶书"/>
          <w:sz w:val="44"/>
          <w:highlight w:val="none"/>
        </w:rPr>
        <w:sectPr>
          <w:headerReference r:id="rId5" w:type="first"/>
          <w:footerReference r:id="rId8" w:type="first"/>
          <w:headerReference r:id="rId3" w:type="default"/>
          <w:footerReference r:id="rId6" w:type="default"/>
          <w:headerReference r:id="rId4" w:type="even"/>
          <w:footerReference r:id="rId7" w:type="even"/>
          <w:pgSz w:w="11906" w:h="16838"/>
          <w:pgMar w:top="851" w:right="849" w:bottom="1134" w:left="993" w:header="720" w:footer="720" w:gutter="0"/>
          <w:pgNumType w:start="0"/>
          <w:cols w:space="720" w:num="1"/>
          <w:titlePg/>
          <w:docGrid w:linePitch="312" w:charSpace="0"/>
        </w:sectPr>
      </w:pPr>
    </w:p>
    <w:p>
      <w:pPr>
        <w:pStyle w:val="8"/>
        <w:rPr>
          <w:rFonts w:ascii="隶书" w:eastAsia="隶书"/>
          <w:sz w:val="44"/>
          <w:highlight w:val="none"/>
        </w:rPr>
      </w:pPr>
    </w:p>
    <w:p>
      <w:pPr>
        <w:pStyle w:val="8"/>
        <w:jc w:val="center"/>
        <w:rPr>
          <w:rFonts w:ascii="隶书" w:eastAsia="隶书"/>
          <w:sz w:val="44"/>
          <w:highlight w:val="none"/>
        </w:rPr>
      </w:pPr>
    </w:p>
    <w:p>
      <w:pPr>
        <w:pStyle w:val="8"/>
        <w:jc w:val="center"/>
        <w:rPr>
          <w:rFonts w:ascii="隶书" w:eastAsia="隶书"/>
          <w:sz w:val="44"/>
          <w:highlight w:val="none"/>
        </w:rPr>
      </w:pPr>
    </w:p>
    <w:p>
      <w:pPr>
        <w:pStyle w:val="8"/>
        <w:spacing w:line="480" w:lineRule="auto"/>
        <w:jc w:val="center"/>
        <w:rPr>
          <w:rFonts w:ascii="隶书" w:eastAsia="隶书"/>
          <w:sz w:val="44"/>
          <w:highlight w:val="none"/>
        </w:rPr>
      </w:pPr>
      <w:r>
        <w:rPr>
          <w:rFonts w:hint="eastAsia" w:ascii="隶书" w:eastAsia="隶书"/>
          <w:sz w:val="44"/>
          <w:highlight w:val="none"/>
        </w:rPr>
        <w:t>目  录</w:t>
      </w:r>
    </w:p>
    <w:p>
      <w:pPr>
        <w:pStyle w:val="11"/>
        <w:tabs>
          <w:tab w:val="right" w:leader="dot" w:pos="10064"/>
        </w:tabs>
        <w:spacing w:line="480" w:lineRule="auto"/>
        <w:rPr>
          <w:rFonts w:ascii="宋体" w:hAnsi="宋体" w:cs="宋体"/>
          <w:sz w:val="32"/>
          <w:szCs w:val="32"/>
          <w:highlight w:val="none"/>
        </w:rPr>
      </w:pPr>
      <w:r>
        <w:rPr>
          <w:rFonts w:hint="eastAsia" w:ascii="宋体" w:hAnsi="宋体" w:cs="宋体"/>
          <w:b/>
          <w:sz w:val="32"/>
          <w:szCs w:val="32"/>
          <w:highlight w:val="none"/>
        </w:rPr>
        <w:fldChar w:fldCharType="begin"/>
      </w:r>
      <w:r>
        <w:rPr>
          <w:rFonts w:hint="eastAsia" w:ascii="宋体" w:hAnsi="宋体" w:cs="宋体"/>
          <w:b/>
          <w:sz w:val="32"/>
          <w:szCs w:val="32"/>
          <w:highlight w:val="none"/>
        </w:rPr>
        <w:instrText xml:space="preserve"> TOC \o "1-1" \h \z \u </w:instrText>
      </w:r>
      <w:r>
        <w:rPr>
          <w:rFonts w:hint="eastAsia" w:ascii="宋体" w:hAnsi="宋体" w:cs="宋体"/>
          <w:b/>
          <w:sz w:val="32"/>
          <w:szCs w:val="32"/>
          <w:highlight w:val="none"/>
        </w:rPr>
        <w:fldChar w:fldCharType="separate"/>
      </w:r>
      <w:r>
        <w:rPr>
          <w:highlight w:val="none"/>
        </w:rPr>
        <w:fldChar w:fldCharType="begin"/>
      </w:r>
      <w:r>
        <w:rPr>
          <w:highlight w:val="none"/>
        </w:rPr>
        <w:instrText xml:space="preserve"> HYPERLINK \l "_Toc21178" </w:instrText>
      </w:r>
      <w:r>
        <w:rPr>
          <w:highlight w:val="none"/>
        </w:rPr>
        <w:fldChar w:fldCharType="separate"/>
      </w:r>
      <w:r>
        <w:rPr>
          <w:rFonts w:hint="eastAsia" w:ascii="宋体" w:hAnsi="宋体" w:cs="宋体"/>
          <w:sz w:val="32"/>
          <w:szCs w:val="32"/>
          <w:highlight w:val="none"/>
        </w:rPr>
        <w:t>第一章 竞争性谈判公告</w:t>
      </w:r>
      <w:r>
        <w:rPr>
          <w:rFonts w:hint="eastAsia" w:ascii="宋体" w:hAnsi="宋体" w:cs="宋体"/>
          <w:sz w:val="32"/>
          <w:szCs w:val="32"/>
          <w:highlight w:val="none"/>
        </w:rPr>
        <w:tab/>
      </w:r>
      <w:r>
        <w:rPr>
          <w:rFonts w:hint="eastAsia" w:ascii="宋体" w:hAnsi="宋体" w:cs="宋体"/>
          <w:sz w:val="32"/>
          <w:szCs w:val="32"/>
          <w:highlight w:val="none"/>
        </w:rPr>
        <w:fldChar w:fldCharType="begin"/>
      </w:r>
      <w:r>
        <w:rPr>
          <w:rFonts w:hint="eastAsia" w:ascii="宋体" w:hAnsi="宋体" w:cs="宋体"/>
          <w:sz w:val="32"/>
          <w:szCs w:val="32"/>
          <w:highlight w:val="none"/>
        </w:rPr>
        <w:instrText xml:space="preserve"> PAGEREF _Toc21178 \h </w:instrText>
      </w:r>
      <w:r>
        <w:rPr>
          <w:rFonts w:hint="eastAsia" w:ascii="宋体" w:hAnsi="宋体" w:cs="宋体"/>
          <w:sz w:val="32"/>
          <w:szCs w:val="32"/>
          <w:highlight w:val="none"/>
        </w:rPr>
        <w:fldChar w:fldCharType="separate"/>
      </w:r>
      <w:r>
        <w:rPr>
          <w:rFonts w:ascii="宋体" w:hAnsi="宋体" w:cs="宋体"/>
          <w:sz w:val="32"/>
          <w:szCs w:val="32"/>
          <w:highlight w:val="none"/>
        </w:rPr>
        <w:t>1</w:t>
      </w:r>
      <w:r>
        <w:rPr>
          <w:rFonts w:hint="eastAsia" w:ascii="宋体" w:hAnsi="宋体" w:cs="宋体"/>
          <w:sz w:val="32"/>
          <w:szCs w:val="32"/>
          <w:highlight w:val="none"/>
        </w:rPr>
        <w:fldChar w:fldCharType="end"/>
      </w:r>
      <w:r>
        <w:rPr>
          <w:rFonts w:hint="eastAsia" w:ascii="宋体" w:hAnsi="宋体" w:cs="宋体"/>
          <w:sz w:val="32"/>
          <w:szCs w:val="32"/>
          <w:highlight w:val="none"/>
        </w:rPr>
        <w:fldChar w:fldCharType="end"/>
      </w:r>
    </w:p>
    <w:p>
      <w:pPr>
        <w:pStyle w:val="11"/>
        <w:tabs>
          <w:tab w:val="right" w:leader="dot" w:pos="10064"/>
        </w:tabs>
        <w:spacing w:line="480" w:lineRule="auto"/>
        <w:rPr>
          <w:rFonts w:ascii="宋体" w:hAnsi="宋体" w:cs="宋体"/>
          <w:sz w:val="32"/>
          <w:szCs w:val="32"/>
          <w:highlight w:val="none"/>
        </w:rPr>
      </w:pPr>
      <w:r>
        <w:rPr>
          <w:highlight w:val="none"/>
        </w:rPr>
        <w:fldChar w:fldCharType="begin"/>
      </w:r>
      <w:r>
        <w:rPr>
          <w:highlight w:val="none"/>
        </w:rPr>
        <w:instrText xml:space="preserve"> HYPERLINK \l "_Toc1846" </w:instrText>
      </w:r>
      <w:r>
        <w:rPr>
          <w:highlight w:val="none"/>
        </w:rPr>
        <w:fldChar w:fldCharType="separate"/>
      </w:r>
      <w:r>
        <w:rPr>
          <w:rFonts w:hint="eastAsia" w:ascii="宋体" w:hAnsi="宋体" w:cs="宋体"/>
          <w:sz w:val="32"/>
          <w:szCs w:val="32"/>
          <w:highlight w:val="none"/>
        </w:rPr>
        <w:t>第二章 谈判须知及前附表</w:t>
      </w:r>
      <w:r>
        <w:rPr>
          <w:rFonts w:hint="eastAsia" w:ascii="宋体" w:hAnsi="宋体" w:cs="宋体"/>
          <w:sz w:val="32"/>
          <w:szCs w:val="32"/>
          <w:highlight w:val="none"/>
        </w:rPr>
        <w:tab/>
      </w:r>
      <w:r>
        <w:rPr>
          <w:rFonts w:hint="eastAsia" w:ascii="宋体" w:hAnsi="宋体" w:cs="宋体"/>
          <w:sz w:val="32"/>
          <w:szCs w:val="32"/>
          <w:highlight w:val="none"/>
        </w:rPr>
        <w:fldChar w:fldCharType="begin"/>
      </w:r>
      <w:r>
        <w:rPr>
          <w:rFonts w:hint="eastAsia" w:ascii="宋体" w:hAnsi="宋体" w:cs="宋体"/>
          <w:sz w:val="32"/>
          <w:szCs w:val="32"/>
          <w:highlight w:val="none"/>
        </w:rPr>
        <w:instrText xml:space="preserve"> PAGEREF _Toc1846 \h </w:instrText>
      </w:r>
      <w:r>
        <w:rPr>
          <w:rFonts w:hint="eastAsia" w:ascii="宋体" w:hAnsi="宋体" w:cs="宋体"/>
          <w:sz w:val="32"/>
          <w:szCs w:val="32"/>
          <w:highlight w:val="none"/>
        </w:rPr>
        <w:fldChar w:fldCharType="separate"/>
      </w:r>
      <w:r>
        <w:rPr>
          <w:rFonts w:ascii="宋体" w:hAnsi="宋体" w:cs="宋体"/>
          <w:sz w:val="32"/>
          <w:szCs w:val="32"/>
          <w:highlight w:val="none"/>
        </w:rPr>
        <w:t>4</w:t>
      </w:r>
      <w:r>
        <w:rPr>
          <w:rFonts w:hint="eastAsia" w:ascii="宋体" w:hAnsi="宋体" w:cs="宋体"/>
          <w:sz w:val="32"/>
          <w:szCs w:val="32"/>
          <w:highlight w:val="none"/>
        </w:rPr>
        <w:fldChar w:fldCharType="end"/>
      </w:r>
      <w:r>
        <w:rPr>
          <w:rFonts w:hint="eastAsia" w:ascii="宋体" w:hAnsi="宋体" w:cs="宋体"/>
          <w:sz w:val="32"/>
          <w:szCs w:val="32"/>
          <w:highlight w:val="none"/>
        </w:rPr>
        <w:fldChar w:fldCharType="end"/>
      </w:r>
    </w:p>
    <w:p>
      <w:pPr>
        <w:pStyle w:val="11"/>
        <w:tabs>
          <w:tab w:val="right" w:leader="dot" w:pos="10064"/>
        </w:tabs>
        <w:spacing w:line="480" w:lineRule="auto"/>
        <w:rPr>
          <w:rFonts w:ascii="宋体" w:hAnsi="宋体" w:cs="宋体"/>
          <w:sz w:val="32"/>
          <w:szCs w:val="32"/>
          <w:highlight w:val="none"/>
        </w:rPr>
      </w:pPr>
      <w:r>
        <w:rPr>
          <w:highlight w:val="none"/>
        </w:rPr>
        <w:fldChar w:fldCharType="begin"/>
      </w:r>
      <w:r>
        <w:rPr>
          <w:highlight w:val="none"/>
        </w:rPr>
        <w:instrText xml:space="preserve"> HYPERLINK \l "_Toc14336" </w:instrText>
      </w:r>
      <w:r>
        <w:rPr>
          <w:highlight w:val="none"/>
        </w:rPr>
        <w:fldChar w:fldCharType="separate"/>
      </w:r>
      <w:r>
        <w:rPr>
          <w:rFonts w:hint="eastAsia" w:ascii="宋体" w:hAnsi="宋体" w:cs="宋体"/>
          <w:sz w:val="32"/>
          <w:szCs w:val="32"/>
          <w:highlight w:val="none"/>
        </w:rPr>
        <w:t>第三章  项目需求</w:t>
      </w:r>
      <w:r>
        <w:rPr>
          <w:rFonts w:hint="eastAsia" w:ascii="宋体" w:hAnsi="宋体" w:cs="宋体"/>
          <w:sz w:val="32"/>
          <w:szCs w:val="32"/>
          <w:highlight w:val="none"/>
        </w:rPr>
        <w:tab/>
      </w:r>
      <w:r>
        <w:rPr>
          <w:rFonts w:hint="eastAsia" w:ascii="宋体" w:hAnsi="宋体" w:cs="宋体"/>
          <w:sz w:val="32"/>
          <w:szCs w:val="32"/>
          <w:highlight w:val="none"/>
        </w:rPr>
        <w:fldChar w:fldCharType="begin"/>
      </w:r>
      <w:r>
        <w:rPr>
          <w:rFonts w:hint="eastAsia" w:ascii="宋体" w:hAnsi="宋体" w:cs="宋体"/>
          <w:sz w:val="32"/>
          <w:szCs w:val="32"/>
          <w:highlight w:val="none"/>
        </w:rPr>
        <w:instrText xml:space="preserve"> PAGEREF _Toc14336 \h </w:instrText>
      </w:r>
      <w:r>
        <w:rPr>
          <w:rFonts w:hint="eastAsia" w:ascii="宋体" w:hAnsi="宋体" w:cs="宋体"/>
          <w:sz w:val="32"/>
          <w:szCs w:val="32"/>
          <w:highlight w:val="none"/>
        </w:rPr>
        <w:fldChar w:fldCharType="separate"/>
      </w:r>
      <w:r>
        <w:rPr>
          <w:rFonts w:ascii="宋体" w:hAnsi="宋体" w:cs="宋体"/>
          <w:sz w:val="32"/>
          <w:szCs w:val="32"/>
          <w:highlight w:val="none"/>
        </w:rPr>
        <w:t>16</w:t>
      </w:r>
      <w:r>
        <w:rPr>
          <w:rFonts w:hint="eastAsia" w:ascii="宋体" w:hAnsi="宋体" w:cs="宋体"/>
          <w:sz w:val="32"/>
          <w:szCs w:val="32"/>
          <w:highlight w:val="none"/>
        </w:rPr>
        <w:fldChar w:fldCharType="end"/>
      </w:r>
      <w:r>
        <w:rPr>
          <w:rFonts w:hint="eastAsia" w:ascii="宋体" w:hAnsi="宋体" w:cs="宋体"/>
          <w:sz w:val="32"/>
          <w:szCs w:val="32"/>
          <w:highlight w:val="none"/>
        </w:rPr>
        <w:fldChar w:fldCharType="end"/>
      </w:r>
    </w:p>
    <w:p>
      <w:pPr>
        <w:pStyle w:val="11"/>
        <w:tabs>
          <w:tab w:val="right" w:leader="dot" w:pos="10064"/>
        </w:tabs>
        <w:spacing w:line="480" w:lineRule="auto"/>
        <w:rPr>
          <w:rFonts w:ascii="宋体" w:hAnsi="宋体" w:cs="宋体"/>
          <w:sz w:val="32"/>
          <w:szCs w:val="32"/>
          <w:highlight w:val="none"/>
        </w:rPr>
      </w:pPr>
      <w:r>
        <w:rPr>
          <w:highlight w:val="none"/>
        </w:rPr>
        <w:fldChar w:fldCharType="begin"/>
      </w:r>
      <w:r>
        <w:rPr>
          <w:highlight w:val="none"/>
        </w:rPr>
        <w:instrText xml:space="preserve"> HYPERLINK \l "_Toc21884" </w:instrText>
      </w:r>
      <w:r>
        <w:rPr>
          <w:highlight w:val="none"/>
        </w:rPr>
        <w:fldChar w:fldCharType="separate"/>
      </w:r>
      <w:r>
        <w:rPr>
          <w:rFonts w:hint="eastAsia" w:ascii="宋体" w:hAnsi="宋体" w:cs="宋体"/>
          <w:sz w:val="32"/>
          <w:szCs w:val="32"/>
          <w:highlight w:val="none"/>
        </w:rPr>
        <w:t>第四章  采购合同书（格式）</w:t>
      </w:r>
      <w:r>
        <w:rPr>
          <w:rFonts w:hint="eastAsia" w:ascii="宋体" w:hAnsi="宋体" w:cs="宋体"/>
          <w:sz w:val="32"/>
          <w:szCs w:val="32"/>
          <w:highlight w:val="none"/>
        </w:rPr>
        <w:tab/>
      </w:r>
      <w:r>
        <w:rPr>
          <w:rFonts w:hint="eastAsia" w:ascii="宋体" w:hAnsi="宋体" w:cs="宋体"/>
          <w:sz w:val="32"/>
          <w:szCs w:val="32"/>
          <w:highlight w:val="none"/>
        </w:rPr>
        <w:fldChar w:fldCharType="begin"/>
      </w:r>
      <w:r>
        <w:rPr>
          <w:rFonts w:hint="eastAsia" w:ascii="宋体" w:hAnsi="宋体" w:cs="宋体"/>
          <w:sz w:val="32"/>
          <w:szCs w:val="32"/>
          <w:highlight w:val="none"/>
        </w:rPr>
        <w:instrText xml:space="preserve"> PAGEREF _Toc21884 \h </w:instrText>
      </w:r>
      <w:r>
        <w:rPr>
          <w:rFonts w:hint="eastAsia" w:ascii="宋体" w:hAnsi="宋体" w:cs="宋体"/>
          <w:sz w:val="32"/>
          <w:szCs w:val="32"/>
          <w:highlight w:val="none"/>
        </w:rPr>
        <w:fldChar w:fldCharType="separate"/>
      </w:r>
      <w:r>
        <w:rPr>
          <w:rFonts w:ascii="宋体" w:hAnsi="宋体" w:cs="宋体"/>
          <w:sz w:val="32"/>
          <w:szCs w:val="32"/>
          <w:highlight w:val="none"/>
        </w:rPr>
        <w:t>22</w:t>
      </w:r>
      <w:r>
        <w:rPr>
          <w:rFonts w:hint="eastAsia" w:ascii="宋体" w:hAnsi="宋体" w:cs="宋体"/>
          <w:sz w:val="32"/>
          <w:szCs w:val="32"/>
          <w:highlight w:val="none"/>
        </w:rPr>
        <w:fldChar w:fldCharType="end"/>
      </w:r>
      <w:r>
        <w:rPr>
          <w:rFonts w:hint="eastAsia" w:ascii="宋体" w:hAnsi="宋体" w:cs="宋体"/>
          <w:sz w:val="32"/>
          <w:szCs w:val="32"/>
          <w:highlight w:val="none"/>
        </w:rPr>
        <w:fldChar w:fldCharType="end"/>
      </w:r>
    </w:p>
    <w:p>
      <w:pPr>
        <w:pStyle w:val="11"/>
        <w:tabs>
          <w:tab w:val="right" w:leader="dot" w:pos="10064"/>
        </w:tabs>
        <w:spacing w:line="480" w:lineRule="auto"/>
        <w:rPr>
          <w:rFonts w:ascii="宋体" w:hAnsi="宋体" w:cs="宋体"/>
          <w:sz w:val="32"/>
          <w:szCs w:val="32"/>
          <w:highlight w:val="none"/>
        </w:rPr>
      </w:pPr>
      <w:r>
        <w:rPr>
          <w:highlight w:val="none"/>
        </w:rPr>
        <w:fldChar w:fldCharType="begin"/>
      </w:r>
      <w:r>
        <w:rPr>
          <w:highlight w:val="none"/>
        </w:rPr>
        <w:instrText xml:space="preserve"> HYPERLINK \l "_Toc26315" </w:instrText>
      </w:r>
      <w:r>
        <w:rPr>
          <w:highlight w:val="none"/>
        </w:rPr>
        <w:fldChar w:fldCharType="separate"/>
      </w:r>
      <w:r>
        <w:rPr>
          <w:rFonts w:hint="eastAsia" w:ascii="宋体" w:hAnsi="宋体" w:cs="宋体"/>
          <w:sz w:val="32"/>
          <w:szCs w:val="32"/>
          <w:highlight w:val="none"/>
        </w:rPr>
        <w:t>第五章   竞争性谈判响应文件格式</w:t>
      </w:r>
      <w:r>
        <w:rPr>
          <w:rFonts w:hint="eastAsia" w:ascii="宋体" w:hAnsi="宋体" w:cs="宋体"/>
          <w:sz w:val="32"/>
          <w:szCs w:val="32"/>
          <w:highlight w:val="none"/>
        </w:rPr>
        <w:tab/>
      </w:r>
      <w:r>
        <w:rPr>
          <w:rFonts w:hint="eastAsia" w:ascii="宋体" w:hAnsi="宋体" w:cs="宋体"/>
          <w:sz w:val="32"/>
          <w:szCs w:val="32"/>
          <w:highlight w:val="none"/>
        </w:rPr>
        <w:fldChar w:fldCharType="begin"/>
      </w:r>
      <w:r>
        <w:rPr>
          <w:rFonts w:hint="eastAsia" w:ascii="宋体" w:hAnsi="宋体" w:cs="宋体"/>
          <w:sz w:val="32"/>
          <w:szCs w:val="32"/>
          <w:highlight w:val="none"/>
        </w:rPr>
        <w:instrText xml:space="preserve"> PAGEREF _Toc26315 \h </w:instrText>
      </w:r>
      <w:r>
        <w:rPr>
          <w:rFonts w:hint="eastAsia" w:ascii="宋体" w:hAnsi="宋体" w:cs="宋体"/>
          <w:sz w:val="32"/>
          <w:szCs w:val="32"/>
          <w:highlight w:val="none"/>
        </w:rPr>
        <w:fldChar w:fldCharType="separate"/>
      </w:r>
      <w:r>
        <w:rPr>
          <w:rFonts w:ascii="宋体" w:hAnsi="宋体" w:cs="宋体"/>
          <w:sz w:val="32"/>
          <w:szCs w:val="32"/>
          <w:highlight w:val="none"/>
        </w:rPr>
        <w:t>29</w:t>
      </w:r>
      <w:r>
        <w:rPr>
          <w:rFonts w:hint="eastAsia" w:ascii="宋体" w:hAnsi="宋体" w:cs="宋体"/>
          <w:sz w:val="32"/>
          <w:szCs w:val="32"/>
          <w:highlight w:val="none"/>
        </w:rPr>
        <w:fldChar w:fldCharType="end"/>
      </w:r>
      <w:r>
        <w:rPr>
          <w:rFonts w:hint="eastAsia" w:ascii="宋体" w:hAnsi="宋体" w:cs="宋体"/>
          <w:sz w:val="32"/>
          <w:szCs w:val="32"/>
          <w:highlight w:val="none"/>
        </w:rPr>
        <w:fldChar w:fldCharType="end"/>
      </w:r>
    </w:p>
    <w:p>
      <w:pPr>
        <w:pStyle w:val="11"/>
        <w:tabs>
          <w:tab w:val="right" w:leader="dot" w:pos="10064"/>
        </w:tabs>
        <w:spacing w:line="480" w:lineRule="auto"/>
        <w:rPr>
          <w:rFonts w:ascii="宋体" w:hAnsi="宋体" w:cs="宋体"/>
          <w:sz w:val="32"/>
          <w:szCs w:val="32"/>
          <w:highlight w:val="none"/>
        </w:rPr>
      </w:pPr>
      <w:r>
        <w:rPr>
          <w:highlight w:val="none"/>
        </w:rPr>
        <w:fldChar w:fldCharType="begin"/>
      </w:r>
      <w:r>
        <w:rPr>
          <w:highlight w:val="none"/>
        </w:rPr>
        <w:instrText xml:space="preserve"> HYPERLINK \l "_Toc1429" </w:instrText>
      </w:r>
      <w:r>
        <w:rPr>
          <w:highlight w:val="none"/>
        </w:rPr>
        <w:fldChar w:fldCharType="separate"/>
      </w:r>
      <w:r>
        <w:rPr>
          <w:rFonts w:hint="eastAsia" w:ascii="宋体" w:hAnsi="宋体" w:cs="宋体"/>
          <w:sz w:val="32"/>
          <w:szCs w:val="32"/>
          <w:highlight w:val="none"/>
        </w:rPr>
        <w:t>第六章 成交评审方法</w:t>
      </w:r>
      <w:r>
        <w:rPr>
          <w:rFonts w:hint="eastAsia" w:ascii="宋体" w:hAnsi="宋体" w:cs="宋体"/>
          <w:sz w:val="32"/>
          <w:szCs w:val="32"/>
          <w:highlight w:val="none"/>
        </w:rPr>
        <w:tab/>
      </w:r>
      <w:r>
        <w:rPr>
          <w:rFonts w:hint="eastAsia" w:ascii="宋体" w:hAnsi="宋体" w:cs="宋体"/>
          <w:sz w:val="32"/>
          <w:szCs w:val="32"/>
          <w:highlight w:val="none"/>
        </w:rPr>
        <w:fldChar w:fldCharType="begin"/>
      </w:r>
      <w:r>
        <w:rPr>
          <w:rFonts w:hint="eastAsia" w:ascii="宋体" w:hAnsi="宋体" w:cs="宋体"/>
          <w:sz w:val="32"/>
          <w:szCs w:val="32"/>
          <w:highlight w:val="none"/>
        </w:rPr>
        <w:instrText xml:space="preserve"> PAGEREF _Toc1429 \h </w:instrText>
      </w:r>
      <w:r>
        <w:rPr>
          <w:rFonts w:hint="eastAsia" w:ascii="宋体" w:hAnsi="宋体" w:cs="宋体"/>
          <w:sz w:val="32"/>
          <w:szCs w:val="32"/>
          <w:highlight w:val="none"/>
        </w:rPr>
        <w:fldChar w:fldCharType="separate"/>
      </w:r>
      <w:r>
        <w:rPr>
          <w:rFonts w:ascii="宋体" w:hAnsi="宋体" w:cs="宋体"/>
          <w:sz w:val="32"/>
          <w:szCs w:val="32"/>
          <w:highlight w:val="none"/>
        </w:rPr>
        <w:t>42</w:t>
      </w:r>
      <w:r>
        <w:rPr>
          <w:rFonts w:hint="eastAsia" w:ascii="宋体" w:hAnsi="宋体" w:cs="宋体"/>
          <w:sz w:val="32"/>
          <w:szCs w:val="32"/>
          <w:highlight w:val="none"/>
        </w:rPr>
        <w:fldChar w:fldCharType="end"/>
      </w:r>
      <w:r>
        <w:rPr>
          <w:rFonts w:hint="eastAsia" w:ascii="宋体" w:hAnsi="宋体" w:cs="宋体"/>
          <w:sz w:val="32"/>
          <w:szCs w:val="32"/>
          <w:highlight w:val="none"/>
        </w:rPr>
        <w:fldChar w:fldCharType="end"/>
      </w:r>
    </w:p>
    <w:p>
      <w:pPr>
        <w:pStyle w:val="8"/>
        <w:spacing w:line="480" w:lineRule="auto"/>
        <w:jc w:val="center"/>
        <w:outlineLvl w:val="0"/>
        <w:rPr>
          <w:rFonts w:hAnsi="宋体" w:cs="宋体"/>
          <w:sz w:val="32"/>
          <w:szCs w:val="32"/>
          <w:highlight w:val="none"/>
        </w:rPr>
      </w:pPr>
      <w:r>
        <w:rPr>
          <w:rFonts w:hint="eastAsia" w:hAnsi="宋体" w:cs="宋体"/>
          <w:sz w:val="32"/>
          <w:szCs w:val="32"/>
          <w:highlight w:val="none"/>
        </w:rPr>
        <w:fldChar w:fldCharType="end"/>
      </w:r>
    </w:p>
    <w:p>
      <w:pPr>
        <w:adjustRightInd w:val="0"/>
        <w:snapToGrid w:val="0"/>
        <w:spacing w:line="480" w:lineRule="auto"/>
        <w:rPr>
          <w:b/>
          <w:bCs/>
          <w:kern w:val="28"/>
          <w:highlight w:val="none"/>
        </w:rPr>
      </w:pPr>
    </w:p>
    <w:p>
      <w:pPr>
        <w:adjustRightInd w:val="0"/>
        <w:snapToGrid w:val="0"/>
        <w:spacing w:line="540" w:lineRule="exact"/>
        <w:rPr>
          <w:rStyle w:val="18"/>
          <w:b w:val="0"/>
          <w:bCs w:val="0"/>
          <w:kern w:val="2"/>
          <w:sz w:val="21"/>
          <w:szCs w:val="24"/>
          <w:highlight w:val="none"/>
        </w:rPr>
      </w:pPr>
      <w:r>
        <w:rPr>
          <w:kern w:val="28"/>
          <w:highlight w:val="none"/>
        </w:rPr>
        <w:br w:type="page"/>
      </w:r>
    </w:p>
    <w:p>
      <w:pPr>
        <w:numPr>
          <w:ilvl w:val="0"/>
          <w:numId w:val="1"/>
        </w:numPr>
        <w:jc w:val="center"/>
        <w:outlineLvl w:val="0"/>
        <w:rPr>
          <w:rStyle w:val="18"/>
          <w:highlight w:val="none"/>
        </w:rPr>
      </w:pPr>
      <w:r>
        <w:rPr>
          <w:rStyle w:val="18"/>
          <w:rFonts w:hint="eastAsia"/>
          <w:highlight w:val="none"/>
        </w:rPr>
        <w:t xml:space="preserve"> </w:t>
      </w:r>
      <w:bookmarkStart w:id="0" w:name="_Toc21178"/>
      <w:r>
        <w:rPr>
          <w:rStyle w:val="18"/>
          <w:rFonts w:hint="eastAsia"/>
          <w:highlight w:val="none"/>
        </w:rPr>
        <w:t>竞争性谈判公告</w:t>
      </w:r>
      <w:bookmarkEnd w:id="0"/>
    </w:p>
    <w:p>
      <w:pPr>
        <w:outlineLvl w:val="0"/>
        <w:rPr>
          <w:rStyle w:val="18"/>
          <w:highlight w:val="none"/>
        </w:rPr>
      </w:pPr>
    </w:p>
    <w:p>
      <w:pPr>
        <w:spacing w:line="360" w:lineRule="auto"/>
        <w:jc w:val="center"/>
        <w:rPr>
          <w:rFonts w:ascii="宋体" w:hAnsi="宋体" w:cs="宋体"/>
          <w:b/>
          <w:kern w:val="0"/>
          <w:szCs w:val="21"/>
          <w:highlight w:val="none"/>
        </w:rPr>
      </w:pPr>
      <w:r>
        <w:rPr>
          <w:rFonts w:hint="eastAsia" w:ascii="宋体" w:hAnsi="宋体" w:cs="宋体"/>
          <w:b/>
          <w:kern w:val="0"/>
          <w:szCs w:val="21"/>
          <w:highlight w:val="none"/>
        </w:rPr>
        <w:t>梧州学院图书馆2024年图书采购（GXZC2024-J1-003885-GXHC）</w:t>
      </w:r>
    </w:p>
    <w:p>
      <w:pPr>
        <w:spacing w:line="360" w:lineRule="auto"/>
        <w:jc w:val="center"/>
        <w:rPr>
          <w:rFonts w:ascii="宋体" w:hAnsi="宋体" w:cs="宋体"/>
          <w:b/>
          <w:kern w:val="0"/>
          <w:szCs w:val="21"/>
          <w:highlight w:val="none"/>
        </w:rPr>
      </w:pPr>
      <w:bookmarkStart w:id="1" w:name="_Toc14464"/>
      <w:bookmarkStart w:id="2" w:name="_Toc7229"/>
      <w:bookmarkStart w:id="3" w:name="_Toc8223"/>
      <w:r>
        <w:rPr>
          <w:rFonts w:hint="eastAsia" w:ascii="宋体" w:hAnsi="宋体" w:cs="宋体"/>
          <w:b/>
          <w:kern w:val="0"/>
          <w:szCs w:val="21"/>
          <w:highlight w:val="none"/>
        </w:rPr>
        <w:t>竞争性谈判公告</w:t>
      </w:r>
    </w:p>
    <w:p>
      <w:pPr>
        <w:pStyle w:val="19"/>
        <w:spacing w:line="380" w:lineRule="exact"/>
        <w:ind w:left="420" w:firstLine="0" w:firstLineChars="0"/>
        <w:rPr>
          <w:rFonts w:ascii="宋体" w:hAnsi="宋体"/>
          <w:szCs w:val="21"/>
          <w:highlight w:val="none"/>
        </w:rPr>
      </w:pPr>
    </w:p>
    <w:p>
      <w:pPr>
        <w:pStyle w:val="19"/>
        <w:pBdr>
          <w:top w:val="single" w:color="auto" w:sz="4" w:space="1"/>
          <w:left w:val="single" w:color="auto" w:sz="4" w:space="1"/>
          <w:bottom w:val="single" w:color="auto" w:sz="4" w:space="3"/>
          <w:right w:val="single" w:color="auto" w:sz="4" w:space="4"/>
        </w:pBdr>
        <w:spacing w:line="360" w:lineRule="auto"/>
        <w:ind w:firstLine="422"/>
        <w:rPr>
          <w:rFonts w:asciiTheme="minorEastAsia" w:hAnsiTheme="minorEastAsia" w:eastAsiaTheme="minorEastAsia" w:cstheme="minorEastAsia"/>
          <w:b/>
          <w:szCs w:val="21"/>
          <w:highlight w:val="none"/>
        </w:rPr>
      </w:pPr>
      <w:r>
        <w:rPr>
          <w:rFonts w:hint="eastAsia" w:asciiTheme="minorEastAsia" w:hAnsiTheme="minorEastAsia" w:eastAsiaTheme="minorEastAsia" w:cstheme="minorEastAsia"/>
          <w:b/>
          <w:szCs w:val="21"/>
          <w:highlight w:val="none"/>
        </w:rPr>
        <w:t>项目概况</w:t>
      </w:r>
    </w:p>
    <w:p>
      <w:pPr>
        <w:pStyle w:val="19"/>
        <w:pBdr>
          <w:top w:val="single" w:color="auto" w:sz="4" w:space="1"/>
          <w:left w:val="single" w:color="auto" w:sz="4" w:space="1"/>
          <w:bottom w:val="single" w:color="auto" w:sz="4" w:space="3"/>
          <w:right w:val="single" w:color="auto" w:sz="4" w:space="4"/>
        </w:pBdr>
        <w:spacing w:line="360" w:lineRule="auto"/>
        <w:rPr>
          <w:rFonts w:asciiTheme="minorEastAsia" w:hAnsiTheme="minorEastAsia" w:eastAsiaTheme="minorEastAsia" w:cstheme="minorEastAsia"/>
          <w:szCs w:val="21"/>
          <w:highlight w:val="none"/>
        </w:rPr>
      </w:pPr>
      <w:r>
        <w:rPr>
          <w:rFonts w:hint="eastAsia" w:ascii="宋体" w:hAnsi="宋体" w:cs="宋体" w:eastAsiaTheme="minorEastAsia"/>
          <w:bCs/>
          <w:kern w:val="0"/>
          <w:szCs w:val="21"/>
          <w:highlight w:val="none"/>
        </w:rPr>
        <w:t>梧州学院图书馆2024年图书采购</w:t>
      </w:r>
      <w:r>
        <w:rPr>
          <w:rFonts w:hint="eastAsia" w:asciiTheme="minorEastAsia" w:hAnsiTheme="minorEastAsia" w:eastAsiaTheme="minorEastAsia" w:cstheme="minorEastAsia"/>
          <w:szCs w:val="21"/>
          <w:highlight w:val="none"/>
        </w:rPr>
        <w:t>的潜在供应商应在</w:t>
      </w:r>
      <w:r>
        <w:rPr>
          <w:rFonts w:hint="eastAsia" w:asciiTheme="minorEastAsia" w:hAnsiTheme="minorEastAsia" w:eastAsiaTheme="minorEastAsia" w:cstheme="minorEastAsia"/>
          <w:szCs w:val="21"/>
          <w:highlight w:val="none"/>
          <w:u w:val="single"/>
        </w:rPr>
        <w:t>广西政府采购云平台（</w:t>
      </w:r>
      <w:r>
        <w:rPr>
          <w:highlight w:val="none"/>
        </w:rPr>
        <w:fldChar w:fldCharType="begin"/>
      </w:r>
      <w:r>
        <w:rPr>
          <w:highlight w:val="none"/>
        </w:rPr>
        <w:instrText xml:space="preserve"> HYPERLINK "https://www.gcy.zfcg.gxzf.gov.cn/）获取采购文件，并于2024年6月" </w:instrText>
      </w:r>
      <w:r>
        <w:rPr>
          <w:highlight w:val="none"/>
        </w:rPr>
        <w:fldChar w:fldCharType="separate"/>
      </w:r>
      <w:r>
        <w:rPr>
          <w:rStyle w:val="17"/>
          <w:rFonts w:hint="eastAsia" w:asciiTheme="minorEastAsia" w:hAnsiTheme="minorEastAsia" w:eastAsiaTheme="minorEastAsia" w:cstheme="minorEastAsia"/>
          <w:color w:val="auto"/>
          <w:sz w:val="21"/>
          <w:szCs w:val="21"/>
          <w:highlight w:val="none"/>
        </w:rPr>
        <w:t>https://www.gcy.zfcg.gxzf.gov.cn/）获取采购文件，并于2024年6月</w:t>
      </w:r>
      <w:r>
        <w:rPr>
          <w:rStyle w:val="17"/>
          <w:rFonts w:hint="eastAsia" w:asciiTheme="minorEastAsia" w:hAnsiTheme="minorEastAsia" w:eastAsiaTheme="minorEastAsia" w:cstheme="minorEastAsia"/>
          <w:color w:val="auto"/>
          <w:sz w:val="21"/>
          <w:szCs w:val="21"/>
          <w:highlight w:val="none"/>
        </w:rPr>
        <w:fldChar w:fldCharType="end"/>
      </w:r>
      <w:r>
        <w:rPr>
          <w:rFonts w:hint="eastAsia" w:asciiTheme="minorEastAsia" w:hAnsiTheme="minorEastAsia" w:eastAsiaTheme="minorEastAsia" w:cstheme="minorEastAsia"/>
          <w:szCs w:val="21"/>
          <w:highlight w:val="none"/>
          <w:u w:val="single"/>
        </w:rPr>
        <w:t xml:space="preserve"> </w:t>
      </w:r>
      <w:r>
        <w:rPr>
          <w:rFonts w:hint="eastAsia" w:asciiTheme="minorEastAsia" w:hAnsiTheme="minorEastAsia" w:eastAsiaTheme="minorEastAsia" w:cstheme="minorEastAsia"/>
          <w:szCs w:val="21"/>
          <w:highlight w:val="none"/>
          <w:u w:val="single"/>
          <w:lang w:val="en-US" w:eastAsia="zh-CN"/>
        </w:rPr>
        <w:t>17</w:t>
      </w:r>
      <w:r>
        <w:rPr>
          <w:rFonts w:hint="eastAsia" w:asciiTheme="minorEastAsia" w:hAnsiTheme="minorEastAsia" w:eastAsiaTheme="minorEastAsia" w:cstheme="minorEastAsia"/>
          <w:szCs w:val="21"/>
          <w:highlight w:val="none"/>
          <w:u w:val="single"/>
        </w:rPr>
        <w:t xml:space="preserve"> 日</w:t>
      </w:r>
      <w:r>
        <w:rPr>
          <w:rFonts w:hint="eastAsia" w:asciiTheme="minorEastAsia" w:hAnsiTheme="minorEastAsia" w:eastAsiaTheme="minorEastAsia" w:cstheme="minorEastAsia"/>
          <w:szCs w:val="21"/>
          <w:highlight w:val="none"/>
          <w:u w:val="single"/>
          <w:lang w:val="en-US" w:eastAsia="zh-CN"/>
        </w:rPr>
        <w:t>15</w:t>
      </w:r>
      <w:r>
        <w:rPr>
          <w:rFonts w:hint="eastAsia" w:asciiTheme="minorEastAsia" w:hAnsiTheme="minorEastAsia" w:eastAsiaTheme="minorEastAsia" w:cstheme="minorEastAsia"/>
          <w:szCs w:val="21"/>
          <w:highlight w:val="none"/>
          <w:u w:val="single"/>
        </w:rPr>
        <w:t>点</w:t>
      </w:r>
      <w:r>
        <w:rPr>
          <w:rFonts w:hint="eastAsia" w:asciiTheme="minorEastAsia" w:hAnsiTheme="minorEastAsia" w:eastAsiaTheme="minorEastAsia" w:cstheme="minorEastAsia"/>
          <w:szCs w:val="21"/>
          <w:highlight w:val="none"/>
          <w:u w:val="single"/>
          <w:lang w:val="en-US" w:eastAsia="zh-CN"/>
        </w:rPr>
        <w:t>0</w:t>
      </w:r>
      <w:r>
        <w:rPr>
          <w:rFonts w:hint="eastAsia" w:asciiTheme="minorEastAsia" w:hAnsiTheme="minorEastAsia" w:eastAsiaTheme="minorEastAsia" w:cstheme="minorEastAsia"/>
          <w:szCs w:val="21"/>
          <w:highlight w:val="none"/>
          <w:u w:val="single"/>
        </w:rPr>
        <w:t>0分</w:t>
      </w:r>
      <w:r>
        <w:rPr>
          <w:rFonts w:hint="eastAsia" w:asciiTheme="minorEastAsia" w:hAnsiTheme="minorEastAsia" w:eastAsiaTheme="minorEastAsia" w:cstheme="minorEastAsia"/>
          <w:bCs/>
          <w:szCs w:val="21"/>
          <w:highlight w:val="none"/>
        </w:rPr>
        <w:t>（北京时间）前提交响应文件</w:t>
      </w:r>
      <w:r>
        <w:rPr>
          <w:rFonts w:hint="eastAsia" w:asciiTheme="minorEastAsia" w:hAnsiTheme="minorEastAsia" w:eastAsiaTheme="minorEastAsia" w:cstheme="minorEastAsia"/>
          <w:szCs w:val="21"/>
          <w:highlight w:val="none"/>
        </w:rPr>
        <w:t>。</w:t>
      </w:r>
    </w:p>
    <w:p>
      <w:pPr>
        <w:pStyle w:val="12"/>
        <w:spacing w:before="0" w:beforeAutospacing="0" w:after="0" w:afterAutospacing="0" w:line="380" w:lineRule="exact"/>
        <w:ind w:firstLine="422" w:firstLineChars="200"/>
        <w:rPr>
          <w:rFonts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一、项目基本情况</w:t>
      </w:r>
    </w:p>
    <w:p>
      <w:pPr>
        <w:pStyle w:val="12"/>
        <w:spacing w:before="0" w:beforeAutospacing="0" w:after="0" w:afterAutospacing="0" w:line="380" w:lineRule="exact"/>
        <w:ind w:firstLine="420" w:firstLineChars="20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项目编号：GXZC2024-J1-003885-GXHC</w:t>
      </w:r>
    </w:p>
    <w:p>
      <w:pPr>
        <w:pStyle w:val="12"/>
        <w:spacing w:before="0" w:beforeAutospacing="0" w:after="0" w:afterAutospacing="0" w:line="380" w:lineRule="exact"/>
        <w:ind w:firstLine="420" w:firstLineChars="20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项目名称：梧州学院图书馆2024年图书采购</w:t>
      </w:r>
    </w:p>
    <w:p>
      <w:pPr>
        <w:pStyle w:val="12"/>
        <w:spacing w:before="0" w:beforeAutospacing="0" w:after="0" w:afterAutospacing="0" w:line="380" w:lineRule="exact"/>
        <w:ind w:firstLine="420" w:firstLineChars="20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采购方式：竞争性谈判</w:t>
      </w:r>
    </w:p>
    <w:p>
      <w:pPr>
        <w:pStyle w:val="12"/>
        <w:spacing w:before="0" w:beforeAutospacing="0" w:after="0" w:afterAutospacing="0" w:line="380" w:lineRule="exact"/>
        <w:ind w:firstLine="420" w:firstLineChars="20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预算金额：200万元。</w:t>
      </w:r>
    </w:p>
    <w:p>
      <w:pPr>
        <w:pStyle w:val="12"/>
        <w:spacing w:before="0" w:beforeAutospacing="0" w:after="0" w:afterAutospacing="0" w:line="380" w:lineRule="exact"/>
        <w:ind w:firstLine="420" w:firstLineChars="20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采购</w:t>
      </w:r>
      <w:r>
        <w:rPr>
          <w:rFonts w:hint="eastAsia" w:cs="宋体"/>
          <w:color w:val="auto"/>
          <w:sz w:val="21"/>
          <w:szCs w:val="21"/>
          <w:highlight w:val="none"/>
        </w:rPr>
        <w:t>需求：采购纸质图书40000册</w:t>
      </w:r>
      <w:r>
        <w:rPr>
          <w:rFonts w:hint="eastAsia" w:cs="宋体"/>
          <w:color w:val="auto"/>
          <w:sz w:val="21"/>
          <w:szCs w:val="21"/>
          <w:highlight w:val="none"/>
          <w:lang w:val="zh-CN"/>
        </w:rPr>
        <w:t>，</w:t>
      </w:r>
      <w:r>
        <w:rPr>
          <w:rFonts w:hint="eastAsia" w:cs="宋体"/>
          <w:color w:val="auto"/>
          <w:sz w:val="21"/>
          <w:szCs w:val="21"/>
          <w:highlight w:val="none"/>
        </w:rPr>
        <w:t>具体详见项目需求。</w:t>
      </w:r>
    </w:p>
    <w:p>
      <w:pPr>
        <w:pStyle w:val="12"/>
        <w:spacing w:before="0" w:beforeAutospacing="0" w:after="0" w:afterAutospacing="0" w:line="380" w:lineRule="exact"/>
        <w:ind w:firstLine="420" w:firstLineChars="20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合同履行期限：</w:t>
      </w:r>
      <w:r>
        <w:rPr>
          <w:rFonts w:hint="eastAsia"/>
          <w:color w:val="auto"/>
          <w:sz w:val="21"/>
          <w:szCs w:val="21"/>
          <w:highlight w:val="none"/>
        </w:rPr>
        <w:t>自签订合同之日起至2024年10月31日前全部交货完毕，并验收合格。</w:t>
      </w:r>
    </w:p>
    <w:p>
      <w:pPr>
        <w:pStyle w:val="12"/>
        <w:spacing w:before="0" w:beforeAutospacing="0" w:after="0" w:afterAutospacing="0" w:line="380" w:lineRule="exact"/>
        <w:ind w:firstLine="420" w:firstLineChars="20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本项目不接受联合体。</w:t>
      </w:r>
    </w:p>
    <w:p>
      <w:pPr>
        <w:snapToGrid w:val="0"/>
        <w:spacing w:line="324" w:lineRule="auto"/>
        <w:ind w:firstLine="422" w:firstLineChars="200"/>
        <w:rPr>
          <w:rFonts w:ascii="宋体" w:hAnsi="宋体" w:cs="宋体"/>
          <w:b/>
          <w:bCs/>
          <w:szCs w:val="21"/>
          <w:highlight w:val="none"/>
        </w:rPr>
      </w:pPr>
      <w:bookmarkStart w:id="4" w:name="_Toc35393799"/>
      <w:bookmarkStart w:id="5" w:name="_Toc35393630"/>
      <w:bookmarkStart w:id="6" w:name="_Toc28359013"/>
      <w:bookmarkStart w:id="7" w:name="_Toc28359090"/>
      <w:r>
        <w:rPr>
          <w:rFonts w:hint="eastAsia" w:ascii="宋体" w:hAnsi="宋体" w:cs="宋体"/>
          <w:b/>
          <w:bCs/>
          <w:szCs w:val="21"/>
          <w:highlight w:val="none"/>
        </w:rPr>
        <w:t>二、申请人的资格要求</w:t>
      </w:r>
      <w:bookmarkEnd w:id="4"/>
      <w:bookmarkEnd w:id="5"/>
      <w:bookmarkEnd w:id="6"/>
      <w:bookmarkEnd w:id="7"/>
    </w:p>
    <w:p>
      <w:pPr>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 xml:space="preserve">1.满足《中华人民共和国政府采购法》第二十二条规定； </w:t>
      </w:r>
      <w:r>
        <w:rPr>
          <w:rFonts w:ascii="宋体" w:hAnsi="宋体" w:cs="宋体"/>
          <w:szCs w:val="21"/>
          <w:highlight w:val="none"/>
        </w:rPr>
        <w:t xml:space="preserve"> </w:t>
      </w:r>
    </w:p>
    <w:p>
      <w:pPr>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2.对在“信用中国”网站（www.creditchina.gov.cn）、中国政府采购网（www.ccgp.gov.cn）等渠道列入失信被执行人、重大税收违法失信主体、政府采购严重违法失信行为记录名单及其他不符合《中华人民共和国政府采购法》第二十二条规定条件的供应商，不得参与政府采购活动；</w:t>
      </w:r>
    </w:p>
    <w:p>
      <w:pPr>
        <w:pStyle w:val="2"/>
        <w:spacing w:line="360" w:lineRule="auto"/>
        <w:ind w:firstLine="420"/>
        <w:rPr>
          <w:rFonts w:ascii="宋体" w:hAnsi="宋体" w:cs="宋体"/>
          <w:szCs w:val="21"/>
          <w:highlight w:val="none"/>
        </w:rPr>
      </w:pPr>
      <w:r>
        <w:rPr>
          <w:rFonts w:hint="eastAsia" w:ascii="宋体" w:hAnsi="宋体" w:cs="宋体"/>
          <w:szCs w:val="21"/>
          <w:highlight w:val="none"/>
        </w:rPr>
        <w:t>3.本项目的特定资格要求：供应商需具有出版物行政主管部门颁发的《中华人民共和国出版物发行许可证》或《中华人民共和国出版物经营许可证》；</w:t>
      </w:r>
    </w:p>
    <w:p>
      <w:pPr>
        <w:spacing w:line="360" w:lineRule="auto"/>
        <w:ind w:firstLine="420"/>
        <w:rPr>
          <w:highlight w:val="none"/>
        </w:rPr>
      </w:pPr>
      <w:r>
        <w:rPr>
          <w:rFonts w:hint="eastAsia"/>
          <w:highlight w:val="none"/>
        </w:rPr>
        <w:t>4.单位负责人为同一人或者存在直接控股、管理关系的不同供应商，不得参加同一合同项下的政府采购活动。为本项目提供过整体设计、规范编制或者项目管理、监理、检测等服务的供应商，不得再参加本项目上述服务以外的其他采购活动；</w:t>
      </w:r>
    </w:p>
    <w:p>
      <w:pPr>
        <w:pStyle w:val="2"/>
        <w:spacing w:line="360" w:lineRule="auto"/>
        <w:ind w:firstLine="420" w:firstLineChars="200"/>
        <w:rPr>
          <w:highlight w:val="none"/>
        </w:rPr>
      </w:pPr>
      <w:r>
        <w:rPr>
          <w:rFonts w:hint="eastAsia"/>
          <w:highlight w:val="none"/>
        </w:rPr>
        <w:t>5.</w:t>
      </w:r>
      <w:r>
        <w:rPr>
          <w:highlight w:val="none"/>
        </w:rPr>
        <w:t>本项目不接受未通过</w:t>
      </w:r>
      <w:r>
        <w:rPr>
          <w:rFonts w:hint="eastAsia"/>
          <w:highlight w:val="none"/>
        </w:rPr>
        <w:t>广西政府采购云平台</w:t>
      </w:r>
      <w:r>
        <w:rPr>
          <w:highlight w:val="none"/>
        </w:rPr>
        <w:t>获取采购文件的供应商参加谈判</w:t>
      </w:r>
      <w:r>
        <w:rPr>
          <w:rFonts w:hint="eastAsia"/>
          <w:highlight w:val="none"/>
        </w:rPr>
        <w:t>；</w:t>
      </w:r>
    </w:p>
    <w:p>
      <w:pPr>
        <w:pStyle w:val="2"/>
        <w:spacing w:line="360" w:lineRule="auto"/>
        <w:ind w:firstLine="420" w:firstLineChars="200"/>
        <w:rPr>
          <w:highlight w:val="none"/>
        </w:rPr>
      </w:pPr>
      <w:r>
        <w:rPr>
          <w:rFonts w:hint="eastAsia"/>
          <w:highlight w:val="none"/>
        </w:rPr>
        <w:t>6.落实政府采购政策需满足的资格要求：无。</w:t>
      </w:r>
    </w:p>
    <w:p>
      <w:pPr>
        <w:widowControl/>
        <w:snapToGrid w:val="0"/>
        <w:spacing w:line="360" w:lineRule="auto"/>
        <w:ind w:firstLine="422" w:firstLineChars="200"/>
        <w:jc w:val="left"/>
        <w:rPr>
          <w:rFonts w:ascii="宋体" w:hAnsi="宋体" w:cs="宋体"/>
          <w:szCs w:val="21"/>
          <w:highlight w:val="none"/>
        </w:rPr>
      </w:pPr>
      <w:r>
        <w:rPr>
          <w:rFonts w:hint="eastAsia" w:ascii="宋体" w:hAnsi="宋体" w:cs="宋体"/>
          <w:b/>
          <w:bCs/>
          <w:szCs w:val="21"/>
          <w:highlight w:val="none"/>
        </w:rPr>
        <w:t>三、本采购项目落实的政府采购政策</w:t>
      </w:r>
    </w:p>
    <w:p>
      <w:pPr>
        <w:widowControl/>
        <w:snapToGrid w:val="0"/>
        <w:spacing w:line="360" w:lineRule="auto"/>
        <w:ind w:firstLine="420" w:firstLineChars="200"/>
        <w:jc w:val="left"/>
        <w:rPr>
          <w:rFonts w:ascii="宋体" w:hAnsi="宋体" w:cs="宋体"/>
          <w:bCs/>
          <w:kern w:val="0"/>
          <w:szCs w:val="21"/>
          <w:highlight w:val="none"/>
        </w:rPr>
      </w:pPr>
      <w:r>
        <w:rPr>
          <w:rFonts w:hint="eastAsia" w:ascii="宋体" w:hAnsi="宋体" w:cs="宋体"/>
          <w:szCs w:val="21"/>
          <w:highlight w:val="none"/>
        </w:rPr>
        <w:t>1.</w:t>
      </w:r>
      <w:r>
        <w:rPr>
          <w:rFonts w:hint="eastAsia" w:ascii="宋体" w:hAnsi="宋体" w:cs="宋体"/>
          <w:bCs/>
          <w:kern w:val="0"/>
          <w:szCs w:val="21"/>
          <w:highlight w:val="none"/>
        </w:rPr>
        <w:t>《财政部、司法部关于政府采购支持监狱企业发展有关问题的通知》（财库〔2014〕68号）</w:t>
      </w:r>
    </w:p>
    <w:p>
      <w:pPr>
        <w:widowControl/>
        <w:snapToGrid w:val="0"/>
        <w:spacing w:line="360" w:lineRule="auto"/>
        <w:ind w:firstLine="420" w:firstLineChars="200"/>
        <w:jc w:val="left"/>
        <w:rPr>
          <w:rFonts w:ascii="宋体" w:hAnsi="宋体" w:cs="宋体"/>
          <w:bCs/>
          <w:kern w:val="0"/>
          <w:szCs w:val="21"/>
          <w:highlight w:val="none"/>
        </w:rPr>
      </w:pPr>
      <w:r>
        <w:rPr>
          <w:rFonts w:hint="eastAsia" w:ascii="宋体" w:hAnsi="宋体" w:cs="宋体"/>
          <w:bCs/>
          <w:kern w:val="0"/>
          <w:szCs w:val="21"/>
          <w:highlight w:val="none"/>
        </w:rPr>
        <w:t>2.《财政部、民政部、中国残疾人联合会三部门联合发布关于促进残疾人就业政府采购政策的通知》（财库〔2017〕141号）</w:t>
      </w:r>
    </w:p>
    <w:p>
      <w:pPr>
        <w:widowControl/>
        <w:snapToGrid w:val="0"/>
        <w:spacing w:line="360" w:lineRule="auto"/>
        <w:ind w:firstLine="420" w:firstLineChars="200"/>
        <w:jc w:val="left"/>
        <w:rPr>
          <w:rFonts w:ascii="宋体" w:hAnsi="宋体" w:cs="宋体"/>
          <w:bCs/>
          <w:kern w:val="0"/>
          <w:szCs w:val="21"/>
          <w:highlight w:val="none"/>
        </w:rPr>
      </w:pPr>
      <w:r>
        <w:rPr>
          <w:rFonts w:hint="eastAsia" w:ascii="宋体" w:hAnsi="宋体" w:cs="宋体"/>
          <w:bCs/>
          <w:kern w:val="0"/>
          <w:szCs w:val="21"/>
          <w:highlight w:val="none"/>
        </w:rPr>
        <w:t>3.《节能产品政府采购实施意见》（财库〔2004〕185号）</w:t>
      </w:r>
    </w:p>
    <w:p>
      <w:pPr>
        <w:widowControl/>
        <w:snapToGrid w:val="0"/>
        <w:spacing w:line="360" w:lineRule="auto"/>
        <w:ind w:firstLine="420" w:firstLineChars="200"/>
        <w:jc w:val="left"/>
        <w:rPr>
          <w:rFonts w:ascii="宋体" w:hAnsi="宋体" w:cs="宋体"/>
          <w:bCs/>
          <w:kern w:val="0"/>
          <w:szCs w:val="21"/>
          <w:highlight w:val="none"/>
        </w:rPr>
      </w:pPr>
      <w:r>
        <w:rPr>
          <w:rFonts w:hint="eastAsia" w:ascii="宋体" w:hAnsi="宋体" w:cs="宋体"/>
          <w:bCs/>
          <w:kern w:val="0"/>
          <w:szCs w:val="21"/>
          <w:highlight w:val="none"/>
        </w:rPr>
        <w:t>4.《环保总局关于环境标志产品政府采购实施的意见》（财库〔2006〕90号）</w:t>
      </w:r>
    </w:p>
    <w:p>
      <w:pPr>
        <w:widowControl/>
        <w:snapToGrid w:val="0"/>
        <w:spacing w:line="360" w:lineRule="auto"/>
        <w:ind w:firstLine="420" w:firstLineChars="200"/>
        <w:jc w:val="left"/>
        <w:rPr>
          <w:rFonts w:ascii="宋体" w:hAnsi="宋体" w:cs="宋体"/>
          <w:bCs/>
          <w:kern w:val="0"/>
          <w:szCs w:val="21"/>
          <w:highlight w:val="none"/>
        </w:rPr>
      </w:pPr>
      <w:r>
        <w:rPr>
          <w:rFonts w:hint="eastAsia" w:ascii="宋体" w:hAnsi="宋体" w:cs="宋体"/>
          <w:bCs/>
          <w:kern w:val="0"/>
          <w:szCs w:val="21"/>
          <w:highlight w:val="none"/>
        </w:rPr>
        <w:t>5.财政部 发展改革委 生态环境部 市场监管总局 关于调整优化节能产品、环境标志产品政府采购执行机制的通知（财库〔2019〕9号）</w:t>
      </w:r>
    </w:p>
    <w:p>
      <w:pPr>
        <w:widowControl/>
        <w:snapToGrid w:val="0"/>
        <w:spacing w:line="360" w:lineRule="auto"/>
        <w:ind w:firstLine="420" w:firstLineChars="200"/>
        <w:jc w:val="left"/>
        <w:rPr>
          <w:rFonts w:ascii="宋体" w:hAnsi="宋体" w:cs="宋体"/>
          <w:bCs/>
          <w:kern w:val="0"/>
          <w:szCs w:val="21"/>
          <w:highlight w:val="none"/>
        </w:rPr>
      </w:pPr>
      <w:r>
        <w:rPr>
          <w:rFonts w:hint="eastAsia" w:ascii="宋体" w:hAnsi="宋体" w:cs="宋体"/>
          <w:bCs/>
          <w:kern w:val="0"/>
          <w:szCs w:val="21"/>
          <w:highlight w:val="none"/>
        </w:rPr>
        <w:t>6.关于印发环境标志产品政府采购品目清单的通知（财库〔2019〕18号）环境标志产品政府采购品目清单</w:t>
      </w:r>
    </w:p>
    <w:p>
      <w:pPr>
        <w:widowControl/>
        <w:snapToGrid w:val="0"/>
        <w:spacing w:line="360" w:lineRule="auto"/>
        <w:ind w:firstLine="420" w:firstLineChars="200"/>
        <w:jc w:val="left"/>
        <w:rPr>
          <w:rFonts w:ascii="宋体" w:hAnsi="宋体" w:cs="宋体"/>
          <w:bCs/>
          <w:kern w:val="0"/>
          <w:szCs w:val="21"/>
          <w:highlight w:val="none"/>
        </w:rPr>
      </w:pPr>
      <w:r>
        <w:rPr>
          <w:rFonts w:hint="eastAsia" w:ascii="宋体" w:hAnsi="宋体" w:cs="宋体"/>
          <w:bCs/>
          <w:kern w:val="0"/>
          <w:szCs w:val="21"/>
          <w:highlight w:val="none"/>
        </w:rPr>
        <w:t>7.关于印发节能产品政府采购品目清单的通知（财库〔2019〕19号）节能产品政府采购品目清单</w:t>
      </w:r>
    </w:p>
    <w:p>
      <w:pPr>
        <w:widowControl/>
        <w:snapToGrid w:val="0"/>
        <w:spacing w:line="360" w:lineRule="auto"/>
        <w:ind w:firstLine="420" w:firstLineChars="200"/>
        <w:jc w:val="left"/>
        <w:rPr>
          <w:rFonts w:ascii="宋体" w:hAnsi="宋体" w:cs="宋体"/>
          <w:bCs/>
          <w:kern w:val="0"/>
          <w:szCs w:val="21"/>
          <w:highlight w:val="none"/>
        </w:rPr>
      </w:pPr>
      <w:r>
        <w:rPr>
          <w:rFonts w:hint="eastAsia" w:ascii="宋体" w:hAnsi="宋体" w:cs="宋体"/>
          <w:bCs/>
          <w:kern w:val="0"/>
          <w:szCs w:val="21"/>
          <w:highlight w:val="none"/>
        </w:rPr>
        <w:t>8.市场监管总局关于发布参与实施政府采购节能产品、环境标志产品认证机构名录的公告（2019年第16号）</w:t>
      </w:r>
    </w:p>
    <w:p>
      <w:pPr>
        <w:widowControl/>
        <w:snapToGrid w:val="0"/>
        <w:spacing w:line="360" w:lineRule="auto"/>
        <w:ind w:firstLine="420" w:firstLineChars="200"/>
        <w:jc w:val="left"/>
        <w:rPr>
          <w:rFonts w:ascii="宋体" w:hAnsi="宋体" w:cs="宋体"/>
          <w:szCs w:val="21"/>
          <w:highlight w:val="none"/>
        </w:rPr>
      </w:pPr>
      <w:r>
        <w:rPr>
          <w:rFonts w:hint="eastAsia" w:ascii="宋体" w:hAnsi="宋体" w:cs="宋体"/>
          <w:bCs/>
          <w:kern w:val="0"/>
          <w:szCs w:val="21"/>
          <w:highlight w:val="none"/>
        </w:rPr>
        <w:t>9.关于印发《政府采购促进中小企业发展管理办法》的通知（财库〔2020〕46号）</w:t>
      </w:r>
    </w:p>
    <w:p>
      <w:pPr>
        <w:snapToGrid w:val="0"/>
        <w:spacing w:line="324" w:lineRule="auto"/>
        <w:ind w:firstLine="422" w:firstLineChars="200"/>
        <w:rPr>
          <w:rFonts w:ascii="宋体" w:hAnsi="宋体" w:cs="宋体"/>
          <w:b/>
          <w:bCs/>
          <w:szCs w:val="21"/>
          <w:highlight w:val="none"/>
        </w:rPr>
      </w:pPr>
      <w:r>
        <w:rPr>
          <w:rFonts w:hint="eastAsia" w:ascii="宋体" w:hAnsi="宋体" w:cs="宋体"/>
          <w:b/>
          <w:bCs/>
          <w:szCs w:val="21"/>
          <w:highlight w:val="none"/>
        </w:rPr>
        <w:t>四、获取采购文件</w:t>
      </w:r>
    </w:p>
    <w:p>
      <w:pPr>
        <w:snapToGrid w:val="0"/>
        <w:spacing w:line="324" w:lineRule="auto"/>
        <w:ind w:firstLine="420" w:firstLineChars="200"/>
        <w:rPr>
          <w:rFonts w:ascii="宋体" w:hAnsi="宋体" w:cs="宋体"/>
          <w:szCs w:val="21"/>
          <w:highlight w:val="none"/>
        </w:rPr>
      </w:pPr>
      <w:r>
        <w:rPr>
          <w:rFonts w:hint="eastAsia" w:ascii="宋体" w:hAnsi="宋体" w:cs="宋体"/>
          <w:szCs w:val="21"/>
          <w:highlight w:val="none"/>
        </w:rPr>
        <w:t>时间：</w:t>
      </w:r>
      <w:r>
        <w:rPr>
          <w:rFonts w:hint="eastAsia" w:ascii="宋体" w:hAnsi="宋体" w:cs="宋体"/>
          <w:b/>
          <w:bCs/>
          <w:szCs w:val="21"/>
          <w:highlight w:val="none"/>
        </w:rPr>
        <w:t>2024年6月</w:t>
      </w:r>
      <w:r>
        <w:rPr>
          <w:rFonts w:hint="eastAsia" w:ascii="宋体" w:hAnsi="宋体" w:cs="宋体"/>
          <w:b/>
          <w:bCs/>
          <w:szCs w:val="21"/>
          <w:highlight w:val="none"/>
          <w:lang w:val="en-US" w:eastAsia="zh-CN"/>
        </w:rPr>
        <w:t>11</w:t>
      </w:r>
      <w:r>
        <w:rPr>
          <w:rFonts w:hint="eastAsia" w:ascii="宋体" w:hAnsi="宋体" w:cs="宋体"/>
          <w:b/>
          <w:bCs/>
          <w:szCs w:val="21"/>
          <w:highlight w:val="none"/>
        </w:rPr>
        <w:t xml:space="preserve"> 日至2024年6月 </w:t>
      </w:r>
      <w:r>
        <w:rPr>
          <w:rFonts w:hint="eastAsia" w:ascii="宋体" w:hAnsi="宋体" w:cs="宋体"/>
          <w:b/>
          <w:bCs/>
          <w:szCs w:val="21"/>
          <w:highlight w:val="none"/>
          <w:lang w:val="en-US" w:eastAsia="zh-CN"/>
        </w:rPr>
        <w:t>14</w:t>
      </w:r>
      <w:r>
        <w:rPr>
          <w:rFonts w:hint="eastAsia" w:ascii="宋体" w:hAnsi="宋体" w:cs="宋体"/>
          <w:b/>
          <w:bCs/>
          <w:szCs w:val="21"/>
          <w:highlight w:val="none"/>
        </w:rPr>
        <w:t>日上班时间8:00-12:00,15:00-18：00</w:t>
      </w:r>
      <w:r>
        <w:rPr>
          <w:rFonts w:hint="eastAsia" w:ascii="宋体" w:hAnsi="宋体" w:cs="宋体"/>
          <w:szCs w:val="21"/>
          <w:highlight w:val="none"/>
        </w:rPr>
        <w:t>（北京时间，法定节假日除外）。</w:t>
      </w:r>
    </w:p>
    <w:p>
      <w:pPr>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地点：广西政府采购云平台（https://www.gcy.zfcg.gxzf.gov.cn/）</w:t>
      </w:r>
    </w:p>
    <w:p>
      <w:pPr>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方式：潜在供应商通过“广西政府采购云平台”完成账号注册后，须在获取响应文件时限内登录“广西政府采购云平台”的“项目采购——获取采购文件”模块自行申请获取并免费下载响应文件。</w:t>
      </w:r>
    </w:p>
    <w:p>
      <w:pPr>
        <w:snapToGrid w:val="0"/>
        <w:spacing w:line="324" w:lineRule="auto"/>
        <w:ind w:firstLine="422" w:firstLineChars="200"/>
        <w:rPr>
          <w:rFonts w:ascii="宋体" w:hAnsi="宋体" w:cs="宋体"/>
          <w:b/>
          <w:bCs/>
          <w:szCs w:val="21"/>
          <w:highlight w:val="none"/>
        </w:rPr>
      </w:pPr>
      <w:r>
        <w:rPr>
          <w:rFonts w:hint="eastAsia" w:ascii="宋体" w:hAnsi="宋体" w:cs="宋体"/>
          <w:b/>
          <w:bCs/>
          <w:szCs w:val="21"/>
          <w:highlight w:val="none"/>
        </w:rPr>
        <w:t>五、响应文件提交</w:t>
      </w:r>
    </w:p>
    <w:p>
      <w:pPr>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 xml:space="preserve">截止时间： </w:t>
      </w:r>
      <w:r>
        <w:rPr>
          <w:rFonts w:hint="eastAsia" w:asciiTheme="minorEastAsia" w:hAnsiTheme="minorEastAsia" w:eastAsiaTheme="minorEastAsia" w:cstheme="minorEastAsia"/>
          <w:szCs w:val="21"/>
          <w:highlight w:val="none"/>
          <w:u w:val="single"/>
        </w:rPr>
        <w:t xml:space="preserve">2024年6月 </w:t>
      </w:r>
      <w:r>
        <w:rPr>
          <w:rFonts w:hint="eastAsia" w:asciiTheme="minorEastAsia" w:hAnsiTheme="minorEastAsia" w:eastAsiaTheme="minorEastAsia" w:cstheme="minorEastAsia"/>
          <w:szCs w:val="21"/>
          <w:highlight w:val="none"/>
          <w:u w:val="single"/>
          <w:lang w:val="en-US" w:eastAsia="zh-CN"/>
        </w:rPr>
        <w:t>17</w:t>
      </w:r>
      <w:r>
        <w:rPr>
          <w:rFonts w:hint="eastAsia" w:asciiTheme="minorEastAsia" w:hAnsiTheme="minorEastAsia" w:eastAsiaTheme="minorEastAsia" w:cstheme="minorEastAsia"/>
          <w:szCs w:val="21"/>
          <w:highlight w:val="none"/>
          <w:u w:val="single"/>
        </w:rPr>
        <w:t>日</w:t>
      </w:r>
      <w:r>
        <w:rPr>
          <w:rFonts w:hint="eastAsia" w:asciiTheme="minorEastAsia" w:hAnsiTheme="minorEastAsia" w:eastAsiaTheme="minorEastAsia" w:cstheme="minorEastAsia"/>
          <w:szCs w:val="21"/>
          <w:highlight w:val="none"/>
          <w:u w:val="single"/>
          <w:lang w:val="en-US" w:eastAsia="zh-CN"/>
        </w:rPr>
        <w:t>15</w:t>
      </w:r>
      <w:r>
        <w:rPr>
          <w:rFonts w:hint="eastAsia" w:asciiTheme="minorEastAsia" w:hAnsiTheme="minorEastAsia" w:eastAsiaTheme="minorEastAsia" w:cstheme="minorEastAsia"/>
          <w:szCs w:val="21"/>
          <w:highlight w:val="none"/>
          <w:u w:val="single"/>
        </w:rPr>
        <w:t>点</w:t>
      </w:r>
      <w:r>
        <w:rPr>
          <w:rFonts w:hint="eastAsia" w:asciiTheme="minorEastAsia" w:hAnsiTheme="minorEastAsia" w:eastAsiaTheme="minorEastAsia" w:cstheme="minorEastAsia"/>
          <w:szCs w:val="21"/>
          <w:highlight w:val="none"/>
          <w:u w:val="single"/>
          <w:lang w:val="en-US" w:eastAsia="zh-CN"/>
        </w:rPr>
        <w:t>0</w:t>
      </w:r>
      <w:r>
        <w:rPr>
          <w:rFonts w:hint="eastAsia" w:asciiTheme="minorEastAsia" w:hAnsiTheme="minorEastAsia" w:eastAsiaTheme="minorEastAsia" w:cstheme="minorEastAsia"/>
          <w:szCs w:val="21"/>
          <w:highlight w:val="none"/>
          <w:u w:val="single"/>
        </w:rPr>
        <w:t>0分</w:t>
      </w:r>
      <w:r>
        <w:rPr>
          <w:rFonts w:hint="eastAsia" w:ascii="宋体" w:hAnsi="宋体" w:cs="宋体"/>
          <w:szCs w:val="21"/>
          <w:highlight w:val="none"/>
        </w:rPr>
        <w:t>（北京时间）</w:t>
      </w:r>
    </w:p>
    <w:p>
      <w:pPr>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地点：广西政府采购云平台（https://www.gcy.zfcg.gxzf.gov.cn/）（本项目不要求供应商到达开标现场，但供应商应派法定代表人或委托代理人准时在线出席电子开评标会议，随时关注开评标进度，如在开评标过程中有电子询标，应在规定的时间内对电子询标函进行澄清回复。）</w:t>
      </w:r>
    </w:p>
    <w:p>
      <w:pPr>
        <w:pStyle w:val="12"/>
        <w:spacing w:before="0" w:beforeAutospacing="0" w:after="0" w:afterAutospacing="0" w:line="380" w:lineRule="exact"/>
        <w:ind w:firstLine="422" w:firstLineChars="200"/>
        <w:rPr>
          <w:rFonts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六、开启时间</w:t>
      </w:r>
    </w:p>
    <w:p>
      <w:pPr>
        <w:pStyle w:val="12"/>
        <w:spacing w:before="0" w:beforeAutospacing="0" w:after="0" w:afterAutospacing="0" w:line="380" w:lineRule="exact"/>
        <w:ind w:firstLine="420" w:firstLineChars="20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时间：</w:t>
      </w:r>
      <w:r>
        <w:rPr>
          <w:rFonts w:hint="eastAsia" w:asciiTheme="minorEastAsia" w:hAnsiTheme="minorEastAsia" w:eastAsiaTheme="minorEastAsia" w:cstheme="minorEastAsia"/>
          <w:b/>
          <w:bCs/>
          <w:color w:val="auto"/>
          <w:sz w:val="21"/>
          <w:szCs w:val="21"/>
          <w:highlight w:val="none"/>
        </w:rPr>
        <w:t>2024年6月</w:t>
      </w:r>
      <w:r>
        <w:rPr>
          <w:rFonts w:hint="eastAsia" w:asciiTheme="minorEastAsia" w:hAnsiTheme="minorEastAsia" w:eastAsiaTheme="minorEastAsia" w:cstheme="minorEastAsia"/>
          <w:b/>
          <w:bCs/>
          <w:color w:val="auto"/>
          <w:sz w:val="21"/>
          <w:szCs w:val="21"/>
          <w:highlight w:val="none"/>
          <w:lang w:val="en-US" w:eastAsia="zh-CN"/>
        </w:rPr>
        <w:t>17</w:t>
      </w:r>
      <w:r>
        <w:rPr>
          <w:rFonts w:hint="eastAsia" w:asciiTheme="minorEastAsia" w:hAnsiTheme="minorEastAsia" w:eastAsiaTheme="minorEastAsia" w:cstheme="minorEastAsia"/>
          <w:b/>
          <w:bCs/>
          <w:color w:val="auto"/>
          <w:sz w:val="21"/>
          <w:szCs w:val="21"/>
          <w:highlight w:val="none"/>
        </w:rPr>
        <w:t xml:space="preserve"> 日</w:t>
      </w:r>
      <w:r>
        <w:rPr>
          <w:rFonts w:hint="eastAsia" w:asciiTheme="minorEastAsia" w:hAnsiTheme="minorEastAsia" w:eastAsiaTheme="minorEastAsia" w:cstheme="minorEastAsia"/>
          <w:b/>
          <w:bCs/>
          <w:color w:val="auto"/>
          <w:sz w:val="21"/>
          <w:szCs w:val="21"/>
          <w:highlight w:val="none"/>
          <w:lang w:val="en-US" w:eastAsia="zh-CN"/>
        </w:rPr>
        <w:t>15</w:t>
      </w:r>
      <w:r>
        <w:rPr>
          <w:rFonts w:hint="eastAsia" w:asciiTheme="minorEastAsia" w:hAnsiTheme="minorEastAsia" w:eastAsiaTheme="minorEastAsia" w:cstheme="minorEastAsia"/>
          <w:b/>
          <w:bCs/>
          <w:color w:val="auto"/>
          <w:sz w:val="21"/>
          <w:szCs w:val="21"/>
          <w:highlight w:val="none"/>
        </w:rPr>
        <w:t>点</w:t>
      </w:r>
      <w:r>
        <w:rPr>
          <w:rFonts w:hint="eastAsia" w:asciiTheme="minorEastAsia" w:hAnsiTheme="minorEastAsia" w:eastAsiaTheme="minorEastAsia" w:cstheme="minorEastAsia"/>
          <w:b/>
          <w:bCs/>
          <w:color w:val="auto"/>
          <w:sz w:val="21"/>
          <w:szCs w:val="21"/>
          <w:highlight w:val="none"/>
          <w:lang w:val="en-US" w:eastAsia="zh-CN"/>
        </w:rPr>
        <w:t>0</w:t>
      </w:r>
      <w:r>
        <w:rPr>
          <w:rFonts w:hint="eastAsia" w:asciiTheme="minorEastAsia" w:hAnsiTheme="minorEastAsia" w:eastAsiaTheme="minorEastAsia" w:cstheme="minorEastAsia"/>
          <w:b/>
          <w:bCs/>
          <w:color w:val="auto"/>
          <w:sz w:val="21"/>
          <w:szCs w:val="21"/>
          <w:highlight w:val="none"/>
        </w:rPr>
        <w:t>0分</w:t>
      </w:r>
      <w:r>
        <w:rPr>
          <w:rFonts w:hint="eastAsia" w:asciiTheme="minorEastAsia" w:hAnsiTheme="minorEastAsia" w:eastAsiaTheme="minorEastAsia" w:cstheme="minorEastAsia"/>
          <w:color w:val="auto"/>
          <w:sz w:val="21"/>
          <w:szCs w:val="21"/>
          <w:highlight w:val="none"/>
        </w:rPr>
        <w:t>（北京时间）</w:t>
      </w:r>
    </w:p>
    <w:p>
      <w:pPr>
        <w:pStyle w:val="12"/>
        <w:spacing w:before="0" w:beforeAutospacing="0" w:after="0" w:afterAutospacing="0" w:line="380" w:lineRule="exact"/>
        <w:ind w:firstLine="420" w:firstLineChars="200"/>
        <w:rPr>
          <w:rFonts w:cs="宋体"/>
          <w:color w:val="auto"/>
          <w:sz w:val="21"/>
          <w:szCs w:val="21"/>
          <w:highlight w:val="none"/>
        </w:rPr>
      </w:pPr>
      <w:bookmarkStart w:id="8" w:name="_Toc88035027"/>
      <w:bookmarkStart w:id="9" w:name="_Toc88035246"/>
      <w:r>
        <w:rPr>
          <w:rFonts w:hint="eastAsia" w:cs="宋体"/>
          <w:color w:val="auto"/>
          <w:sz w:val="21"/>
          <w:szCs w:val="21"/>
          <w:highlight w:val="none"/>
        </w:rPr>
        <w:t>开标地点：通过广西政府采购云平台（https://www.gcy.zfcg.gxzf.gov.cn/）在线解密开启响应文件</w:t>
      </w:r>
      <w:bookmarkEnd w:id="8"/>
      <w:bookmarkEnd w:id="9"/>
      <w:r>
        <w:rPr>
          <w:rFonts w:hint="eastAsia" w:cs="宋体"/>
          <w:color w:val="auto"/>
          <w:sz w:val="21"/>
          <w:szCs w:val="21"/>
          <w:highlight w:val="none"/>
        </w:rPr>
        <w:t xml:space="preserve"> </w:t>
      </w:r>
    </w:p>
    <w:p>
      <w:pPr>
        <w:pStyle w:val="12"/>
        <w:spacing w:before="0" w:beforeAutospacing="0" w:after="0" w:afterAutospacing="0" w:line="380" w:lineRule="exact"/>
        <w:ind w:firstLine="422" w:firstLineChars="200"/>
        <w:rPr>
          <w:rFonts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七、公告期限</w:t>
      </w:r>
    </w:p>
    <w:p>
      <w:pPr>
        <w:pStyle w:val="12"/>
        <w:spacing w:before="0" w:beforeAutospacing="0" w:after="0" w:afterAutospacing="0" w:line="380" w:lineRule="exact"/>
        <w:ind w:firstLine="420" w:firstLineChars="20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自本公告发布之日起3个工作日。</w:t>
      </w:r>
    </w:p>
    <w:p>
      <w:pPr>
        <w:pStyle w:val="12"/>
        <w:spacing w:before="0" w:beforeAutospacing="0" w:after="0" w:afterAutospacing="0" w:line="380" w:lineRule="exact"/>
        <w:ind w:firstLine="422" w:firstLineChars="200"/>
        <w:rPr>
          <w:rFonts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八、其他补充事宜</w:t>
      </w:r>
    </w:p>
    <w:p>
      <w:pPr>
        <w:wordWrap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1、网上公告媒体查询：中国政府采购网（http://www.ccgp.gov.cn）、广西壮族自治区政府采购网（http://zfcg.gxzf.gov.cn/）、广西招标投标服务平台（http://zbtb.gxi.gov.cn:9000/）、梧州学院国有资产管理处</w:t>
      </w:r>
      <w:r>
        <w:rPr>
          <w:rFonts w:hint="eastAsia" w:asciiTheme="minorEastAsia" w:hAnsiTheme="minorEastAsia" w:eastAsiaTheme="minorEastAsia" w:cstheme="minorEastAsia"/>
          <w:szCs w:val="21"/>
          <w:highlight w:val="none"/>
        </w:rPr>
        <w:t>（https://cg.gxuwz.edu.cn/sfw_cms/e?page=cms.index）</w:t>
      </w:r>
    </w:p>
    <w:p>
      <w:pPr>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2、本项目实行电子谈判，注意事项如下：</w:t>
      </w:r>
    </w:p>
    <w:p>
      <w:pPr>
        <w:snapToGrid w:val="0"/>
        <w:spacing w:line="360" w:lineRule="auto"/>
        <w:ind w:firstLine="420" w:firstLineChars="200"/>
        <w:rPr>
          <w:rFonts w:ascii="宋体" w:hAnsi="宋体" w:cs="宋体"/>
          <w:szCs w:val="21"/>
          <w:highlight w:val="none"/>
        </w:rPr>
      </w:pPr>
      <w:bookmarkStart w:id="10" w:name="_Toc88035253"/>
      <w:bookmarkStart w:id="11" w:name="_Toc88035034"/>
      <w:r>
        <w:rPr>
          <w:rFonts w:hint="eastAsia" w:ascii="宋体" w:hAnsi="宋体" w:cs="宋体"/>
          <w:szCs w:val="21"/>
          <w:highlight w:val="none"/>
        </w:rPr>
        <w:t>（1）本项目为全流程电子化采购项目，通过广西政府采购云平台（https://www.gcy.zfcg.gxzf.gov.cn/）实行在线电子投标，供应商应先安装“政采云电子投标客户端”（请自行前往广西政府采购云平台进行下载），并按照本项目招标文件和广西政府采购云平台的要求编制、加密后在投标截止时间前通过网络上传至 广西政府采购云平台（加密的电子投标文件是指后缀名为“jmbs”的文件），供应商在广西政府采购云平台提交电子投标文件时，请填写参加远程开标活动经办人联系方式。供应商登录广西政府采购云平台，依次进入“服务中心-项目采购-操作流程-电子招投标-政府采购项目电子交易管理操作指南-供应商”查看电子投标具体操作流程。</w:t>
      </w:r>
    </w:p>
    <w:p>
      <w:pPr>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2）未进行网上注册并办理数字证书（CA认证）的供应商将无法参与本项目政府采购活动，供应商应当在投标截止时间前，完成电子交易平台上的CA数字证书办理及投标文件的提交（供应商可登录“广西政府采购网”，依次进入“办事服务-下载专区”或者登录广西政府采购云平台，依次进入“服务中心-入驻与配置”中查看CA数字证书办理操作流程。如在操作过程中遇到问题或者需要技术支持，请致电政采云客服热线：95763）。</w:t>
      </w:r>
    </w:p>
    <w:p>
      <w:pPr>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（3）CA证书在线解密：供应商投标时，需凭制作投标文件时用来加密的有效数字证书（CA认证）登录广西政府采购云平台电子开标大厅现场按规定时间对加密的投标文件进行解密，否则后果自负。</w:t>
      </w:r>
    </w:p>
    <w:p>
      <w:pPr>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注：1）为确保网上操作合法、有效和安全，请供应商确保在电子投标过程中能够对相关数据电文进行加密和使用电子签章，妥善保管CA数字证书并使用有效的CA数字证书参与整个招标活动。2）供应商应当在投标截止时间前完成电子投标文件的上传、提交，投标截止时间前可以补充、修改或者撤回投标文件。补充或者修改投标文件的，应当先行撤回原投标文件，补充、修改后重新上传、提交，投标截止时间前未完成上传、提交的，视为撤回投标文件。投标截止时间以后上传递交的投标文件，广西政府采购云平台将予以拒收。</w:t>
      </w:r>
      <w:bookmarkEnd w:id="10"/>
      <w:bookmarkEnd w:id="11"/>
    </w:p>
    <w:p>
      <w:pPr>
        <w:pStyle w:val="12"/>
        <w:spacing w:before="0" w:beforeAutospacing="0" w:after="0" w:afterAutospacing="0" w:line="380" w:lineRule="exact"/>
        <w:ind w:firstLine="422" w:firstLineChars="200"/>
        <w:rPr>
          <w:rFonts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九、凡对本次采购提出询问，请按以下方式联系</w:t>
      </w:r>
    </w:p>
    <w:p>
      <w:pPr>
        <w:pStyle w:val="12"/>
        <w:spacing w:before="0" w:beforeAutospacing="0" w:after="0" w:afterAutospacing="0" w:line="380" w:lineRule="exact"/>
        <w:ind w:firstLine="420" w:firstLineChars="20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1.采购人信息</w:t>
      </w:r>
    </w:p>
    <w:p>
      <w:pPr>
        <w:pStyle w:val="12"/>
        <w:spacing w:before="0" w:beforeAutospacing="0" w:after="0" w:afterAutospacing="0" w:line="380" w:lineRule="exact"/>
        <w:ind w:firstLine="420" w:firstLineChars="20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名    称：　梧州学院　　</w:t>
      </w:r>
    </w:p>
    <w:p>
      <w:pPr>
        <w:pStyle w:val="12"/>
        <w:spacing w:before="0" w:beforeAutospacing="0" w:after="0" w:afterAutospacing="0" w:line="380" w:lineRule="exact"/>
        <w:ind w:firstLine="420" w:firstLineChars="20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地    址：梧州市万秀区富民三路82号</w:t>
      </w:r>
    </w:p>
    <w:p>
      <w:pPr>
        <w:pStyle w:val="12"/>
        <w:spacing w:before="0" w:beforeAutospacing="0" w:after="0" w:afterAutospacing="0" w:line="380" w:lineRule="exact"/>
        <w:ind w:firstLine="420" w:firstLineChars="20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采购单位联系人：李老师              联系电话：0774-5835633　 </w:t>
      </w:r>
    </w:p>
    <w:p>
      <w:pPr>
        <w:pStyle w:val="12"/>
        <w:spacing w:before="0" w:beforeAutospacing="0" w:after="0" w:afterAutospacing="0" w:line="380" w:lineRule="exact"/>
        <w:ind w:firstLine="420" w:firstLineChars="20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2.采购代理机构信息</w:t>
      </w:r>
    </w:p>
    <w:p>
      <w:pPr>
        <w:pStyle w:val="12"/>
        <w:spacing w:before="0" w:beforeAutospacing="0" w:after="0" w:afterAutospacing="0" w:line="380" w:lineRule="exact"/>
        <w:ind w:firstLine="420" w:firstLineChars="20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名  称：　　广西海川工程咨询有限公司　</w:t>
      </w:r>
    </w:p>
    <w:p>
      <w:pPr>
        <w:pStyle w:val="12"/>
        <w:spacing w:before="0" w:beforeAutospacing="0" w:after="0" w:afterAutospacing="0" w:line="380" w:lineRule="exact"/>
        <w:ind w:firstLine="420" w:firstLineChars="20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地　　址：　梧州市长洲区舜帝大道西段1号A6第14幢2号独立交易展示位</w:t>
      </w:r>
    </w:p>
    <w:p>
      <w:pPr>
        <w:pStyle w:val="12"/>
        <w:spacing w:before="0" w:beforeAutospacing="0" w:after="0" w:afterAutospacing="0" w:line="380" w:lineRule="exact"/>
        <w:ind w:firstLine="420" w:firstLineChars="20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联系方式：　0774-2028010 　</w:t>
      </w:r>
    </w:p>
    <w:p>
      <w:pPr>
        <w:pStyle w:val="12"/>
        <w:spacing w:before="0" w:beforeAutospacing="0" w:after="0" w:afterAutospacing="0" w:line="380" w:lineRule="exact"/>
        <w:ind w:firstLine="420" w:firstLineChars="20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3.项目联系方式</w:t>
      </w:r>
    </w:p>
    <w:p>
      <w:pPr>
        <w:pStyle w:val="12"/>
        <w:spacing w:before="0" w:beforeAutospacing="0" w:after="0" w:afterAutospacing="0" w:line="380" w:lineRule="exact"/>
        <w:ind w:firstLine="420" w:firstLineChars="20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项目联系人：周工</w:t>
      </w:r>
    </w:p>
    <w:p>
      <w:pPr>
        <w:pStyle w:val="12"/>
        <w:spacing w:before="0" w:beforeAutospacing="0" w:after="0" w:afterAutospacing="0" w:line="380" w:lineRule="exact"/>
        <w:ind w:firstLine="420" w:firstLineChars="20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电　　 话： 0774-2028010 </w:t>
      </w:r>
    </w:p>
    <w:p>
      <w:pPr>
        <w:pStyle w:val="12"/>
        <w:spacing w:before="0" w:beforeAutospacing="0" w:after="0" w:afterAutospacing="0" w:line="380" w:lineRule="exact"/>
        <w:ind w:firstLine="420" w:firstLineChars="200"/>
        <w:jc w:val="right"/>
        <w:rPr>
          <w:rFonts w:asciiTheme="minorEastAsia" w:hAnsiTheme="minorEastAsia" w:eastAsiaTheme="minorEastAsia" w:cstheme="minorEastAsia"/>
          <w:color w:val="auto"/>
          <w:sz w:val="21"/>
          <w:szCs w:val="21"/>
          <w:highlight w:val="none"/>
        </w:rPr>
      </w:pPr>
    </w:p>
    <w:p>
      <w:pPr>
        <w:pStyle w:val="12"/>
        <w:spacing w:before="0" w:beforeAutospacing="0" w:after="0" w:afterAutospacing="0" w:line="380" w:lineRule="exact"/>
        <w:ind w:firstLine="420" w:firstLineChars="200"/>
        <w:jc w:val="right"/>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梧州学院　</w:t>
      </w:r>
    </w:p>
    <w:p>
      <w:pPr>
        <w:pStyle w:val="12"/>
        <w:spacing w:before="0" w:beforeAutospacing="0" w:after="0" w:afterAutospacing="0" w:line="380" w:lineRule="exact"/>
        <w:ind w:firstLine="420" w:firstLineChars="200"/>
        <w:jc w:val="right"/>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广西海川工程咨询有限公司　</w:t>
      </w:r>
    </w:p>
    <w:p>
      <w:pPr>
        <w:pStyle w:val="12"/>
        <w:spacing w:before="0" w:beforeAutospacing="0" w:after="0" w:afterAutospacing="0" w:line="380" w:lineRule="exact"/>
        <w:ind w:firstLine="420" w:firstLineChars="200"/>
        <w:jc w:val="right"/>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2024年6月</w:t>
      </w:r>
      <w:r>
        <w:rPr>
          <w:rFonts w:hint="eastAsia" w:asciiTheme="minorEastAsia" w:hAnsiTheme="minorEastAsia" w:eastAsiaTheme="minorEastAsia" w:cstheme="minorEastAsia"/>
          <w:color w:val="auto"/>
          <w:sz w:val="21"/>
          <w:szCs w:val="21"/>
          <w:highlight w:val="none"/>
          <w:lang w:val="en-US" w:eastAsia="zh-CN"/>
        </w:rPr>
        <w:t>11</w:t>
      </w:r>
      <w:r>
        <w:rPr>
          <w:rFonts w:hint="eastAsia" w:asciiTheme="minorEastAsia" w:hAnsiTheme="minorEastAsia" w:eastAsiaTheme="minorEastAsia" w:cstheme="minorEastAsia"/>
          <w:color w:val="auto"/>
          <w:sz w:val="21"/>
          <w:szCs w:val="21"/>
          <w:highlight w:val="none"/>
        </w:rPr>
        <w:t xml:space="preserve"> 日</w:t>
      </w:r>
    </w:p>
    <w:p>
      <w:pPr>
        <w:pStyle w:val="12"/>
        <w:spacing w:before="0" w:beforeAutospacing="0" w:after="0" w:afterAutospacing="0" w:line="360" w:lineRule="auto"/>
        <w:rPr>
          <w:rFonts w:asciiTheme="minorEastAsia" w:hAnsiTheme="minorEastAsia" w:eastAsiaTheme="minorEastAsia" w:cstheme="minorEastAsia"/>
          <w:color w:val="auto"/>
          <w:sz w:val="21"/>
          <w:szCs w:val="21"/>
          <w:highlight w:val="none"/>
        </w:rPr>
        <w:sectPr>
          <w:footerReference r:id="rId9" w:type="default"/>
          <w:pgSz w:w="11906" w:h="16838"/>
          <w:pgMar w:top="851" w:right="849" w:bottom="1134" w:left="993" w:header="720" w:footer="720" w:gutter="0"/>
          <w:pgNumType w:start="0"/>
          <w:cols w:space="720" w:num="1"/>
          <w:titlePg/>
          <w:docGrid w:linePitch="312" w:charSpace="0"/>
        </w:sectPr>
      </w:pPr>
      <w:r>
        <w:rPr>
          <w:rFonts w:hint="eastAsia" w:asciiTheme="minorEastAsia" w:hAnsiTheme="minorEastAsia" w:eastAsiaTheme="minorEastAsia" w:cstheme="minorEastAsia"/>
          <w:color w:val="auto"/>
          <w:sz w:val="21"/>
          <w:szCs w:val="21"/>
          <w:highlight w:val="none"/>
        </w:rPr>
        <w:softHyphen/>
      </w:r>
      <w:r>
        <w:rPr>
          <w:rFonts w:hint="eastAsia" w:asciiTheme="minorEastAsia" w:hAnsiTheme="minorEastAsia" w:eastAsiaTheme="minorEastAsia" w:cstheme="minorEastAsia"/>
          <w:color w:val="auto"/>
          <w:sz w:val="21"/>
          <w:szCs w:val="21"/>
          <w:highlight w:val="none"/>
        </w:rPr>
        <w:softHyphen/>
      </w:r>
    </w:p>
    <w:p>
      <w:pPr>
        <w:pStyle w:val="4"/>
        <w:numPr>
          <w:ilvl w:val="0"/>
          <w:numId w:val="1"/>
        </w:numPr>
        <w:rPr>
          <w:highlight w:val="none"/>
        </w:rPr>
      </w:pPr>
      <w:r>
        <w:rPr>
          <w:rFonts w:hint="eastAsia"/>
          <w:highlight w:val="none"/>
        </w:rPr>
        <w:t xml:space="preserve"> </w:t>
      </w:r>
      <w:bookmarkStart w:id="12" w:name="_Toc1846"/>
      <w:r>
        <w:rPr>
          <w:rFonts w:hint="eastAsia"/>
          <w:highlight w:val="none"/>
        </w:rPr>
        <w:t>谈判须知及前附表</w:t>
      </w:r>
      <w:bookmarkEnd w:id="1"/>
      <w:bookmarkEnd w:id="2"/>
      <w:bookmarkEnd w:id="3"/>
      <w:bookmarkEnd w:id="12"/>
    </w:p>
    <w:p>
      <w:pPr>
        <w:pStyle w:val="4"/>
        <w:rPr>
          <w:rFonts w:ascii="黑体" w:eastAsia="黑体"/>
          <w:spacing w:val="68"/>
          <w:sz w:val="32"/>
          <w:highlight w:val="none"/>
        </w:rPr>
      </w:pPr>
      <w:bookmarkStart w:id="13" w:name="_Toc26909"/>
      <w:r>
        <w:rPr>
          <w:rFonts w:hint="eastAsia" w:ascii="黑体" w:eastAsia="黑体"/>
          <w:spacing w:val="68"/>
          <w:sz w:val="32"/>
          <w:highlight w:val="none"/>
        </w:rPr>
        <w:t>谈判须知前附表</w:t>
      </w:r>
      <w:bookmarkEnd w:id="13"/>
    </w:p>
    <w:tbl>
      <w:tblPr>
        <w:tblStyle w:val="13"/>
        <w:tblW w:w="98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423"/>
        <w:gridCol w:w="7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828" w:type="dxa"/>
            <w:vAlign w:val="center"/>
          </w:tcPr>
          <w:p>
            <w:pPr>
              <w:jc w:val="center"/>
              <w:rPr>
                <w:rFonts w:ascii="宋体" w:hAnsi="宋体"/>
                <w:b/>
                <w:bCs/>
                <w:szCs w:val="21"/>
                <w:highlight w:val="none"/>
              </w:rPr>
            </w:pPr>
            <w:r>
              <w:rPr>
                <w:rFonts w:hint="eastAsia" w:ascii="宋体" w:hAnsi="宋体"/>
                <w:b/>
                <w:bCs/>
                <w:szCs w:val="21"/>
                <w:highlight w:val="none"/>
              </w:rPr>
              <w:t>序号</w:t>
            </w:r>
          </w:p>
        </w:tc>
        <w:tc>
          <w:tcPr>
            <w:tcW w:w="1423" w:type="dxa"/>
            <w:vAlign w:val="center"/>
          </w:tcPr>
          <w:p>
            <w:pPr>
              <w:jc w:val="center"/>
              <w:rPr>
                <w:rFonts w:ascii="宋体" w:hAnsi="宋体"/>
                <w:b/>
                <w:bCs/>
                <w:szCs w:val="21"/>
                <w:highlight w:val="none"/>
              </w:rPr>
            </w:pPr>
            <w:r>
              <w:rPr>
                <w:rFonts w:hint="eastAsia" w:ascii="宋体" w:hAnsi="宋体"/>
                <w:b/>
                <w:bCs/>
                <w:szCs w:val="21"/>
                <w:highlight w:val="none"/>
              </w:rPr>
              <w:t>条款号</w:t>
            </w:r>
          </w:p>
        </w:tc>
        <w:tc>
          <w:tcPr>
            <w:tcW w:w="7614" w:type="dxa"/>
            <w:vAlign w:val="center"/>
          </w:tcPr>
          <w:p>
            <w:pPr>
              <w:jc w:val="center"/>
              <w:rPr>
                <w:rFonts w:ascii="宋体" w:hAnsi="宋体"/>
                <w:b/>
                <w:bCs/>
                <w:szCs w:val="21"/>
                <w:highlight w:val="none"/>
              </w:rPr>
            </w:pPr>
            <w:r>
              <w:rPr>
                <w:rFonts w:hint="eastAsia" w:ascii="宋体" w:hAnsi="宋体"/>
                <w:b/>
                <w:bCs/>
                <w:szCs w:val="21"/>
                <w:highlight w:val="none"/>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28" w:type="dxa"/>
            <w:vAlign w:val="center"/>
          </w:tcPr>
          <w:p>
            <w:pPr>
              <w:spacing w:line="500" w:lineRule="exact"/>
              <w:jc w:val="center"/>
              <w:rPr>
                <w:rFonts w:ascii="宋体" w:hAnsi="宋体"/>
                <w:b/>
                <w:szCs w:val="21"/>
                <w:highlight w:val="none"/>
              </w:rPr>
            </w:pPr>
            <w:r>
              <w:rPr>
                <w:rFonts w:hint="eastAsia" w:ascii="宋体" w:hAnsi="宋体"/>
                <w:b/>
                <w:szCs w:val="21"/>
                <w:highlight w:val="none"/>
              </w:rPr>
              <w:t>1</w:t>
            </w:r>
          </w:p>
        </w:tc>
        <w:tc>
          <w:tcPr>
            <w:tcW w:w="1423" w:type="dxa"/>
            <w:vAlign w:val="center"/>
          </w:tcPr>
          <w:p>
            <w:pPr>
              <w:spacing w:line="500" w:lineRule="exact"/>
              <w:jc w:val="center"/>
              <w:rPr>
                <w:rFonts w:ascii="宋体" w:hAnsi="宋体"/>
                <w:b/>
                <w:szCs w:val="21"/>
                <w:highlight w:val="none"/>
              </w:rPr>
            </w:pPr>
            <w:r>
              <w:rPr>
                <w:rFonts w:hint="eastAsia" w:ascii="宋体" w:hAnsi="宋体"/>
                <w:b/>
                <w:szCs w:val="21"/>
                <w:highlight w:val="none"/>
              </w:rPr>
              <w:t>1</w:t>
            </w:r>
          </w:p>
        </w:tc>
        <w:tc>
          <w:tcPr>
            <w:tcW w:w="7614" w:type="dxa"/>
            <w:vAlign w:val="center"/>
          </w:tcPr>
          <w:p>
            <w:pPr>
              <w:spacing w:line="500" w:lineRule="exact"/>
              <w:rPr>
                <w:rFonts w:ascii="宋体" w:hAnsi="宋体" w:cs="Arial"/>
                <w:kern w:val="0"/>
                <w:szCs w:val="21"/>
                <w:highlight w:val="none"/>
              </w:rPr>
            </w:pPr>
            <w:r>
              <w:rPr>
                <w:rFonts w:hint="eastAsia" w:ascii="宋体" w:hAnsi="宋体"/>
                <w:b/>
                <w:szCs w:val="21"/>
                <w:highlight w:val="none"/>
              </w:rPr>
              <w:t>项目名称：</w:t>
            </w:r>
            <w:r>
              <w:rPr>
                <w:rFonts w:hint="eastAsia"/>
                <w:szCs w:val="21"/>
                <w:highlight w:val="none"/>
                <w:u w:val="single"/>
              </w:rPr>
              <w:t>梧州学院图书馆2024年图书采购</w:t>
            </w:r>
          </w:p>
          <w:p>
            <w:pPr>
              <w:spacing w:line="500" w:lineRule="exact"/>
              <w:rPr>
                <w:rFonts w:ascii="宋体" w:hAnsi="宋体" w:cs="Arial"/>
                <w:kern w:val="0"/>
                <w:szCs w:val="21"/>
                <w:highlight w:val="none"/>
              </w:rPr>
            </w:pPr>
            <w:r>
              <w:rPr>
                <w:rFonts w:hint="eastAsia"/>
                <w:b/>
                <w:highlight w:val="none"/>
              </w:rPr>
              <w:t>项目编号：</w:t>
            </w:r>
            <w:r>
              <w:rPr>
                <w:rFonts w:hint="eastAsia" w:asciiTheme="minorEastAsia" w:hAnsiTheme="minorEastAsia" w:eastAsiaTheme="minorEastAsia"/>
                <w:highlight w:val="none"/>
                <w:u w:val="single"/>
              </w:rPr>
              <w:t>GXZC2024-J1-003885-GXHC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8" w:hRule="atLeast"/>
          <w:jc w:val="center"/>
        </w:trPr>
        <w:tc>
          <w:tcPr>
            <w:tcW w:w="828" w:type="dxa"/>
            <w:vAlign w:val="center"/>
          </w:tcPr>
          <w:p>
            <w:pPr>
              <w:spacing w:line="500" w:lineRule="exact"/>
              <w:jc w:val="center"/>
              <w:rPr>
                <w:rFonts w:ascii="宋体" w:hAnsi="宋体"/>
                <w:b/>
                <w:szCs w:val="21"/>
                <w:highlight w:val="none"/>
              </w:rPr>
            </w:pPr>
            <w:r>
              <w:rPr>
                <w:rFonts w:hint="eastAsia" w:ascii="宋体" w:hAnsi="宋体"/>
                <w:b/>
                <w:szCs w:val="21"/>
                <w:highlight w:val="none"/>
              </w:rPr>
              <w:t>2</w:t>
            </w:r>
          </w:p>
        </w:tc>
        <w:tc>
          <w:tcPr>
            <w:tcW w:w="1423" w:type="dxa"/>
            <w:vAlign w:val="center"/>
          </w:tcPr>
          <w:p>
            <w:pPr>
              <w:spacing w:line="500" w:lineRule="exact"/>
              <w:jc w:val="center"/>
              <w:rPr>
                <w:rFonts w:ascii="宋体" w:hAnsi="宋体"/>
                <w:b/>
                <w:szCs w:val="21"/>
                <w:highlight w:val="none"/>
              </w:rPr>
            </w:pPr>
            <w:r>
              <w:rPr>
                <w:rFonts w:hint="eastAsia" w:ascii="宋体" w:hAnsi="宋体"/>
                <w:b/>
                <w:szCs w:val="21"/>
                <w:highlight w:val="none"/>
              </w:rPr>
              <w:t>2.1</w:t>
            </w:r>
          </w:p>
        </w:tc>
        <w:tc>
          <w:tcPr>
            <w:tcW w:w="7614" w:type="dxa"/>
            <w:vAlign w:val="center"/>
          </w:tcPr>
          <w:p>
            <w:pPr>
              <w:pStyle w:val="8"/>
              <w:spacing w:line="360" w:lineRule="auto"/>
              <w:rPr>
                <w:rFonts w:cs="Courier New"/>
                <w:b/>
                <w:bCs/>
                <w:szCs w:val="21"/>
                <w:highlight w:val="none"/>
              </w:rPr>
            </w:pPr>
            <w:r>
              <w:rPr>
                <w:rFonts w:hint="eastAsia" w:cs="Courier New"/>
                <w:b/>
                <w:bCs/>
                <w:szCs w:val="21"/>
                <w:highlight w:val="none"/>
              </w:rPr>
              <w:t>响应文件的上传和提交：</w:t>
            </w:r>
          </w:p>
          <w:p>
            <w:pPr>
              <w:pStyle w:val="8"/>
              <w:spacing w:line="360" w:lineRule="auto"/>
              <w:rPr>
                <w:rFonts w:cs="Courier New"/>
                <w:szCs w:val="21"/>
                <w:highlight w:val="none"/>
              </w:rPr>
            </w:pPr>
            <w:r>
              <w:rPr>
                <w:rFonts w:hint="eastAsia" w:cs="Courier New"/>
                <w:szCs w:val="21"/>
                <w:highlight w:val="none"/>
              </w:rPr>
              <w:t>本项目通过“广西政府采购云平台（https://www.gcy.zfcg.gxzf.gov.cn/）”实行在线谈判响应（电子标），谈判供应商应当在上传响应文件截止时间前，将生成的“电子加密响应文件”上传提交至“广西政府采购云平台”。</w:t>
            </w:r>
          </w:p>
          <w:p>
            <w:pPr>
              <w:pStyle w:val="8"/>
              <w:spacing w:line="360" w:lineRule="auto"/>
              <w:rPr>
                <w:rFonts w:cs="Courier New"/>
                <w:szCs w:val="21"/>
                <w:highlight w:val="none"/>
              </w:rPr>
            </w:pPr>
            <w:r>
              <w:rPr>
                <w:rFonts w:hint="eastAsia" w:cs="Courier New"/>
                <w:szCs w:val="21"/>
                <w:highlight w:val="none"/>
              </w:rPr>
              <w:t>“电子加密响应文件”的上传、提交：</w:t>
            </w:r>
          </w:p>
          <w:p>
            <w:pPr>
              <w:pStyle w:val="8"/>
              <w:spacing w:line="360" w:lineRule="auto"/>
              <w:rPr>
                <w:rFonts w:cs="Courier New"/>
                <w:szCs w:val="21"/>
                <w:highlight w:val="none"/>
              </w:rPr>
            </w:pPr>
            <w:r>
              <w:rPr>
                <w:rFonts w:hint="eastAsia" w:cs="Courier New"/>
                <w:szCs w:val="21"/>
                <w:highlight w:val="none"/>
              </w:rPr>
              <w:t>a.谈判供应商应在上传响应文件截止时间前将“电子加密响应文件”成功上传提交至“广西政府采购云平台”，否则谈判无效。</w:t>
            </w:r>
          </w:p>
          <w:p>
            <w:pPr>
              <w:pStyle w:val="8"/>
              <w:spacing w:line="360" w:lineRule="auto"/>
              <w:rPr>
                <w:rFonts w:hAnsi="宋体" w:cs="宋体"/>
                <w:kern w:val="0"/>
                <w:szCs w:val="21"/>
                <w:highlight w:val="none"/>
              </w:rPr>
            </w:pPr>
            <w:r>
              <w:rPr>
                <w:rFonts w:hint="eastAsia" w:cs="Courier New"/>
                <w:szCs w:val="21"/>
                <w:highlight w:val="none"/>
              </w:rPr>
              <w:t>b.“电子加密谈判响应文件”成功上传提交后，供应商可自行打印响应文件接收回执。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828" w:type="dxa"/>
            <w:vAlign w:val="center"/>
          </w:tcPr>
          <w:p>
            <w:pPr>
              <w:spacing w:line="500" w:lineRule="exact"/>
              <w:jc w:val="center"/>
              <w:rPr>
                <w:rFonts w:ascii="宋体" w:hAnsi="宋体"/>
                <w:b/>
                <w:szCs w:val="21"/>
                <w:highlight w:val="none"/>
              </w:rPr>
            </w:pPr>
            <w:r>
              <w:rPr>
                <w:rFonts w:hint="eastAsia" w:ascii="宋体" w:hAnsi="宋体"/>
                <w:b/>
                <w:szCs w:val="21"/>
                <w:highlight w:val="none"/>
              </w:rPr>
              <w:t>3</w:t>
            </w:r>
          </w:p>
        </w:tc>
        <w:tc>
          <w:tcPr>
            <w:tcW w:w="1423" w:type="dxa"/>
            <w:vAlign w:val="center"/>
          </w:tcPr>
          <w:p>
            <w:pPr>
              <w:spacing w:line="500" w:lineRule="exact"/>
              <w:jc w:val="center"/>
              <w:rPr>
                <w:rFonts w:ascii="宋体" w:hAnsi="宋体"/>
                <w:b/>
                <w:szCs w:val="21"/>
                <w:highlight w:val="none"/>
              </w:rPr>
            </w:pPr>
            <w:r>
              <w:rPr>
                <w:rFonts w:hint="eastAsia" w:ascii="宋体" w:hAnsi="宋体"/>
                <w:b/>
                <w:szCs w:val="21"/>
                <w:highlight w:val="none"/>
              </w:rPr>
              <w:t>11.1</w:t>
            </w:r>
          </w:p>
        </w:tc>
        <w:tc>
          <w:tcPr>
            <w:tcW w:w="7614" w:type="dxa"/>
            <w:vAlign w:val="center"/>
          </w:tcPr>
          <w:p>
            <w:pPr>
              <w:pStyle w:val="8"/>
              <w:spacing w:line="360" w:lineRule="auto"/>
              <w:rPr>
                <w:rFonts w:cs="Courier New"/>
                <w:szCs w:val="21"/>
                <w:highlight w:val="none"/>
              </w:rPr>
            </w:pPr>
            <w:r>
              <w:rPr>
                <w:rFonts w:hint="eastAsia" w:cs="Courier New"/>
                <w:szCs w:val="21"/>
                <w:highlight w:val="none"/>
              </w:rPr>
              <w:t>1.竞标报价方式：本项目按折扣率进行报价，供应商报价≤80%（</w:t>
            </w:r>
            <w:r>
              <w:rPr>
                <w:rFonts w:hint="eastAsia" w:hAnsi="宋体"/>
                <w:b/>
                <w:bCs/>
                <w:highlight w:val="none"/>
              </w:rPr>
              <w:t>折扣率是指按原价的若干成计价。如折扣率80%，成交价格=原价×80%</w:t>
            </w:r>
            <w:r>
              <w:rPr>
                <w:rFonts w:hint="eastAsia" w:cs="Courier New"/>
                <w:szCs w:val="21"/>
                <w:highlight w:val="none"/>
              </w:rPr>
              <w:t>）。供应商必须就《采购内容及要求》中的项目和服务内容可能发生的费用作唯一完整报价。（本项目只允许递交一个方案的报价，不接受任何有选择性的报价。）</w:t>
            </w:r>
          </w:p>
          <w:p>
            <w:pPr>
              <w:pStyle w:val="8"/>
              <w:spacing w:line="360" w:lineRule="auto"/>
              <w:rPr>
                <w:rFonts w:asciiTheme="minorEastAsia" w:hAnsiTheme="minorEastAsia" w:eastAsiaTheme="minorEastAsia" w:cstheme="minorEastAsia"/>
                <w:szCs w:val="21"/>
                <w:highlight w:val="none"/>
              </w:rPr>
            </w:pPr>
            <w:r>
              <w:rPr>
                <w:rFonts w:hint="eastAsia" w:cs="Courier New"/>
                <w:szCs w:val="21"/>
                <w:highlight w:val="none"/>
              </w:rPr>
              <w:t>2.竞标报价应为实施本项目所需的所有费用，包含采购、制造、改造、包装、运输、劳务、管理、利润、税金、保险、协调、装卸、调试、培训、售后服务费用以及相关文件规定及合同包含的所有风险、责任等。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828" w:type="dxa"/>
            <w:vAlign w:val="center"/>
          </w:tcPr>
          <w:p>
            <w:pPr>
              <w:spacing w:line="500" w:lineRule="exact"/>
              <w:jc w:val="center"/>
              <w:rPr>
                <w:rFonts w:ascii="宋体" w:hAnsi="宋体"/>
                <w:b/>
                <w:szCs w:val="21"/>
                <w:highlight w:val="none"/>
              </w:rPr>
            </w:pPr>
            <w:r>
              <w:rPr>
                <w:rFonts w:hint="eastAsia" w:ascii="宋体" w:hAnsi="宋体"/>
                <w:b/>
                <w:szCs w:val="21"/>
                <w:highlight w:val="none"/>
              </w:rPr>
              <w:t>4</w:t>
            </w:r>
          </w:p>
        </w:tc>
        <w:tc>
          <w:tcPr>
            <w:tcW w:w="1423" w:type="dxa"/>
            <w:vAlign w:val="center"/>
          </w:tcPr>
          <w:p>
            <w:pPr>
              <w:spacing w:line="500" w:lineRule="exact"/>
              <w:jc w:val="center"/>
              <w:rPr>
                <w:rFonts w:ascii="宋体" w:hAnsi="宋体"/>
                <w:b/>
                <w:szCs w:val="21"/>
                <w:highlight w:val="none"/>
              </w:rPr>
            </w:pPr>
            <w:r>
              <w:rPr>
                <w:rFonts w:hint="eastAsia" w:ascii="宋体" w:hAnsi="宋体"/>
                <w:b/>
                <w:szCs w:val="21"/>
                <w:highlight w:val="none"/>
              </w:rPr>
              <w:t>16</w:t>
            </w:r>
          </w:p>
        </w:tc>
        <w:tc>
          <w:tcPr>
            <w:tcW w:w="7614" w:type="dxa"/>
            <w:vAlign w:val="center"/>
          </w:tcPr>
          <w:p>
            <w:pPr>
              <w:spacing w:line="360" w:lineRule="auto"/>
              <w:ind w:left="1265" w:hanging="1265" w:hangingChars="600"/>
              <w:jc w:val="left"/>
              <w:rPr>
                <w:rFonts w:ascii="宋体" w:hAnsi="宋体"/>
                <w:b/>
                <w:bCs/>
                <w:szCs w:val="21"/>
                <w:highlight w:val="none"/>
                <w:u w:val="single"/>
              </w:rPr>
            </w:pPr>
            <w:r>
              <w:rPr>
                <w:rFonts w:hint="eastAsia"/>
                <w:b/>
                <w:szCs w:val="21"/>
                <w:highlight w:val="none"/>
              </w:rPr>
              <w:t>谈判保证金</w:t>
            </w:r>
            <w:r>
              <w:rPr>
                <w:b/>
                <w:szCs w:val="21"/>
                <w:highlight w:val="none"/>
              </w:rPr>
              <w:t>：</w:t>
            </w:r>
            <w:r>
              <w:rPr>
                <w:rFonts w:hint="eastAsia" w:ascii="宋体" w:hAnsi="宋体"/>
                <w:b/>
                <w:bCs/>
                <w:szCs w:val="21"/>
                <w:highlight w:val="none"/>
                <w:u w:val="single"/>
              </w:rPr>
              <w:t>人民币壹万元整（¥10000.00）</w:t>
            </w:r>
          </w:p>
          <w:p>
            <w:pPr>
              <w:spacing w:line="360" w:lineRule="auto"/>
              <w:rPr>
                <w:rFonts w:ascii="宋体" w:hAnsi="宋体"/>
                <w:szCs w:val="21"/>
                <w:highlight w:val="none"/>
              </w:rPr>
            </w:pPr>
            <w:r>
              <w:rPr>
                <w:rFonts w:hint="eastAsia" w:ascii="宋体" w:hAnsi="宋体"/>
                <w:szCs w:val="21"/>
                <w:highlight w:val="none"/>
              </w:rPr>
              <w:t>谈判保证金的形式：可以是</w:t>
            </w:r>
            <w:r>
              <w:rPr>
                <w:rFonts w:hint="eastAsia" w:ascii="宋体" w:hAnsi="宋体"/>
                <w:b/>
                <w:szCs w:val="21"/>
                <w:highlight w:val="none"/>
              </w:rPr>
              <w:t>转账或电汇、支票、汇票、本票、保函等非现金方式</w:t>
            </w:r>
          </w:p>
          <w:p>
            <w:pPr>
              <w:spacing w:line="360" w:lineRule="auto"/>
              <w:rPr>
                <w:rFonts w:ascii="宋体" w:hAnsi="宋体"/>
                <w:szCs w:val="21"/>
                <w:highlight w:val="none"/>
              </w:rPr>
            </w:pPr>
            <w:r>
              <w:rPr>
                <w:rFonts w:hint="eastAsia" w:ascii="宋体" w:hAnsi="宋体"/>
                <w:szCs w:val="21"/>
                <w:highlight w:val="none"/>
              </w:rPr>
              <w:t>（1）采用转账或电汇形式：谈判保证金必须在本项目截标时间前递交并到达广西海川工程咨询有限公司谈判保证金专用账户，请在银行进账单或电汇单的用途或空白栏上注明：项目名称+项目编号（可简写，如不注明字样，查不到帐概不负责）。开标前经查实谈判保证金没有到账的，其谈判将被拒绝 。缴纳方法如下：</w:t>
            </w:r>
          </w:p>
          <w:p>
            <w:pPr>
              <w:spacing w:line="360" w:lineRule="auto"/>
              <w:rPr>
                <w:rFonts w:ascii="宋体" w:hAnsi="宋体"/>
                <w:szCs w:val="21"/>
                <w:highlight w:val="none"/>
              </w:rPr>
            </w:pPr>
            <w:r>
              <w:rPr>
                <w:rFonts w:hint="eastAsia" w:ascii="宋体" w:hAnsi="宋体"/>
                <w:szCs w:val="21"/>
                <w:highlight w:val="none"/>
              </w:rPr>
              <w:t>必须在本公司的对公账户中转账至广西海川工程咨询有限公司的谈判保证金专用账户。</w:t>
            </w:r>
          </w:p>
          <w:p>
            <w:pPr>
              <w:pStyle w:val="8"/>
              <w:spacing w:line="360" w:lineRule="auto"/>
              <w:rPr>
                <w:rFonts w:hAnsi="宋体"/>
                <w:szCs w:val="21"/>
                <w:highlight w:val="none"/>
              </w:rPr>
            </w:pPr>
            <w:r>
              <w:rPr>
                <w:rFonts w:hint="eastAsia" w:hAnsi="宋体"/>
                <w:szCs w:val="21"/>
                <w:highlight w:val="none"/>
              </w:rPr>
              <w:t>开户银行：桂林银行股份有限公司梧州灏景支行</w:t>
            </w:r>
          </w:p>
          <w:p>
            <w:pPr>
              <w:pStyle w:val="8"/>
              <w:spacing w:line="360" w:lineRule="auto"/>
              <w:rPr>
                <w:rFonts w:hAnsi="宋体"/>
                <w:szCs w:val="21"/>
                <w:highlight w:val="none"/>
              </w:rPr>
            </w:pPr>
            <w:r>
              <w:rPr>
                <w:rFonts w:hint="eastAsia" w:hAnsi="宋体"/>
                <w:szCs w:val="21"/>
                <w:highlight w:val="none"/>
              </w:rPr>
              <w:t>开户名称：广西海川工程咨询有限公司</w:t>
            </w:r>
          </w:p>
          <w:p>
            <w:pPr>
              <w:pStyle w:val="8"/>
              <w:spacing w:line="360" w:lineRule="auto"/>
              <w:rPr>
                <w:rFonts w:hAnsi="宋体"/>
                <w:szCs w:val="21"/>
                <w:highlight w:val="none"/>
              </w:rPr>
            </w:pPr>
            <w:r>
              <w:rPr>
                <w:rFonts w:hint="eastAsia" w:hAnsi="宋体"/>
                <w:szCs w:val="21"/>
                <w:highlight w:val="none"/>
              </w:rPr>
              <w:t>银行账号：6600  0001  5038  8000  16</w:t>
            </w:r>
          </w:p>
          <w:p>
            <w:pPr>
              <w:pStyle w:val="8"/>
              <w:spacing w:line="360" w:lineRule="auto"/>
              <w:rPr>
                <w:rFonts w:cs="Courier New"/>
                <w:szCs w:val="21"/>
                <w:highlight w:val="none"/>
              </w:rPr>
            </w:pPr>
            <w:r>
              <w:rPr>
                <w:rFonts w:hint="eastAsia" w:cs="Courier New"/>
                <w:szCs w:val="21"/>
                <w:highlight w:val="none"/>
              </w:rPr>
              <w:t>（2）采用支票、汇票、本票、保函形式：必须为无条件的支票/汇票/本票/保函（应注明“项目名称+项目编号”，保函受益人为采购人，格式自拟），足额提交，有效期不得低于谈判有效期【备注：开标现场供应商将支票/汇票/本票/保函原件提交给采购人，由采购人核验票据信息，确认是否有效后交由采购代理机构保管，复印件需加盖供应商单位公章并装订入谈判文件】，否则采购人有权拒绝接受谈判或记录在案并在评标阶段由评标委员会做否决谈判处理。</w:t>
            </w:r>
          </w:p>
          <w:p>
            <w:pPr>
              <w:pStyle w:val="8"/>
              <w:spacing w:line="360" w:lineRule="auto"/>
              <w:rPr>
                <w:rFonts w:cs="Courier New"/>
                <w:szCs w:val="21"/>
                <w:highlight w:val="none"/>
              </w:rPr>
            </w:pPr>
            <w:r>
              <w:rPr>
                <w:rFonts w:hint="eastAsia" w:cs="Courier New"/>
                <w:szCs w:val="21"/>
                <w:highlight w:val="none"/>
              </w:rPr>
              <w:t>保证金支票/汇票/本票/保函原件递交截止时间：同谈判截止时间，逾时不再接收，视为供应商没有缴纳谈判保证金。</w:t>
            </w:r>
          </w:p>
          <w:p>
            <w:pPr>
              <w:spacing w:line="360" w:lineRule="auto"/>
              <w:rPr>
                <w:rFonts w:ascii="宋体" w:hAnsi="宋体"/>
                <w:b/>
                <w:szCs w:val="21"/>
                <w:highlight w:val="none"/>
              </w:rPr>
            </w:pPr>
            <w:r>
              <w:rPr>
                <w:rFonts w:hint="eastAsia"/>
                <w:szCs w:val="21"/>
                <w:highlight w:val="none"/>
              </w:rPr>
              <w:t>（3）谈判保证金应在谈判有效期内保持有效。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828" w:type="dxa"/>
            <w:vAlign w:val="center"/>
          </w:tcPr>
          <w:p>
            <w:pPr>
              <w:spacing w:line="500" w:lineRule="exact"/>
              <w:jc w:val="center"/>
              <w:rPr>
                <w:rFonts w:ascii="宋体" w:hAnsi="宋体"/>
                <w:b/>
                <w:szCs w:val="21"/>
                <w:highlight w:val="none"/>
              </w:rPr>
            </w:pPr>
            <w:r>
              <w:rPr>
                <w:rFonts w:hint="eastAsia" w:ascii="宋体" w:hAnsi="宋体"/>
                <w:b/>
                <w:szCs w:val="21"/>
                <w:highlight w:val="none"/>
              </w:rPr>
              <w:t>5</w:t>
            </w:r>
          </w:p>
        </w:tc>
        <w:tc>
          <w:tcPr>
            <w:tcW w:w="1423" w:type="dxa"/>
            <w:vAlign w:val="center"/>
          </w:tcPr>
          <w:p>
            <w:pPr>
              <w:spacing w:line="500" w:lineRule="exact"/>
              <w:jc w:val="center"/>
              <w:rPr>
                <w:rFonts w:ascii="宋体" w:hAnsi="宋体"/>
                <w:b/>
                <w:szCs w:val="21"/>
                <w:highlight w:val="none"/>
              </w:rPr>
            </w:pPr>
            <w:r>
              <w:rPr>
                <w:rFonts w:hint="eastAsia" w:ascii="宋体" w:hAnsi="宋体"/>
                <w:b/>
                <w:szCs w:val="21"/>
                <w:highlight w:val="none"/>
              </w:rPr>
              <w:t>14.1</w:t>
            </w:r>
          </w:p>
        </w:tc>
        <w:tc>
          <w:tcPr>
            <w:tcW w:w="7614" w:type="dxa"/>
            <w:vAlign w:val="center"/>
          </w:tcPr>
          <w:p>
            <w:pPr>
              <w:spacing w:line="500" w:lineRule="exact"/>
              <w:rPr>
                <w:rFonts w:ascii="宋体" w:hAnsi="宋体"/>
                <w:szCs w:val="21"/>
                <w:highlight w:val="none"/>
              </w:rPr>
            </w:pPr>
            <w:r>
              <w:rPr>
                <w:rFonts w:hint="eastAsia" w:ascii="宋体" w:hAnsi="宋体"/>
                <w:b/>
                <w:szCs w:val="21"/>
                <w:highlight w:val="none"/>
              </w:rPr>
              <w:t>竞标有效期：</w:t>
            </w:r>
            <w:r>
              <w:rPr>
                <w:rFonts w:hint="eastAsia" w:asciiTheme="minorEastAsia" w:hAnsiTheme="minorEastAsia" w:eastAsiaTheme="minorEastAsia" w:cstheme="minorEastAsia"/>
                <w:szCs w:val="21"/>
                <w:highlight w:val="none"/>
              </w:rPr>
              <w:t>竞标截止期结束之日起60天内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828" w:type="dxa"/>
            <w:vAlign w:val="center"/>
          </w:tcPr>
          <w:p>
            <w:pPr>
              <w:spacing w:line="500" w:lineRule="exact"/>
              <w:jc w:val="center"/>
              <w:rPr>
                <w:rFonts w:ascii="宋体" w:hAnsi="宋体"/>
                <w:b/>
                <w:szCs w:val="21"/>
                <w:highlight w:val="none"/>
              </w:rPr>
            </w:pPr>
            <w:r>
              <w:rPr>
                <w:rFonts w:hint="eastAsia" w:ascii="宋体" w:hAnsi="宋体"/>
                <w:b/>
                <w:szCs w:val="21"/>
                <w:highlight w:val="none"/>
              </w:rPr>
              <w:t>6</w:t>
            </w:r>
          </w:p>
        </w:tc>
        <w:tc>
          <w:tcPr>
            <w:tcW w:w="1423" w:type="dxa"/>
            <w:vAlign w:val="center"/>
          </w:tcPr>
          <w:p>
            <w:pPr>
              <w:spacing w:line="500" w:lineRule="exact"/>
              <w:jc w:val="center"/>
              <w:rPr>
                <w:rFonts w:ascii="宋体" w:hAnsi="宋体"/>
                <w:b/>
                <w:szCs w:val="21"/>
                <w:highlight w:val="none"/>
              </w:rPr>
            </w:pPr>
            <w:r>
              <w:rPr>
                <w:rFonts w:hint="eastAsia" w:ascii="宋体" w:hAnsi="宋体"/>
                <w:b/>
                <w:szCs w:val="21"/>
                <w:highlight w:val="none"/>
              </w:rPr>
              <w:t>15</w:t>
            </w:r>
          </w:p>
        </w:tc>
        <w:tc>
          <w:tcPr>
            <w:tcW w:w="7614" w:type="dxa"/>
            <w:vAlign w:val="center"/>
          </w:tcPr>
          <w:p>
            <w:pPr>
              <w:spacing w:line="360" w:lineRule="auto"/>
              <w:rPr>
                <w:rFonts w:ascii="宋体"/>
                <w:szCs w:val="21"/>
                <w:highlight w:val="none"/>
              </w:rPr>
            </w:pPr>
            <w:r>
              <w:rPr>
                <w:rFonts w:hint="eastAsia" w:ascii="宋体" w:hAnsi="宋体"/>
                <w:szCs w:val="21"/>
                <w:highlight w:val="none"/>
              </w:rPr>
              <w:t>响应文件形式：谈判供应商应准备电子响应文件。</w:t>
            </w:r>
          </w:p>
          <w:p>
            <w:pPr>
              <w:spacing w:line="360" w:lineRule="auto"/>
              <w:rPr>
                <w:rFonts w:ascii="宋体" w:hAnsi="宋体"/>
                <w:szCs w:val="21"/>
                <w:highlight w:val="none"/>
              </w:rPr>
            </w:pPr>
            <w:r>
              <w:rPr>
                <w:rFonts w:hint="eastAsia" w:ascii="宋体" w:hAnsi="宋体"/>
                <w:szCs w:val="21"/>
                <w:highlight w:val="none"/>
              </w:rPr>
              <w:t>电子响应文件是指通过</w:t>
            </w:r>
            <w:r>
              <w:rPr>
                <w:rFonts w:hint="eastAsia"/>
                <w:szCs w:val="21"/>
                <w:highlight w:val="none"/>
              </w:rPr>
              <w:t>“政采云电子谈判客户端”完成响应文件编制后生成并加密的数据电文形式的电子加密响应文件。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jc w:val="center"/>
        </w:trPr>
        <w:tc>
          <w:tcPr>
            <w:tcW w:w="828" w:type="dxa"/>
            <w:vAlign w:val="center"/>
          </w:tcPr>
          <w:p>
            <w:pPr>
              <w:spacing w:line="500" w:lineRule="exact"/>
              <w:jc w:val="center"/>
              <w:rPr>
                <w:rFonts w:ascii="宋体" w:hAnsi="宋体"/>
                <w:b/>
                <w:szCs w:val="21"/>
                <w:highlight w:val="none"/>
              </w:rPr>
            </w:pPr>
            <w:r>
              <w:rPr>
                <w:rFonts w:hint="eastAsia" w:ascii="宋体" w:hAnsi="宋体"/>
                <w:b/>
                <w:szCs w:val="21"/>
                <w:highlight w:val="none"/>
              </w:rPr>
              <w:t>7</w:t>
            </w:r>
          </w:p>
        </w:tc>
        <w:tc>
          <w:tcPr>
            <w:tcW w:w="1423" w:type="dxa"/>
            <w:vAlign w:val="center"/>
          </w:tcPr>
          <w:p>
            <w:pPr>
              <w:spacing w:line="500" w:lineRule="exact"/>
              <w:jc w:val="center"/>
              <w:rPr>
                <w:rFonts w:ascii="宋体" w:hAnsi="宋体"/>
                <w:b/>
                <w:szCs w:val="21"/>
                <w:highlight w:val="none"/>
              </w:rPr>
            </w:pPr>
          </w:p>
        </w:tc>
        <w:tc>
          <w:tcPr>
            <w:tcW w:w="7614" w:type="dxa"/>
            <w:vAlign w:val="center"/>
          </w:tcPr>
          <w:p>
            <w:pPr>
              <w:widowControl/>
              <w:snapToGrid w:val="0"/>
              <w:spacing w:line="360" w:lineRule="exact"/>
              <w:jc w:val="lef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竞争性谈判响应文件递交截止时间：2024年6月</w:t>
            </w:r>
            <w:r>
              <w:rPr>
                <w:rFonts w:hint="eastAsia" w:asciiTheme="minorEastAsia" w:hAnsiTheme="minorEastAsia" w:eastAsiaTheme="minorEastAsia"/>
                <w:szCs w:val="21"/>
                <w:highlight w:val="none"/>
                <w:lang w:val="en-US" w:eastAsia="zh-CN"/>
              </w:rPr>
              <w:t>17</w:t>
            </w:r>
            <w:r>
              <w:rPr>
                <w:rFonts w:hint="eastAsia" w:asciiTheme="minorEastAsia" w:hAnsiTheme="minorEastAsia" w:eastAsiaTheme="minorEastAsia"/>
                <w:szCs w:val="21"/>
                <w:highlight w:val="none"/>
              </w:rPr>
              <w:t xml:space="preserve"> 日</w:t>
            </w:r>
            <w:r>
              <w:rPr>
                <w:rFonts w:hint="eastAsia" w:asciiTheme="minorEastAsia" w:hAnsiTheme="minorEastAsia" w:eastAsiaTheme="minorEastAsia"/>
                <w:szCs w:val="21"/>
                <w:highlight w:val="none"/>
                <w:lang w:val="en-US" w:eastAsia="zh-CN"/>
              </w:rPr>
              <w:t>15</w:t>
            </w:r>
            <w:r>
              <w:rPr>
                <w:rFonts w:hint="eastAsia" w:asciiTheme="minorEastAsia" w:hAnsiTheme="minorEastAsia" w:eastAsiaTheme="minorEastAsia"/>
                <w:szCs w:val="21"/>
                <w:highlight w:val="none"/>
              </w:rPr>
              <w:t>点</w:t>
            </w:r>
            <w:r>
              <w:rPr>
                <w:rFonts w:hint="eastAsia" w:asciiTheme="minorEastAsia" w:hAnsiTheme="minorEastAsia" w:eastAsiaTheme="minorEastAsia"/>
                <w:szCs w:val="21"/>
                <w:highlight w:val="none"/>
                <w:lang w:val="en-US" w:eastAsia="zh-CN"/>
              </w:rPr>
              <w:t>0</w:t>
            </w:r>
            <w:bookmarkStart w:id="32" w:name="_GoBack"/>
            <w:bookmarkEnd w:id="32"/>
            <w:r>
              <w:rPr>
                <w:rFonts w:hint="eastAsia" w:asciiTheme="minorEastAsia" w:hAnsiTheme="minorEastAsia" w:eastAsiaTheme="minorEastAsia"/>
                <w:szCs w:val="21"/>
                <w:highlight w:val="none"/>
              </w:rPr>
              <w:t>0分</w:t>
            </w:r>
          </w:p>
          <w:p>
            <w:pPr>
              <w:widowControl/>
              <w:snapToGrid w:val="0"/>
              <w:spacing w:line="360" w:lineRule="exact"/>
              <w:jc w:val="lef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递交地址：广西政府采购云平台（https://www.gcy.zfcg.gxzf.gov.cn/）在线谈判（本项目实施电子标，不要求供应商到达谈判现场)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28" w:type="dxa"/>
            <w:vAlign w:val="center"/>
          </w:tcPr>
          <w:p>
            <w:pPr>
              <w:spacing w:line="500" w:lineRule="exact"/>
              <w:jc w:val="center"/>
              <w:rPr>
                <w:rFonts w:ascii="宋体" w:hAnsi="宋体"/>
                <w:b/>
                <w:szCs w:val="21"/>
                <w:highlight w:val="none"/>
              </w:rPr>
            </w:pPr>
            <w:r>
              <w:rPr>
                <w:rFonts w:hint="eastAsia" w:ascii="宋体" w:hAnsi="宋体"/>
                <w:b/>
                <w:szCs w:val="21"/>
                <w:highlight w:val="none"/>
              </w:rPr>
              <w:t>8</w:t>
            </w:r>
          </w:p>
        </w:tc>
        <w:tc>
          <w:tcPr>
            <w:tcW w:w="1423" w:type="dxa"/>
            <w:vAlign w:val="center"/>
          </w:tcPr>
          <w:p>
            <w:pPr>
              <w:spacing w:line="500" w:lineRule="exact"/>
              <w:jc w:val="center"/>
              <w:rPr>
                <w:rFonts w:ascii="宋体" w:hAnsi="宋体"/>
                <w:b/>
                <w:szCs w:val="21"/>
                <w:highlight w:val="none"/>
              </w:rPr>
            </w:pPr>
          </w:p>
        </w:tc>
        <w:tc>
          <w:tcPr>
            <w:tcW w:w="7614" w:type="dxa"/>
            <w:vAlign w:val="center"/>
          </w:tcPr>
          <w:p>
            <w:pPr>
              <w:spacing w:line="500" w:lineRule="exact"/>
              <w:rPr>
                <w:rFonts w:ascii="宋体" w:hAnsi="宋体" w:cs="宋体"/>
                <w:b/>
                <w:bCs/>
                <w:kern w:val="0"/>
                <w:szCs w:val="21"/>
                <w:highlight w:val="none"/>
              </w:rPr>
            </w:pPr>
            <w:r>
              <w:rPr>
                <w:rFonts w:hint="eastAsia" w:ascii="宋体" w:hAnsi="宋体" w:cs="宋体"/>
                <w:b/>
                <w:bCs/>
                <w:kern w:val="0"/>
                <w:szCs w:val="21"/>
                <w:highlight w:val="none"/>
              </w:rPr>
              <w:t>谈判时间：2024年6月</w:t>
            </w:r>
            <w:r>
              <w:rPr>
                <w:rFonts w:hint="eastAsia" w:ascii="宋体" w:hAnsi="宋体" w:cs="宋体"/>
                <w:b/>
                <w:bCs/>
                <w:kern w:val="0"/>
                <w:szCs w:val="21"/>
                <w:highlight w:val="none"/>
                <w:lang w:val="en-US" w:eastAsia="zh-CN"/>
              </w:rPr>
              <w:t>17</w:t>
            </w:r>
            <w:r>
              <w:rPr>
                <w:rFonts w:hint="eastAsia" w:ascii="宋体" w:hAnsi="宋体" w:cs="宋体"/>
                <w:b/>
                <w:bCs/>
                <w:kern w:val="0"/>
                <w:szCs w:val="21"/>
                <w:highlight w:val="none"/>
              </w:rPr>
              <w:t xml:space="preserve"> 日</w:t>
            </w:r>
            <w:r>
              <w:rPr>
                <w:rFonts w:hint="eastAsia" w:ascii="宋体" w:hAnsi="宋体" w:cs="宋体"/>
                <w:b/>
                <w:bCs/>
                <w:kern w:val="0"/>
                <w:szCs w:val="21"/>
                <w:highlight w:val="none"/>
                <w:lang w:val="en-US" w:eastAsia="zh-CN"/>
              </w:rPr>
              <w:t>15</w:t>
            </w:r>
            <w:r>
              <w:rPr>
                <w:rFonts w:hint="eastAsia" w:ascii="宋体" w:hAnsi="宋体" w:cs="宋体"/>
                <w:b/>
                <w:bCs/>
                <w:kern w:val="0"/>
                <w:szCs w:val="21"/>
                <w:highlight w:val="none"/>
              </w:rPr>
              <w:t>点</w:t>
            </w:r>
            <w:r>
              <w:rPr>
                <w:rFonts w:hint="eastAsia" w:ascii="宋体" w:hAnsi="宋体" w:cs="宋体"/>
                <w:b/>
                <w:bCs/>
                <w:kern w:val="0"/>
                <w:szCs w:val="21"/>
                <w:highlight w:val="none"/>
                <w:lang w:val="en-US" w:eastAsia="zh-CN"/>
              </w:rPr>
              <w:t>0</w:t>
            </w:r>
            <w:r>
              <w:rPr>
                <w:rFonts w:hint="eastAsia" w:ascii="宋体" w:hAnsi="宋体" w:cs="宋体"/>
                <w:b/>
                <w:bCs/>
                <w:kern w:val="0"/>
                <w:szCs w:val="21"/>
                <w:highlight w:val="none"/>
              </w:rPr>
              <w:t>0分截标后</w:t>
            </w:r>
          </w:p>
          <w:p>
            <w:pPr>
              <w:spacing w:line="500" w:lineRule="exact"/>
              <w:rPr>
                <w:rFonts w:ascii="宋体" w:hAnsi="宋体" w:cs="宋体"/>
                <w:b/>
                <w:bCs/>
                <w:kern w:val="0"/>
                <w:szCs w:val="21"/>
                <w:highlight w:val="none"/>
              </w:rPr>
            </w:pPr>
            <w:r>
              <w:rPr>
                <w:rFonts w:hint="eastAsia" w:ascii="宋体" w:hAnsi="宋体" w:cs="宋体"/>
                <w:b/>
                <w:bCs/>
                <w:kern w:val="0"/>
                <w:szCs w:val="21"/>
                <w:highlight w:val="none"/>
              </w:rPr>
              <w:t>谈判地点：广西政府采购云平台（https://www.gcy.zfcg.gxzf.gov.cn/）在线截止</w:t>
            </w:r>
          </w:p>
          <w:p>
            <w:pPr>
              <w:spacing w:line="500" w:lineRule="exact"/>
              <w:rPr>
                <w:rFonts w:ascii="宋体" w:hAnsi="宋体" w:cs="宋体"/>
                <w:kern w:val="0"/>
                <w:szCs w:val="21"/>
                <w:highlight w:val="none"/>
              </w:rPr>
            </w:pPr>
            <w:r>
              <w:rPr>
                <w:rFonts w:hint="eastAsia" w:ascii="宋体" w:hAnsi="宋体" w:cs="宋体"/>
                <w:kern w:val="0"/>
                <w:szCs w:val="21"/>
                <w:highlight w:val="none"/>
              </w:rPr>
              <w:t>电子响应文件解密时间：截标时间后30 分钟内，供应商必须在此时间段内登录广西政府采购云平台，用“项目采购-开标评标”功能完成电子响应文件的解密。</w:t>
            </w:r>
          </w:p>
          <w:p>
            <w:pPr>
              <w:spacing w:line="500" w:lineRule="exact"/>
              <w:rPr>
                <w:highlight w:val="none"/>
              </w:rPr>
            </w:pPr>
            <w:r>
              <w:rPr>
                <w:rFonts w:hint="eastAsia" w:ascii="宋体" w:hAnsi="宋体" w:cs="宋体"/>
                <w:kern w:val="0"/>
                <w:szCs w:val="21"/>
                <w:highlight w:val="none"/>
              </w:rPr>
              <w:t>若谈判供应商在规定时间内未按时解密的，视为响应文件撤回。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28" w:type="dxa"/>
            <w:vAlign w:val="center"/>
          </w:tcPr>
          <w:p>
            <w:pPr>
              <w:jc w:val="center"/>
              <w:rPr>
                <w:rFonts w:ascii="宋体" w:hAnsi="宋体"/>
                <w:b/>
                <w:szCs w:val="21"/>
                <w:highlight w:val="none"/>
              </w:rPr>
            </w:pPr>
            <w:r>
              <w:rPr>
                <w:rFonts w:hint="eastAsia" w:ascii="宋体" w:hAnsi="宋体"/>
                <w:b/>
                <w:szCs w:val="21"/>
                <w:highlight w:val="none"/>
              </w:rPr>
              <w:t>9</w:t>
            </w:r>
          </w:p>
        </w:tc>
        <w:tc>
          <w:tcPr>
            <w:tcW w:w="1423" w:type="dxa"/>
            <w:vAlign w:val="center"/>
          </w:tcPr>
          <w:p>
            <w:pPr>
              <w:spacing w:line="500" w:lineRule="exact"/>
              <w:jc w:val="center"/>
              <w:rPr>
                <w:rFonts w:ascii="宋体" w:hAnsi="宋体"/>
                <w:szCs w:val="21"/>
                <w:highlight w:val="none"/>
              </w:rPr>
            </w:pPr>
            <w:r>
              <w:rPr>
                <w:rFonts w:hint="eastAsia" w:ascii="宋体" w:hAnsi="宋体"/>
                <w:szCs w:val="21"/>
                <w:highlight w:val="none"/>
              </w:rPr>
              <w:t>采购人或采购代理机构查询供应商的主体信用记录</w:t>
            </w:r>
          </w:p>
        </w:tc>
        <w:tc>
          <w:tcPr>
            <w:tcW w:w="7614" w:type="dxa"/>
            <w:vAlign w:val="center"/>
          </w:tcPr>
          <w:p>
            <w:pPr>
              <w:spacing w:line="360" w:lineRule="auto"/>
              <w:ind w:firstLine="420" w:firstLineChars="200"/>
              <w:rPr>
                <w:rFonts w:ascii="宋体" w:hAnsi="宋体" w:cs="宋体"/>
                <w:kern w:val="0"/>
                <w:szCs w:val="21"/>
                <w:highlight w:val="none"/>
              </w:rPr>
            </w:pPr>
            <w:r>
              <w:rPr>
                <w:rFonts w:hint="eastAsia" w:ascii="宋体" w:hAnsi="宋体" w:cs="宋体"/>
                <w:kern w:val="0"/>
                <w:szCs w:val="21"/>
                <w:highlight w:val="none"/>
              </w:rPr>
              <w:t>1）信用信息查询渠道：采购人或采购代理机构在“信用中国”网站（ www.creditchina.gov.cn）及中国政府采购网（ www.ccgp.gov.cn）查询相关供应商主体信用记录。</w:t>
            </w:r>
          </w:p>
          <w:p>
            <w:pPr>
              <w:spacing w:line="360" w:lineRule="auto"/>
              <w:rPr>
                <w:rFonts w:ascii="宋体" w:hAnsi="宋体" w:cs="宋体"/>
                <w:kern w:val="0"/>
                <w:szCs w:val="21"/>
                <w:highlight w:val="none"/>
              </w:rPr>
            </w:pPr>
            <w:r>
              <w:rPr>
                <w:rFonts w:hint="eastAsia" w:ascii="宋体" w:hAnsi="宋体" w:cs="宋体"/>
                <w:kern w:val="0"/>
                <w:szCs w:val="21"/>
                <w:highlight w:val="none"/>
              </w:rPr>
              <w:t xml:space="preserve">    2）信用信息查询截止时点：采购人或采购代理机构在文件递交截止时间后评标或评审结束前查询相关供应商主体信用记录查询结果，记录内容溯及时限为文件递交截止之日前三年；</w:t>
            </w:r>
          </w:p>
          <w:p>
            <w:pPr>
              <w:spacing w:line="360" w:lineRule="auto"/>
              <w:rPr>
                <w:rFonts w:ascii="宋体" w:hAnsi="宋体" w:cs="宋体"/>
                <w:kern w:val="0"/>
                <w:szCs w:val="21"/>
                <w:highlight w:val="none"/>
              </w:rPr>
            </w:pPr>
            <w:r>
              <w:rPr>
                <w:rFonts w:hint="eastAsia" w:ascii="宋体" w:hAnsi="宋体" w:cs="宋体"/>
                <w:kern w:val="0"/>
                <w:szCs w:val="21"/>
                <w:highlight w:val="none"/>
              </w:rPr>
              <w:t xml:space="preserve">    3）信用信息查询记录和证据留存的具体方式：采购人或采购代理机构在上述指定时段内在“信用中国”网站（ www.creditchina.gov.cn）及中国政府采购网（ www.ccgp.gov.cn）等两个网站查询相关供应商主体信用记录，同时将两个网站的查询结果网页打印件为证据留存；</w:t>
            </w:r>
          </w:p>
          <w:p>
            <w:pPr>
              <w:spacing w:line="360" w:lineRule="auto"/>
              <w:rPr>
                <w:rFonts w:ascii="宋体" w:hAnsi="宋体" w:cs="宋体"/>
                <w:kern w:val="0"/>
                <w:szCs w:val="21"/>
                <w:highlight w:val="none"/>
              </w:rPr>
            </w:pPr>
            <w:r>
              <w:rPr>
                <w:rFonts w:hint="eastAsia" w:ascii="宋体" w:hAnsi="宋体" w:cs="宋体"/>
                <w:kern w:val="0"/>
                <w:szCs w:val="21"/>
                <w:highlight w:val="none"/>
              </w:rPr>
              <w:t xml:space="preserve">    4）信用信息的使用规则：执行资格审查的主体核验具体供应商的主体信用记录，被列入失信被执行人、重大税收违法失信主体、政府采购严重违法失信行为记录名单及其他不符合《中华人民共和国政府采购法》第二十二条规定条件的供应商，将被拒绝其参与本次政府采购活动。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spacing w:line="360" w:lineRule="auto"/>
              <w:ind w:firstLine="420" w:firstLineChars="200"/>
              <w:rPr>
                <w:rFonts w:ascii="宋体" w:hAnsi="宋体" w:cs="宋体"/>
                <w:kern w:val="0"/>
                <w:szCs w:val="21"/>
                <w:highlight w:val="none"/>
              </w:rPr>
            </w:pPr>
            <w:r>
              <w:rPr>
                <w:rFonts w:hint="eastAsia" w:ascii="宋体" w:hAnsi="宋体" w:cs="宋体"/>
                <w:kern w:val="0"/>
                <w:szCs w:val="21"/>
                <w:highlight w:val="none"/>
              </w:rPr>
              <w:t>供应商为事业单位、社会团体、个体工商户或非企业法人单位的其他组织，无法查询到主体信用的，评标或评审期间不再对此类供应商的诚信状况进行查询。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9" w:hRule="atLeast"/>
          <w:jc w:val="center"/>
        </w:trPr>
        <w:tc>
          <w:tcPr>
            <w:tcW w:w="828" w:type="dxa"/>
            <w:vAlign w:val="center"/>
          </w:tcPr>
          <w:p>
            <w:pPr>
              <w:jc w:val="center"/>
              <w:rPr>
                <w:rFonts w:ascii="宋体" w:hAnsi="宋体"/>
                <w:b/>
                <w:szCs w:val="21"/>
                <w:highlight w:val="none"/>
              </w:rPr>
            </w:pPr>
            <w:r>
              <w:rPr>
                <w:rFonts w:hint="eastAsia" w:ascii="宋体" w:hAnsi="宋体"/>
                <w:b/>
                <w:szCs w:val="21"/>
                <w:highlight w:val="none"/>
              </w:rPr>
              <w:t>10</w:t>
            </w:r>
          </w:p>
        </w:tc>
        <w:tc>
          <w:tcPr>
            <w:tcW w:w="1423" w:type="dxa"/>
            <w:vAlign w:val="center"/>
          </w:tcPr>
          <w:p>
            <w:pPr>
              <w:spacing w:line="500" w:lineRule="exact"/>
              <w:jc w:val="center"/>
              <w:rPr>
                <w:rFonts w:ascii="宋体" w:hAnsi="宋体"/>
                <w:szCs w:val="21"/>
                <w:highlight w:val="none"/>
              </w:rPr>
            </w:pPr>
          </w:p>
        </w:tc>
        <w:tc>
          <w:tcPr>
            <w:tcW w:w="7614" w:type="dxa"/>
            <w:vAlign w:val="center"/>
          </w:tcPr>
          <w:p>
            <w:pPr>
              <w:spacing w:line="360" w:lineRule="auto"/>
              <w:rPr>
                <w:rFonts w:ascii="宋体" w:hAnsi="宋体" w:cs="宋体"/>
                <w:kern w:val="0"/>
                <w:szCs w:val="21"/>
                <w:highlight w:val="none"/>
              </w:rPr>
            </w:pPr>
            <w:r>
              <w:rPr>
                <w:rFonts w:hint="eastAsia" w:ascii="宋体" w:hAnsi="宋体" w:cs="宋体"/>
                <w:kern w:val="0"/>
                <w:szCs w:val="21"/>
                <w:highlight w:val="none"/>
              </w:rPr>
              <w:t>响应文件形式：谈判供应商应准备电子响应文件。</w:t>
            </w:r>
          </w:p>
          <w:p>
            <w:pPr>
              <w:spacing w:line="360" w:lineRule="auto"/>
              <w:rPr>
                <w:rFonts w:ascii="宋体" w:hAnsi="宋体" w:cs="宋体"/>
                <w:kern w:val="0"/>
                <w:szCs w:val="21"/>
                <w:highlight w:val="none"/>
              </w:rPr>
            </w:pPr>
            <w:r>
              <w:rPr>
                <w:rFonts w:hint="eastAsia" w:ascii="宋体" w:hAnsi="宋体" w:cs="宋体"/>
                <w:kern w:val="0"/>
                <w:szCs w:val="21"/>
                <w:highlight w:val="none"/>
              </w:rPr>
              <w:t>电子响应文件是指通过“政采云电子谈判客户端”完成响应文件编制后生成并加密的数据电文形式的电子加密响应文件。</w:t>
            </w:r>
          </w:p>
          <w:p>
            <w:pPr>
              <w:spacing w:line="360" w:lineRule="auto"/>
              <w:rPr>
                <w:highlight w:val="none"/>
              </w:rPr>
            </w:pPr>
            <w:r>
              <w:rPr>
                <w:rFonts w:hint="eastAsia" w:ascii="宋体" w:hAnsi="宋体" w:cs="宋体"/>
                <w:kern w:val="0"/>
                <w:szCs w:val="21"/>
                <w:highlight w:val="none"/>
              </w:rPr>
              <w:t>响应文件的编制：供应商应先安装“政采云电子谈判客户端”，并按照本竞争性响应文件和“广西政府采购云平台”的要求，通过“政采云电子谈判客户端”编制并加密响应文件。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28" w:type="dxa"/>
            <w:vAlign w:val="center"/>
          </w:tcPr>
          <w:p>
            <w:pPr>
              <w:jc w:val="center"/>
              <w:rPr>
                <w:rFonts w:ascii="宋体" w:hAnsi="宋体"/>
                <w:b/>
                <w:szCs w:val="21"/>
                <w:highlight w:val="none"/>
              </w:rPr>
            </w:pPr>
            <w:r>
              <w:rPr>
                <w:rFonts w:hint="eastAsia" w:ascii="宋体" w:hAnsi="宋体"/>
                <w:b/>
                <w:szCs w:val="21"/>
                <w:highlight w:val="none"/>
              </w:rPr>
              <w:t>11</w:t>
            </w:r>
          </w:p>
        </w:tc>
        <w:tc>
          <w:tcPr>
            <w:tcW w:w="1423" w:type="dxa"/>
            <w:vAlign w:val="center"/>
          </w:tcPr>
          <w:p>
            <w:pPr>
              <w:spacing w:line="360" w:lineRule="auto"/>
              <w:rPr>
                <w:rFonts w:ascii="宋体" w:hAnsi="宋体"/>
                <w:szCs w:val="21"/>
                <w:highlight w:val="none"/>
              </w:rPr>
            </w:pPr>
            <w:r>
              <w:rPr>
                <w:rFonts w:hint="eastAsia" w:ascii="宋体" w:hAnsi="宋体"/>
                <w:szCs w:val="21"/>
                <w:highlight w:val="none"/>
              </w:rPr>
              <w:t>履约保证金</w:t>
            </w:r>
          </w:p>
        </w:tc>
        <w:tc>
          <w:tcPr>
            <w:tcW w:w="7614" w:type="dxa"/>
            <w:vAlign w:val="center"/>
          </w:tcPr>
          <w:p>
            <w:pPr>
              <w:spacing w:line="360" w:lineRule="auto"/>
              <w:rPr>
                <w:rFonts w:ascii="宋体" w:hAnsi="宋体"/>
                <w:sz w:val="24"/>
                <w:highlight w:val="none"/>
              </w:rPr>
            </w:pPr>
            <w:r>
              <w:rPr>
                <w:rFonts w:hint="eastAsia" w:ascii="宋体" w:hAnsi="宋体"/>
                <w:szCs w:val="21"/>
                <w:highlight w:val="none"/>
              </w:rPr>
              <w:t>履约保证金金额：2%。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828" w:type="dxa"/>
            <w:vAlign w:val="center"/>
          </w:tcPr>
          <w:p>
            <w:pPr>
              <w:jc w:val="center"/>
              <w:rPr>
                <w:rFonts w:ascii="宋体" w:hAnsi="宋体"/>
                <w:b/>
                <w:szCs w:val="21"/>
                <w:highlight w:val="none"/>
              </w:rPr>
            </w:pPr>
            <w:r>
              <w:rPr>
                <w:rFonts w:hint="eastAsia" w:ascii="宋体" w:hAnsi="宋体"/>
                <w:b/>
                <w:szCs w:val="21"/>
                <w:highlight w:val="none"/>
              </w:rPr>
              <w:t>12</w:t>
            </w:r>
          </w:p>
        </w:tc>
        <w:tc>
          <w:tcPr>
            <w:tcW w:w="1423" w:type="dxa"/>
            <w:vAlign w:val="center"/>
          </w:tcPr>
          <w:p>
            <w:pPr>
              <w:spacing w:line="500" w:lineRule="exact"/>
              <w:jc w:val="center"/>
              <w:rPr>
                <w:rFonts w:ascii="宋体" w:hAnsi="宋体"/>
                <w:b/>
                <w:szCs w:val="21"/>
                <w:highlight w:val="none"/>
              </w:rPr>
            </w:pPr>
          </w:p>
        </w:tc>
        <w:tc>
          <w:tcPr>
            <w:tcW w:w="7614" w:type="dxa"/>
            <w:vAlign w:val="center"/>
          </w:tcPr>
          <w:p>
            <w:pPr>
              <w:rPr>
                <w:rFonts w:ascii="宋体" w:hAnsi="宋体"/>
                <w:szCs w:val="21"/>
                <w:highlight w:val="none"/>
              </w:rPr>
            </w:pPr>
            <w:r>
              <w:rPr>
                <w:rFonts w:hint="eastAsia" w:ascii="宋体" w:hAnsi="宋体"/>
                <w:szCs w:val="21"/>
                <w:highlight w:val="none"/>
              </w:rPr>
              <w:t>成交评审方法：最低评标价法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828" w:type="dxa"/>
            <w:vAlign w:val="center"/>
          </w:tcPr>
          <w:p>
            <w:pPr>
              <w:jc w:val="center"/>
              <w:rPr>
                <w:rFonts w:ascii="宋体" w:hAnsi="宋体"/>
                <w:b/>
                <w:szCs w:val="21"/>
                <w:highlight w:val="none"/>
              </w:rPr>
            </w:pPr>
            <w:r>
              <w:rPr>
                <w:rFonts w:hint="eastAsia" w:ascii="宋体" w:hAnsi="宋体"/>
                <w:b/>
                <w:szCs w:val="21"/>
                <w:highlight w:val="none"/>
              </w:rPr>
              <w:t>13</w:t>
            </w:r>
          </w:p>
        </w:tc>
        <w:tc>
          <w:tcPr>
            <w:tcW w:w="1423" w:type="dxa"/>
            <w:vAlign w:val="center"/>
          </w:tcPr>
          <w:p>
            <w:pPr>
              <w:spacing w:line="500" w:lineRule="exact"/>
              <w:jc w:val="center"/>
              <w:rPr>
                <w:rFonts w:ascii="宋体" w:hAnsi="宋体"/>
                <w:szCs w:val="21"/>
                <w:highlight w:val="none"/>
              </w:rPr>
            </w:pPr>
            <w:r>
              <w:rPr>
                <w:rFonts w:hint="eastAsia" w:ascii="宋体" w:hAnsi="宋体"/>
                <w:szCs w:val="21"/>
                <w:highlight w:val="none"/>
              </w:rPr>
              <w:t>代理</w:t>
            </w:r>
          </w:p>
          <w:p>
            <w:pPr>
              <w:spacing w:line="500" w:lineRule="exact"/>
              <w:jc w:val="center"/>
              <w:rPr>
                <w:rFonts w:ascii="宋体" w:hAnsi="宋体"/>
                <w:b/>
                <w:szCs w:val="21"/>
                <w:highlight w:val="none"/>
              </w:rPr>
            </w:pPr>
            <w:r>
              <w:rPr>
                <w:rFonts w:hint="eastAsia" w:ascii="宋体" w:hAnsi="宋体"/>
                <w:szCs w:val="21"/>
                <w:highlight w:val="none"/>
              </w:rPr>
              <w:t>服务费</w:t>
            </w:r>
          </w:p>
        </w:tc>
        <w:tc>
          <w:tcPr>
            <w:tcW w:w="7614" w:type="dxa"/>
            <w:vAlign w:val="center"/>
          </w:tcPr>
          <w:p>
            <w:pPr>
              <w:pStyle w:val="8"/>
              <w:spacing w:line="360" w:lineRule="auto"/>
              <w:rPr>
                <w:szCs w:val="21"/>
                <w:highlight w:val="none"/>
              </w:rPr>
            </w:pPr>
            <w:r>
              <w:rPr>
                <w:rFonts w:hint="eastAsia"/>
                <w:szCs w:val="21"/>
                <w:highlight w:val="none"/>
              </w:rPr>
              <w:t>发出成交通知书前，成交供应商向采购代理机构一次付清代理服务费。采购代理服务费</w:t>
            </w:r>
            <w:r>
              <w:rPr>
                <w:rFonts w:hint="eastAsia"/>
                <w:highlight w:val="none"/>
              </w:rPr>
              <w:t>按照收费标货物招标的标准向成交供应商收取，每家成交供应商的服务费按预算金额200万元×成交供应商最低成交折扣率÷2计算。供应商的谈判报价应包含此项费用。</w:t>
            </w:r>
          </w:p>
          <w:p>
            <w:pPr>
              <w:pStyle w:val="8"/>
              <w:spacing w:line="360" w:lineRule="exact"/>
              <w:ind w:firstLine="420" w:firstLineChars="200"/>
              <w:rPr>
                <w:highlight w:val="none"/>
              </w:rPr>
            </w:pPr>
            <w:r>
              <w:rPr>
                <w:rFonts w:hint="eastAsia"/>
                <w:highlight w:val="none"/>
              </w:rPr>
              <w:t>代理服务收费标准：</w:t>
            </w:r>
          </w:p>
          <w:tbl>
            <w:tblPr>
              <w:tblStyle w:val="13"/>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09"/>
              <w:gridCol w:w="909"/>
              <w:gridCol w:w="969"/>
              <w:gridCol w:w="9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11" w:hRule="atLeast"/>
                <w:jc w:val="center"/>
              </w:trPr>
              <w:tc>
                <w:tcPr>
                  <w:tcW w:w="1909" w:type="dxa"/>
                  <w:vAlign w:val="bottom"/>
                </w:tcPr>
                <w:p>
                  <w:pPr>
                    <w:widowControl/>
                    <w:ind w:left="1155" w:leftChars="400" w:hanging="315" w:hangingChars="150"/>
                    <w:jc w:val="left"/>
                    <w:rPr>
                      <w:rFonts w:ascii="宋体" w:hAnsi="宋体" w:cs="宋体"/>
                      <w:kern w:val="0"/>
                      <w:szCs w:val="21"/>
                      <w:highlight w:val="none"/>
                    </w:rPr>
                  </w:pPr>
                  <w:r>
                    <w:rPr>
                      <w:rFonts w:ascii="宋体" w:hAnsi="宋体" w:cs="宋体"/>
                      <w:kern w:val="0"/>
                      <w:szCs w:val="21"/>
                      <w:highlight w:val="none"/>
                    </w:rPr>
                    <mc:AlternateContent>
                      <mc:Choice Requires="wps">
                        <w:drawing>
                          <wp:anchor distT="0" distB="0" distL="114300" distR="114300" simplePos="0" relativeHeight="251662336" behindDoc="0" locked="0" layoutInCell="1" allowOverlap="1">
                            <wp:simplePos x="0" y="0"/>
                            <wp:positionH relativeFrom="column">
                              <wp:posOffset>334010</wp:posOffset>
                            </wp:positionH>
                            <wp:positionV relativeFrom="paragraph">
                              <wp:posOffset>4445</wp:posOffset>
                            </wp:positionV>
                            <wp:extent cx="799465" cy="848995"/>
                            <wp:effectExtent l="3175" t="3175" r="16510" b="5080"/>
                            <wp:wrapNone/>
                            <wp:docPr id="2" name="直接箭头连接符 2"/>
                            <wp:cNvGraphicFramePr/>
                            <a:graphic xmlns:a="http://schemas.openxmlformats.org/drawingml/2006/main">
                              <a:graphicData uri="http://schemas.microsoft.com/office/word/2010/wordprocessingShape">
                                <wps:wsp>
                                  <wps:cNvCnPr/>
                                  <wps:spPr>
                                    <a:xfrm flipH="1" flipV="1">
                                      <a:off x="0" y="0"/>
                                      <a:ext cx="799465" cy="84899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flip:x y;margin-left:26.3pt;margin-top:0.35pt;height:66.85pt;width:62.95pt;z-index:251662336;mso-width-relative:page;mso-height-relative:page;" filled="f" stroked="t" coordsize="21600,21600" o:gfxdata="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IYvyJfYAAAABwEAAA8AAAAAAAAA&#10;AQAgAAAAIgAAAGRycy9kb3ducmV2LnhtbFBLAQIUABQAAAAIAIdO4kCrZ0bJEQIAABIEAAAOAAAA&#10;AAAAAAEAIAAAACcBAABkcnMvZTJvRG9jLnhtbFBLBQYAAAAABgAGAFkBAACqBQAAAAA=&#10;">
                            <v:fill on="f" focussize="0,0"/>
                            <v:stroke color="#000000" joinstyle="round"/>
                            <v:imagedata o:title=""/>
                            <o:lock v:ext="edit" aspectratio="f"/>
                          </v:shape>
                        </w:pict>
                      </mc:Fallback>
                    </mc:AlternateContent>
                  </w:r>
                  <w:r>
                    <w:rPr>
                      <w:rFonts w:hint="eastAsia" w:ascii="宋体" w:hAnsi="宋体" w:cs="宋体"/>
                      <w:kern w:val="0"/>
                      <w:szCs w:val="21"/>
                      <w:highlight w:val="none"/>
                    </w:rPr>
                    <w:t>服务类型</w:t>
                  </w:r>
                </w:p>
                <w:p>
                  <w:pPr>
                    <w:widowControl/>
                    <w:ind w:left="1155" w:hanging="1155" w:hangingChars="550"/>
                    <w:jc w:val="left"/>
                    <w:rPr>
                      <w:rFonts w:ascii="宋体" w:hAnsi="宋体" w:cs="宋体"/>
                      <w:kern w:val="0"/>
                      <w:szCs w:val="21"/>
                      <w:highlight w:val="none"/>
                    </w:rPr>
                  </w:pPr>
                  <w:r>
                    <w:rPr>
                      <w:rFonts w:hint="eastAsia" w:ascii="宋体" w:hAnsi="宋体" w:cs="宋体"/>
                      <w:kern w:val="0"/>
                      <w:szCs w:val="21"/>
                      <w:highlight w:val="none"/>
                    </w:rPr>
                    <w:t xml:space="preserve">费率           </w:t>
                  </w:r>
                </w:p>
                <w:p>
                  <w:pPr>
                    <w:widowControl/>
                    <w:jc w:val="left"/>
                    <w:rPr>
                      <w:rFonts w:ascii="宋体" w:hAnsi="宋体" w:cs="宋体"/>
                      <w:kern w:val="0"/>
                      <w:szCs w:val="21"/>
                      <w:highlight w:val="none"/>
                    </w:rPr>
                  </w:pPr>
                  <w:r>
                    <w:rPr>
                      <w:rFonts w:ascii="宋体" w:hAnsi="宋体" w:cs="宋体"/>
                      <w:kern w:val="0"/>
                      <w:szCs w:val="21"/>
                      <w:highlight w:val="none"/>
                    </w:rPr>
                    <mc:AlternateContent>
                      <mc:Choice Requires="wps">
                        <w:drawing>
                          <wp:anchor distT="0" distB="0" distL="114300" distR="114300" simplePos="0" relativeHeight="251663360" behindDoc="0" locked="0" layoutInCell="1" allowOverlap="1">
                            <wp:simplePos x="0" y="0"/>
                            <wp:positionH relativeFrom="column">
                              <wp:posOffset>-73660</wp:posOffset>
                            </wp:positionH>
                            <wp:positionV relativeFrom="paragraph">
                              <wp:posOffset>90805</wp:posOffset>
                            </wp:positionV>
                            <wp:extent cx="1207135" cy="416560"/>
                            <wp:effectExtent l="1270" t="4445" r="10795" b="17145"/>
                            <wp:wrapNone/>
                            <wp:docPr id="3" name="直接箭头连接符 3"/>
                            <wp:cNvGraphicFramePr/>
                            <a:graphic xmlns:a="http://schemas.openxmlformats.org/drawingml/2006/main">
                              <a:graphicData uri="http://schemas.microsoft.com/office/word/2010/wordprocessingShape">
                                <wps:wsp>
                                  <wps:cNvCnPr/>
                                  <wps:spPr>
                                    <a:xfrm>
                                      <a:off x="0" y="0"/>
                                      <a:ext cx="1207135" cy="41656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5.8pt;margin-top:7.15pt;height:32.8pt;width:95.05pt;z-index:251663360;mso-width-relative:page;mso-height-relative:page;" filled="f" stroked="t" coordsize="21600,21600" o:gfxdata="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00HFztgAAAAJAQAADwAAAAAAAAABACAAAAAiAAAA&#10;ZHJzL2Rvd25yZXYueG1sUEsBAhQAFAAAAAgAh07iQA4cjDQHAgAA/wMAAA4AAAAAAAAAAQAgAAAA&#10;JwEAAGRycy9lMm9Eb2MueG1sUEsFBgAAAAAGAAYAWQEAAKAFAAAAAA==&#10;">
                            <v:fill on="f" focussize="0,0"/>
                            <v:stroke color="#000000" joinstyle="round"/>
                            <v:imagedata o:title=""/>
                            <o:lock v:ext="edit" aspectratio="f"/>
                          </v:shape>
                        </w:pict>
                      </mc:Fallback>
                    </mc:AlternateContent>
                  </w:r>
                </w:p>
                <w:p>
                  <w:pPr>
                    <w:widowControl/>
                    <w:jc w:val="left"/>
                    <w:rPr>
                      <w:rFonts w:ascii="宋体" w:hAnsi="宋体" w:cs="宋体"/>
                      <w:kern w:val="0"/>
                      <w:szCs w:val="21"/>
                      <w:highlight w:val="none"/>
                    </w:rPr>
                  </w:pPr>
                </w:p>
                <w:p>
                  <w:pPr>
                    <w:widowControl/>
                    <w:jc w:val="left"/>
                    <w:rPr>
                      <w:rFonts w:ascii="宋体" w:hAnsi="宋体" w:cs="宋体"/>
                      <w:kern w:val="0"/>
                      <w:szCs w:val="21"/>
                      <w:highlight w:val="none"/>
                    </w:rPr>
                  </w:pPr>
                </w:p>
                <w:p>
                  <w:pPr>
                    <w:jc w:val="left"/>
                    <w:rPr>
                      <w:rFonts w:ascii="宋体" w:hAnsi="宋体" w:cs="宋体"/>
                      <w:kern w:val="0"/>
                      <w:szCs w:val="21"/>
                      <w:highlight w:val="none"/>
                    </w:rPr>
                  </w:pPr>
                  <w:r>
                    <w:rPr>
                      <w:rFonts w:hint="eastAsia" w:ascii="宋体" w:hAnsi="宋体" w:cs="宋体"/>
                      <w:kern w:val="0"/>
                      <w:szCs w:val="21"/>
                      <w:highlight w:val="none"/>
                    </w:rPr>
                    <w:t>成交金额（万元）</w:t>
                  </w:r>
                </w:p>
              </w:tc>
              <w:tc>
                <w:tcPr>
                  <w:tcW w:w="909" w:type="dxa"/>
                  <w:vAlign w:val="center"/>
                </w:tcPr>
                <w:p>
                  <w:pPr>
                    <w:jc w:val="center"/>
                    <w:rPr>
                      <w:rFonts w:ascii="宋体" w:hAnsi="宋体" w:cs="宋体"/>
                      <w:kern w:val="0"/>
                      <w:szCs w:val="21"/>
                      <w:highlight w:val="none"/>
                    </w:rPr>
                  </w:pPr>
                  <w:r>
                    <w:rPr>
                      <w:rFonts w:hint="eastAsia" w:ascii="宋体" w:hAnsi="宋体" w:cs="宋体"/>
                      <w:kern w:val="0"/>
                      <w:szCs w:val="21"/>
                      <w:highlight w:val="none"/>
                    </w:rPr>
                    <w:t>货物</w:t>
                  </w:r>
                </w:p>
                <w:p>
                  <w:pPr>
                    <w:jc w:val="center"/>
                    <w:rPr>
                      <w:rFonts w:ascii="宋体" w:hAnsi="宋体" w:cs="宋体"/>
                      <w:kern w:val="0"/>
                      <w:szCs w:val="21"/>
                      <w:highlight w:val="none"/>
                    </w:rPr>
                  </w:pPr>
                  <w:r>
                    <w:rPr>
                      <w:rFonts w:hint="eastAsia" w:ascii="宋体" w:hAnsi="宋体" w:cs="宋体"/>
                      <w:kern w:val="0"/>
                      <w:szCs w:val="21"/>
                      <w:highlight w:val="none"/>
                    </w:rPr>
                    <w:t>招标</w:t>
                  </w:r>
                </w:p>
              </w:tc>
              <w:tc>
                <w:tcPr>
                  <w:tcW w:w="969" w:type="dxa"/>
                  <w:vAlign w:val="center"/>
                </w:tcPr>
                <w:p>
                  <w:pPr>
                    <w:jc w:val="center"/>
                    <w:rPr>
                      <w:rFonts w:ascii="宋体" w:hAnsi="宋体" w:cs="宋体"/>
                      <w:kern w:val="0"/>
                      <w:szCs w:val="21"/>
                      <w:highlight w:val="none"/>
                    </w:rPr>
                  </w:pPr>
                  <w:r>
                    <w:rPr>
                      <w:rFonts w:hint="eastAsia" w:ascii="宋体" w:hAnsi="宋体" w:cs="宋体"/>
                      <w:kern w:val="0"/>
                      <w:szCs w:val="21"/>
                      <w:highlight w:val="none"/>
                    </w:rPr>
                    <w:t>服务</w:t>
                  </w:r>
                </w:p>
                <w:p>
                  <w:pPr>
                    <w:jc w:val="center"/>
                    <w:rPr>
                      <w:rFonts w:ascii="宋体" w:hAnsi="宋体" w:cs="宋体"/>
                      <w:kern w:val="0"/>
                      <w:szCs w:val="21"/>
                      <w:highlight w:val="none"/>
                    </w:rPr>
                  </w:pPr>
                  <w:r>
                    <w:rPr>
                      <w:rFonts w:hint="eastAsia" w:ascii="宋体" w:hAnsi="宋体" w:cs="宋体"/>
                      <w:kern w:val="0"/>
                      <w:szCs w:val="21"/>
                      <w:highlight w:val="none"/>
                    </w:rPr>
                    <w:t>招标</w:t>
                  </w:r>
                </w:p>
              </w:tc>
              <w:tc>
                <w:tcPr>
                  <w:tcW w:w="948" w:type="dxa"/>
                  <w:vAlign w:val="center"/>
                </w:tcPr>
                <w:p>
                  <w:pPr>
                    <w:jc w:val="center"/>
                    <w:rPr>
                      <w:rFonts w:ascii="宋体" w:hAnsi="宋体" w:cs="宋体"/>
                      <w:kern w:val="0"/>
                      <w:szCs w:val="21"/>
                      <w:highlight w:val="none"/>
                    </w:rPr>
                  </w:pPr>
                  <w:r>
                    <w:rPr>
                      <w:rFonts w:hint="eastAsia" w:ascii="宋体" w:hAnsi="宋体" w:cs="宋体"/>
                      <w:kern w:val="0"/>
                      <w:szCs w:val="21"/>
                      <w:highlight w:val="none"/>
                    </w:rPr>
                    <w:t>工程</w:t>
                  </w:r>
                </w:p>
                <w:p>
                  <w:pPr>
                    <w:jc w:val="center"/>
                    <w:rPr>
                      <w:rFonts w:ascii="宋体" w:hAnsi="宋体" w:cs="宋体"/>
                      <w:kern w:val="0"/>
                      <w:szCs w:val="21"/>
                      <w:highlight w:val="none"/>
                    </w:rPr>
                  </w:pPr>
                  <w:r>
                    <w:rPr>
                      <w:rFonts w:hint="eastAsia" w:ascii="宋体" w:hAnsi="宋体" w:cs="宋体"/>
                      <w:kern w:val="0"/>
                      <w:szCs w:val="21"/>
                      <w:highlight w:val="none"/>
                    </w:rPr>
                    <w:t>招标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1909" w:type="dxa"/>
                  <w:vAlign w:val="center"/>
                </w:tcPr>
                <w:p>
                  <w:pPr>
                    <w:widowControl/>
                    <w:jc w:val="center"/>
                    <w:rPr>
                      <w:rFonts w:ascii="宋体" w:hAnsi="宋体" w:cs="宋体"/>
                      <w:kern w:val="0"/>
                      <w:szCs w:val="21"/>
                      <w:highlight w:val="none"/>
                    </w:rPr>
                  </w:pPr>
                  <w:r>
                    <w:rPr>
                      <w:rFonts w:ascii="宋体" w:hAnsi="宋体" w:cs="宋体"/>
                      <w:kern w:val="0"/>
                      <w:szCs w:val="21"/>
                      <w:highlight w:val="none"/>
                    </w:rPr>
                    <w:t>100</w:t>
                  </w:r>
                  <w:r>
                    <w:rPr>
                      <w:rFonts w:hint="eastAsia" w:ascii="宋体" w:hAnsi="宋体" w:cs="宋体"/>
                      <w:kern w:val="0"/>
                      <w:szCs w:val="21"/>
                      <w:highlight w:val="none"/>
                    </w:rPr>
                    <w:t>以下</w:t>
                  </w:r>
                </w:p>
              </w:tc>
              <w:tc>
                <w:tcPr>
                  <w:tcW w:w="909" w:type="dxa"/>
                  <w:vAlign w:val="bottom"/>
                </w:tcPr>
                <w:p>
                  <w:pPr>
                    <w:widowControl/>
                    <w:jc w:val="center"/>
                    <w:rPr>
                      <w:rFonts w:ascii="宋体" w:hAnsi="宋体" w:cs="宋体"/>
                      <w:kern w:val="0"/>
                      <w:szCs w:val="21"/>
                      <w:highlight w:val="none"/>
                    </w:rPr>
                  </w:pPr>
                  <w:r>
                    <w:rPr>
                      <w:rFonts w:ascii="宋体" w:hAnsi="宋体" w:cs="宋体"/>
                      <w:kern w:val="0"/>
                      <w:szCs w:val="21"/>
                      <w:highlight w:val="none"/>
                    </w:rPr>
                    <w:t>1.50%</w:t>
                  </w:r>
                </w:p>
              </w:tc>
              <w:tc>
                <w:tcPr>
                  <w:tcW w:w="969" w:type="dxa"/>
                  <w:vAlign w:val="bottom"/>
                </w:tcPr>
                <w:p>
                  <w:pPr>
                    <w:widowControl/>
                    <w:jc w:val="center"/>
                    <w:rPr>
                      <w:rFonts w:ascii="宋体" w:hAnsi="宋体" w:cs="宋体"/>
                      <w:kern w:val="0"/>
                      <w:szCs w:val="21"/>
                      <w:highlight w:val="none"/>
                    </w:rPr>
                  </w:pPr>
                  <w:r>
                    <w:rPr>
                      <w:rFonts w:ascii="宋体" w:hAnsi="宋体" w:cs="宋体"/>
                      <w:kern w:val="0"/>
                      <w:szCs w:val="21"/>
                      <w:highlight w:val="none"/>
                    </w:rPr>
                    <w:t>1</w:t>
                  </w:r>
                  <w:r>
                    <w:rPr>
                      <w:rFonts w:hint="eastAsia" w:ascii="宋体" w:hAnsi="宋体" w:cs="宋体"/>
                      <w:kern w:val="0"/>
                      <w:szCs w:val="21"/>
                      <w:highlight w:val="none"/>
                    </w:rPr>
                    <w:t>.</w:t>
                  </w:r>
                  <w:r>
                    <w:rPr>
                      <w:rFonts w:ascii="宋体" w:hAnsi="宋体" w:cs="宋体"/>
                      <w:kern w:val="0"/>
                      <w:szCs w:val="21"/>
                      <w:highlight w:val="none"/>
                    </w:rPr>
                    <w:cr/>
                  </w:r>
                  <w:r>
                    <w:rPr>
                      <w:rFonts w:ascii="宋体" w:hAnsi="宋体" w:cs="宋体"/>
                      <w:kern w:val="0"/>
                      <w:szCs w:val="21"/>
                      <w:highlight w:val="none"/>
                    </w:rPr>
                    <w:t>50%</w:t>
                  </w:r>
                </w:p>
              </w:tc>
              <w:tc>
                <w:tcPr>
                  <w:tcW w:w="948" w:type="dxa"/>
                  <w:vAlign w:val="bottom"/>
                </w:tcPr>
                <w:p>
                  <w:pPr>
                    <w:widowControl/>
                    <w:jc w:val="center"/>
                    <w:rPr>
                      <w:rFonts w:ascii="宋体" w:hAnsi="宋体" w:cs="宋体"/>
                      <w:kern w:val="0"/>
                      <w:szCs w:val="21"/>
                      <w:highlight w:val="none"/>
                    </w:rPr>
                  </w:pPr>
                  <w:r>
                    <w:rPr>
                      <w:rFonts w:ascii="宋体" w:hAnsi="宋体" w:cs="宋体"/>
                      <w:kern w:val="0"/>
                      <w:szCs w:val="21"/>
                      <w:highlight w:val="none"/>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1909" w:type="dxa"/>
                  <w:vAlign w:val="center"/>
                </w:tcPr>
                <w:p>
                  <w:pPr>
                    <w:widowControl/>
                    <w:jc w:val="center"/>
                    <w:rPr>
                      <w:rFonts w:ascii="宋体" w:hAnsi="宋体" w:cs="宋体"/>
                      <w:kern w:val="0"/>
                      <w:szCs w:val="21"/>
                      <w:highlight w:val="none"/>
                    </w:rPr>
                  </w:pPr>
                  <w:r>
                    <w:rPr>
                      <w:rFonts w:ascii="宋体" w:hAnsi="宋体" w:cs="宋体"/>
                      <w:kern w:val="0"/>
                      <w:szCs w:val="21"/>
                      <w:highlight w:val="none"/>
                    </w:rPr>
                    <w:t>100</w:t>
                  </w:r>
                  <w:r>
                    <w:rPr>
                      <w:rFonts w:hint="eastAsia" w:ascii="宋体" w:hAnsi="宋体" w:cs="宋体"/>
                      <w:kern w:val="0"/>
                      <w:szCs w:val="21"/>
                      <w:highlight w:val="none"/>
                    </w:rPr>
                    <w:t>—</w:t>
                  </w:r>
                  <w:r>
                    <w:rPr>
                      <w:rFonts w:ascii="宋体" w:hAnsi="宋体" w:cs="宋体"/>
                      <w:kern w:val="0"/>
                      <w:szCs w:val="21"/>
                      <w:highlight w:val="none"/>
                    </w:rPr>
                    <w:t>500</w:t>
                  </w:r>
                </w:p>
              </w:tc>
              <w:tc>
                <w:tcPr>
                  <w:tcW w:w="909" w:type="dxa"/>
                  <w:vAlign w:val="bottom"/>
                </w:tcPr>
                <w:p>
                  <w:pPr>
                    <w:widowControl/>
                    <w:jc w:val="center"/>
                    <w:rPr>
                      <w:rFonts w:ascii="宋体" w:hAnsi="宋体" w:cs="宋体"/>
                      <w:kern w:val="0"/>
                      <w:szCs w:val="21"/>
                      <w:highlight w:val="none"/>
                    </w:rPr>
                  </w:pPr>
                  <w:r>
                    <w:rPr>
                      <w:rFonts w:ascii="宋体" w:hAnsi="宋体" w:cs="宋体"/>
                      <w:kern w:val="0"/>
                      <w:szCs w:val="21"/>
                      <w:highlight w:val="none"/>
                    </w:rPr>
                    <w:t>1.10%</w:t>
                  </w:r>
                </w:p>
              </w:tc>
              <w:tc>
                <w:tcPr>
                  <w:tcW w:w="969" w:type="dxa"/>
                  <w:vAlign w:val="bottom"/>
                </w:tcPr>
                <w:p>
                  <w:pPr>
                    <w:widowControl/>
                    <w:jc w:val="center"/>
                    <w:rPr>
                      <w:rFonts w:ascii="宋体" w:hAnsi="宋体" w:cs="宋体"/>
                      <w:kern w:val="0"/>
                      <w:szCs w:val="21"/>
                      <w:highlight w:val="none"/>
                    </w:rPr>
                  </w:pPr>
                  <w:r>
                    <w:rPr>
                      <w:rFonts w:ascii="宋体" w:hAnsi="宋体" w:cs="宋体"/>
                      <w:kern w:val="0"/>
                      <w:szCs w:val="21"/>
                      <w:highlight w:val="none"/>
                    </w:rPr>
                    <w:t>0.80%</w:t>
                  </w:r>
                </w:p>
              </w:tc>
              <w:tc>
                <w:tcPr>
                  <w:tcW w:w="948" w:type="dxa"/>
                  <w:vAlign w:val="bottom"/>
                </w:tcPr>
                <w:p>
                  <w:pPr>
                    <w:widowControl/>
                    <w:jc w:val="center"/>
                    <w:rPr>
                      <w:rFonts w:ascii="宋体" w:hAnsi="宋体" w:cs="宋体"/>
                      <w:kern w:val="0"/>
                      <w:szCs w:val="21"/>
                      <w:highlight w:val="none"/>
                    </w:rPr>
                  </w:pPr>
                  <w:r>
                    <w:rPr>
                      <w:rFonts w:ascii="宋体" w:hAnsi="宋体" w:cs="宋体"/>
                      <w:kern w:val="0"/>
                      <w:szCs w:val="21"/>
                      <w:highlight w:val="none"/>
                    </w:rPr>
                    <w:t>0.70%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1" w:hRule="atLeast"/>
                <w:jc w:val="center"/>
              </w:trPr>
              <w:tc>
                <w:tcPr>
                  <w:tcW w:w="1909" w:type="dxa"/>
                  <w:vAlign w:val="center"/>
                </w:tcPr>
                <w:p>
                  <w:pPr>
                    <w:widowControl/>
                    <w:jc w:val="center"/>
                    <w:rPr>
                      <w:rFonts w:ascii="宋体" w:hAnsi="宋体" w:cs="宋体"/>
                      <w:kern w:val="0"/>
                      <w:szCs w:val="21"/>
                      <w:highlight w:val="none"/>
                    </w:rPr>
                  </w:pPr>
                  <w:r>
                    <w:rPr>
                      <w:rFonts w:ascii="宋体" w:hAnsi="宋体" w:cs="宋体"/>
                      <w:kern w:val="0"/>
                      <w:szCs w:val="21"/>
                      <w:highlight w:val="none"/>
                    </w:rPr>
                    <w:t>500</w:t>
                  </w:r>
                  <w:r>
                    <w:rPr>
                      <w:rFonts w:hint="eastAsia" w:ascii="宋体" w:hAnsi="宋体" w:cs="宋体"/>
                      <w:kern w:val="0"/>
                      <w:szCs w:val="21"/>
                      <w:highlight w:val="none"/>
                    </w:rPr>
                    <w:t>—</w:t>
                  </w:r>
                  <w:r>
                    <w:rPr>
                      <w:rFonts w:ascii="宋体" w:hAnsi="宋体" w:cs="宋体"/>
                      <w:kern w:val="0"/>
                      <w:szCs w:val="21"/>
                      <w:highlight w:val="none"/>
                    </w:rPr>
                    <w:t>1000</w:t>
                  </w:r>
                </w:p>
              </w:tc>
              <w:tc>
                <w:tcPr>
                  <w:tcW w:w="909" w:type="dxa"/>
                  <w:vAlign w:val="bottom"/>
                </w:tcPr>
                <w:p>
                  <w:pPr>
                    <w:widowControl/>
                    <w:jc w:val="center"/>
                    <w:rPr>
                      <w:rFonts w:ascii="宋体" w:hAnsi="宋体" w:cs="宋体"/>
                      <w:kern w:val="0"/>
                      <w:szCs w:val="21"/>
                      <w:highlight w:val="none"/>
                    </w:rPr>
                  </w:pPr>
                  <w:r>
                    <w:rPr>
                      <w:rFonts w:ascii="宋体" w:hAnsi="宋体" w:cs="宋体"/>
                      <w:kern w:val="0"/>
                      <w:szCs w:val="21"/>
                      <w:highlight w:val="none"/>
                    </w:rPr>
                    <w:t>0.80%</w:t>
                  </w:r>
                </w:p>
              </w:tc>
              <w:tc>
                <w:tcPr>
                  <w:tcW w:w="969" w:type="dxa"/>
                  <w:vAlign w:val="bottom"/>
                </w:tcPr>
                <w:p>
                  <w:pPr>
                    <w:widowControl/>
                    <w:jc w:val="center"/>
                    <w:rPr>
                      <w:rFonts w:ascii="宋体" w:hAnsi="宋体" w:cs="宋体"/>
                      <w:kern w:val="0"/>
                      <w:szCs w:val="21"/>
                      <w:highlight w:val="none"/>
                    </w:rPr>
                  </w:pPr>
                  <w:r>
                    <w:rPr>
                      <w:rFonts w:ascii="宋体" w:hAnsi="宋体" w:cs="宋体"/>
                      <w:kern w:val="0"/>
                      <w:szCs w:val="21"/>
                      <w:highlight w:val="none"/>
                    </w:rPr>
                    <w:t>0.45%</w:t>
                  </w:r>
                </w:p>
              </w:tc>
              <w:tc>
                <w:tcPr>
                  <w:tcW w:w="948" w:type="dxa"/>
                  <w:vAlign w:val="bottom"/>
                </w:tcPr>
                <w:p>
                  <w:pPr>
                    <w:widowControl/>
                    <w:jc w:val="center"/>
                    <w:rPr>
                      <w:rFonts w:ascii="宋体" w:hAnsi="宋体" w:cs="宋体"/>
                      <w:kern w:val="0"/>
                      <w:szCs w:val="21"/>
                      <w:highlight w:val="none"/>
                    </w:rPr>
                  </w:pPr>
                  <w:r>
                    <w:rPr>
                      <w:rFonts w:ascii="宋体" w:hAnsi="宋体" w:cs="宋体"/>
                      <w:kern w:val="0"/>
                      <w:szCs w:val="21"/>
                      <w:highlight w:val="none"/>
                    </w:rPr>
                    <w:t>0.55%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0" w:hRule="atLeast"/>
                <w:jc w:val="center"/>
              </w:trPr>
              <w:tc>
                <w:tcPr>
                  <w:tcW w:w="1909" w:type="dxa"/>
                  <w:vAlign w:val="center"/>
                </w:tcPr>
                <w:p>
                  <w:pPr>
                    <w:widowControl/>
                    <w:jc w:val="center"/>
                    <w:rPr>
                      <w:rFonts w:ascii="宋体" w:hAnsi="宋体" w:cs="宋体"/>
                      <w:kern w:val="0"/>
                      <w:szCs w:val="21"/>
                      <w:highlight w:val="none"/>
                    </w:rPr>
                  </w:pPr>
                  <w:r>
                    <w:rPr>
                      <w:rFonts w:ascii="宋体" w:hAnsi="宋体" w:cs="宋体"/>
                      <w:kern w:val="0"/>
                      <w:szCs w:val="21"/>
                      <w:highlight w:val="none"/>
                    </w:rPr>
                    <w:t>1000</w:t>
                  </w:r>
                  <w:r>
                    <w:rPr>
                      <w:rFonts w:hint="eastAsia" w:ascii="宋体" w:hAnsi="宋体" w:cs="宋体"/>
                      <w:kern w:val="0"/>
                      <w:szCs w:val="21"/>
                      <w:highlight w:val="none"/>
                    </w:rPr>
                    <w:t>—</w:t>
                  </w:r>
                  <w:r>
                    <w:rPr>
                      <w:rFonts w:ascii="宋体" w:hAnsi="宋体" w:cs="宋体"/>
                      <w:kern w:val="0"/>
                      <w:szCs w:val="21"/>
                      <w:highlight w:val="none"/>
                    </w:rPr>
                    <w:t>5000</w:t>
                  </w:r>
                </w:p>
              </w:tc>
              <w:tc>
                <w:tcPr>
                  <w:tcW w:w="909" w:type="dxa"/>
                  <w:vAlign w:val="bottom"/>
                </w:tcPr>
                <w:p>
                  <w:pPr>
                    <w:widowControl/>
                    <w:jc w:val="center"/>
                    <w:rPr>
                      <w:rFonts w:ascii="宋体" w:hAnsi="宋体" w:cs="宋体"/>
                      <w:kern w:val="0"/>
                      <w:szCs w:val="21"/>
                      <w:highlight w:val="none"/>
                    </w:rPr>
                  </w:pPr>
                  <w:r>
                    <w:rPr>
                      <w:rFonts w:ascii="宋体" w:hAnsi="宋体" w:cs="宋体"/>
                      <w:kern w:val="0"/>
                      <w:szCs w:val="21"/>
                      <w:highlight w:val="none"/>
                    </w:rPr>
                    <w:t>0.50%</w:t>
                  </w:r>
                </w:p>
              </w:tc>
              <w:tc>
                <w:tcPr>
                  <w:tcW w:w="969" w:type="dxa"/>
                  <w:vAlign w:val="bottom"/>
                </w:tcPr>
                <w:p>
                  <w:pPr>
                    <w:widowControl/>
                    <w:jc w:val="center"/>
                    <w:rPr>
                      <w:rFonts w:ascii="宋体" w:hAnsi="宋体" w:cs="宋体"/>
                      <w:kern w:val="0"/>
                      <w:szCs w:val="21"/>
                      <w:highlight w:val="none"/>
                    </w:rPr>
                  </w:pPr>
                  <w:r>
                    <w:rPr>
                      <w:rFonts w:ascii="宋体" w:hAnsi="宋体" w:cs="宋体"/>
                      <w:kern w:val="0"/>
                      <w:szCs w:val="21"/>
                      <w:highlight w:val="none"/>
                    </w:rPr>
                    <w:t>0.25%</w:t>
                  </w:r>
                </w:p>
              </w:tc>
              <w:tc>
                <w:tcPr>
                  <w:tcW w:w="948" w:type="dxa"/>
                  <w:vAlign w:val="bottom"/>
                </w:tcPr>
                <w:p>
                  <w:pPr>
                    <w:widowControl/>
                    <w:jc w:val="center"/>
                    <w:rPr>
                      <w:rFonts w:ascii="宋体" w:hAnsi="宋体" w:cs="宋体"/>
                      <w:kern w:val="0"/>
                      <w:szCs w:val="21"/>
                      <w:highlight w:val="none"/>
                    </w:rPr>
                  </w:pPr>
                  <w:r>
                    <w:rPr>
                      <w:rFonts w:ascii="宋体" w:hAnsi="宋体" w:cs="宋体"/>
                      <w:kern w:val="0"/>
                      <w:szCs w:val="21"/>
                      <w:highlight w:val="none"/>
                    </w:rPr>
                    <w:t>0.35%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3" w:hRule="atLeast"/>
                <w:jc w:val="center"/>
              </w:trPr>
              <w:tc>
                <w:tcPr>
                  <w:tcW w:w="1909" w:type="dxa"/>
                  <w:vAlign w:val="center"/>
                </w:tcPr>
                <w:p>
                  <w:pPr>
                    <w:widowControl/>
                    <w:jc w:val="center"/>
                    <w:rPr>
                      <w:rFonts w:ascii="宋体" w:hAnsi="宋体" w:cs="宋体"/>
                      <w:kern w:val="0"/>
                      <w:szCs w:val="21"/>
                      <w:highlight w:val="none"/>
                    </w:rPr>
                  </w:pPr>
                  <w:r>
                    <w:rPr>
                      <w:rFonts w:ascii="宋体" w:hAnsi="宋体" w:cs="宋体"/>
                      <w:kern w:val="0"/>
                      <w:szCs w:val="21"/>
                      <w:highlight w:val="none"/>
                    </w:rPr>
                    <w:t>5000</w:t>
                  </w:r>
                  <w:r>
                    <w:rPr>
                      <w:rFonts w:hint="eastAsia" w:ascii="宋体" w:hAnsi="宋体" w:cs="宋体"/>
                      <w:kern w:val="0"/>
                      <w:szCs w:val="21"/>
                      <w:highlight w:val="none"/>
                    </w:rPr>
                    <w:t>—</w:t>
                  </w:r>
                  <w:r>
                    <w:rPr>
                      <w:rFonts w:ascii="宋体" w:hAnsi="宋体" w:cs="宋体"/>
                      <w:kern w:val="0"/>
                      <w:szCs w:val="21"/>
                      <w:highlight w:val="none"/>
                    </w:rPr>
                    <w:t>10000</w:t>
                  </w:r>
                </w:p>
              </w:tc>
              <w:tc>
                <w:tcPr>
                  <w:tcW w:w="909" w:type="dxa"/>
                  <w:vAlign w:val="bottom"/>
                </w:tcPr>
                <w:p>
                  <w:pPr>
                    <w:widowControl/>
                    <w:jc w:val="center"/>
                    <w:rPr>
                      <w:rFonts w:ascii="宋体" w:hAnsi="宋体" w:cs="宋体"/>
                      <w:kern w:val="0"/>
                      <w:szCs w:val="21"/>
                      <w:highlight w:val="none"/>
                    </w:rPr>
                  </w:pPr>
                  <w:r>
                    <w:rPr>
                      <w:rFonts w:ascii="宋体" w:hAnsi="宋体" w:cs="宋体"/>
                      <w:kern w:val="0"/>
                      <w:szCs w:val="21"/>
                      <w:highlight w:val="none"/>
                    </w:rPr>
                    <w:t>0.25%</w:t>
                  </w:r>
                </w:p>
              </w:tc>
              <w:tc>
                <w:tcPr>
                  <w:tcW w:w="969" w:type="dxa"/>
                  <w:vAlign w:val="bottom"/>
                </w:tcPr>
                <w:p>
                  <w:pPr>
                    <w:widowControl/>
                    <w:jc w:val="center"/>
                    <w:rPr>
                      <w:rFonts w:ascii="宋体" w:hAnsi="宋体" w:cs="宋体"/>
                      <w:kern w:val="0"/>
                      <w:szCs w:val="21"/>
                      <w:highlight w:val="none"/>
                    </w:rPr>
                  </w:pPr>
                  <w:r>
                    <w:rPr>
                      <w:rFonts w:ascii="宋体" w:hAnsi="宋体" w:cs="宋体"/>
                      <w:kern w:val="0"/>
                      <w:szCs w:val="21"/>
                      <w:highlight w:val="none"/>
                    </w:rPr>
                    <w:t>0.10%</w:t>
                  </w:r>
                </w:p>
              </w:tc>
              <w:tc>
                <w:tcPr>
                  <w:tcW w:w="948" w:type="dxa"/>
                  <w:vAlign w:val="bottom"/>
                </w:tcPr>
                <w:p>
                  <w:pPr>
                    <w:widowControl/>
                    <w:jc w:val="center"/>
                    <w:rPr>
                      <w:rFonts w:ascii="宋体" w:hAnsi="宋体" w:cs="宋体"/>
                      <w:kern w:val="0"/>
                      <w:szCs w:val="21"/>
                      <w:highlight w:val="none"/>
                    </w:rPr>
                  </w:pPr>
                  <w:r>
                    <w:rPr>
                      <w:rFonts w:ascii="宋体" w:hAnsi="宋体" w:cs="宋体"/>
                      <w:kern w:val="0"/>
                      <w:szCs w:val="21"/>
                      <w:highlight w:val="none"/>
                    </w:rPr>
                    <w:t>0.20%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0" w:hRule="atLeast"/>
                <w:jc w:val="center"/>
              </w:trPr>
              <w:tc>
                <w:tcPr>
                  <w:tcW w:w="1909" w:type="dxa"/>
                  <w:vAlign w:val="center"/>
                </w:tcPr>
                <w:p>
                  <w:pPr>
                    <w:widowControl/>
                    <w:jc w:val="center"/>
                    <w:rPr>
                      <w:rFonts w:ascii="宋体" w:hAnsi="宋体" w:cs="宋体"/>
                      <w:kern w:val="0"/>
                      <w:szCs w:val="21"/>
                      <w:highlight w:val="none"/>
                    </w:rPr>
                  </w:pPr>
                  <w:r>
                    <w:rPr>
                      <w:rFonts w:ascii="宋体" w:hAnsi="宋体" w:cs="宋体"/>
                      <w:kern w:val="0"/>
                      <w:szCs w:val="21"/>
                      <w:highlight w:val="none"/>
                    </w:rPr>
                    <w:t>10000</w:t>
                  </w:r>
                  <w:r>
                    <w:rPr>
                      <w:rFonts w:hint="eastAsia" w:ascii="宋体" w:hAnsi="宋体" w:cs="宋体"/>
                      <w:kern w:val="0"/>
                      <w:szCs w:val="21"/>
                      <w:highlight w:val="none"/>
                    </w:rPr>
                    <w:t>——</w:t>
                  </w:r>
                  <w:r>
                    <w:rPr>
                      <w:rFonts w:ascii="宋体" w:hAnsi="宋体" w:cs="宋体"/>
                      <w:kern w:val="0"/>
                      <w:szCs w:val="21"/>
                      <w:highlight w:val="none"/>
                    </w:rPr>
                    <w:t>100000</w:t>
                  </w:r>
                </w:p>
              </w:tc>
              <w:tc>
                <w:tcPr>
                  <w:tcW w:w="909" w:type="dxa"/>
                  <w:vAlign w:val="bottom"/>
                </w:tcPr>
                <w:p>
                  <w:pPr>
                    <w:widowControl/>
                    <w:jc w:val="center"/>
                    <w:rPr>
                      <w:rFonts w:ascii="宋体" w:hAnsi="宋体" w:cs="宋体"/>
                      <w:kern w:val="0"/>
                      <w:szCs w:val="21"/>
                      <w:highlight w:val="none"/>
                    </w:rPr>
                  </w:pPr>
                  <w:r>
                    <w:rPr>
                      <w:rFonts w:ascii="宋体" w:hAnsi="宋体" w:cs="宋体"/>
                      <w:kern w:val="0"/>
                      <w:szCs w:val="21"/>
                      <w:highlight w:val="none"/>
                    </w:rPr>
                    <w:t>0.05%</w:t>
                  </w:r>
                </w:p>
              </w:tc>
              <w:tc>
                <w:tcPr>
                  <w:tcW w:w="969" w:type="dxa"/>
                  <w:vAlign w:val="bottom"/>
                </w:tcPr>
                <w:p>
                  <w:pPr>
                    <w:widowControl/>
                    <w:jc w:val="center"/>
                    <w:rPr>
                      <w:rFonts w:ascii="宋体" w:hAnsi="宋体" w:cs="宋体"/>
                      <w:kern w:val="0"/>
                      <w:szCs w:val="21"/>
                      <w:highlight w:val="none"/>
                    </w:rPr>
                  </w:pPr>
                  <w:r>
                    <w:rPr>
                      <w:rFonts w:ascii="宋体" w:hAnsi="宋体" w:cs="宋体"/>
                      <w:kern w:val="0"/>
                      <w:szCs w:val="21"/>
                      <w:highlight w:val="none"/>
                    </w:rPr>
                    <w:t>0.05%</w:t>
                  </w:r>
                </w:p>
              </w:tc>
              <w:tc>
                <w:tcPr>
                  <w:tcW w:w="948" w:type="dxa"/>
                  <w:vAlign w:val="bottom"/>
                </w:tcPr>
                <w:p>
                  <w:pPr>
                    <w:widowControl/>
                    <w:jc w:val="center"/>
                    <w:rPr>
                      <w:rFonts w:ascii="宋体" w:hAnsi="宋体" w:cs="宋体"/>
                      <w:kern w:val="0"/>
                      <w:szCs w:val="21"/>
                      <w:highlight w:val="none"/>
                    </w:rPr>
                  </w:pPr>
                  <w:r>
                    <w:rPr>
                      <w:rFonts w:ascii="宋体" w:hAnsi="宋体" w:cs="宋体"/>
                      <w:kern w:val="0"/>
                      <w:szCs w:val="21"/>
                      <w:highlight w:val="none"/>
                    </w:rPr>
                    <w:t>0.05%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7" w:hRule="atLeast"/>
                <w:jc w:val="center"/>
              </w:trPr>
              <w:tc>
                <w:tcPr>
                  <w:tcW w:w="1909" w:type="dxa"/>
                  <w:vAlign w:val="center"/>
                </w:tcPr>
                <w:p>
                  <w:pPr>
                    <w:widowControl/>
                    <w:jc w:val="center"/>
                    <w:rPr>
                      <w:rFonts w:ascii="宋体" w:hAnsi="宋体" w:cs="宋体"/>
                      <w:kern w:val="0"/>
                      <w:szCs w:val="21"/>
                      <w:highlight w:val="none"/>
                    </w:rPr>
                  </w:pPr>
                  <w:r>
                    <w:rPr>
                      <w:rFonts w:ascii="宋体" w:hAnsi="宋体" w:cs="宋体"/>
                      <w:kern w:val="0"/>
                      <w:szCs w:val="21"/>
                      <w:highlight w:val="none"/>
                    </w:rPr>
                    <w:t>1000000</w:t>
                  </w:r>
                  <w:r>
                    <w:rPr>
                      <w:rFonts w:hint="eastAsia" w:ascii="宋体" w:hAnsi="宋体" w:cs="宋体"/>
                      <w:kern w:val="0"/>
                      <w:szCs w:val="21"/>
                      <w:highlight w:val="none"/>
                    </w:rPr>
                    <w:t>以上</w:t>
                  </w:r>
                </w:p>
              </w:tc>
              <w:tc>
                <w:tcPr>
                  <w:tcW w:w="909" w:type="dxa"/>
                  <w:vAlign w:val="bottom"/>
                </w:tcPr>
                <w:p>
                  <w:pPr>
                    <w:widowControl/>
                    <w:jc w:val="center"/>
                    <w:rPr>
                      <w:rFonts w:ascii="宋体" w:hAnsi="宋体" w:cs="宋体"/>
                      <w:kern w:val="0"/>
                      <w:szCs w:val="21"/>
                      <w:highlight w:val="none"/>
                    </w:rPr>
                  </w:pPr>
                  <w:r>
                    <w:rPr>
                      <w:rFonts w:ascii="宋体" w:hAnsi="宋体" w:cs="宋体"/>
                      <w:kern w:val="0"/>
                      <w:szCs w:val="21"/>
                      <w:highlight w:val="none"/>
                    </w:rPr>
                    <w:t>0.01%</w:t>
                  </w:r>
                </w:p>
              </w:tc>
              <w:tc>
                <w:tcPr>
                  <w:tcW w:w="969" w:type="dxa"/>
                  <w:vAlign w:val="bottom"/>
                </w:tcPr>
                <w:p>
                  <w:pPr>
                    <w:widowControl/>
                    <w:jc w:val="center"/>
                    <w:rPr>
                      <w:rFonts w:ascii="宋体" w:hAnsi="宋体" w:cs="宋体"/>
                      <w:kern w:val="0"/>
                      <w:szCs w:val="21"/>
                      <w:highlight w:val="none"/>
                    </w:rPr>
                  </w:pPr>
                  <w:r>
                    <w:rPr>
                      <w:rFonts w:ascii="宋体" w:hAnsi="宋体" w:cs="宋体"/>
                      <w:kern w:val="0"/>
                      <w:szCs w:val="21"/>
                      <w:highlight w:val="none"/>
                    </w:rPr>
                    <w:t>0.01%</w:t>
                  </w:r>
                </w:p>
              </w:tc>
              <w:tc>
                <w:tcPr>
                  <w:tcW w:w="948" w:type="dxa"/>
                  <w:vAlign w:val="bottom"/>
                </w:tcPr>
                <w:p>
                  <w:pPr>
                    <w:widowControl/>
                    <w:jc w:val="center"/>
                    <w:rPr>
                      <w:rFonts w:ascii="宋体" w:hAnsi="宋体" w:cs="宋体"/>
                      <w:kern w:val="0"/>
                      <w:szCs w:val="21"/>
                      <w:highlight w:val="none"/>
                    </w:rPr>
                  </w:pPr>
                  <w:r>
                    <w:rPr>
                      <w:rFonts w:ascii="宋体" w:hAnsi="宋体" w:cs="宋体"/>
                      <w:kern w:val="0"/>
                      <w:szCs w:val="21"/>
                      <w:highlight w:val="none"/>
                    </w:rPr>
                    <w:t>0.01%</w:t>
                  </w:r>
                </w:p>
              </w:tc>
            </w:tr>
          </w:tbl>
          <w:p>
            <w:pPr>
              <w:pStyle w:val="8"/>
              <w:spacing w:line="360" w:lineRule="auto"/>
              <w:rPr>
                <w:highlight w:val="none"/>
              </w:rPr>
            </w:pPr>
          </w:p>
          <w:p>
            <w:pPr>
              <w:pStyle w:val="8"/>
              <w:spacing w:line="360" w:lineRule="auto"/>
              <w:rPr>
                <w:highlight w:val="none"/>
              </w:rPr>
            </w:pPr>
            <w:r>
              <w:rPr>
                <w:rFonts w:hint="eastAsia"/>
                <w:highlight w:val="none"/>
              </w:rPr>
              <w:t>注：采购代理服务收费按差额定率累进法计算。</w:t>
            </w:r>
          </w:p>
          <w:p>
            <w:pPr>
              <w:pStyle w:val="8"/>
              <w:spacing w:line="360" w:lineRule="auto"/>
              <w:rPr>
                <w:bCs/>
                <w:szCs w:val="21"/>
                <w:highlight w:val="none"/>
              </w:rPr>
            </w:pPr>
            <w:r>
              <w:rPr>
                <w:rFonts w:hint="eastAsia"/>
                <w:bCs/>
                <w:szCs w:val="21"/>
                <w:highlight w:val="none"/>
              </w:rPr>
              <w:t>例如：某货物招标代理业务成交金额为500万元，计算招标代理服务收费额如下：</w:t>
            </w:r>
          </w:p>
          <w:p>
            <w:pPr>
              <w:pStyle w:val="8"/>
              <w:spacing w:line="360" w:lineRule="auto"/>
              <w:rPr>
                <w:bCs/>
                <w:szCs w:val="21"/>
                <w:highlight w:val="none"/>
              </w:rPr>
            </w:pPr>
            <w:r>
              <w:rPr>
                <w:rFonts w:hint="eastAsia"/>
                <w:bCs/>
                <w:szCs w:val="21"/>
                <w:highlight w:val="none"/>
              </w:rPr>
              <w:t>100 万元×1.50%=1.5万元</w:t>
            </w:r>
          </w:p>
          <w:p>
            <w:pPr>
              <w:pStyle w:val="8"/>
              <w:spacing w:line="360" w:lineRule="auto"/>
              <w:rPr>
                <w:bCs/>
                <w:szCs w:val="21"/>
                <w:highlight w:val="none"/>
              </w:rPr>
            </w:pPr>
            <w:r>
              <w:rPr>
                <w:rFonts w:hint="eastAsia"/>
                <w:bCs/>
                <w:szCs w:val="21"/>
                <w:highlight w:val="none"/>
              </w:rPr>
              <w:t>（500-100）万元×1.10%= 4.4万元</w:t>
            </w:r>
          </w:p>
          <w:p>
            <w:pPr>
              <w:spacing w:line="360" w:lineRule="auto"/>
              <w:rPr>
                <w:rFonts w:ascii="宋体" w:hAnsi="宋体"/>
                <w:szCs w:val="21"/>
                <w:highlight w:val="none"/>
              </w:rPr>
            </w:pPr>
            <w:r>
              <w:rPr>
                <w:rFonts w:hint="eastAsia"/>
                <w:bCs/>
                <w:szCs w:val="21"/>
                <w:highlight w:val="none"/>
              </w:rPr>
              <w:t>合计收费=1.5+4.4=5.9（万元）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828" w:type="dxa"/>
            <w:vAlign w:val="center"/>
          </w:tcPr>
          <w:p>
            <w:pPr>
              <w:jc w:val="center"/>
              <w:rPr>
                <w:rFonts w:ascii="宋体" w:hAnsi="宋体"/>
                <w:b/>
                <w:szCs w:val="21"/>
                <w:highlight w:val="none"/>
              </w:rPr>
            </w:pPr>
            <w:r>
              <w:rPr>
                <w:rFonts w:hint="eastAsia" w:ascii="宋体" w:hAnsi="宋体"/>
                <w:b/>
                <w:szCs w:val="21"/>
                <w:highlight w:val="none"/>
              </w:rPr>
              <w:t>14</w:t>
            </w:r>
          </w:p>
        </w:tc>
        <w:tc>
          <w:tcPr>
            <w:tcW w:w="1423" w:type="dxa"/>
            <w:vAlign w:val="center"/>
          </w:tcPr>
          <w:p>
            <w:pPr>
              <w:spacing w:line="500" w:lineRule="exact"/>
              <w:jc w:val="center"/>
              <w:rPr>
                <w:rFonts w:ascii="宋体" w:hAnsi="宋体"/>
                <w:szCs w:val="21"/>
                <w:highlight w:val="none"/>
              </w:rPr>
            </w:pPr>
            <w:r>
              <w:rPr>
                <w:rFonts w:ascii="宋体" w:hAnsi="宋体" w:cs="宋体"/>
                <w:szCs w:val="21"/>
                <w:highlight w:val="none"/>
              </w:rPr>
              <w:t>签订合同</w:t>
            </w:r>
          </w:p>
        </w:tc>
        <w:tc>
          <w:tcPr>
            <w:tcW w:w="7614" w:type="dxa"/>
            <w:vAlign w:val="center"/>
          </w:tcPr>
          <w:p>
            <w:pPr>
              <w:spacing w:line="360" w:lineRule="auto"/>
              <w:rPr>
                <w:rFonts w:hAnsi="宋体"/>
                <w:highlight w:val="none"/>
              </w:rPr>
            </w:pPr>
            <w:r>
              <w:rPr>
                <w:rFonts w:ascii="宋体" w:hAnsi="宋体" w:cs="宋体"/>
                <w:bCs/>
                <w:szCs w:val="21"/>
                <w:highlight w:val="none"/>
              </w:rPr>
              <w:t xml:space="preserve">自成交通知书发出之日起 </w:t>
            </w:r>
            <w:r>
              <w:rPr>
                <w:rFonts w:hint="eastAsia" w:ascii="宋体" w:hAnsi="宋体" w:cs="宋体"/>
                <w:bCs/>
                <w:szCs w:val="21"/>
                <w:highlight w:val="none"/>
              </w:rPr>
              <w:t>15</w:t>
            </w:r>
            <w:r>
              <w:rPr>
                <w:rFonts w:ascii="宋体" w:hAnsi="宋体" w:cs="宋体"/>
                <w:bCs/>
                <w:szCs w:val="21"/>
                <w:highlight w:val="none"/>
              </w:rPr>
              <w:t>日历天内凭成交通知书与采购人签订政府采购合同，延期自误。（采购合同必须与本采购文件中的合同书格式(包括内容和结构)相一致，不能改变主要条款。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828" w:type="dxa"/>
            <w:vAlign w:val="center"/>
          </w:tcPr>
          <w:p>
            <w:pPr>
              <w:jc w:val="center"/>
              <w:rPr>
                <w:rFonts w:ascii="宋体" w:hAnsi="宋体"/>
                <w:b/>
                <w:szCs w:val="21"/>
                <w:highlight w:val="none"/>
              </w:rPr>
            </w:pPr>
            <w:r>
              <w:rPr>
                <w:rFonts w:hint="eastAsia" w:ascii="宋体" w:hAnsi="宋体"/>
                <w:b/>
                <w:szCs w:val="21"/>
                <w:highlight w:val="none"/>
              </w:rPr>
              <w:t>15</w:t>
            </w:r>
          </w:p>
        </w:tc>
        <w:tc>
          <w:tcPr>
            <w:tcW w:w="1423" w:type="dxa"/>
            <w:vAlign w:val="center"/>
          </w:tcPr>
          <w:p>
            <w:pPr>
              <w:spacing w:line="500" w:lineRule="exact"/>
              <w:jc w:val="center"/>
              <w:rPr>
                <w:rFonts w:ascii="宋体" w:hAnsi="宋体" w:cs="宋体"/>
                <w:szCs w:val="21"/>
                <w:highlight w:val="none"/>
              </w:rPr>
            </w:pPr>
          </w:p>
        </w:tc>
        <w:tc>
          <w:tcPr>
            <w:tcW w:w="7614" w:type="dxa"/>
            <w:vAlign w:val="center"/>
          </w:tcPr>
          <w:p>
            <w:pPr>
              <w:autoSpaceDE w:val="0"/>
              <w:autoSpaceDN w:val="0"/>
              <w:adjustRightInd w:val="0"/>
              <w:spacing w:line="360" w:lineRule="auto"/>
              <w:jc w:val="left"/>
              <w:rPr>
                <w:rFonts w:hAnsi="宋体"/>
                <w:szCs w:val="21"/>
                <w:highlight w:val="none"/>
              </w:rPr>
            </w:pPr>
            <w:r>
              <w:rPr>
                <w:rFonts w:hAnsi="宋体"/>
                <w:szCs w:val="21"/>
                <w:highlight w:val="none"/>
              </w:rPr>
              <w:t>1.</w:t>
            </w:r>
            <w:r>
              <w:rPr>
                <w:rFonts w:hint="eastAsia" w:hAnsi="宋体"/>
                <w:szCs w:val="21"/>
                <w:highlight w:val="none"/>
              </w:rPr>
              <w:t>本谈判中描述供应商的“公章”是指根据我国对公章的管理规定，用供应商法定主体行为名称制作的印章，除本谈判有特殊规定外，供应商的财务章、部门章、分公司章、工会章、合同章、谈判专用章、业务专用章等其它形式印章均不能代替公章。</w:t>
            </w:r>
          </w:p>
          <w:p>
            <w:pPr>
              <w:autoSpaceDE w:val="0"/>
              <w:autoSpaceDN w:val="0"/>
              <w:adjustRightInd w:val="0"/>
              <w:spacing w:line="360" w:lineRule="auto"/>
              <w:jc w:val="left"/>
              <w:rPr>
                <w:rFonts w:hAnsi="宋体"/>
                <w:szCs w:val="21"/>
                <w:highlight w:val="none"/>
              </w:rPr>
            </w:pPr>
            <w:r>
              <w:rPr>
                <w:rFonts w:hAnsi="宋体"/>
                <w:szCs w:val="21"/>
                <w:highlight w:val="none"/>
              </w:rPr>
              <w:t>2.</w:t>
            </w:r>
            <w:r>
              <w:rPr>
                <w:rFonts w:hint="eastAsia" w:hAnsi="宋体"/>
                <w:szCs w:val="21"/>
                <w:highlight w:val="none"/>
              </w:rPr>
              <w:t>本谈判中描述供应商的“签字”是指供应商的法定代表人（负责人或自然人）或委托代理人亲自在谈判规定签字处亲笔写上个人名字的行为，私章、签字章、印鉴、影印等其它形式均不能代替亲笔签字。如谈判规定签字处不得以法人私章代替。</w:t>
            </w:r>
          </w:p>
          <w:p>
            <w:pPr>
              <w:autoSpaceDE w:val="0"/>
              <w:autoSpaceDN w:val="0"/>
              <w:adjustRightInd w:val="0"/>
              <w:spacing w:line="360" w:lineRule="auto"/>
              <w:jc w:val="left"/>
              <w:rPr>
                <w:rFonts w:hAnsi="宋体"/>
                <w:szCs w:val="21"/>
                <w:highlight w:val="none"/>
              </w:rPr>
            </w:pPr>
            <w:r>
              <w:rPr>
                <w:rFonts w:hAnsi="宋体"/>
                <w:szCs w:val="21"/>
                <w:highlight w:val="none"/>
              </w:rPr>
              <w:t>3.</w:t>
            </w:r>
            <w:r>
              <w:rPr>
                <w:rFonts w:hint="eastAsia" w:hAnsi="宋体"/>
                <w:szCs w:val="21"/>
                <w:highlight w:val="none"/>
              </w:rPr>
              <w:t>自然人谈判的，谈判规定盖章的地方自然人可以加盖手指指印。</w:t>
            </w:r>
          </w:p>
          <w:p>
            <w:pPr>
              <w:autoSpaceDE w:val="0"/>
              <w:autoSpaceDN w:val="0"/>
              <w:adjustRightInd w:val="0"/>
              <w:spacing w:line="360" w:lineRule="auto"/>
              <w:jc w:val="left"/>
              <w:rPr>
                <w:rFonts w:hAnsi="宋体"/>
                <w:szCs w:val="21"/>
                <w:highlight w:val="none"/>
              </w:rPr>
            </w:pPr>
            <w:r>
              <w:rPr>
                <w:rFonts w:hAnsi="宋体"/>
                <w:szCs w:val="21"/>
                <w:highlight w:val="none"/>
              </w:rPr>
              <w:t>4.</w:t>
            </w:r>
            <w:r>
              <w:rPr>
                <w:rFonts w:hint="eastAsia" w:hAnsi="宋体"/>
                <w:szCs w:val="21"/>
                <w:highlight w:val="none"/>
              </w:rPr>
              <w:t>电子响应文件中须加盖供应商公章部分均采用</w:t>
            </w:r>
            <w:r>
              <w:rPr>
                <w:rFonts w:hAnsi="宋体"/>
                <w:szCs w:val="21"/>
                <w:highlight w:val="none"/>
              </w:rPr>
              <w:t xml:space="preserve">CA </w:t>
            </w:r>
            <w:r>
              <w:rPr>
                <w:rFonts w:hint="eastAsia" w:hAnsi="宋体"/>
                <w:szCs w:val="21"/>
                <w:highlight w:val="none"/>
              </w:rPr>
              <w:t>签章，并根据“政府采购项目电子交易管理操作指南</w:t>
            </w:r>
            <w:r>
              <w:rPr>
                <w:rFonts w:hAnsi="宋体"/>
                <w:szCs w:val="21"/>
                <w:highlight w:val="none"/>
              </w:rPr>
              <w:t>-</w:t>
            </w:r>
            <w:r>
              <w:rPr>
                <w:rFonts w:hint="eastAsia" w:hAnsi="宋体"/>
                <w:szCs w:val="21"/>
                <w:highlight w:val="none"/>
              </w:rPr>
              <w:t>供应商”</w:t>
            </w:r>
            <w:r>
              <w:rPr>
                <w:rFonts w:hAnsi="宋体"/>
                <w:szCs w:val="21"/>
                <w:highlight w:val="none"/>
              </w:rPr>
              <w:t xml:space="preserve"> </w:t>
            </w:r>
            <w:r>
              <w:rPr>
                <w:rFonts w:hint="eastAsia" w:hAnsi="宋体"/>
                <w:szCs w:val="21"/>
                <w:highlight w:val="none"/>
              </w:rPr>
              <w:t>及本谈判规定的格式和顺序编制电子响应文件并进行关联定位，以便评磋商小组在评审时，点击评分项可直接定位到该评分项内容。如对谈判的某项要求，供应商的电子响应文件未能关联定位提供相应的内容与其对应，则磋商小组在评审时如做出对供应商不利的评审由供应商自行承担。电子响应文件如内容不完整、编排混乱导致响应文件被误读、漏读，或者在按采购文件规定的部位查找不到相关内容的，由供应商自行承担。</w:t>
            </w:r>
          </w:p>
          <w:p>
            <w:pPr>
              <w:spacing w:line="360" w:lineRule="auto"/>
              <w:rPr>
                <w:rFonts w:ascii="宋体" w:hAnsi="宋体" w:cs="宋体"/>
                <w:bCs/>
                <w:szCs w:val="21"/>
                <w:highlight w:val="none"/>
              </w:rPr>
            </w:pPr>
            <w:r>
              <w:rPr>
                <w:rFonts w:hAnsi="宋体"/>
                <w:szCs w:val="21"/>
                <w:highlight w:val="none"/>
              </w:rPr>
              <w:t xml:space="preserve">5.CA </w:t>
            </w:r>
            <w:r>
              <w:rPr>
                <w:rFonts w:hint="eastAsia" w:hAnsi="宋体"/>
                <w:szCs w:val="21"/>
                <w:highlight w:val="none"/>
              </w:rPr>
              <w:t>签章上目前没有法定代表人（负责人）或授权代表签字信息，供应商在响应文件中涉及到签字的位置线下签好字然后扫描或者拍照做成</w:t>
            </w:r>
            <w:r>
              <w:rPr>
                <w:rFonts w:hAnsi="宋体"/>
                <w:szCs w:val="21"/>
                <w:highlight w:val="none"/>
              </w:rPr>
              <w:t xml:space="preserve">PDF </w:t>
            </w:r>
            <w:r>
              <w:rPr>
                <w:rFonts w:hint="eastAsia" w:hAnsi="宋体"/>
                <w:szCs w:val="21"/>
                <w:highlight w:val="none"/>
              </w:rPr>
              <w:t>的格式亦可。响应文件中涉及到签字的位置未按要求签字的，提供的材料视为无效。</w:t>
            </w:r>
          </w:p>
        </w:tc>
      </w:tr>
    </w:tbl>
    <w:p>
      <w:pPr>
        <w:jc w:val="center"/>
        <w:rPr>
          <w:b/>
          <w:spacing w:val="70"/>
          <w:sz w:val="40"/>
          <w:highlight w:val="none"/>
        </w:rPr>
      </w:pPr>
      <w:r>
        <w:rPr>
          <w:highlight w:val="none"/>
        </w:rPr>
        <w:br w:type="page"/>
      </w:r>
      <w:r>
        <w:rPr>
          <w:rFonts w:hint="eastAsia"/>
          <w:b/>
          <w:spacing w:val="70"/>
          <w:sz w:val="40"/>
          <w:highlight w:val="none"/>
        </w:rPr>
        <w:t>谈判须知</w:t>
      </w:r>
    </w:p>
    <w:p>
      <w:pPr>
        <w:spacing w:line="400" w:lineRule="atLeast"/>
        <w:jc w:val="center"/>
        <w:rPr>
          <w:rFonts w:ascii="宋体" w:hAnsi="宋体"/>
          <w:b/>
          <w:highlight w:val="none"/>
        </w:rPr>
      </w:pPr>
    </w:p>
    <w:p>
      <w:pPr>
        <w:spacing w:line="400" w:lineRule="atLeast"/>
        <w:jc w:val="center"/>
        <w:rPr>
          <w:rFonts w:ascii="宋体" w:hAnsi="宋体"/>
          <w:b/>
          <w:highlight w:val="none"/>
        </w:rPr>
      </w:pPr>
      <w:r>
        <w:rPr>
          <w:rFonts w:hint="eastAsia" w:ascii="宋体" w:hAnsi="宋体"/>
          <w:b/>
          <w:highlight w:val="none"/>
        </w:rPr>
        <w:t>一   总  则</w:t>
      </w:r>
    </w:p>
    <w:p>
      <w:pPr>
        <w:spacing w:line="420" w:lineRule="atLeast"/>
        <w:rPr>
          <w:rFonts w:ascii="宋体" w:hAnsi="宋体"/>
          <w:bCs/>
          <w:highlight w:val="none"/>
        </w:rPr>
      </w:pPr>
      <w:r>
        <w:rPr>
          <w:rFonts w:hint="eastAsia" w:ascii="宋体" w:hAnsi="宋体"/>
          <w:b/>
          <w:highlight w:val="none"/>
        </w:rPr>
        <w:t>1．项目名称与编号：</w:t>
      </w:r>
      <w:r>
        <w:rPr>
          <w:rFonts w:hint="eastAsia" w:ascii="宋体" w:hAnsi="宋体"/>
          <w:highlight w:val="none"/>
        </w:rPr>
        <w:t>见谈判须知前附表</w:t>
      </w:r>
    </w:p>
    <w:p>
      <w:pPr>
        <w:pStyle w:val="8"/>
        <w:spacing w:line="420" w:lineRule="atLeast"/>
        <w:rPr>
          <w:rFonts w:hAnsi="宋体"/>
          <w:b/>
          <w:highlight w:val="none"/>
        </w:rPr>
      </w:pPr>
      <w:r>
        <w:rPr>
          <w:rFonts w:hint="eastAsia" w:hAnsi="宋体"/>
          <w:b/>
          <w:highlight w:val="none"/>
        </w:rPr>
        <w:t>2．合格谈判供应商的基本条件：</w:t>
      </w:r>
    </w:p>
    <w:p>
      <w:pPr>
        <w:pStyle w:val="8"/>
        <w:spacing w:line="420" w:lineRule="atLeast"/>
        <w:rPr>
          <w:rFonts w:hAnsi="宋体"/>
          <w:highlight w:val="none"/>
        </w:rPr>
      </w:pPr>
      <w:r>
        <w:rPr>
          <w:rFonts w:hint="eastAsia" w:hAnsi="宋体"/>
          <w:szCs w:val="21"/>
          <w:highlight w:val="none"/>
        </w:rPr>
        <w:t>2.1谈判供应商应符合</w:t>
      </w:r>
      <w:r>
        <w:rPr>
          <w:rFonts w:hint="eastAsia" w:hAnsi="宋体"/>
          <w:highlight w:val="none"/>
        </w:rPr>
        <w:t>谈判</w:t>
      </w:r>
      <w:r>
        <w:rPr>
          <w:rFonts w:hint="eastAsia" w:hAnsi="宋体"/>
          <w:szCs w:val="21"/>
          <w:highlight w:val="none"/>
        </w:rPr>
        <w:t>须知前附表规定的基本条件</w:t>
      </w:r>
      <w:r>
        <w:rPr>
          <w:rFonts w:hint="eastAsia" w:hAnsi="宋体"/>
          <w:highlight w:val="none"/>
        </w:rPr>
        <w:t>。</w:t>
      </w:r>
    </w:p>
    <w:p>
      <w:pPr>
        <w:pStyle w:val="8"/>
        <w:spacing w:line="420" w:lineRule="atLeast"/>
        <w:rPr>
          <w:rFonts w:hAnsi="宋体"/>
          <w:highlight w:val="none"/>
        </w:rPr>
      </w:pPr>
      <w:r>
        <w:rPr>
          <w:rFonts w:hint="eastAsia" w:hAnsi="宋体"/>
          <w:highlight w:val="none"/>
        </w:rPr>
        <w:t>2.2符合合格供应商基本条件的供应商必须承担竞标及履约中应承担的全部责任与义务。</w:t>
      </w:r>
    </w:p>
    <w:p>
      <w:pPr>
        <w:tabs>
          <w:tab w:val="left" w:pos="5625"/>
        </w:tabs>
        <w:spacing w:line="420" w:lineRule="atLeast"/>
        <w:rPr>
          <w:rFonts w:ascii="宋体" w:hAnsi="宋体"/>
          <w:b/>
          <w:highlight w:val="none"/>
        </w:rPr>
      </w:pPr>
      <w:r>
        <w:rPr>
          <w:rFonts w:hint="eastAsia" w:ascii="宋体" w:hAnsi="宋体"/>
          <w:b/>
          <w:highlight w:val="none"/>
        </w:rPr>
        <w:t>3．谈判费用</w:t>
      </w:r>
      <w:r>
        <w:rPr>
          <w:rFonts w:ascii="宋体" w:hAnsi="宋体"/>
          <w:b/>
          <w:highlight w:val="none"/>
        </w:rPr>
        <w:tab/>
      </w:r>
    </w:p>
    <w:p>
      <w:pPr>
        <w:spacing w:line="420" w:lineRule="atLeast"/>
        <w:rPr>
          <w:rFonts w:ascii="宋体" w:hAnsi="宋体"/>
          <w:highlight w:val="none"/>
        </w:rPr>
      </w:pPr>
      <w:r>
        <w:rPr>
          <w:rFonts w:hint="eastAsia" w:ascii="宋体" w:hAnsi="宋体"/>
          <w:bCs/>
          <w:highlight w:val="none"/>
        </w:rPr>
        <w:t>3</w:t>
      </w:r>
      <w:r>
        <w:rPr>
          <w:rFonts w:hint="eastAsia" w:ascii="宋体" w:hAnsi="宋体"/>
          <w:highlight w:val="none"/>
        </w:rPr>
        <w:t>.</w:t>
      </w:r>
      <w:r>
        <w:rPr>
          <w:rFonts w:hint="eastAsia" w:ascii="宋体" w:hAnsi="宋体"/>
          <w:bCs/>
          <w:highlight w:val="none"/>
        </w:rPr>
        <w:t>1</w:t>
      </w:r>
      <w:r>
        <w:rPr>
          <w:rFonts w:hint="eastAsia" w:ascii="宋体" w:hAnsi="宋体"/>
          <w:highlight w:val="none"/>
        </w:rPr>
        <w:t>谈判供应商应自行承担所有与编写和提交竞争性谈判响应文件有关的费用。</w:t>
      </w:r>
    </w:p>
    <w:p>
      <w:pPr>
        <w:spacing w:line="420" w:lineRule="atLeast"/>
        <w:rPr>
          <w:rFonts w:ascii="宋体" w:hAnsi="宋体"/>
          <w:highlight w:val="none"/>
        </w:rPr>
      </w:pPr>
    </w:p>
    <w:p>
      <w:pPr>
        <w:spacing w:line="420" w:lineRule="atLeast"/>
        <w:jc w:val="center"/>
        <w:rPr>
          <w:rFonts w:ascii="宋体" w:hAnsi="宋体"/>
          <w:b/>
          <w:highlight w:val="none"/>
        </w:rPr>
      </w:pPr>
      <w:r>
        <w:rPr>
          <w:rFonts w:hint="eastAsia" w:ascii="宋体" w:hAnsi="宋体"/>
          <w:b/>
          <w:highlight w:val="none"/>
        </w:rPr>
        <w:t>二  竞争性谈判采购文件（简称谈判采购文件）</w:t>
      </w:r>
    </w:p>
    <w:p>
      <w:pPr>
        <w:spacing w:line="420" w:lineRule="atLeast"/>
        <w:rPr>
          <w:rFonts w:ascii="宋体" w:hAnsi="宋体"/>
          <w:b/>
          <w:highlight w:val="none"/>
        </w:rPr>
      </w:pPr>
      <w:r>
        <w:rPr>
          <w:rFonts w:hint="eastAsia" w:ascii="宋体" w:hAnsi="宋体"/>
          <w:b/>
          <w:highlight w:val="none"/>
        </w:rPr>
        <w:t>4．谈判采购文件构成</w:t>
      </w:r>
    </w:p>
    <w:p>
      <w:pPr>
        <w:pStyle w:val="8"/>
        <w:spacing w:line="420" w:lineRule="atLeast"/>
        <w:rPr>
          <w:rFonts w:hAnsi="宋体"/>
          <w:highlight w:val="none"/>
        </w:rPr>
      </w:pPr>
      <w:r>
        <w:rPr>
          <w:rFonts w:hint="eastAsia" w:hAnsi="宋体"/>
          <w:highlight w:val="none"/>
        </w:rPr>
        <w:t>4.1谈判采购文件包括：</w:t>
      </w:r>
    </w:p>
    <w:p>
      <w:pPr>
        <w:pStyle w:val="8"/>
        <w:spacing w:line="420" w:lineRule="atLeast"/>
        <w:ind w:firstLine="420" w:firstLineChars="200"/>
        <w:rPr>
          <w:rFonts w:hAnsi="宋体"/>
          <w:szCs w:val="21"/>
          <w:highlight w:val="none"/>
        </w:rPr>
      </w:pPr>
      <w:r>
        <w:rPr>
          <w:rFonts w:hint="eastAsia" w:hAnsi="宋体"/>
          <w:szCs w:val="21"/>
          <w:highlight w:val="none"/>
        </w:rPr>
        <w:t>⑴竞争性谈判公告；</w:t>
      </w:r>
    </w:p>
    <w:p>
      <w:pPr>
        <w:pStyle w:val="8"/>
        <w:spacing w:line="420" w:lineRule="atLeast"/>
        <w:ind w:firstLine="420" w:firstLineChars="200"/>
        <w:rPr>
          <w:rFonts w:hAnsi="宋体"/>
          <w:szCs w:val="21"/>
          <w:highlight w:val="none"/>
        </w:rPr>
      </w:pPr>
      <w:r>
        <w:rPr>
          <w:rFonts w:hint="eastAsia" w:hAnsi="宋体"/>
          <w:szCs w:val="21"/>
          <w:highlight w:val="none"/>
        </w:rPr>
        <w:t>⑵谈判须知及前附表；</w:t>
      </w:r>
    </w:p>
    <w:p>
      <w:pPr>
        <w:pStyle w:val="8"/>
        <w:spacing w:line="420" w:lineRule="atLeast"/>
        <w:ind w:firstLine="420" w:firstLineChars="200"/>
        <w:rPr>
          <w:rFonts w:hAnsi="宋体"/>
          <w:szCs w:val="21"/>
          <w:highlight w:val="none"/>
        </w:rPr>
      </w:pPr>
      <w:r>
        <w:rPr>
          <w:rFonts w:hint="eastAsia" w:hAnsi="宋体"/>
          <w:szCs w:val="21"/>
          <w:highlight w:val="none"/>
        </w:rPr>
        <w:t>⑶项目需求；</w:t>
      </w:r>
    </w:p>
    <w:p>
      <w:pPr>
        <w:pStyle w:val="8"/>
        <w:spacing w:line="420" w:lineRule="atLeast"/>
        <w:ind w:firstLine="420" w:firstLineChars="200"/>
        <w:rPr>
          <w:rFonts w:hAnsi="宋体"/>
          <w:szCs w:val="21"/>
          <w:highlight w:val="none"/>
        </w:rPr>
      </w:pPr>
      <w:r>
        <w:rPr>
          <w:rFonts w:hint="eastAsia" w:hAnsi="宋体"/>
          <w:szCs w:val="21"/>
          <w:highlight w:val="none"/>
        </w:rPr>
        <w:t>⑷采购合同书（格式）；</w:t>
      </w:r>
    </w:p>
    <w:p>
      <w:pPr>
        <w:pStyle w:val="8"/>
        <w:spacing w:line="420" w:lineRule="atLeast"/>
        <w:ind w:firstLine="420" w:firstLineChars="200"/>
        <w:rPr>
          <w:rFonts w:hAnsi="宋体"/>
          <w:szCs w:val="21"/>
          <w:highlight w:val="none"/>
        </w:rPr>
      </w:pPr>
      <w:r>
        <w:rPr>
          <w:rFonts w:hint="eastAsia" w:hAnsi="宋体"/>
          <w:szCs w:val="21"/>
          <w:highlight w:val="none"/>
        </w:rPr>
        <w:t>⑸竞争性谈判响应文件（格式）；</w:t>
      </w:r>
    </w:p>
    <w:p>
      <w:pPr>
        <w:pStyle w:val="8"/>
        <w:spacing w:line="420" w:lineRule="atLeast"/>
        <w:ind w:firstLine="420" w:firstLineChars="200"/>
        <w:rPr>
          <w:rFonts w:hAnsi="宋体"/>
          <w:szCs w:val="21"/>
          <w:highlight w:val="none"/>
        </w:rPr>
      </w:pPr>
      <w:r>
        <w:rPr>
          <w:rFonts w:hint="eastAsia" w:hAnsi="宋体"/>
          <w:szCs w:val="21"/>
          <w:highlight w:val="none"/>
        </w:rPr>
        <w:t>⑹成交评审方法。</w:t>
      </w:r>
    </w:p>
    <w:p>
      <w:pPr>
        <w:pStyle w:val="8"/>
        <w:spacing w:line="420" w:lineRule="atLeast"/>
        <w:ind w:left="359" w:hanging="359" w:hangingChars="171"/>
        <w:rPr>
          <w:rFonts w:hAnsi="宋体"/>
          <w:highlight w:val="none"/>
        </w:rPr>
      </w:pPr>
      <w:r>
        <w:rPr>
          <w:rFonts w:hint="eastAsia"/>
          <w:highlight w:val="none"/>
        </w:rPr>
        <w:t>4.2供应商应认真阅读谈判采购文件中所有的事项、格式、条款和规范等要求，从而对谈判采购文件做出实质性的响应。如果没有按照谈判采购文件要求提交全部竞争性谈判文件或者资料，没有对谈判采购文件做出实质性响应，其风险应当由谈判供应商自行承担。根据有关规定，该竞标有可能被拒绝。</w:t>
      </w:r>
    </w:p>
    <w:p>
      <w:pPr>
        <w:spacing w:line="420" w:lineRule="atLeast"/>
        <w:rPr>
          <w:rFonts w:ascii="宋体" w:hAnsi="宋体"/>
          <w:b/>
          <w:highlight w:val="none"/>
        </w:rPr>
      </w:pPr>
      <w:r>
        <w:rPr>
          <w:rFonts w:hint="eastAsia" w:ascii="宋体" w:hAnsi="宋体"/>
          <w:b/>
          <w:highlight w:val="none"/>
        </w:rPr>
        <w:t>5．谈判采购文件的澄清、质疑、投诉</w:t>
      </w:r>
    </w:p>
    <w:p>
      <w:pPr>
        <w:pStyle w:val="8"/>
        <w:spacing w:line="420" w:lineRule="atLeast"/>
        <w:ind w:left="359" w:hanging="359" w:hangingChars="171"/>
        <w:rPr>
          <w:highlight w:val="none"/>
        </w:rPr>
      </w:pPr>
      <w:r>
        <w:rPr>
          <w:rFonts w:hint="eastAsia" w:hAnsi="宋体"/>
          <w:highlight w:val="none"/>
        </w:rPr>
        <w:t>5.1</w:t>
      </w:r>
      <w:r>
        <w:rPr>
          <w:rFonts w:hint="eastAsia"/>
          <w:highlight w:val="none"/>
        </w:rPr>
        <w:t>任何要求对谈判文件进行澄清的响应供应商，均应以书面形式在谈判文件规定的谈判响应文件递交截止日期前通知采购代理机构,</w:t>
      </w:r>
      <w:r>
        <w:rPr>
          <w:rFonts w:hint="eastAsia"/>
          <w:szCs w:val="21"/>
          <w:highlight w:val="none"/>
        </w:rPr>
        <w:t xml:space="preserve"> 对同一采购程序环节提出一次性的问题，</w:t>
      </w:r>
      <w:r>
        <w:rPr>
          <w:rFonts w:hint="eastAsia"/>
          <w:highlight w:val="none"/>
        </w:rPr>
        <w:t>在规定时间以后提出的澄清要求将不予受理。采购代理机构将组织采购人对响应供应商所要求澄清的内容进行答复，必要时，采购代理机构将组织相关专家召开答疑会。澄清答复以网上公告的形式发布，供应商</w:t>
      </w:r>
      <w:r>
        <w:rPr>
          <w:highlight w:val="none"/>
        </w:rPr>
        <w:t>未及时关注</w:t>
      </w:r>
      <w:r>
        <w:rPr>
          <w:rFonts w:hint="eastAsia"/>
          <w:highlight w:val="none"/>
        </w:rPr>
        <w:t>采购人</w:t>
      </w:r>
      <w:r>
        <w:rPr>
          <w:highlight w:val="none"/>
        </w:rPr>
        <w:t>在网站上发布的澄清</w:t>
      </w:r>
      <w:r>
        <w:rPr>
          <w:rFonts w:hint="eastAsia"/>
          <w:highlight w:val="none"/>
        </w:rPr>
        <w:t>答复</w:t>
      </w:r>
      <w:r>
        <w:rPr>
          <w:highlight w:val="none"/>
        </w:rPr>
        <w:t>造成的损失，由</w:t>
      </w:r>
      <w:r>
        <w:rPr>
          <w:rFonts w:hint="eastAsia"/>
          <w:highlight w:val="none"/>
        </w:rPr>
        <w:t>供应商</w:t>
      </w:r>
      <w:r>
        <w:rPr>
          <w:highlight w:val="none"/>
        </w:rPr>
        <w:t>自行负责</w:t>
      </w:r>
      <w:r>
        <w:rPr>
          <w:rFonts w:hint="eastAsia"/>
          <w:highlight w:val="none"/>
        </w:rPr>
        <w:t>（答复中不包括问题的来源）。</w:t>
      </w:r>
    </w:p>
    <w:p>
      <w:pPr>
        <w:pStyle w:val="8"/>
        <w:spacing w:line="420" w:lineRule="atLeast"/>
        <w:ind w:left="359" w:hanging="359" w:hangingChars="171"/>
        <w:rPr>
          <w:highlight w:val="none"/>
        </w:rPr>
      </w:pPr>
      <w:r>
        <w:rPr>
          <w:rFonts w:hint="eastAsia"/>
          <w:highlight w:val="none"/>
        </w:rPr>
        <w:t>5.2响应供应商在规定的时间内未要求对谈判文件澄清或提出疑问的，采购代理机构将视其为无异议。对谈判文件中描述有歧意或前后不一致的地方，谈判小组有权进行评判，但对同一条款的评判应适用于每个响应供应商。</w:t>
      </w:r>
    </w:p>
    <w:p>
      <w:pPr>
        <w:pStyle w:val="8"/>
        <w:spacing w:line="420" w:lineRule="atLeast"/>
        <w:ind w:left="359" w:hanging="359" w:hangingChars="171"/>
        <w:rPr>
          <w:highlight w:val="none"/>
        </w:rPr>
      </w:pPr>
      <w:r>
        <w:rPr>
          <w:rFonts w:hint="eastAsia"/>
          <w:highlight w:val="none"/>
        </w:rPr>
        <w:t>5.3供应商认为谈判文件、谈判过程或谈判结果使自己的合法权益受到损害的，应当在知道或者应知其权益受到损害之日起七个工作日内，以书面形式向采购人、采购代理机构提出质疑，但要求供应商在法定质疑期内一次性提出针对同一采购程序环节的质疑。供应商对采购单位的质疑答复不满意或者采购单位未在规定时间内作出答复的，可以在答复期满后十五个工作日内向同级采购监管部门投诉。</w:t>
      </w:r>
    </w:p>
    <w:p>
      <w:pPr>
        <w:pStyle w:val="8"/>
        <w:spacing w:line="420" w:lineRule="atLeast"/>
        <w:ind w:left="359" w:hanging="359" w:hangingChars="171"/>
        <w:rPr>
          <w:highlight w:val="none"/>
        </w:rPr>
      </w:pPr>
      <w:r>
        <w:rPr>
          <w:rFonts w:hint="eastAsia"/>
          <w:highlight w:val="none"/>
        </w:rPr>
        <w:t>5.4质疑、投诉应当采用书面形式，质疑书、投诉书均应明确阐述竞争性谈判文件、谈判过程或成交结果中使自己合法权益受到损害的实质性内容，提供相关事实、依据和证据及其来源或线索，便于有关单位调查、答复和处理。</w:t>
      </w:r>
    </w:p>
    <w:p>
      <w:pPr>
        <w:spacing w:line="420" w:lineRule="atLeast"/>
        <w:rPr>
          <w:rFonts w:ascii="宋体" w:hAnsi="宋体"/>
          <w:b/>
          <w:highlight w:val="none"/>
        </w:rPr>
      </w:pPr>
      <w:r>
        <w:rPr>
          <w:rFonts w:hint="eastAsia" w:ascii="宋体" w:hAnsi="宋体"/>
          <w:b/>
          <w:highlight w:val="none"/>
        </w:rPr>
        <w:t>6．谈判采购文件的修改</w:t>
      </w:r>
    </w:p>
    <w:p>
      <w:pPr>
        <w:pStyle w:val="8"/>
        <w:spacing w:line="420" w:lineRule="atLeast"/>
        <w:ind w:left="359" w:hanging="359" w:hangingChars="171"/>
        <w:rPr>
          <w:rFonts w:hAnsi="宋体"/>
          <w:highlight w:val="none"/>
        </w:rPr>
      </w:pPr>
      <w:r>
        <w:rPr>
          <w:rFonts w:hint="eastAsia" w:hAnsi="宋体"/>
          <w:highlight w:val="none"/>
        </w:rPr>
        <w:t>6.1提交首次响应文件截止之日前，采购人、采购代理机构或者谈判小组可以对已发出的谈判文件进行必要的澄清或者修改，澄清或者修改的内容作为谈判文件的组成部分。澄清或者修改的内容可能影响响应文件编制的，采购人、采购代理机构或者谈判小组应当在提交首次响应文件截止之日3个工作日前，以公告形式通知所有接收谈判文件的供应商，不足3个工作日的，应当顺延提交首次响应文件截止之日。澄清修改将在</w:t>
      </w:r>
      <w:r>
        <w:rPr>
          <w:rFonts w:hint="eastAsia"/>
          <w:kern w:val="0"/>
          <w:szCs w:val="21"/>
          <w:highlight w:val="none"/>
        </w:rPr>
        <w:t>谈判公告发布媒体上</w:t>
      </w:r>
      <w:r>
        <w:rPr>
          <w:rFonts w:hint="eastAsia"/>
          <w:szCs w:val="21"/>
          <w:highlight w:val="none"/>
        </w:rPr>
        <w:t>发布更正（或澄清）公告，</w:t>
      </w:r>
      <w:r>
        <w:rPr>
          <w:highlight w:val="none"/>
        </w:rPr>
        <w:t>发布之日起视为</w:t>
      </w:r>
      <w:r>
        <w:rPr>
          <w:rFonts w:hint="eastAsia"/>
          <w:highlight w:val="none"/>
        </w:rPr>
        <w:t>供应商</w:t>
      </w:r>
      <w:r>
        <w:rPr>
          <w:highlight w:val="none"/>
        </w:rPr>
        <w:t>已收到该澄清</w:t>
      </w:r>
      <w:r>
        <w:rPr>
          <w:rFonts w:hint="eastAsia"/>
          <w:highlight w:val="none"/>
        </w:rPr>
        <w:t>（更正/更改）</w:t>
      </w:r>
      <w:r>
        <w:rPr>
          <w:highlight w:val="none"/>
        </w:rPr>
        <w:t>。</w:t>
      </w:r>
      <w:r>
        <w:rPr>
          <w:rFonts w:hint="eastAsia"/>
          <w:highlight w:val="none"/>
        </w:rPr>
        <w:t>供应商</w:t>
      </w:r>
      <w:r>
        <w:rPr>
          <w:highlight w:val="none"/>
        </w:rPr>
        <w:t>未及时关注</w:t>
      </w:r>
      <w:r>
        <w:rPr>
          <w:rFonts w:hint="eastAsia"/>
          <w:highlight w:val="none"/>
        </w:rPr>
        <w:t>采购人</w:t>
      </w:r>
      <w:r>
        <w:rPr>
          <w:highlight w:val="none"/>
        </w:rPr>
        <w:t>在网站上发布的澄清</w:t>
      </w:r>
      <w:r>
        <w:rPr>
          <w:rFonts w:hint="eastAsia"/>
          <w:highlight w:val="none"/>
        </w:rPr>
        <w:t>或更正、更改</w:t>
      </w:r>
      <w:r>
        <w:rPr>
          <w:highlight w:val="none"/>
        </w:rPr>
        <w:t>文件造成的损失，由</w:t>
      </w:r>
      <w:r>
        <w:rPr>
          <w:rFonts w:hint="eastAsia"/>
          <w:highlight w:val="none"/>
        </w:rPr>
        <w:t>供应商</w:t>
      </w:r>
      <w:r>
        <w:rPr>
          <w:highlight w:val="none"/>
        </w:rPr>
        <w:t>自行负责。</w:t>
      </w:r>
    </w:p>
    <w:p>
      <w:pPr>
        <w:pStyle w:val="8"/>
        <w:spacing w:line="420" w:lineRule="atLeast"/>
        <w:ind w:firstLine="420"/>
        <w:rPr>
          <w:rFonts w:hAnsi="宋体"/>
          <w:highlight w:val="none"/>
        </w:rPr>
      </w:pPr>
    </w:p>
    <w:p>
      <w:pPr>
        <w:spacing w:line="440" w:lineRule="atLeast"/>
        <w:jc w:val="center"/>
        <w:rPr>
          <w:rFonts w:ascii="宋体" w:hAnsi="宋体"/>
          <w:b/>
          <w:highlight w:val="none"/>
        </w:rPr>
      </w:pPr>
      <w:r>
        <w:rPr>
          <w:rFonts w:hint="eastAsia" w:ascii="宋体" w:hAnsi="宋体"/>
          <w:b/>
          <w:highlight w:val="none"/>
        </w:rPr>
        <w:t>三  竞争性谈判响应文件的编制</w:t>
      </w:r>
    </w:p>
    <w:p>
      <w:pPr>
        <w:pStyle w:val="8"/>
        <w:spacing w:line="440" w:lineRule="atLeast"/>
        <w:rPr>
          <w:rFonts w:hAnsi="宋体"/>
          <w:b/>
          <w:highlight w:val="none"/>
        </w:rPr>
      </w:pPr>
      <w:r>
        <w:rPr>
          <w:rFonts w:hint="eastAsia" w:hAnsi="宋体"/>
          <w:b/>
          <w:highlight w:val="none"/>
        </w:rPr>
        <w:t>7.竞争性谈判响应文件编写注意事项</w:t>
      </w:r>
    </w:p>
    <w:p>
      <w:pPr>
        <w:pStyle w:val="8"/>
        <w:spacing w:line="440" w:lineRule="atLeast"/>
        <w:ind w:left="359" w:hanging="359" w:hangingChars="171"/>
        <w:rPr>
          <w:rFonts w:hAnsi="宋体"/>
          <w:highlight w:val="none"/>
        </w:rPr>
      </w:pPr>
      <w:r>
        <w:rPr>
          <w:rFonts w:hint="eastAsia" w:hAnsi="宋体"/>
          <w:highlight w:val="none"/>
        </w:rPr>
        <w:t>7.1供应商应仔细阅读谈判采购文件，了解谈判采购文件的要求。在完全了解采购的内容、要求（详见项目需求）和商务条件后，编写竞争性谈判响应文件。</w:t>
      </w:r>
    </w:p>
    <w:p>
      <w:pPr>
        <w:pStyle w:val="8"/>
        <w:spacing w:line="440" w:lineRule="atLeast"/>
        <w:rPr>
          <w:rFonts w:hAnsi="宋体"/>
          <w:highlight w:val="none"/>
        </w:rPr>
      </w:pPr>
      <w:r>
        <w:rPr>
          <w:rFonts w:hint="eastAsia" w:hAnsi="宋体"/>
          <w:b/>
          <w:highlight w:val="none"/>
        </w:rPr>
        <w:t>8.谈判的语言及计量单位</w:t>
      </w:r>
    </w:p>
    <w:p>
      <w:pPr>
        <w:pStyle w:val="8"/>
        <w:spacing w:line="440" w:lineRule="atLeast"/>
        <w:ind w:left="359" w:hanging="359" w:hangingChars="171"/>
        <w:rPr>
          <w:rFonts w:hAnsi="宋体"/>
          <w:highlight w:val="none"/>
        </w:rPr>
      </w:pPr>
      <w:r>
        <w:rPr>
          <w:rFonts w:hint="eastAsia" w:hAnsi="宋体"/>
          <w:highlight w:val="none"/>
        </w:rPr>
        <w:t>8.1谈判供应商的竞争性谈判响应文件以及谈判供应商与采购代理机构就有关竞标的所有来往函电统一使用中文（特别规定除外）。</w:t>
      </w:r>
    </w:p>
    <w:p>
      <w:pPr>
        <w:pStyle w:val="8"/>
        <w:spacing w:line="440" w:lineRule="atLeast"/>
        <w:rPr>
          <w:rFonts w:hAnsi="宋体"/>
          <w:highlight w:val="none"/>
        </w:rPr>
      </w:pPr>
      <w:r>
        <w:rPr>
          <w:rFonts w:hint="eastAsia" w:hAnsi="宋体"/>
          <w:highlight w:val="none"/>
        </w:rPr>
        <w:t>8.2竞争性谈判响应文件中使用的计量单位除谈判采购文件中有特殊规定外，一律使用法定计量单位。</w:t>
      </w:r>
    </w:p>
    <w:p>
      <w:pPr>
        <w:pStyle w:val="8"/>
        <w:spacing w:line="440" w:lineRule="atLeast"/>
        <w:rPr>
          <w:rFonts w:hAnsi="宋体"/>
          <w:highlight w:val="none"/>
        </w:rPr>
      </w:pPr>
      <w:r>
        <w:rPr>
          <w:rFonts w:hint="eastAsia" w:hAnsi="宋体"/>
          <w:b/>
          <w:highlight w:val="none"/>
        </w:rPr>
        <w:t>9.竞争性谈判响应文件构成</w:t>
      </w:r>
    </w:p>
    <w:p>
      <w:pPr>
        <w:pStyle w:val="8"/>
        <w:spacing w:line="440" w:lineRule="atLeast"/>
        <w:ind w:left="359" w:hanging="359" w:hangingChars="171"/>
        <w:rPr>
          <w:rFonts w:hAnsi="宋体"/>
          <w:highlight w:val="none"/>
        </w:rPr>
      </w:pPr>
      <w:r>
        <w:rPr>
          <w:rFonts w:hint="eastAsia" w:hAnsi="宋体"/>
          <w:highlight w:val="none"/>
        </w:rPr>
        <w:t>9.1谈判供应商编写的竞争性谈判响应文件应包括下列内容（谈判供应商必须按下列顺序自编目录及页码分别装订成册，否则，因文件失散而导致文件无效的后果由谈判供应商自负）：</w:t>
      </w:r>
    </w:p>
    <w:p>
      <w:pPr>
        <w:pStyle w:val="8"/>
        <w:spacing w:line="440" w:lineRule="atLeast"/>
        <w:ind w:firstLine="420"/>
        <w:rPr>
          <w:rFonts w:hAnsi="宋体"/>
          <w:highlight w:val="none"/>
        </w:rPr>
      </w:pPr>
      <w:r>
        <w:rPr>
          <w:rFonts w:hint="eastAsia" w:hAnsi="宋体"/>
          <w:highlight w:val="none"/>
        </w:rPr>
        <w:t>1) 谈判书（按谈判采购文件第五章的“谈判书格式”要求填写) （</w:t>
      </w:r>
      <w:r>
        <w:rPr>
          <w:rFonts w:hint="eastAsia" w:hAnsi="宋体"/>
          <w:b/>
          <w:highlight w:val="none"/>
        </w:rPr>
        <w:t>必须提供</w:t>
      </w:r>
      <w:r>
        <w:rPr>
          <w:rFonts w:hint="eastAsia" w:hAnsi="宋体"/>
          <w:highlight w:val="none"/>
        </w:rPr>
        <w:t>）；</w:t>
      </w:r>
    </w:p>
    <w:p>
      <w:pPr>
        <w:pStyle w:val="8"/>
        <w:spacing w:line="440" w:lineRule="atLeast"/>
        <w:ind w:firstLine="420"/>
        <w:rPr>
          <w:rFonts w:hAnsi="宋体"/>
          <w:highlight w:val="none"/>
        </w:rPr>
      </w:pPr>
      <w:r>
        <w:rPr>
          <w:rFonts w:hint="eastAsia" w:hAnsi="宋体"/>
          <w:highlight w:val="none"/>
        </w:rPr>
        <w:t>2) 谈判报价表（按谈判采购文件第五章的“谈判报价表格式”要求填写) （</w:t>
      </w:r>
      <w:r>
        <w:rPr>
          <w:rFonts w:hint="eastAsia" w:hAnsi="宋体"/>
          <w:b/>
          <w:highlight w:val="none"/>
        </w:rPr>
        <w:t>必须提供</w:t>
      </w:r>
      <w:r>
        <w:rPr>
          <w:rFonts w:hint="eastAsia" w:hAnsi="宋体"/>
          <w:highlight w:val="none"/>
        </w:rPr>
        <w:t>）；</w:t>
      </w:r>
    </w:p>
    <w:p>
      <w:pPr>
        <w:pStyle w:val="8"/>
        <w:spacing w:line="440" w:lineRule="atLeast"/>
        <w:ind w:firstLine="420"/>
        <w:rPr>
          <w:rFonts w:hAnsi="宋体"/>
          <w:highlight w:val="none"/>
        </w:rPr>
      </w:pPr>
      <w:r>
        <w:rPr>
          <w:rFonts w:hint="eastAsia" w:hAnsi="宋体"/>
          <w:highlight w:val="none"/>
        </w:rPr>
        <w:t>3）谈判保证金声明（附转账底单加盖公章）或保证金</w:t>
      </w:r>
      <w:r>
        <w:rPr>
          <w:rFonts w:hint="eastAsia" w:cs="Courier New"/>
          <w:szCs w:val="21"/>
          <w:highlight w:val="none"/>
        </w:rPr>
        <w:t>支票/汇票/本票/保函复印件</w:t>
      </w:r>
      <w:r>
        <w:rPr>
          <w:rFonts w:hint="eastAsia" w:hAnsi="宋体"/>
          <w:highlight w:val="none"/>
        </w:rPr>
        <w:t>（</w:t>
      </w:r>
      <w:r>
        <w:rPr>
          <w:rFonts w:hint="eastAsia" w:hAnsi="宋体"/>
          <w:b/>
          <w:highlight w:val="none"/>
        </w:rPr>
        <w:t>必须提供</w:t>
      </w:r>
      <w:r>
        <w:rPr>
          <w:rFonts w:hint="eastAsia" w:hAnsi="宋体"/>
          <w:highlight w:val="none"/>
        </w:rPr>
        <w:t>）；</w:t>
      </w:r>
    </w:p>
    <w:p>
      <w:pPr>
        <w:pStyle w:val="8"/>
        <w:spacing w:line="440" w:lineRule="atLeast"/>
        <w:ind w:firstLine="420"/>
        <w:rPr>
          <w:rFonts w:hAnsi="宋体"/>
          <w:highlight w:val="none"/>
        </w:rPr>
      </w:pPr>
      <w:r>
        <w:rPr>
          <w:rFonts w:hint="eastAsia" w:hAnsi="宋体"/>
          <w:highlight w:val="none"/>
        </w:rPr>
        <w:t>4）法定代表人（负责人）身份证明书原件及身份证（必须提供，身份证如为第二代身份证，必须提供正反两面）；</w:t>
      </w:r>
    </w:p>
    <w:p>
      <w:pPr>
        <w:pStyle w:val="8"/>
        <w:spacing w:line="440" w:lineRule="atLeast"/>
        <w:ind w:firstLine="420"/>
        <w:rPr>
          <w:rFonts w:hAnsi="宋体"/>
          <w:highlight w:val="none"/>
        </w:rPr>
      </w:pPr>
      <w:r>
        <w:rPr>
          <w:rFonts w:hint="eastAsia" w:hAnsi="宋体"/>
          <w:highlight w:val="none"/>
        </w:rPr>
        <w:t>5）授权委托书原件和委托代理人身份证（委托代理时必须提供，身份证如为第二代身份证，必须提供正反两面）；</w:t>
      </w:r>
    </w:p>
    <w:p>
      <w:pPr>
        <w:pStyle w:val="8"/>
        <w:spacing w:line="440" w:lineRule="atLeast"/>
        <w:ind w:firstLine="420"/>
        <w:rPr>
          <w:rFonts w:hAnsi="宋体"/>
          <w:highlight w:val="none"/>
        </w:rPr>
      </w:pPr>
      <w:r>
        <w:rPr>
          <w:rFonts w:hint="eastAsia" w:hAnsi="宋体"/>
          <w:highlight w:val="none"/>
        </w:rPr>
        <w:t>6）谈判供应商资格证明文件（按本须知第10条要求提供）；</w:t>
      </w:r>
    </w:p>
    <w:p>
      <w:pPr>
        <w:pStyle w:val="8"/>
        <w:spacing w:line="440" w:lineRule="atLeast"/>
        <w:ind w:firstLine="420"/>
        <w:rPr>
          <w:rFonts w:hAnsi="宋体"/>
          <w:highlight w:val="none"/>
        </w:rPr>
      </w:pPr>
      <w:r>
        <w:rPr>
          <w:rFonts w:hint="eastAsia" w:hAnsi="宋体"/>
          <w:highlight w:val="none"/>
        </w:rPr>
        <w:t>7）技术规格偏离表（按谈判采购文件第五章的“技术规格偏离表格式”要求填写）（</w:t>
      </w:r>
      <w:r>
        <w:rPr>
          <w:rFonts w:hint="eastAsia" w:hAnsi="宋体"/>
          <w:b/>
          <w:highlight w:val="none"/>
        </w:rPr>
        <w:t>必须提供</w:t>
      </w:r>
      <w:r>
        <w:rPr>
          <w:rFonts w:hint="eastAsia" w:hAnsi="宋体"/>
          <w:highlight w:val="none"/>
        </w:rPr>
        <w:t xml:space="preserve">）； </w:t>
      </w:r>
    </w:p>
    <w:p>
      <w:pPr>
        <w:pStyle w:val="8"/>
        <w:spacing w:line="440" w:lineRule="atLeast"/>
        <w:ind w:firstLine="420"/>
        <w:rPr>
          <w:rFonts w:hAnsi="宋体"/>
          <w:highlight w:val="none"/>
        </w:rPr>
      </w:pPr>
      <w:r>
        <w:rPr>
          <w:rFonts w:hint="eastAsia" w:hAnsi="宋体"/>
          <w:highlight w:val="none"/>
        </w:rPr>
        <w:t>8）商务条款偏离表（按谈判采购文件第五章的“商务条款偏离表”要求填写）（</w:t>
      </w:r>
      <w:r>
        <w:rPr>
          <w:rFonts w:hint="eastAsia" w:hAnsi="宋体"/>
          <w:b/>
          <w:highlight w:val="none"/>
        </w:rPr>
        <w:t>必须提供</w:t>
      </w:r>
      <w:r>
        <w:rPr>
          <w:rFonts w:hint="eastAsia" w:hAnsi="宋体"/>
          <w:highlight w:val="none"/>
        </w:rPr>
        <w:t>）；</w:t>
      </w:r>
    </w:p>
    <w:p>
      <w:pPr>
        <w:pStyle w:val="8"/>
        <w:spacing w:line="440" w:lineRule="atLeast"/>
        <w:ind w:firstLine="420"/>
        <w:rPr>
          <w:rFonts w:hAnsi="宋体"/>
          <w:highlight w:val="none"/>
        </w:rPr>
      </w:pPr>
      <w:r>
        <w:rPr>
          <w:rFonts w:hint="eastAsia" w:hAnsi="宋体"/>
          <w:highlight w:val="none"/>
        </w:rPr>
        <w:t>9）售后服务承诺书（</w:t>
      </w:r>
      <w:r>
        <w:rPr>
          <w:rFonts w:hint="eastAsia" w:hAnsi="宋体"/>
          <w:b/>
          <w:highlight w:val="none"/>
        </w:rPr>
        <w:t>必须提供</w:t>
      </w:r>
      <w:r>
        <w:rPr>
          <w:rFonts w:hint="eastAsia" w:hAnsi="宋体"/>
          <w:highlight w:val="none"/>
        </w:rPr>
        <w:t>）；</w:t>
      </w:r>
    </w:p>
    <w:p>
      <w:pPr>
        <w:pStyle w:val="8"/>
        <w:spacing w:line="440" w:lineRule="atLeast"/>
        <w:ind w:firstLine="420"/>
        <w:rPr>
          <w:rFonts w:hAnsi="宋体"/>
          <w:highlight w:val="none"/>
        </w:rPr>
      </w:pPr>
      <w:r>
        <w:rPr>
          <w:rFonts w:hint="eastAsia" w:hAnsi="宋体"/>
          <w:highlight w:val="none"/>
        </w:rPr>
        <w:t>10）具有售后服务保障能力；（如有，请提供）</w:t>
      </w:r>
    </w:p>
    <w:p>
      <w:pPr>
        <w:pStyle w:val="8"/>
        <w:spacing w:line="440" w:lineRule="atLeast"/>
        <w:ind w:firstLine="420"/>
        <w:rPr>
          <w:rFonts w:hAnsi="宋体"/>
          <w:highlight w:val="none"/>
        </w:rPr>
      </w:pPr>
      <w:r>
        <w:rPr>
          <w:rFonts w:hint="eastAsia" w:hAnsi="宋体"/>
          <w:highlight w:val="none"/>
        </w:rPr>
        <w:t>11）供应商认为有必要提交的其他资料。</w:t>
      </w:r>
    </w:p>
    <w:p>
      <w:pPr>
        <w:spacing w:line="440" w:lineRule="exact"/>
        <w:rPr>
          <w:rFonts w:ascii="宋体" w:hAnsi="宋体"/>
          <w:b/>
          <w:bCs/>
          <w:highlight w:val="none"/>
        </w:rPr>
      </w:pPr>
      <w:r>
        <w:rPr>
          <w:rFonts w:hint="eastAsia" w:ascii="宋体" w:hAnsi="宋体"/>
          <w:b/>
          <w:bCs/>
          <w:highlight w:val="none"/>
        </w:rPr>
        <w:t>10．谈判供应商资格证明文件</w:t>
      </w:r>
    </w:p>
    <w:p>
      <w:pPr>
        <w:pStyle w:val="8"/>
        <w:spacing w:line="440" w:lineRule="exact"/>
        <w:rPr>
          <w:rFonts w:hAnsi="宋体"/>
          <w:highlight w:val="none"/>
        </w:rPr>
      </w:pPr>
      <w:r>
        <w:rPr>
          <w:rFonts w:hint="eastAsia" w:hAnsi="宋体"/>
          <w:highlight w:val="none"/>
        </w:rPr>
        <w:t>10.1谈判供应商应提交证明谈判供应商合格性和具备谈判资格的文件及资料（</w:t>
      </w:r>
      <w:r>
        <w:rPr>
          <w:rFonts w:hint="eastAsia" w:hAnsi="宋体"/>
          <w:b/>
          <w:highlight w:val="none"/>
        </w:rPr>
        <w:t>其中，注明“必须提供”的资料，谈判供应商必须按要求提供，否则其竞标无效</w:t>
      </w:r>
      <w:r>
        <w:rPr>
          <w:rFonts w:hint="eastAsia" w:hAnsi="宋体"/>
          <w:highlight w:val="none"/>
        </w:rPr>
        <w:t>）：</w:t>
      </w:r>
    </w:p>
    <w:p>
      <w:pPr>
        <w:pStyle w:val="8"/>
        <w:numPr>
          <w:ilvl w:val="0"/>
          <w:numId w:val="2"/>
        </w:numPr>
        <w:spacing w:line="440" w:lineRule="exact"/>
        <w:rPr>
          <w:rFonts w:hAnsi="宋体"/>
          <w:highlight w:val="none"/>
        </w:rPr>
      </w:pPr>
      <w:r>
        <w:rPr>
          <w:rFonts w:hint="eastAsia" w:hAnsi="宋体"/>
          <w:bCs/>
          <w:highlight w:val="none"/>
        </w:rPr>
        <w:t>谈判供应商有效的“营业执照”副本内页</w:t>
      </w:r>
      <w:r>
        <w:rPr>
          <w:rFonts w:hint="eastAsia" w:hAnsi="宋体"/>
          <w:highlight w:val="none"/>
        </w:rPr>
        <w:t>（</w:t>
      </w:r>
      <w:r>
        <w:rPr>
          <w:rFonts w:hint="eastAsia" w:hAnsi="宋体"/>
          <w:b/>
          <w:bCs/>
          <w:highlight w:val="none"/>
        </w:rPr>
        <w:t>必须提供，</w:t>
      </w:r>
      <w:r>
        <w:rPr>
          <w:rFonts w:hint="eastAsia" w:hAnsi="宋体"/>
          <w:highlight w:val="none"/>
        </w:rPr>
        <w:t>须清晰反映证件有效期和经营范围，同时要加盖单位公章）；</w:t>
      </w:r>
    </w:p>
    <w:p>
      <w:pPr>
        <w:pStyle w:val="8"/>
        <w:numPr>
          <w:ilvl w:val="0"/>
          <w:numId w:val="2"/>
        </w:numPr>
        <w:spacing w:line="440" w:lineRule="exact"/>
        <w:rPr>
          <w:rFonts w:hAnsi="宋体"/>
          <w:highlight w:val="none"/>
        </w:rPr>
      </w:pPr>
      <w:r>
        <w:rPr>
          <w:rFonts w:hint="eastAsia" w:hAnsi="宋体"/>
          <w:highlight w:val="none"/>
        </w:rPr>
        <w:t>有效的《中华人民共和国出版物发行许可证》或《中华人民共和国出版物经营许可证》（</w:t>
      </w:r>
      <w:r>
        <w:rPr>
          <w:rFonts w:hint="eastAsia" w:hAnsi="宋体"/>
          <w:b/>
          <w:bCs/>
          <w:highlight w:val="none"/>
        </w:rPr>
        <w:t>必须提供</w:t>
      </w:r>
      <w:r>
        <w:rPr>
          <w:rFonts w:hint="eastAsia" w:hAnsi="宋体"/>
          <w:highlight w:val="none"/>
        </w:rPr>
        <w:t>）；</w:t>
      </w:r>
    </w:p>
    <w:p>
      <w:pPr>
        <w:pStyle w:val="8"/>
        <w:numPr>
          <w:ilvl w:val="0"/>
          <w:numId w:val="2"/>
        </w:numPr>
        <w:spacing w:line="440" w:lineRule="exact"/>
        <w:rPr>
          <w:rFonts w:hAnsi="宋体"/>
          <w:highlight w:val="none"/>
        </w:rPr>
      </w:pPr>
      <w:r>
        <w:rPr>
          <w:rFonts w:hint="eastAsia" w:hAnsi="宋体"/>
          <w:highlight w:val="none"/>
        </w:rPr>
        <w:t>供应商直接控股、管理关系信息表、供应商关系关联承诺书（按谈判采购文件第五章格式要求填写）（</w:t>
      </w:r>
      <w:r>
        <w:rPr>
          <w:rFonts w:hint="eastAsia" w:hAnsi="宋体"/>
          <w:b/>
          <w:bCs/>
          <w:highlight w:val="none"/>
        </w:rPr>
        <w:t>必须提供</w:t>
      </w:r>
      <w:r>
        <w:rPr>
          <w:rFonts w:hint="eastAsia" w:hAnsi="宋体"/>
          <w:highlight w:val="none"/>
        </w:rPr>
        <w:t>）</w:t>
      </w:r>
    </w:p>
    <w:p>
      <w:pPr>
        <w:pStyle w:val="8"/>
        <w:spacing w:line="440" w:lineRule="exact"/>
        <w:rPr>
          <w:rFonts w:hAnsi="宋体"/>
          <w:bCs/>
          <w:highlight w:val="none"/>
        </w:rPr>
      </w:pPr>
      <w:r>
        <w:rPr>
          <w:rFonts w:hint="eastAsia" w:hAnsi="宋体"/>
          <w:bCs/>
          <w:highlight w:val="none"/>
        </w:rPr>
        <w:t>（4）《中华人民共和国政府采购法》第二十二条的规定要求提供的证明，如：</w:t>
      </w:r>
    </w:p>
    <w:p>
      <w:pPr>
        <w:pStyle w:val="8"/>
        <w:spacing w:line="440" w:lineRule="exact"/>
        <w:rPr>
          <w:rFonts w:hAnsi="宋体"/>
          <w:b/>
          <w:bCs/>
          <w:highlight w:val="none"/>
        </w:rPr>
      </w:pPr>
      <w:r>
        <w:rPr>
          <w:rFonts w:hint="eastAsia" w:hAnsi="宋体"/>
          <w:bCs/>
          <w:highlight w:val="none"/>
        </w:rPr>
        <w:t>①供应商（谈判截止时间</w:t>
      </w:r>
      <w:r>
        <w:rPr>
          <w:rFonts w:hint="eastAsia"/>
          <w:bCs/>
          <w:szCs w:val="21"/>
          <w:highlight w:val="none"/>
        </w:rPr>
        <w:t>前半年内任意一个月</w:t>
      </w:r>
      <w:r>
        <w:rPr>
          <w:rFonts w:hint="eastAsia" w:hAnsi="宋体"/>
          <w:bCs/>
          <w:highlight w:val="none"/>
        </w:rPr>
        <w:t>）的依法缴纳社会保险凭证，（</w:t>
      </w:r>
      <w:r>
        <w:rPr>
          <w:rFonts w:hint="eastAsia" w:hAnsi="宋体"/>
          <w:b/>
          <w:bCs/>
          <w:highlight w:val="none"/>
        </w:rPr>
        <w:t>必须提供，</w:t>
      </w:r>
      <w:r>
        <w:rPr>
          <w:rFonts w:hint="eastAsia" w:hAnsi="宋体"/>
          <w:bCs/>
          <w:highlight w:val="none"/>
        </w:rPr>
        <w:t>如社保主管部门开具的证明、收款收据等，如为非社保主管部门开具的凭证或回单的，应清晰反映：缴款单位名称、社保单位名称、保险名称等内容）。无缴费记录的，应提供供应商所在地社保主管部门出具的《依法缴纳或依法免缴社保费证明(若为新成立的公司请供应商位出具相关证明文件）（格式自拟）；</w:t>
      </w:r>
    </w:p>
    <w:p>
      <w:pPr>
        <w:pStyle w:val="8"/>
        <w:spacing w:line="440" w:lineRule="exact"/>
        <w:rPr>
          <w:rFonts w:hAnsi="宋体"/>
          <w:b/>
          <w:bCs/>
          <w:highlight w:val="none"/>
        </w:rPr>
      </w:pPr>
      <w:r>
        <w:rPr>
          <w:rFonts w:hint="eastAsia" w:hAnsi="宋体"/>
          <w:bCs/>
          <w:highlight w:val="none"/>
        </w:rPr>
        <w:t>②供应商依法纳税或报税证明文件（谈判截止时间</w:t>
      </w:r>
      <w:r>
        <w:rPr>
          <w:rFonts w:hint="eastAsia"/>
          <w:bCs/>
          <w:szCs w:val="21"/>
          <w:highlight w:val="none"/>
        </w:rPr>
        <w:t>前半年内任意一个月</w:t>
      </w:r>
      <w:r>
        <w:rPr>
          <w:rFonts w:hint="eastAsia" w:hAnsi="宋体"/>
          <w:bCs/>
          <w:highlight w:val="none"/>
        </w:rPr>
        <w:t>），若为新成立的公司请供应商单位出具相关证明文件（</w:t>
      </w:r>
      <w:r>
        <w:rPr>
          <w:rFonts w:hint="eastAsia" w:hAnsi="宋体"/>
          <w:b/>
          <w:bCs/>
          <w:highlight w:val="none"/>
        </w:rPr>
        <w:t>必须提供</w:t>
      </w:r>
      <w:r>
        <w:rPr>
          <w:rFonts w:hint="eastAsia" w:hAnsi="宋体"/>
          <w:bCs/>
          <w:highlight w:val="none"/>
        </w:rPr>
        <w:t>）；</w:t>
      </w:r>
    </w:p>
    <w:p>
      <w:pPr>
        <w:pStyle w:val="8"/>
        <w:spacing w:line="440" w:lineRule="exact"/>
        <w:rPr>
          <w:rFonts w:hAnsi="宋体"/>
          <w:bCs/>
          <w:highlight w:val="none"/>
        </w:rPr>
      </w:pPr>
      <w:r>
        <w:rPr>
          <w:rFonts w:hint="eastAsia" w:hAnsi="宋体"/>
          <w:bCs/>
          <w:highlight w:val="none"/>
        </w:rPr>
        <w:t>③</w:t>
      </w:r>
      <w:r>
        <w:rPr>
          <w:rFonts w:hint="eastAsia"/>
          <w:szCs w:val="21"/>
          <w:highlight w:val="none"/>
        </w:rPr>
        <w:t>供应商依法提供</w:t>
      </w:r>
      <w:r>
        <w:rPr>
          <w:szCs w:val="21"/>
          <w:highlight w:val="none"/>
        </w:rPr>
        <w:t>经审计的</w:t>
      </w:r>
      <w:r>
        <w:rPr>
          <w:rFonts w:hint="eastAsia"/>
          <w:szCs w:val="21"/>
          <w:highlight w:val="none"/>
        </w:rPr>
        <w:t>2023年度</w:t>
      </w:r>
      <w:r>
        <w:rPr>
          <w:szCs w:val="21"/>
          <w:highlight w:val="none"/>
        </w:rPr>
        <w:t>财务报表【</w:t>
      </w:r>
      <w:r>
        <w:rPr>
          <w:rFonts w:hint="eastAsia" w:hAnsi="宋体" w:cs="宋体"/>
          <w:szCs w:val="21"/>
          <w:highlight w:val="none"/>
        </w:rPr>
        <w:t>①</w:t>
      </w:r>
      <w:r>
        <w:rPr>
          <w:szCs w:val="21"/>
          <w:highlight w:val="none"/>
        </w:rPr>
        <w:t>如无经会计师事务所审计的财务报表，则需提交本公司出具的财务报表和承诺书，承诺该财务报表数据真实可靠（格式自拟）；</w:t>
      </w:r>
      <w:r>
        <w:rPr>
          <w:rFonts w:hint="eastAsia" w:hAnsi="宋体" w:cs="宋体"/>
          <w:szCs w:val="21"/>
          <w:highlight w:val="none"/>
        </w:rPr>
        <w:t>②</w:t>
      </w:r>
      <w:r>
        <w:rPr>
          <w:rFonts w:hint="eastAsia"/>
          <w:szCs w:val="21"/>
          <w:highlight w:val="none"/>
        </w:rPr>
        <w:t>2024</w:t>
      </w:r>
      <w:r>
        <w:rPr>
          <w:szCs w:val="21"/>
          <w:highlight w:val="none"/>
        </w:rPr>
        <w:t>年</w:t>
      </w:r>
      <w:r>
        <w:rPr>
          <w:rFonts w:hint="eastAsia"/>
          <w:szCs w:val="21"/>
          <w:highlight w:val="none"/>
        </w:rPr>
        <w:t>以来</w:t>
      </w:r>
      <w:r>
        <w:rPr>
          <w:szCs w:val="21"/>
          <w:highlight w:val="none"/>
        </w:rPr>
        <w:t>新近成立的公司可根据其成立的时间提交财务报表和承诺书，承诺该财务报表数据真实可靠（格式自拟）】或银行出具的资信证明</w:t>
      </w:r>
      <w:r>
        <w:rPr>
          <w:rFonts w:hint="eastAsia"/>
          <w:szCs w:val="21"/>
          <w:highlight w:val="none"/>
        </w:rPr>
        <w:t>复印件</w:t>
      </w:r>
      <w:r>
        <w:rPr>
          <w:szCs w:val="21"/>
          <w:highlight w:val="none"/>
        </w:rPr>
        <w:t>（资信证明须</w:t>
      </w:r>
      <w:r>
        <w:rPr>
          <w:rFonts w:hint="eastAsia"/>
          <w:szCs w:val="21"/>
          <w:highlight w:val="none"/>
        </w:rPr>
        <w:t>反映有</w:t>
      </w:r>
      <w:r>
        <w:rPr>
          <w:szCs w:val="21"/>
          <w:highlight w:val="none"/>
        </w:rPr>
        <w:t>供应商开户行银行公章）</w:t>
      </w:r>
      <w:r>
        <w:rPr>
          <w:rFonts w:hint="eastAsia"/>
          <w:szCs w:val="21"/>
          <w:highlight w:val="none"/>
        </w:rPr>
        <w:t>（</w:t>
      </w:r>
      <w:r>
        <w:rPr>
          <w:rFonts w:hint="eastAsia"/>
          <w:b/>
          <w:szCs w:val="21"/>
          <w:highlight w:val="none"/>
        </w:rPr>
        <w:t>必须提供</w:t>
      </w:r>
      <w:r>
        <w:rPr>
          <w:rFonts w:hint="eastAsia"/>
          <w:szCs w:val="21"/>
          <w:highlight w:val="none"/>
        </w:rPr>
        <w:t>）</w:t>
      </w:r>
      <w:r>
        <w:rPr>
          <w:szCs w:val="21"/>
          <w:highlight w:val="none"/>
        </w:rPr>
        <w:t>；</w:t>
      </w:r>
    </w:p>
    <w:p>
      <w:pPr>
        <w:pStyle w:val="8"/>
        <w:spacing w:line="440" w:lineRule="exact"/>
        <w:rPr>
          <w:rFonts w:hAnsi="宋体"/>
          <w:bCs/>
          <w:highlight w:val="none"/>
        </w:rPr>
      </w:pPr>
      <w:r>
        <w:rPr>
          <w:rFonts w:hint="eastAsia" w:hAnsi="宋体"/>
          <w:bCs/>
          <w:highlight w:val="none"/>
        </w:rPr>
        <w:t>④参加政府采购活动前3年内在经营活动中没有重大违法记录的书面声明原件（</w:t>
      </w:r>
      <w:r>
        <w:rPr>
          <w:rFonts w:hint="eastAsia" w:hAnsi="宋体"/>
          <w:b/>
          <w:bCs/>
          <w:highlight w:val="none"/>
        </w:rPr>
        <w:t>必须提供</w:t>
      </w:r>
      <w:r>
        <w:rPr>
          <w:rFonts w:hint="eastAsia" w:hAnsi="宋体"/>
          <w:bCs/>
          <w:highlight w:val="none"/>
        </w:rPr>
        <w:t>）。</w:t>
      </w:r>
    </w:p>
    <w:p>
      <w:pPr>
        <w:pStyle w:val="8"/>
        <w:spacing w:line="440" w:lineRule="exact"/>
        <w:rPr>
          <w:rFonts w:hAnsi="宋体"/>
          <w:bCs/>
          <w:highlight w:val="none"/>
        </w:rPr>
      </w:pPr>
      <w:r>
        <w:rPr>
          <w:rFonts w:hint="eastAsia" w:hAnsi="宋体"/>
          <w:bCs/>
          <w:highlight w:val="none"/>
        </w:rPr>
        <w:t>（5）近三年来有图书供应，并提供相应标准机读数据的经历。供应商提供2个2022年以来图书供应项目业绩，需盖有合作单位公章及供应商公章。内容包涵但不限于以下内容：业主名称、贸易量、到书率、联系人、联系电话。如提供的证明材料虚假，将作为无效竞标处理。（</w:t>
      </w:r>
      <w:r>
        <w:rPr>
          <w:rFonts w:hint="eastAsia" w:hAnsi="宋体"/>
          <w:b/>
          <w:bCs/>
          <w:highlight w:val="none"/>
        </w:rPr>
        <w:t>必须提供</w:t>
      </w:r>
      <w:r>
        <w:rPr>
          <w:rFonts w:hint="eastAsia" w:hAnsi="宋体"/>
          <w:bCs/>
          <w:highlight w:val="none"/>
        </w:rPr>
        <w:t>）</w:t>
      </w:r>
    </w:p>
    <w:p>
      <w:pPr>
        <w:pStyle w:val="8"/>
        <w:spacing w:line="440" w:lineRule="atLeast"/>
        <w:rPr>
          <w:highlight w:val="none"/>
        </w:rPr>
      </w:pPr>
      <w:r>
        <w:rPr>
          <w:rFonts w:hint="eastAsia"/>
          <w:highlight w:val="none"/>
        </w:rPr>
        <w:t>（6）</w:t>
      </w:r>
      <w:r>
        <w:rPr>
          <w:rFonts w:hint="eastAsia" w:hAnsi="宋体"/>
          <w:bCs/>
          <w:highlight w:val="none"/>
        </w:rPr>
        <w:t>中小企业声明函或残疾人福利性单位声明函或省级以上监狱管理局、戒毒管理局（含新疆生产建设兵团）出具的属于监狱企业的证明文件。</w:t>
      </w:r>
      <w:r>
        <w:rPr>
          <w:rFonts w:hint="eastAsia" w:hAnsi="宋体"/>
          <w:highlight w:val="none"/>
        </w:rPr>
        <w:t>（如是，请提供）</w:t>
      </w:r>
    </w:p>
    <w:p>
      <w:pPr>
        <w:pStyle w:val="8"/>
        <w:spacing w:line="440" w:lineRule="atLeast"/>
        <w:rPr>
          <w:rFonts w:hAnsi="宋体"/>
          <w:b/>
          <w:highlight w:val="none"/>
        </w:rPr>
      </w:pPr>
      <w:r>
        <w:rPr>
          <w:rFonts w:hint="eastAsia" w:hAnsi="宋体"/>
          <w:b/>
          <w:highlight w:val="none"/>
        </w:rPr>
        <w:t>11.竞争性谈判响应文件格式</w:t>
      </w:r>
    </w:p>
    <w:p>
      <w:pPr>
        <w:pStyle w:val="8"/>
        <w:spacing w:line="440" w:lineRule="atLeast"/>
        <w:ind w:left="540" w:hanging="539" w:hangingChars="257"/>
        <w:rPr>
          <w:rFonts w:hAnsi="宋体"/>
          <w:highlight w:val="none"/>
        </w:rPr>
      </w:pPr>
      <w:r>
        <w:rPr>
          <w:rFonts w:hint="eastAsia" w:hAnsi="宋体"/>
          <w:highlight w:val="none"/>
        </w:rPr>
        <w:t>11.1谈判供应商应按谈判响应文件所附谈判报价说明完整地填写谈判采购文件中的谈判书和谈判报价表，标明所提供的产品名称、规格型号、产地、数量及技术参数等内容。</w:t>
      </w:r>
    </w:p>
    <w:p>
      <w:pPr>
        <w:spacing w:line="440" w:lineRule="atLeast"/>
        <w:rPr>
          <w:rFonts w:ascii="宋体" w:hAnsi="宋体"/>
          <w:b/>
          <w:highlight w:val="none"/>
        </w:rPr>
      </w:pPr>
      <w:r>
        <w:rPr>
          <w:rFonts w:hint="eastAsia" w:ascii="宋体" w:hAnsi="宋体"/>
          <w:b/>
          <w:highlight w:val="none"/>
        </w:rPr>
        <w:t>12．谈判报价</w:t>
      </w:r>
    </w:p>
    <w:p>
      <w:pPr>
        <w:spacing w:line="440" w:lineRule="atLeast"/>
        <w:rPr>
          <w:rFonts w:ascii="宋体" w:hAnsi="宋体"/>
          <w:highlight w:val="none"/>
        </w:rPr>
      </w:pPr>
      <w:r>
        <w:rPr>
          <w:rFonts w:hint="eastAsia" w:ascii="宋体" w:hAnsi="宋体"/>
          <w:highlight w:val="none"/>
        </w:rPr>
        <w:t>12.1</w:t>
      </w:r>
      <w:r>
        <w:rPr>
          <w:rFonts w:hint="eastAsia" w:asciiTheme="minorEastAsia" w:hAnsiTheme="minorEastAsia" w:eastAsiaTheme="minorEastAsia" w:cstheme="minorEastAsia"/>
          <w:szCs w:val="21"/>
          <w:highlight w:val="none"/>
        </w:rPr>
        <w:t>竞标报价方式：</w:t>
      </w:r>
      <w:r>
        <w:rPr>
          <w:rFonts w:hint="eastAsia" w:hAnsi="宋体"/>
          <w:szCs w:val="21"/>
          <w:highlight w:val="none"/>
        </w:rPr>
        <w:t>谈判供应商</w:t>
      </w:r>
      <w:r>
        <w:rPr>
          <w:rFonts w:hint="eastAsia"/>
          <w:szCs w:val="21"/>
          <w:highlight w:val="none"/>
        </w:rPr>
        <w:t>必</w:t>
      </w:r>
      <w:r>
        <w:rPr>
          <w:rFonts w:hint="eastAsia" w:hAnsi="宋体"/>
          <w:szCs w:val="21"/>
          <w:highlight w:val="none"/>
        </w:rPr>
        <w:t>须就项目需求的内容作完整的唯一报价。</w:t>
      </w:r>
    </w:p>
    <w:p>
      <w:pPr>
        <w:pStyle w:val="8"/>
        <w:spacing w:line="440" w:lineRule="atLeast"/>
        <w:ind w:left="540" w:hanging="539" w:hangingChars="257"/>
        <w:rPr>
          <w:rFonts w:hAnsi="宋体"/>
          <w:highlight w:val="none"/>
        </w:rPr>
      </w:pPr>
      <w:r>
        <w:rPr>
          <w:rFonts w:hint="eastAsia" w:hAnsi="宋体"/>
          <w:highlight w:val="none"/>
        </w:rPr>
        <w:t>12.2谈判供应商应在谈判报价表上标明单价和总价。如单价和总价不符，以单价累计为准，小写与大写不符的，以大写为准。</w:t>
      </w:r>
    </w:p>
    <w:p>
      <w:pPr>
        <w:pStyle w:val="8"/>
        <w:spacing w:line="440" w:lineRule="atLeast"/>
        <w:ind w:left="540" w:hanging="539" w:hangingChars="257"/>
        <w:rPr>
          <w:rFonts w:hAnsi="宋体"/>
          <w:highlight w:val="none"/>
        </w:rPr>
      </w:pPr>
      <w:r>
        <w:rPr>
          <w:rFonts w:hint="eastAsia" w:hAnsi="宋体"/>
          <w:highlight w:val="none"/>
        </w:rPr>
        <w:t>12.3谈判</w:t>
      </w:r>
      <w:r>
        <w:rPr>
          <w:rFonts w:hint="eastAsia" w:hAnsi="宋体"/>
          <w:szCs w:val="21"/>
          <w:highlight w:val="none"/>
        </w:rPr>
        <w:t>报价包含货物、装卸费、运费、安装调试、售后服务、人员培训、税金及其它完成本项目的所有费用。</w:t>
      </w:r>
      <w:r>
        <w:rPr>
          <w:rFonts w:hint="eastAsia"/>
          <w:highlight w:val="none"/>
        </w:rPr>
        <w:t>对于采购文件中未列明，而供应商认为必需的费用也需列入总报价。在合同实施时，采购人将不予支付成交供应商没有列入的项目费用，并认为此项目的费用已包括在总报价中</w:t>
      </w:r>
      <w:r>
        <w:rPr>
          <w:rFonts w:hint="eastAsia" w:hAnsi="宋体" w:cs="宋体"/>
          <w:bCs/>
          <w:highlight w:val="none"/>
        </w:rPr>
        <w:t>。</w:t>
      </w:r>
    </w:p>
    <w:p>
      <w:pPr>
        <w:spacing w:line="440" w:lineRule="atLeast"/>
        <w:rPr>
          <w:rFonts w:ascii="宋体" w:hAnsi="宋体"/>
          <w:b/>
          <w:highlight w:val="none"/>
        </w:rPr>
      </w:pPr>
      <w:r>
        <w:rPr>
          <w:rFonts w:hint="eastAsia" w:ascii="宋体" w:hAnsi="宋体"/>
          <w:b/>
          <w:highlight w:val="none"/>
        </w:rPr>
        <w:t>13．谈判货币</w:t>
      </w:r>
    </w:p>
    <w:p>
      <w:pPr>
        <w:pStyle w:val="8"/>
        <w:spacing w:line="440" w:lineRule="atLeast"/>
        <w:ind w:firstLine="420"/>
        <w:rPr>
          <w:rFonts w:hAnsi="宋体"/>
          <w:highlight w:val="none"/>
        </w:rPr>
      </w:pPr>
      <w:r>
        <w:rPr>
          <w:rFonts w:hint="eastAsia" w:hAnsi="宋体"/>
          <w:highlight w:val="none"/>
        </w:rPr>
        <w:t>谈判应以人民币报价。</w:t>
      </w:r>
    </w:p>
    <w:p>
      <w:pPr>
        <w:spacing w:line="440" w:lineRule="exact"/>
        <w:rPr>
          <w:rFonts w:ascii="宋体" w:hAnsi="宋体"/>
          <w:highlight w:val="none"/>
        </w:rPr>
      </w:pPr>
      <w:r>
        <w:rPr>
          <w:rFonts w:hint="eastAsia" w:ascii="宋体" w:hAnsi="宋体"/>
          <w:highlight w:val="none"/>
        </w:rPr>
        <w:t>14．竞标有效期；</w:t>
      </w:r>
    </w:p>
    <w:p>
      <w:pPr>
        <w:pStyle w:val="8"/>
        <w:spacing w:line="440" w:lineRule="atLeast"/>
        <w:rPr>
          <w:rFonts w:hAnsi="宋体"/>
          <w:highlight w:val="none"/>
        </w:rPr>
      </w:pPr>
      <w:r>
        <w:rPr>
          <w:rFonts w:hint="eastAsia" w:hAnsi="宋体"/>
          <w:highlight w:val="none"/>
        </w:rPr>
        <w:t>14.1竞争性谈判响应文件从竞标截止期结束后60天内有效。</w:t>
      </w:r>
    </w:p>
    <w:p>
      <w:pPr>
        <w:pStyle w:val="8"/>
        <w:spacing w:line="440" w:lineRule="atLeast"/>
        <w:ind w:left="420" w:hanging="420" w:hangingChars="200"/>
        <w:rPr>
          <w:rFonts w:hAnsi="宋体"/>
          <w:highlight w:val="none"/>
        </w:rPr>
      </w:pPr>
      <w:r>
        <w:rPr>
          <w:rFonts w:hint="eastAsia" w:hAnsi="宋体"/>
          <w:highlight w:val="none"/>
        </w:rPr>
        <w:t>14.2在特殊情况下，采购代理机构可酌情延长竞标有效期。谈判供应商可同意或不同意延长竞标有效期，不同意延长竞标有效期的谈判供应商，其竞标保证金（如有）将在原竞标有效期满后4个工作日内予以退还，不计利息；同意延长竞标有效期的谈判供应商不能要求对原竞争性谈判响应文件（经谈判小组确认有效，且没有超出竞争性谈判响应文件的范围或改变谈判的实质内容的澄清或说明，均作为竞争性谈判响应文件的组成部分）作任何改变，并同意在延长的竞标有效期内遵循本竞争性谈判响应文件，在延长的竞标有效期满之前继续具有约束力。</w:t>
      </w:r>
    </w:p>
    <w:p>
      <w:pPr>
        <w:spacing w:line="440" w:lineRule="atLeast"/>
        <w:rPr>
          <w:rFonts w:ascii="宋体" w:hAnsi="宋体"/>
          <w:b/>
          <w:highlight w:val="none"/>
        </w:rPr>
      </w:pPr>
      <w:r>
        <w:rPr>
          <w:rFonts w:hint="eastAsia" w:ascii="宋体" w:hAnsi="宋体"/>
          <w:b/>
          <w:highlight w:val="none"/>
        </w:rPr>
        <w:t>15．</w:t>
      </w:r>
      <w:r>
        <w:rPr>
          <w:rFonts w:hint="eastAsia" w:ascii="宋体" w:hAnsi="宋体"/>
          <w:b/>
          <w:szCs w:val="21"/>
          <w:highlight w:val="none"/>
        </w:rPr>
        <w:t>竞争性谈判响应文件的份数、上传、提交、修改、撤回、解密</w:t>
      </w:r>
    </w:p>
    <w:p>
      <w:pPr>
        <w:spacing w:line="400" w:lineRule="exact"/>
        <w:rPr>
          <w:rFonts w:ascii="宋体" w:hAnsi="宋体"/>
          <w:szCs w:val="21"/>
          <w:highlight w:val="none"/>
        </w:rPr>
      </w:pPr>
      <w:r>
        <w:rPr>
          <w:rFonts w:hint="eastAsia" w:ascii="宋体" w:hAnsi="宋体"/>
          <w:szCs w:val="21"/>
          <w:highlight w:val="none"/>
        </w:rPr>
        <w:t>15.1. 竞争性谈判响应文件的份数、上传、提交、解密</w:t>
      </w:r>
    </w:p>
    <w:p>
      <w:pPr>
        <w:pStyle w:val="8"/>
        <w:spacing w:line="440" w:lineRule="exact"/>
        <w:ind w:firstLine="630" w:firstLineChars="300"/>
        <w:rPr>
          <w:highlight w:val="none"/>
        </w:rPr>
      </w:pPr>
      <w:r>
        <w:rPr>
          <w:rFonts w:hint="eastAsia"/>
          <w:highlight w:val="none"/>
        </w:rPr>
        <w:t>见须知前附表</w:t>
      </w:r>
    </w:p>
    <w:p>
      <w:pPr>
        <w:spacing w:line="440" w:lineRule="exact"/>
        <w:ind w:left="630" w:hanging="630" w:hangingChars="300"/>
        <w:rPr>
          <w:rFonts w:ascii="宋体" w:hAnsi="宋体"/>
          <w:highlight w:val="none"/>
        </w:rPr>
      </w:pPr>
      <w:r>
        <w:rPr>
          <w:rFonts w:hint="eastAsia" w:ascii="宋体" w:hAnsi="宋体"/>
          <w:szCs w:val="21"/>
          <w:highlight w:val="none"/>
        </w:rPr>
        <w:t>15.2. 竞争性谈判响应文件的修改和撤回：</w:t>
      </w:r>
      <w:r>
        <w:rPr>
          <w:rFonts w:hint="eastAsia" w:ascii="宋体" w:hAnsi="宋体"/>
          <w:szCs w:val="20"/>
          <w:highlight w:val="none"/>
          <w:lang w:val="zh-CN"/>
        </w:rPr>
        <w:t>供应商应当在截止时间前完成响应文件的上传、提交，并可以补充、修改或者撤回响应文件。补充或者修改响应文件的，应当先行撤回原文件，补充、修改后重新上传、提交。截止时间前未完成上传、提交的，视为撤回响应文件。截止时间后提交的响应文件，“广西政府采购云平台”将予以拒收。截止时间后，供应商不得撤回、修改响应文件。</w:t>
      </w:r>
    </w:p>
    <w:p>
      <w:pPr>
        <w:spacing w:line="440" w:lineRule="atLeast"/>
        <w:rPr>
          <w:rFonts w:ascii="宋体" w:hAnsi="宋体"/>
          <w:b/>
          <w:highlight w:val="none"/>
        </w:rPr>
      </w:pPr>
      <w:r>
        <w:rPr>
          <w:rFonts w:hint="eastAsia" w:ascii="宋体" w:hAnsi="宋体"/>
          <w:b/>
          <w:highlight w:val="none"/>
        </w:rPr>
        <w:t>16．谈判保证金（如有）</w:t>
      </w:r>
    </w:p>
    <w:p>
      <w:pPr>
        <w:pStyle w:val="8"/>
        <w:spacing w:line="440" w:lineRule="atLeast"/>
        <w:rPr>
          <w:rFonts w:hAnsi="宋体"/>
          <w:highlight w:val="none"/>
        </w:rPr>
      </w:pPr>
      <w:r>
        <w:rPr>
          <w:rFonts w:hint="eastAsia" w:hAnsi="宋体"/>
          <w:highlight w:val="none"/>
        </w:rPr>
        <w:t>16.1谈判保证金金额：见谈判须知前附表。</w:t>
      </w:r>
    </w:p>
    <w:p>
      <w:pPr>
        <w:pStyle w:val="8"/>
        <w:spacing w:line="440" w:lineRule="atLeast"/>
        <w:ind w:left="420" w:hanging="420" w:hangingChars="200"/>
        <w:rPr>
          <w:rFonts w:hAnsi="宋体"/>
          <w:szCs w:val="21"/>
          <w:highlight w:val="none"/>
        </w:rPr>
      </w:pPr>
      <w:r>
        <w:rPr>
          <w:rFonts w:hint="eastAsia" w:hAnsi="宋体"/>
          <w:szCs w:val="21"/>
          <w:highlight w:val="none"/>
        </w:rPr>
        <w:t>16.2交款方式：</w:t>
      </w:r>
      <w:r>
        <w:rPr>
          <w:rFonts w:hint="eastAsia" w:hAnsi="宋体"/>
          <w:highlight w:val="none"/>
        </w:rPr>
        <w:t>见谈判须知前附表。</w:t>
      </w:r>
    </w:p>
    <w:p>
      <w:pPr>
        <w:pStyle w:val="8"/>
        <w:spacing w:line="420" w:lineRule="atLeast"/>
        <w:rPr>
          <w:rFonts w:hAnsi="宋体"/>
          <w:highlight w:val="none"/>
        </w:rPr>
      </w:pPr>
      <w:r>
        <w:rPr>
          <w:rFonts w:hint="eastAsia" w:hAnsi="宋体"/>
          <w:highlight w:val="none"/>
        </w:rPr>
        <w:t>16.3对未按规定提交竞标保证金的竞争性谈判响应文件，采购代理机构将视其为不响应谈判条件而予以拒绝。</w:t>
      </w:r>
    </w:p>
    <w:p>
      <w:pPr>
        <w:pStyle w:val="8"/>
        <w:spacing w:line="420" w:lineRule="atLeast"/>
        <w:ind w:left="540" w:hanging="539" w:hangingChars="257"/>
        <w:rPr>
          <w:highlight w:val="none"/>
        </w:rPr>
      </w:pPr>
      <w:r>
        <w:rPr>
          <w:rFonts w:hint="eastAsia"/>
          <w:highlight w:val="none"/>
        </w:rPr>
        <w:t>16.4</w:t>
      </w:r>
      <w:r>
        <w:rPr>
          <w:rFonts w:hint="eastAsia"/>
          <w:szCs w:val="21"/>
          <w:highlight w:val="none"/>
        </w:rPr>
        <w:t>成交供应商的保证金，除本章第16.6项规定的不予退还的情形外，由采购代理机构在成交通知书发出后四个工作日内以转账或电汇方式无息退还（注：办理退付保证金时只退回到供应商的对公账户，代理机构将根据谈判保证金声明中提供的账户信息退回，请供应商提供正确的账户信息）。采用支票/汇票/本票/保函方式缴纳谈判保证金的，采购代理机构将通知供应商代表领回票据原件。</w:t>
      </w:r>
    </w:p>
    <w:p>
      <w:pPr>
        <w:pStyle w:val="8"/>
        <w:spacing w:line="420" w:lineRule="atLeast"/>
        <w:ind w:left="540" w:hanging="539" w:hangingChars="257"/>
        <w:rPr>
          <w:szCs w:val="21"/>
          <w:highlight w:val="none"/>
        </w:rPr>
      </w:pPr>
      <w:r>
        <w:rPr>
          <w:rFonts w:hint="eastAsia"/>
          <w:highlight w:val="none"/>
        </w:rPr>
        <w:t>16.5</w:t>
      </w:r>
      <w:r>
        <w:rPr>
          <w:rFonts w:hint="eastAsia"/>
          <w:szCs w:val="21"/>
          <w:highlight w:val="none"/>
        </w:rPr>
        <w:t>涉及质疑和投诉的供应商，在质疑和投诉调查处理结束前其保证金暂不退还。</w:t>
      </w:r>
    </w:p>
    <w:p>
      <w:pPr>
        <w:pStyle w:val="8"/>
        <w:spacing w:line="420" w:lineRule="atLeast"/>
        <w:ind w:left="540" w:hanging="539" w:hangingChars="257"/>
        <w:rPr>
          <w:szCs w:val="21"/>
          <w:highlight w:val="none"/>
        </w:rPr>
      </w:pPr>
      <w:r>
        <w:rPr>
          <w:rFonts w:hint="eastAsia"/>
          <w:szCs w:val="21"/>
          <w:highlight w:val="none"/>
        </w:rPr>
        <w:t>16.6供应商有下列情形之一的，采购代理机构不予退还其交纳的保证金：</w:t>
      </w:r>
    </w:p>
    <w:p>
      <w:pPr>
        <w:pStyle w:val="8"/>
        <w:spacing w:line="420" w:lineRule="atLeast"/>
        <w:ind w:left="540" w:hanging="539" w:hangingChars="257"/>
        <w:rPr>
          <w:szCs w:val="21"/>
          <w:highlight w:val="none"/>
        </w:rPr>
      </w:pPr>
      <w:r>
        <w:rPr>
          <w:rFonts w:hint="eastAsia"/>
          <w:szCs w:val="21"/>
          <w:highlight w:val="none"/>
        </w:rPr>
        <w:t>（1）供应商在谈判有效期内撤回响应文件的；</w:t>
      </w:r>
    </w:p>
    <w:p>
      <w:pPr>
        <w:pStyle w:val="8"/>
        <w:spacing w:line="420" w:lineRule="atLeast"/>
        <w:ind w:left="540" w:hanging="539" w:hangingChars="257"/>
        <w:rPr>
          <w:szCs w:val="21"/>
          <w:highlight w:val="none"/>
        </w:rPr>
      </w:pPr>
      <w:r>
        <w:rPr>
          <w:rFonts w:hint="eastAsia"/>
          <w:szCs w:val="21"/>
          <w:highlight w:val="none"/>
        </w:rPr>
        <w:t>（2）未按规定提交履约保证金的；</w:t>
      </w:r>
    </w:p>
    <w:p>
      <w:pPr>
        <w:pStyle w:val="8"/>
        <w:spacing w:line="420" w:lineRule="atLeast"/>
        <w:ind w:left="540" w:hanging="539" w:hangingChars="257"/>
        <w:rPr>
          <w:szCs w:val="21"/>
          <w:highlight w:val="none"/>
        </w:rPr>
      </w:pPr>
      <w:r>
        <w:rPr>
          <w:rFonts w:hint="eastAsia"/>
          <w:szCs w:val="21"/>
          <w:highlight w:val="none"/>
        </w:rPr>
        <w:t>（3）供应商在谈判过程中弄虚作假，提供虚假材料的；</w:t>
      </w:r>
    </w:p>
    <w:p>
      <w:pPr>
        <w:pStyle w:val="8"/>
        <w:spacing w:line="420" w:lineRule="atLeast"/>
        <w:ind w:left="540" w:hanging="539" w:hangingChars="257"/>
        <w:rPr>
          <w:szCs w:val="21"/>
          <w:highlight w:val="none"/>
        </w:rPr>
      </w:pPr>
      <w:r>
        <w:rPr>
          <w:rFonts w:hint="eastAsia"/>
          <w:szCs w:val="21"/>
          <w:highlight w:val="none"/>
        </w:rPr>
        <w:t>（4）供应商无正当理由不与采购人签订合同的；</w:t>
      </w:r>
    </w:p>
    <w:p>
      <w:pPr>
        <w:pStyle w:val="8"/>
        <w:spacing w:line="420" w:lineRule="atLeast"/>
        <w:ind w:left="540" w:hanging="539" w:hangingChars="257"/>
        <w:rPr>
          <w:szCs w:val="21"/>
          <w:highlight w:val="none"/>
        </w:rPr>
      </w:pPr>
      <w:r>
        <w:rPr>
          <w:rFonts w:hint="eastAsia"/>
          <w:szCs w:val="21"/>
          <w:highlight w:val="none"/>
        </w:rPr>
        <w:t>（5）将成交项目转让给他人或者在响应文件中未说明且未经采购人同意，将成交项目分包给他人的；</w:t>
      </w:r>
    </w:p>
    <w:p>
      <w:pPr>
        <w:pStyle w:val="8"/>
        <w:spacing w:line="420" w:lineRule="atLeast"/>
        <w:ind w:left="540" w:hanging="539" w:hangingChars="257"/>
        <w:rPr>
          <w:szCs w:val="21"/>
          <w:highlight w:val="none"/>
        </w:rPr>
      </w:pPr>
      <w:r>
        <w:rPr>
          <w:rFonts w:hint="eastAsia"/>
          <w:szCs w:val="21"/>
          <w:highlight w:val="none"/>
        </w:rPr>
        <w:t>（6）拒绝履行合同义务的；</w:t>
      </w:r>
    </w:p>
    <w:p>
      <w:pPr>
        <w:pStyle w:val="8"/>
        <w:spacing w:line="420" w:lineRule="atLeast"/>
        <w:ind w:left="540" w:hanging="539" w:hangingChars="257"/>
        <w:rPr>
          <w:highlight w:val="none"/>
        </w:rPr>
      </w:pPr>
      <w:r>
        <w:rPr>
          <w:rFonts w:hint="eastAsia"/>
          <w:szCs w:val="21"/>
          <w:highlight w:val="none"/>
        </w:rPr>
        <w:t>（7）其他严重扰乱招谈判程序的；</w:t>
      </w:r>
    </w:p>
    <w:p>
      <w:pPr>
        <w:pStyle w:val="8"/>
        <w:spacing w:line="420" w:lineRule="atLeast"/>
        <w:ind w:left="540" w:hanging="539" w:hangingChars="257"/>
        <w:rPr>
          <w:rFonts w:hAnsi="宋体"/>
          <w:highlight w:val="none"/>
        </w:rPr>
      </w:pPr>
    </w:p>
    <w:p>
      <w:pPr>
        <w:pStyle w:val="8"/>
        <w:spacing w:line="420" w:lineRule="atLeast"/>
        <w:jc w:val="center"/>
        <w:rPr>
          <w:rFonts w:hAnsi="宋体"/>
          <w:b/>
          <w:highlight w:val="none"/>
        </w:rPr>
      </w:pPr>
    </w:p>
    <w:p>
      <w:pPr>
        <w:pStyle w:val="8"/>
        <w:spacing w:line="420" w:lineRule="atLeast"/>
        <w:jc w:val="center"/>
        <w:rPr>
          <w:rFonts w:hAnsi="宋体"/>
          <w:b/>
          <w:highlight w:val="none"/>
        </w:rPr>
      </w:pPr>
      <w:r>
        <w:rPr>
          <w:rFonts w:hint="eastAsia" w:hAnsi="宋体"/>
          <w:b/>
          <w:highlight w:val="none"/>
        </w:rPr>
        <w:t>四    谈判与评审</w:t>
      </w:r>
    </w:p>
    <w:p>
      <w:pPr>
        <w:numPr>
          <w:ilvl w:val="0"/>
          <w:numId w:val="3"/>
        </w:numPr>
        <w:spacing w:line="380" w:lineRule="exact"/>
        <w:ind w:firstLine="420"/>
        <w:rPr>
          <w:highlight w:val="none"/>
        </w:rPr>
      </w:pPr>
      <w:r>
        <w:rPr>
          <w:rFonts w:hint="eastAsia"/>
          <w:highlight w:val="none"/>
        </w:rPr>
        <w:t>在谈判正式开始前由谈判小组对竞争性响应文件进行确认，认可竞争性响应文件的内容符合法律法规的规定、不存在歧视性或排他性内容。</w:t>
      </w:r>
    </w:p>
    <w:p>
      <w:pPr>
        <w:spacing w:line="380" w:lineRule="exact"/>
        <w:ind w:firstLine="420"/>
        <w:rPr>
          <w:highlight w:val="none"/>
        </w:rPr>
      </w:pPr>
      <w:r>
        <w:rPr>
          <w:rFonts w:hint="eastAsia"/>
          <w:highlight w:val="none"/>
        </w:rPr>
        <w:t>18. 竞争性谈判响应文件无效的情形：</w:t>
      </w:r>
    </w:p>
    <w:p>
      <w:pPr>
        <w:spacing w:line="380" w:lineRule="exact"/>
        <w:ind w:firstLine="420"/>
        <w:rPr>
          <w:highlight w:val="none"/>
        </w:rPr>
      </w:pPr>
      <w:r>
        <w:rPr>
          <w:rFonts w:hint="eastAsia"/>
          <w:highlight w:val="none"/>
        </w:rPr>
        <w:t>18.1 未实质性响应竞争性响应文件的竞争性谈判响应文件按无效处理。</w:t>
      </w:r>
    </w:p>
    <w:p>
      <w:pPr>
        <w:spacing w:line="380" w:lineRule="exact"/>
        <w:ind w:firstLine="420"/>
        <w:rPr>
          <w:highlight w:val="none"/>
        </w:rPr>
      </w:pPr>
      <w:r>
        <w:rPr>
          <w:rFonts w:hint="eastAsia"/>
          <w:highlight w:val="none"/>
        </w:rPr>
        <w:t>18.2 有下列情形之一的视为供应商相互串通参与谈判活动，竞争性谈判响应文件将被视为无效：</w:t>
      </w:r>
    </w:p>
    <w:p>
      <w:pPr>
        <w:spacing w:line="380" w:lineRule="exact"/>
        <w:ind w:firstLine="420"/>
        <w:rPr>
          <w:highlight w:val="none"/>
        </w:rPr>
      </w:pPr>
      <w:r>
        <w:rPr>
          <w:rFonts w:hint="eastAsia"/>
          <w:highlight w:val="none"/>
        </w:rPr>
        <w:t>（1）不同供应商的竞争性谈判响应文件由同一单位或者个人编制；或不同供应商报名的IP地址一致的；</w:t>
      </w:r>
    </w:p>
    <w:p>
      <w:pPr>
        <w:spacing w:line="380" w:lineRule="exact"/>
        <w:ind w:firstLine="420"/>
        <w:rPr>
          <w:highlight w:val="none"/>
        </w:rPr>
      </w:pPr>
      <w:r>
        <w:rPr>
          <w:rFonts w:hint="eastAsia"/>
          <w:highlight w:val="none"/>
        </w:rPr>
        <w:t>（2）不同供应商委托同一单位或者个人办理谈判活动事宜；</w:t>
      </w:r>
    </w:p>
    <w:p>
      <w:pPr>
        <w:spacing w:line="380" w:lineRule="exact"/>
        <w:ind w:firstLine="420"/>
        <w:rPr>
          <w:highlight w:val="none"/>
        </w:rPr>
      </w:pPr>
      <w:r>
        <w:rPr>
          <w:rFonts w:hint="eastAsia"/>
          <w:highlight w:val="none"/>
        </w:rPr>
        <w:t>（3）不同的供应商的竞争性谈判响应文件载明的项目管理员为同一个人；</w:t>
      </w:r>
    </w:p>
    <w:p>
      <w:pPr>
        <w:spacing w:line="380" w:lineRule="exact"/>
        <w:ind w:firstLine="420"/>
        <w:rPr>
          <w:highlight w:val="none"/>
        </w:rPr>
      </w:pPr>
      <w:r>
        <w:rPr>
          <w:rFonts w:hint="eastAsia"/>
          <w:highlight w:val="none"/>
        </w:rPr>
        <w:t>（4）不同供应商的竞争性谈判响应文件异常一致或谈判报价呈规律性差异；</w:t>
      </w:r>
    </w:p>
    <w:p>
      <w:pPr>
        <w:spacing w:line="380" w:lineRule="exact"/>
        <w:ind w:firstLine="420"/>
        <w:rPr>
          <w:highlight w:val="none"/>
        </w:rPr>
      </w:pPr>
      <w:r>
        <w:rPr>
          <w:rFonts w:hint="eastAsia"/>
          <w:highlight w:val="none"/>
        </w:rPr>
        <w:t>（5）不同供应商的竞争性谈判响应文件相互混装；</w:t>
      </w:r>
    </w:p>
    <w:p>
      <w:pPr>
        <w:spacing w:line="380" w:lineRule="exact"/>
        <w:ind w:firstLine="420"/>
        <w:rPr>
          <w:highlight w:val="none"/>
        </w:rPr>
      </w:pPr>
      <w:r>
        <w:rPr>
          <w:rFonts w:hint="eastAsia"/>
          <w:highlight w:val="none"/>
        </w:rPr>
        <w:t>（6）不同供应商的保证金从同一单位或者个人账户转出。</w:t>
      </w:r>
    </w:p>
    <w:p>
      <w:pPr>
        <w:spacing w:line="380" w:lineRule="exact"/>
        <w:ind w:firstLine="420"/>
        <w:rPr>
          <w:highlight w:val="none"/>
        </w:rPr>
      </w:pPr>
      <w:r>
        <w:rPr>
          <w:rFonts w:hint="eastAsia"/>
          <w:highlight w:val="none"/>
        </w:rPr>
        <w:t>18.3 有下列情形之一的视为关联供应商参加同一合同项下政府采购活动，竞争性谈判响应文件将被视为无效：</w:t>
      </w:r>
    </w:p>
    <w:p>
      <w:pPr>
        <w:spacing w:line="380" w:lineRule="exact"/>
        <w:ind w:firstLine="420"/>
        <w:rPr>
          <w:highlight w:val="none"/>
        </w:rPr>
      </w:pPr>
      <w:r>
        <w:rPr>
          <w:rFonts w:hint="eastAsia"/>
          <w:highlight w:val="none"/>
        </w:rPr>
        <w:t>（1）单位负责人为同一人或者存在直接控股、管理关系的不同供应商，参加同一合同项下政府采购活动；</w:t>
      </w:r>
    </w:p>
    <w:p>
      <w:pPr>
        <w:spacing w:line="380" w:lineRule="exact"/>
        <w:ind w:firstLine="420"/>
        <w:rPr>
          <w:highlight w:val="none"/>
        </w:rPr>
      </w:pPr>
      <w:r>
        <w:rPr>
          <w:rFonts w:hint="eastAsia"/>
          <w:highlight w:val="none"/>
        </w:rPr>
        <w:t>（2）生产厂商授权给供应商后又参加同一合同项下的政府采购活动；生产厂商对同一品牌同一型号的货物委托多个代理商参加谈判活动。</w:t>
      </w:r>
    </w:p>
    <w:p>
      <w:pPr>
        <w:widowControl/>
        <w:spacing w:line="400" w:lineRule="exact"/>
        <w:ind w:firstLine="420" w:firstLineChars="200"/>
        <w:jc w:val="left"/>
        <w:rPr>
          <w:rFonts w:ascii="宋体" w:hAnsi="宋体"/>
          <w:bCs/>
          <w:kern w:val="0"/>
          <w:highlight w:val="none"/>
        </w:rPr>
      </w:pPr>
      <w:r>
        <w:rPr>
          <w:rFonts w:hint="eastAsia" w:ascii="宋体" w:hAnsi="宋体"/>
          <w:bCs/>
          <w:kern w:val="0"/>
          <w:highlight w:val="none"/>
        </w:rPr>
        <w:t>18.4 其他竞标无效的情形：</w:t>
      </w:r>
    </w:p>
    <w:p>
      <w:pPr>
        <w:widowControl/>
        <w:spacing w:line="400" w:lineRule="exact"/>
        <w:ind w:firstLine="422" w:firstLineChars="200"/>
        <w:jc w:val="left"/>
        <w:rPr>
          <w:rFonts w:ascii="宋体" w:hAnsi="宋体"/>
          <w:b/>
          <w:bCs/>
          <w:kern w:val="0"/>
          <w:highlight w:val="none"/>
        </w:rPr>
      </w:pPr>
      <w:r>
        <w:rPr>
          <w:rFonts w:hint="eastAsia" w:ascii="宋体" w:hAnsi="宋体"/>
          <w:b/>
          <w:bCs/>
          <w:kern w:val="0"/>
          <w:highlight w:val="none"/>
        </w:rPr>
        <w:t>（1）竞争性谈判响应文件未按竞争性响应文件要求签署或CA电子签章的；</w:t>
      </w:r>
    </w:p>
    <w:p>
      <w:pPr>
        <w:widowControl/>
        <w:spacing w:line="400" w:lineRule="exact"/>
        <w:ind w:firstLine="422" w:firstLineChars="200"/>
        <w:jc w:val="left"/>
        <w:rPr>
          <w:rFonts w:ascii="宋体" w:hAnsi="宋体"/>
          <w:b/>
          <w:bCs/>
          <w:kern w:val="0"/>
          <w:highlight w:val="none"/>
        </w:rPr>
      </w:pPr>
      <w:r>
        <w:rPr>
          <w:rFonts w:hint="eastAsia" w:ascii="宋体" w:hAnsi="宋体"/>
          <w:b/>
          <w:bCs/>
          <w:kern w:val="0"/>
          <w:highlight w:val="none"/>
        </w:rPr>
        <w:t>（2）供应商提交两份或两份以上内容不同的竞争性谈判响应文件；</w:t>
      </w:r>
    </w:p>
    <w:p>
      <w:pPr>
        <w:widowControl/>
        <w:spacing w:line="400" w:lineRule="exact"/>
        <w:ind w:firstLine="422" w:firstLineChars="200"/>
        <w:jc w:val="left"/>
        <w:rPr>
          <w:rFonts w:ascii="宋体" w:hAnsi="宋体"/>
          <w:b/>
          <w:bCs/>
          <w:kern w:val="0"/>
          <w:highlight w:val="none"/>
        </w:rPr>
      </w:pPr>
      <w:r>
        <w:rPr>
          <w:rFonts w:hint="eastAsia" w:ascii="宋体" w:hAnsi="宋体"/>
          <w:b/>
          <w:bCs/>
          <w:kern w:val="0"/>
          <w:highlight w:val="none"/>
        </w:rPr>
        <w:t>（3）谈判</w:t>
      </w:r>
      <w:r>
        <w:rPr>
          <w:rFonts w:ascii="宋体" w:hAnsi="宋体"/>
          <w:b/>
          <w:bCs/>
          <w:kern w:val="0"/>
          <w:highlight w:val="none"/>
        </w:rPr>
        <w:t>供应商在线制作</w:t>
      </w:r>
      <w:r>
        <w:rPr>
          <w:rFonts w:hint="eastAsia" w:ascii="宋体" w:hAnsi="宋体"/>
          <w:b/>
          <w:bCs/>
          <w:kern w:val="0"/>
          <w:highlight w:val="none"/>
        </w:rPr>
        <w:t>竞争性谈判响应文件</w:t>
      </w:r>
      <w:r>
        <w:rPr>
          <w:rFonts w:ascii="宋体" w:hAnsi="宋体"/>
          <w:b/>
          <w:bCs/>
          <w:kern w:val="0"/>
          <w:highlight w:val="none"/>
        </w:rPr>
        <w:t>时填写的</w:t>
      </w:r>
      <w:r>
        <w:rPr>
          <w:rFonts w:hint="eastAsia" w:ascii="宋体" w:hAnsi="宋体"/>
          <w:b/>
          <w:bCs/>
          <w:kern w:val="0"/>
          <w:highlight w:val="none"/>
        </w:rPr>
        <w:t>报价</w:t>
      </w:r>
      <w:r>
        <w:rPr>
          <w:rFonts w:ascii="宋体" w:hAnsi="宋体"/>
          <w:b/>
          <w:bCs/>
          <w:kern w:val="0"/>
          <w:highlight w:val="none"/>
        </w:rPr>
        <w:t>金额与解密后“电子加密</w:t>
      </w:r>
      <w:r>
        <w:rPr>
          <w:rFonts w:hint="eastAsia" w:ascii="宋体" w:hAnsi="宋体"/>
          <w:b/>
          <w:bCs/>
          <w:kern w:val="0"/>
          <w:highlight w:val="none"/>
        </w:rPr>
        <w:t>响应</w:t>
      </w:r>
      <w:r>
        <w:rPr>
          <w:rFonts w:ascii="宋体" w:hAnsi="宋体"/>
          <w:b/>
          <w:bCs/>
          <w:kern w:val="0"/>
          <w:highlight w:val="none"/>
        </w:rPr>
        <w:t>文件”中《</w:t>
      </w:r>
      <w:r>
        <w:rPr>
          <w:rFonts w:hint="eastAsia" w:ascii="宋体" w:hAnsi="宋体"/>
          <w:b/>
          <w:bCs/>
          <w:kern w:val="0"/>
          <w:highlight w:val="none"/>
        </w:rPr>
        <w:t>报价文件</w:t>
      </w:r>
      <w:r>
        <w:rPr>
          <w:rFonts w:ascii="宋体" w:hAnsi="宋体"/>
          <w:b/>
          <w:bCs/>
          <w:kern w:val="0"/>
          <w:highlight w:val="none"/>
        </w:rPr>
        <w:t>》填写的金额不一致并拒绝按</w:t>
      </w:r>
      <w:r>
        <w:rPr>
          <w:rFonts w:hint="eastAsia" w:ascii="宋体" w:hAnsi="宋体"/>
          <w:b/>
          <w:bCs/>
          <w:kern w:val="0"/>
          <w:highlight w:val="none"/>
        </w:rPr>
        <w:t>采购</w:t>
      </w:r>
      <w:r>
        <w:rPr>
          <w:rFonts w:ascii="宋体" w:hAnsi="宋体"/>
          <w:b/>
          <w:bCs/>
          <w:kern w:val="0"/>
          <w:highlight w:val="none"/>
        </w:rPr>
        <w:t>文件要求接受调整的；</w:t>
      </w:r>
    </w:p>
    <w:p>
      <w:pPr>
        <w:widowControl/>
        <w:spacing w:line="400" w:lineRule="exact"/>
        <w:ind w:firstLine="422" w:firstLineChars="200"/>
        <w:jc w:val="left"/>
        <w:rPr>
          <w:rFonts w:ascii="宋体" w:hAnsi="宋体"/>
          <w:kern w:val="0"/>
          <w:highlight w:val="none"/>
        </w:rPr>
      </w:pPr>
      <w:r>
        <w:rPr>
          <w:rFonts w:hint="eastAsia" w:ascii="宋体" w:hAnsi="宋体"/>
          <w:b/>
          <w:bCs/>
          <w:kern w:val="0"/>
          <w:highlight w:val="none"/>
        </w:rPr>
        <w:t>（4）</w:t>
      </w:r>
      <w:r>
        <w:rPr>
          <w:rFonts w:ascii="宋体" w:hAnsi="宋体"/>
          <w:b/>
          <w:bCs/>
          <w:kern w:val="0"/>
          <w:highlight w:val="none"/>
        </w:rPr>
        <w:t>法律、法规和</w:t>
      </w:r>
      <w:r>
        <w:rPr>
          <w:rFonts w:hint="eastAsia" w:ascii="宋体" w:hAnsi="宋体"/>
          <w:b/>
          <w:bCs/>
          <w:kern w:val="0"/>
          <w:highlight w:val="none"/>
        </w:rPr>
        <w:t>采购</w:t>
      </w:r>
      <w:r>
        <w:rPr>
          <w:rFonts w:ascii="宋体" w:hAnsi="宋体"/>
          <w:b/>
          <w:bCs/>
          <w:kern w:val="0"/>
          <w:highlight w:val="none"/>
        </w:rPr>
        <w:t>文件规定的其他无效情形（或出现重大偏差）。</w:t>
      </w:r>
    </w:p>
    <w:p>
      <w:pPr>
        <w:spacing w:line="380" w:lineRule="exact"/>
        <w:ind w:firstLine="420"/>
        <w:rPr>
          <w:highlight w:val="none"/>
        </w:rPr>
      </w:pPr>
      <w:r>
        <w:rPr>
          <w:rFonts w:hint="eastAsia"/>
          <w:highlight w:val="none"/>
        </w:rPr>
        <w:t>18.5 被拒绝的响应文件为无效。</w:t>
      </w:r>
    </w:p>
    <w:p>
      <w:pPr>
        <w:spacing w:line="380" w:lineRule="exact"/>
        <w:ind w:firstLine="422"/>
        <w:rPr>
          <w:b/>
          <w:highlight w:val="none"/>
        </w:rPr>
      </w:pPr>
      <w:r>
        <w:rPr>
          <w:rFonts w:hint="eastAsia"/>
          <w:b/>
          <w:highlight w:val="none"/>
        </w:rPr>
        <w:t xml:space="preserve">  谈判供应商竞争性谈判响应文件无效的，谈判小组应当告知有关供应商。</w:t>
      </w:r>
    </w:p>
    <w:p>
      <w:pPr>
        <w:widowControl/>
        <w:spacing w:line="400" w:lineRule="exact"/>
        <w:ind w:firstLine="420" w:firstLineChars="200"/>
        <w:jc w:val="left"/>
        <w:rPr>
          <w:rFonts w:ascii="宋体" w:hAnsi="宋体"/>
          <w:kern w:val="0"/>
          <w:highlight w:val="none"/>
        </w:rPr>
      </w:pPr>
      <w:r>
        <w:rPr>
          <w:rFonts w:hint="eastAsia" w:ascii="宋体" w:hAnsi="宋体"/>
          <w:kern w:val="0"/>
          <w:highlight w:val="none"/>
        </w:rPr>
        <w:t>19.1</w:t>
      </w:r>
      <w:r>
        <w:rPr>
          <w:rFonts w:hint="eastAsia" w:ascii="宋体" w:hAnsi="宋体"/>
          <w:b/>
          <w:kern w:val="0"/>
          <w:highlight w:val="none"/>
        </w:rPr>
        <w:t>第一轮谈判</w:t>
      </w:r>
    </w:p>
    <w:p>
      <w:pPr>
        <w:widowControl/>
        <w:spacing w:line="400" w:lineRule="exact"/>
        <w:ind w:firstLine="420" w:firstLineChars="200"/>
        <w:jc w:val="left"/>
        <w:rPr>
          <w:rFonts w:ascii="宋体" w:hAnsi="宋体"/>
          <w:kern w:val="0"/>
          <w:highlight w:val="none"/>
        </w:rPr>
      </w:pPr>
      <w:r>
        <w:rPr>
          <w:rFonts w:hint="eastAsia" w:ascii="宋体" w:hAnsi="宋体"/>
          <w:kern w:val="0"/>
          <w:highlight w:val="none"/>
        </w:rPr>
        <w:t>（一）</w:t>
      </w:r>
      <w:r>
        <w:rPr>
          <w:rFonts w:hint="eastAsia" w:ascii="宋体" w:hAnsi="宋体"/>
          <w:b/>
          <w:kern w:val="0"/>
          <w:highlight w:val="none"/>
        </w:rPr>
        <w:t>谈判准备</w:t>
      </w:r>
    </w:p>
    <w:p>
      <w:pPr>
        <w:widowControl/>
        <w:spacing w:line="400" w:lineRule="exact"/>
        <w:ind w:firstLine="420" w:firstLineChars="200"/>
        <w:jc w:val="left"/>
        <w:rPr>
          <w:rFonts w:ascii="宋体" w:hAnsi="宋体"/>
          <w:kern w:val="0"/>
          <w:highlight w:val="none"/>
        </w:rPr>
      </w:pPr>
      <w:r>
        <w:rPr>
          <w:rFonts w:hint="eastAsia" w:ascii="宋体" w:hAnsi="宋体"/>
          <w:kern w:val="0"/>
          <w:highlight w:val="none"/>
        </w:rPr>
        <w:t>本机构将在规定的时间和地点进行电子谈判，谈判供应商的法定代表人或其委托代理人应做好谈判准备，准时在线参加电子谈判会议，随时关注谈判进度。</w:t>
      </w:r>
    </w:p>
    <w:p>
      <w:pPr>
        <w:widowControl/>
        <w:spacing w:line="400" w:lineRule="exact"/>
        <w:ind w:firstLine="420" w:firstLineChars="200"/>
        <w:jc w:val="left"/>
        <w:rPr>
          <w:rFonts w:ascii="宋体" w:hAnsi="宋体"/>
          <w:kern w:val="0"/>
          <w:highlight w:val="none"/>
        </w:rPr>
      </w:pPr>
      <w:r>
        <w:rPr>
          <w:rFonts w:hint="eastAsia" w:ascii="宋体" w:hAnsi="宋体"/>
          <w:kern w:val="0"/>
          <w:highlight w:val="none"/>
        </w:rPr>
        <w:t>（二）</w:t>
      </w:r>
      <w:r>
        <w:rPr>
          <w:rFonts w:hint="eastAsia" w:ascii="宋体" w:hAnsi="宋体"/>
          <w:b/>
          <w:kern w:val="0"/>
          <w:highlight w:val="none"/>
        </w:rPr>
        <w:t xml:space="preserve"> 第一轮谈判程序：</w:t>
      </w:r>
    </w:p>
    <w:p>
      <w:pPr>
        <w:widowControl/>
        <w:spacing w:line="400" w:lineRule="exact"/>
        <w:ind w:firstLine="420" w:firstLineChars="200"/>
        <w:jc w:val="left"/>
        <w:rPr>
          <w:rFonts w:ascii="宋体" w:hAnsi="宋体"/>
          <w:kern w:val="0"/>
          <w:highlight w:val="none"/>
        </w:rPr>
      </w:pPr>
      <w:r>
        <w:rPr>
          <w:rFonts w:hint="eastAsia" w:ascii="宋体" w:hAnsi="宋体"/>
          <w:kern w:val="0"/>
          <w:highlight w:val="none"/>
        </w:rPr>
        <w:t>1.谈判会由本机构主持，主持人宣布谈判会议开始；</w:t>
      </w:r>
    </w:p>
    <w:p>
      <w:pPr>
        <w:widowControl/>
        <w:spacing w:line="400" w:lineRule="exact"/>
        <w:ind w:firstLine="420" w:firstLineChars="200"/>
        <w:jc w:val="left"/>
        <w:rPr>
          <w:rFonts w:ascii="宋体" w:hAnsi="宋体"/>
          <w:kern w:val="0"/>
          <w:highlight w:val="none"/>
        </w:rPr>
      </w:pPr>
      <w:r>
        <w:rPr>
          <w:rFonts w:hint="eastAsia" w:ascii="宋体" w:hAnsi="宋体"/>
          <w:kern w:val="0"/>
          <w:highlight w:val="none"/>
        </w:rPr>
        <w:t xml:space="preserve">2.主持人介绍参加谈判会的人员名单； </w:t>
      </w:r>
    </w:p>
    <w:p>
      <w:pPr>
        <w:widowControl/>
        <w:spacing w:line="400" w:lineRule="exact"/>
        <w:ind w:firstLine="420" w:firstLineChars="200"/>
        <w:jc w:val="left"/>
        <w:rPr>
          <w:rFonts w:ascii="宋体" w:hAnsi="宋体"/>
          <w:kern w:val="0"/>
          <w:highlight w:val="none"/>
        </w:rPr>
      </w:pPr>
      <w:r>
        <w:rPr>
          <w:rFonts w:hint="eastAsia" w:ascii="宋体" w:hAnsi="宋体"/>
          <w:kern w:val="0"/>
          <w:highlight w:val="none"/>
        </w:rPr>
        <w:t>3.主持人宣布谈判会议纪律及评审期间的有关事项；告知应当回避的情形,提请有关人员回避；</w:t>
      </w:r>
    </w:p>
    <w:p>
      <w:pPr>
        <w:widowControl/>
        <w:spacing w:line="400" w:lineRule="exact"/>
        <w:ind w:firstLine="420" w:firstLineChars="200"/>
        <w:jc w:val="left"/>
        <w:rPr>
          <w:rFonts w:ascii="宋体" w:hAnsi="宋体"/>
          <w:kern w:val="0"/>
          <w:highlight w:val="none"/>
        </w:rPr>
      </w:pPr>
      <w:r>
        <w:rPr>
          <w:rFonts w:hint="eastAsia" w:ascii="宋体" w:hAnsi="宋体"/>
          <w:kern w:val="0"/>
          <w:highlight w:val="none"/>
        </w:rPr>
        <w:t>4.谈判及评审程序</w:t>
      </w:r>
    </w:p>
    <w:p>
      <w:pPr>
        <w:widowControl/>
        <w:spacing w:line="400" w:lineRule="exact"/>
        <w:ind w:firstLine="420" w:firstLineChars="200"/>
        <w:jc w:val="left"/>
        <w:rPr>
          <w:rFonts w:ascii="宋体" w:hAnsi="宋体"/>
          <w:kern w:val="0"/>
          <w:highlight w:val="none"/>
        </w:rPr>
      </w:pPr>
      <w:r>
        <w:rPr>
          <w:rFonts w:hint="eastAsia" w:ascii="宋体" w:hAnsi="宋体"/>
          <w:kern w:val="0"/>
          <w:highlight w:val="none"/>
        </w:rPr>
        <w:t>（1）在谈判开始时间截止后30分钟内由各供应商自行对谈判响应文件进行解密；</w:t>
      </w:r>
    </w:p>
    <w:p>
      <w:pPr>
        <w:widowControl/>
        <w:spacing w:line="400" w:lineRule="exact"/>
        <w:ind w:firstLine="420" w:firstLineChars="200"/>
        <w:jc w:val="left"/>
        <w:rPr>
          <w:rFonts w:ascii="宋体" w:hAnsi="宋体"/>
          <w:kern w:val="0"/>
          <w:highlight w:val="none"/>
        </w:rPr>
      </w:pPr>
      <w:r>
        <w:rPr>
          <w:rFonts w:hint="eastAsia" w:ascii="宋体" w:hAnsi="宋体"/>
          <w:kern w:val="0"/>
          <w:highlight w:val="none"/>
        </w:rPr>
        <w:t>（2）由谈判小组进行资格审查和符合性审查，审查结束后，在线通知无效谈判供应商谈判响应文件无效理由，有效谈判供应商进入谈判程序。</w:t>
      </w:r>
    </w:p>
    <w:p>
      <w:pPr>
        <w:widowControl/>
        <w:spacing w:line="400" w:lineRule="exact"/>
        <w:ind w:firstLine="420" w:firstLineChars="200"/>
        <w:jc w:val="left"/>
        <w:rPr>
          <w:rFonts w:ascii="宋体" w:hAnsi="宋体"/>
          <w:kern w:val="0"/>
          <w:highlight w:val="none"/>
        </w:rPr>
      </w:pPr>
      <w:r>
        <w:rPr>
          <w:rFonts w:hint="eastAsia" w:ascii="宋体" w:hAnsi="宋体"/>
          <w:kern w:val="0"/>
          <w:highlight w:val="none"/>
        </w:rPr>
        <w:t>（3）系统对各供应商的商务技术进行汇总；</w:t>
      </w:r>
    </w:p>
    <w:p>
      <w:pPr>
        <w:widowControl/>
        <w:spacing w:line="400" w:lineRule="exact"/>
        <w:ind w:firstLine="420" w:firstLineChars="200"/>
        <w:jc w:val="left"/>
        <w:rPr>
          <w:rFonts w:ascii="宋体" w:hAnsi="宋体"/>
          <w:kern w:val="0"/>
          <w:highlight w:val="none"/>
        </w:rPr>
      </w:pPr>
      <w:r>
        <w:rPr>
          <w:rFonts w:hint="eastAsia" w:ascii="宋体" w:hAnsi="宋体"/>
          <w:kern w:val="0"/>
          <w:highlight w:val="none"/>
        </w:rPr>
        <w:t>（4）谈判小组所有成员应当集中与单一供应商分别进行在线谈判，并给予所有参加谈判的供应商平等的谈判机会。</w:t>
      </w:r>
    </w:p>
    <w:p>
      <w:pPr>
        <w:widowControl/>
        <w:spacing w:line="400" w:lineRule="exact"/>
        <w:ind w:firstLine="420" w:firstLineChars="200"/>
        <w:jc w:val="left"/>
        <w:rPr>
          <w:rFonts w:ascii="宋体" w:hAnsi="宋体"/>
          <w:kern w:val="0"/>
          <w:highlight w:val="none"/>
        </w:rPr>
      </w:pPr>
      <w:r>
        <w:rPr>
          <w:rFonts w:hint="eastAsia" w:ascii="宋体" w:hAnsi="宋体"/>
          <w:kern w:val="0"/>
          <w:highlight w:val="none"/>
        </w:rPr>
        <w:t>（5）当谈判小组一致确定供应商的竞争性谈判响应文件能够详细列明采购标的的技术、服务要求且符合竞争性响应文件要求，无需再谈判的，谈判小组按竞争性响应文件设定的19.4、19.6程序和评标方法确定成交候选供应商。第一轮谈判后竞争性响应文件有实质性变动或仍需谈判的，谈判小组对竞争性响应文件变动或提出谈判意见后进行第二轮谈判。</w:t>
      </w:r>
    </w:p>
    <w:p>
      <w:pPr>
        <w:widowControl/>
        <w:spacing w:line="400" w:lineRule="exact"/>
        <w:ind w:firstLine="422" w:firstLineChars="200"/>
        <w:jc w:val="left"/>
        <w:rPr>
          <w:rFonts w:ascii="宋体" w:hAnsi="宋体"/>
          <w:b/>
          <w:bCs/>
          <w:kern w:val="0"/>
          <w:highlight w:val="none"/>
        </w:rPr>
      </w:pPr>
      <w:r>
        <w:rPr>
          <w:rFonts w:hint="eastAsia" w:ascii="宋体" w:hAnsi="宋体"/>
          <w:b/>
          <w:bCs/>
          <w:kern w:val="0"/>
          <w:highlight w:val="none"/>
        </w:rPr>
        <w:t>19.2竞争性响应文件变动</w:t>
      </w:r>
    </w:p>
    <w:p>
      <w:pPr>
        <w:widowControl/>
        <w:spacing w:line="400" w:lineRule="exact"/>
        <w:ind w:firstLine="420" w:firstLineChars="200"/>
        <w:jc w:val="left"/>
        <w:rPr>
          <w:rFonts w:ascii="宋体" w:hAnsi="宋体"/>
          <w:kern w:val="0"/>
          <w:highlight w:val="none"/>
        </w:rPr>
      </w:pPr>
      <w:r>
        <w:rPr>
          <w:rFonts w:hint="eastAsia" w:ascii="宋体" w:hAnsi="宋体"/>
          <w:kern w:val="0"/>
          <w:highlight w:val="none"/>
        </w:rPr>
        <w:t>⑴第一轮谈判结束后，由谈判小组组长主持，根据竞争性响应文件和谈判情况结合第一轮谈判整体情况，可以对竞争性响应文件采购需求中已事先明确的可能实质性变动采购需求中的技术、服务要求以及合同草案条款进行统一变动，但不得变动竞争性响应文件中的其他内容。实质性变动的内容，须经采购人代表确认。</w:t>
      </w:r>
    </w:p>
    <w:p>
      <w:pPr>
        <w:widowControl/>
        <w:spacing w:line="400" w:lineRule="exact"/>
        <w:ind w:firstLine="420" w:firstLineChars="200"/>
        <w:jc w:val="left"/>
        <w:rPr>
          <w:rFonts w:ascii="宋体" w:hAnsi="宋体"/>
          <w:kern w:val="0"/>
          <w:highlight w:val="none"/>
        </w:rPr>
      </w:pPr>
      <w:r>
        <w:rPr>
          <w:rFonts w:hint="eastAsia" w:ascii="宋体" w:hAnsi="宋体"/>
          <w:kern w:val="0"/>
          <w:highlight w:val="none"/>
        </w:rPr>
        <w:t>对竞争性响应文件作出的实质性变动是竞争性响应文件的有效组成部分，谈判小组应当在询标规定时间内及时通知所有参加谈判的供应商，并要求供应商做出响应（需盖CA电子签章）。</w:t>
      </w:r>
    </w:p>
    <w:p>
      <w:pPr>
        <w:widowControl/>
        <w:spacing w:line="400" w:lineRule="exact"/>
        <w:ind w:firstLine="422" w:firstLineChars="200"/>
        <w:jc w:val="left"/>
        <w:rPr>
          <w:rFonts w:ascii="宋体" w:hAnsi="宋体"/>
          <w:b/>
          <w:bCs/>
          <w:kern w:val="0"/>
          <w:highlight w:val="none"/>
        </w:rPr>
      </w:pPr>
      <w:r>
        <w:rPr>
          <w:rFonts w:hint="eastAsia" w:ascii="宋体" w:hAnsi="宋体"/>
          <w:b/>
          <w:bCs/>
          <w:kern w:val="0"/>
          <w:highlight w:val="none"/>
        </w:rPr>
        <w:t>19.3第二轮谈判</w:t>
      </w:r>
    </w:p>
    <w:p>
      <w:pPr>
        <w:widowControl/>
        <w:spacing w:line="400" w:lineRule="exact"/>
        <w:ind w:firstLine="420" w:firstLineChars="200"/>
        <w:jc w:val="left"/>
        <w:rPr>
          <w:rFonts w:ascii="宋体" w:hAnsi="宋体"/>
          <w:kern w:val="0"/>
          <w:highlight w:val="none"/>
        </w:rPr>
      </w:pPr>
      <w:r>
        <w:rPr>
          <w:rFonts w:hint="eastAsia" w:ascii="宋体" w:hAnsi="宋体"/>
          <w:kern w:val="0"/>
          <w:highlight w:val="none"/>
        </w:rPr>
        <w:t>谈判小组集中就重新提交的响应材料或谈判小组提出的谈判意见与单一响应供应商分别进行在线谈判。</w:t>
      </w:r>
    </w:p>
    <w:p>
      <w:pPr>
        <w:widowControl/>
        <w:spacing w:line="400" w:lineRule="exact"/>
        <w:ind w:firstLine="420" w:firstLineChars="200"/>
        <w:jc w:val="left"/>
        <w:rPr>
          <w:rFonts w:ascii="宋体" w:hAnsi="宋体"/>
          <w:kern w:val="0"/>
          <w:highlight w:val="none"/>
        </w:rPr>
      </w:pPr>
      <w:r>
        <w:rPr>
          <w:rFonts w:hint="eastAsia" w:ascii="宋体" w:hAnsi="宋体"/>
          <w:kern w:val="0"/>
          <w:highlight w:val="none"/>
        </w:rPr>
        <w:t>谈判后，在询标规定时间内供应商根据谈判小组统一整理的谈判记录要求做出承诺（需盖CA电子签章）。</w:t>
      </w:r>
    </w:p>
    <w:p>
      <w:pPr>
        <w:widowControl/>
        <w:spacing w:line="400" w:lineRule="exact"/>
        <w:ind w:firstLine="420" w:firstLineChars="200"/>
        <w:jc w:val="left"/>
        <w:rPr>
          <w:rFonts w:ascii="宋体" w:hAnsi="宋体"/>
          <w:kern w:val="0"/>
          <w:highlight w:val="none"/>
        </w:rPr>
      </w:pPr>
      <w:r>
        <w:rPr>
          <w:rFonts w:hint="eastAsia" w:ascii="宋体" w:hAnsi="宋体"/>
          <w:kern w:val="0"/>
          <w:highlight w:val="none"/>
        </w:rPr>
        <w:t>当谈判小组一致确定供应商的竞争性谈判响应文件能够详细列明采购标的的技术、服务要求且符合竞争性响应文件要求，无需再谈判的，谈判小组按竞争性响应文件设定的19.4、19.6程序和评标方法确定成交候选供应商。第二轮谈判后竞争性响应文件仍有实质性变动的或仍需谈判的，谈判小组对竞争性响应文件变动或提出谈判意见后进行第三轮谈判。以此类推。</w:t>
      </w:r>
    </w:p>
    <w:p>
      <w:pPr>
        <w:widowControl/>
        <w:spacing w:line="400" w:lineRule="exact"/>
        <w:ind w:firstLine="420" w:firstLineChars="200"/>
        <w:jc w:val="left"/>
        <w:rPr>
          <w:rFonts w:ascii="宋体" w:hAnsi="宋体"/>
          <w:kern w:val="0"/>
          <w:highlight w:val="none"/>
        </w:rPr>
      </w:pPr>
      <w:r>
        <w:rPr>
          <w:rFonts w:hint="eastAsia" w:ascii="宋体" w:hAnsi="宋体"/>
          <w:kern w:val="0"/>
          <w:highlight w:val="none"/>
        </w:rPr>
        <w:t>特别说明：</w:t>
      </w:r>
    </w:p>
    <w:p>
      <w:pPr>
        <w:widowControl/>
        <w:spacing w:line="400" w:lineRule="exact"/>
        <w:ind w:firstLine="420" w:firstLineChars="200"/>
        <w:jc w:val="left"/>
        <w:rPr>
          <w:rFonts w:ascii="宋体" w:hAnsi="宋体"/>
          <w:kern w:val="0"/>
          <w:highlight w:val="none"/>
        </w:rPr>
      </w:pPr>
      <w:r>
        <w:rPr>
          <w:rFonts w:hint="eastAsia" w:ascii="宋体" w:hAnsi="宋体"/>
          <w:kern w:val="0"/>
          <w:highlight w:val="none"/>
        </w:rPr>
        <w:t>政采云公司如对电子化开标及评审程序有调整的，按调整后的程序操作。</w:t>
      </w:r>
    </w:p>
    <w:p>
      <w:pPr>
        <w:widowControl/>
        <w:spacing w:line="400" w:lineRule="exact"/>
        <w:ind w:firstLine="420" w:firstLineChars="200"/>
        <w:jc w:val="left"/>
        <w:rPr>
          <w:rFonts w:ascii="宋体" w:hAnsi="宋体"/>
          <w:kern w:val="0"/>
          <w:highlight w:val="none"/>
        </w:rPr>
      </w:pPr>
      <w:r>
        <w:rPr>
          <w:rFonts w:hint="eastAsia" w:ascii="宋体" w:hAnsi="宋体"/>
          <w:kern w:val="0"/>
          <w:highlight w:val="none"/>
        </w:rPr>
        <w:t>谈判评审在严格保密的情况下进行，谈判的任何一方不得透露与谈判有关的其他供应商的技术资料、价格和其他信息。</w:t>
      </w:r>
    </w:p>
    <w:p>
      <w:pPr>
        <w:widowControl/>
        <w:spacing w:line="400" w:lineRule="exact"/>
        <w:ind w:firstLine="420" w:firstLineChars="200"/>
        <w:jc w:val="left"/>
        <w:rPr>
          <w:rFonts w:ascii="宋体" w:hAnsi="宋体"/>
          <w:kern w:val="0"/>
          <w:highlight w:val="none"/>
        </w:rPr>
      </w:pPr>
      <w:r>
        <w:rPr>
          <w:rFonts w:hint="eastAsia" w:ascii="宋体" w:hAnsi="宋体"/>
          <w:kern w:val="0"/>
          <w:highlight w:val="none"/>
        </w:rPr>
        <w:t>电子谈判过程中需要供应商在线确认的所有内容，供应商不予确认的应说明理由，超过规定时间未确认的，将被视为放弃确认或者无异议。</w:t>
      </w:r>
    </w:p>
    <w:p>
      <w:pPr>
        <w:widowControl/>
        <w:spacing w:line="400" w:lineRule="exact"/>
        <w:ind w:firstLine="420" w:firstLineChars="200"/>
        <w:jc w:val="left"/>
        <w:rPr>
          <w:rFonts w:ascii="宋体" w:hAnsi="宋体"/>
          <w:kern w:val="0"/>
          <w:highlight w:val="none"/>
        </w:rPr>
      </w:pPr>
      <w:r>
        <w:rPr>
          <w:rFonts w:hint="eastAsia" w:ascii="宋体" w:hAnsi="宋体"/>
          <w:kern w:val="0"/>
          <w:highlight w:val="none"/>
        </w:rPr>
        <w:t>澄清问题的形式：对响应文件中含义不明确、同类问题表述不一致或者有明显文字和计算错误的内容，谈判小组可要求供应商作出必要的澄清、说明或者纠正，供应商应在询标规定时间内进行澄清或说明（需盖CA电子签章），并不得超出采购文件的范围或者改变谈判响应文件的实质性内容。</w:t>
      </w:r>
    </w:p>
    <w:p>
      <w:pPr>
        <w:widowControl/>
        <w:spacing w:line="400" w:lineRule="exact"/>
        <w:ind w:firstLine="422" w:firstLineChars="200"/>
        <w:jc w:val="left"/>
        <w:rPr>
          <w:rFonts w:ascii="宋体" w:hAnsi="宋体"/>
          <w:b/>
          <w:bCs/>
          <w:kern w:val="0"/>
          <w:highlight w:val="none"/>
        </w:rPr>
      </w:pPr>
      <w:r>
        <w:rPr>
          <w:rFonts w:hint="eastAsia" w:ascii="宋体" w:hAnsi="宋体"/>
          <w:b/>
          <w:bCs/>
          <w:kern w:val="0"/>
          <w:highlight w:val="none"/>
        </w:rPr>
        <w:t>19.4最后报价及成交候选供应商推荐</w:t>
      </w:r>
    </w:p>
    <w:p>
      <w:pPr>
        <w:widowControl/>
        <w:spacing w:line="400" w:lineRule="exact"/>
        <w:ind w:firstLine="420" w:firstLineChars="200"/>
        <w:jc w:val="left"/>
        <w:rPr>
          <w:rFonts w:ascii="宋体" w:hAnsi="宋体"/>
          <w:kern w:val="0"/>
          <w:highlight w:val="none"/>
        </w:rPr>
      </w:pPr>
      <w:r>
        <w:rPr>
          <w:rFonts w:hint="eastAsia" w:ascii="宋体" w:hAnsi="宋体"/>
          <w:kern w:val="0"/>
          <w:highlight w:val="none"/>
        </w:rPr>
        <w:t>谈判结束后，谈判小组要求所有继续参加谈判的供应商在规定时间内在线提交最后报价。继续参加谈判的供应商作最后报价，由其法定代表人(负责人)或授权代表CA电子签章后提交。</w:t>
      </w:r>
    </w:p>
    <w:p>
      <w:pPr>
        <w:pStyle w:val="8"/>
        <w:spacing w:line="380" w:lineRule="exact"/>
        <w:ind w:firstLine="420" w:firstLineChars="200"/>
        <w:rPr>
          <w:szCs w:val="21"/>
          <w:highlight w:val="none"/>
        </w:rPr>
      </w:pPr>
      <w:r>
        <w:rPr>
          <w:rFonts w:hint="eastAsia" w:hAnsi="宋体" w:cs="宋体"/>
          <w:kern w:val="0"/>
          <w:szCs w:val="21"/>
          <w:highlight w:val="none"/>
        </w:rPr>
        <w:t>谈判小组从质量和服务均能满足谈判文件全部实质性响应要求的供应商中，按照评审报价（最后报价及享受政府采购政策的优惠扣除）由低到高的顺序推荐2名成交候选供应商，</w:t>
      </w:r>
      <w:r>
        <w:rPr>
          <w:rFonts w:hint="eastAsia" w:hAnsi="宋体" w:cs="宋体"/>
          <w:szCs w:val="21"/>
          <w:highlight w:val="none"/>
        </w:rPr>
        <w:t>评审价格相同的，按最后报价由低到高顺序排序；当评审价格且最后报价相同的，</w:t>
      </w:r>
      <w:r>
        <w:rPr>
          <w:rFonts w:hint="eastAsia"/>
          <w:szCs w:val="21"/>
          <w:highlight w:val="none"/>
        </w:rPr>
        <w:t>则依次按技术指标高优先、售后服务优先原则排序。</w:t>
      </w:r>
    </w:p>
    <w:p>
      <w:pPr>
        <w:pStyle w:val="8"/>
        <w:spacing w:line="380" w:lineRule="exact"/>
        <w:ind w:firstLine="420" w:firstLineChars="200"/>
        <w:rPr>
          <w:rFonts w:hAnsi="宋体"/>
          <w:kern w:val="0"/>
          <w:highlight w:val="none"/>
        </w:rPr>
      </w:pPr>
      <w:r>
        <w:rPr>
          <w:rFonts w:hint="eastAsia" w:hAnsi="宋体"/>
          <w:kern w:val="0"/>
          <w:highlight w:val="none"/>
        </w:rPr>
        <w:t>谈判小组按照少数服从多数的原则推荐成交候选供应商，采购程序继续进行。对评审报告有异议的谈判小组成员，应当明确不同意见并说明理由。谈判小组成员拒绝提出理由的，视为同意评审结果。</w:t>
      </w:r>
    </w:p>
    <w:p>
      <w:pPr>
        <w:widowControl/>
        <w:spacing w:line="400" w:lineRule="exact"/>
        <w:ind w:firstLine="420" w:firstLineChars="200"/>
        <w:jc w:val="left"/>
        <w:rPr>
          <w:rFonts w:ascii="宋体" w:hAnsi="宋体"/>
          <w:kern w:val="0"/>
          <w:highlight w:val="none"/>
        </w:rPr>
      </w:pPr>
      <w:r>
        <w:rPr>
          <w:rFonts w:hint="eastAsia" w:ascii="宋体" w:hAnsi="宋体"/>
          <w:kern w:val="0"/>
          <w:highlight w:val="none"/>
        </w:rPr>
        <w:t>19.5供应商的报价均超过了政府采购最高限价，采购人不能支付的，谈判活动终止。</w:t>
      </w:r>
    </w:p>
    <w:p>
      <w:pPr>
        <w:widowControl/>
        <w:spacing w:line="400" w:lineRule="exact"/>
        <w:ind w:firstLine="420" w:firstLineChars="200"/>
        <w:jc w:val="left"/>
        <w:rPr>
          <w:rFonts w:ascii="宋体" w:hAnsi="宋体"/>
          <w:kern w:val="0"/>
          <w:highlight w:val="none"/>
        </w:rPr>
      </w:pPr>
      <w:r>
        <w:rPr>
          <w:rFonts w:hint="eastAsia" w:ascii="宋体" w:hAnsi="宋体"/>
          <w:kern w:val="0"/>
          <w:highlight w:val="none"/>
        </w:rPr>
        <w:t>19.6</w:t>
      </w:r>
      <w:r>
        <w:rPr>
          <w:rFonts w:hint="eastAsia"/>
          <w:highlight w:val="none"/>
        </w:rPr>
        <w:t>本采购项目的评审依据为竞争性响应文件和竞争性谈判响应文件，采用的评标方法为</w:t>
      </w:r>
      <w:r>
        <w:rPr>
          <w:rFonts w:hint="eastAsia"/>
          <w:b/>
          <w:highlight w:val="none"/>
        </w:rPr>
        <w:t>最低评标价法</w:t>
      </w:r>
      <w:r>
        <w:rPr>
          <w:rFonts w:hint="eastAsia"/>
          <w:highlight w:val="none"/>
        </w:rPr>
        <w:t>。</w:t>
      </w:r>
    </w:p>
    <w:p>
      <w:pPr>
        <w:widowControl/>
        <w:spacing w:line="400" w:lineRule="exact"/>
        <w:ind w:firstLine="420" w:firstLineChars="200"/>
        <w:jc w:val="left"/>
        <w:rPr>
          <w:rFonts w:ascii="宋体" w:hAnsi="宋体"/>
          <w:kern w:val="0"/>
          <w:highlight w:val="none"/>
        </w:rPr>
      </w:pPr>
      <w:r>
        <w:rPr>
          <w:rFonts w:hint="eastAsia" w:ascii="宋体" w:hAnsi="宋体"/>
          <w:kern w:val="0"/>
          <w:highlight w:val="none"/>
        </w:rPr>
        <w:t>19.7可中止电子交易活动的情形</w:t>
      </w:r>
    </w:p>
    <w:p>
      <w:pPr>
        <w:widowControl/>
        <w:spacing w:line="400" w:lineRule="exact"/>
        <w:ind w:firstLine="420" w:firstLineChars="200"/>
        <w:jc w:val="left"/>
        <w:rPr>
          <w:rFonts w:ascii="宋体" w:hAnsi="宋体"/>
          <w:kern w:val="0"/>
          <w:highlight w:val="none"/>
        </w:rPr>
      </w:pPr>
      <w:r>
        <w:rPr>
          <w:rFonts w:hint="eastAsia" w:ascii="宋体" w:hAnsi="宋体"/>
          <w:kern w:val="0"/>
          <w:highlight w:val="none"/>
        </w:rPr>
        <w:t>采购过程中出现以下情形，导致电子交易平台无法正常运行，或者无法保证电子交易的公平、公正和安全时，本机构可中止电子标活动：</w:t>
      </w:r>
    </w:p>
    <w:p>
      <w:pPr>
        <w:widowControl/>
        <w:spacing w:line="400" w:lineRule="exact"/>
        <w:ind w:firstLine="420" w:firstLineChars="200"/>
        <w:jc w:val="left"/>
        <w:rPr>
          <w:rFonts w:ascii="宋体" w:hAnsi="宋体"/>
          <w:kern w:val="0"/>
          <w:highlight w:val="none"/>
        </w:rPr>
      </w:pPr>
      <w:r>
        <w:rPr>
          <w:rFonts w:ascii="宋体" w:hAnsi="宋体"/>
          <w:kern w:val="0"/>
          <w:highlight w:val="none"/>
        </w:rPr>
        <w:t>(1)</w:t>
      </w:r>
      <w:r>
        <w:rPr>
          <w:rFonts w:hint="eastAsia" w:ascii="宋体" w:hAnsi="宋体"/>
          <w:kern w:val="0"/>
          <w:highlight w:val="none"/>
        </w:rPr>
        <w:t>电子交易平台发生故障而无法登录访问的；</w:t>
      </w:r>
    </w:p>
    <w:p>
      <w:pPr>
        <w:widowControl/>
        <w:spacing w:line="400" w:lineRule="exact"/>
        <w:ind w:firstLine="420" w:firstLineChars="200"/>
        <w:jc w:val="left"/>
        <w:rPr>
          <w:rFonts w:ascii="宋体" w:hAnsi="宋体"/>
          <w:kern w:val="0"/>
          <w:highlight w:val="none"/>
        </w:rPr>
      </w:pPr>
      <w:r>
        <w:rPr>
          <w:rFonts w:ascii="宋体" w:hAnsi="宋体"/>
          <w:kern w:val="0"/>
          <w:highlight w:val="none"/>
        </w:rPr>
        <w:t>(2)</w:t>
      </w:r>
      <w:r>
        <w:rPr>
          <w:rFonts w:hint="eastAsia" w:ascii="宋体" w:hAnsi="宋体"/>
          <w:kern w:val="0"/>
          <w:highlight w:val="none"/>
        </w:rPr>
        <w:t>电子交易平台应用或数据库出现错误，不能进行正常操作的；</w:t>
      </w:r>
    </w:p>
    <w:p>
      <w:pPr>
        <w:widowControl/>
        <w:spacing w:line="400" w:lineRule="exact"/>
        <w:ind w:firstLine="420" w:firstLineChars="200"/>
        <w:jc w:val="left"/>
        <w:rPr>
          <w:rFonts w:ascii="宋体" w:hAnsi="宋体"/>
          <w:kern w:val="0"/>
          <w:highlight w:val="none"/>
        </w:rPr>
      </w:pPr>
      <w:r>
        <w:rPr>
          <w:rFonts w:ascii="宋体" w:hAnsi="宋体"/>
          <w:kern w:val="0"/>
          <w:highlight w:val="none"/>
        </w:rPr>
        <w:t>(3)</w:t>
      </w:r>
      <w:r>
        <w:rPr>
          <w:rFonts w:hint="eastAsia" w:ascii="宋体" w:hAnsi="宋体"/>
          <w:kern w:val="0"/>
          <w:highlight w:val="none"/>
        </w:rPr>
        <w:t>电子交易平台发现严重安全漏洞，有潜在泄密危险的；</w:t>
      </w:r>
    </w:p>
    <w:p>
      <w:pPr>
        <w:widowControl/>
        <w:spacing w:line="400" w:lineRule="exact"/>
        <w:ind w:firstLine="420" w:firstLineChars="200"/>
        <w:jc w:val="left"/>
        <w:rPr>
          <w:rFonts w:ascii="宋体" w:hAnsi="宋体"/>
          <w:kern w:val="0"/>
          <w:highlight w:val="none"/>
        </w:rPr>
      </w:pPr>
      <w:r>
        <w:rPr>
          <w:rFonts w:ascii="宋体" w:hAnsi="宋体"/>
          <w:kern w:val="0"/>
          <w:highlight w:val="none"/>
        </w:rPr>
        <w:t>(4)</w:t>
      </w:r>
      <w:r>
        <w:rPr>
          <w:rFonts w:hint="eastAsia" w:ascii="宋体" w:hAnsi="宋体"/>
          <w:kern w:val="0"/>
          <w:highlight w:val="none"/>
        </w:rPr>
        <w:t>病毒发作导致不能进行正常操作的；</w:t>
      </w:r>
    </w:p>
    <w:p>
      <w:pPr>
        <w:widowControl/>
        <w:spacing w:line="400" w:lineRule="exact"/>
        <w:ind w:firstLine="420" w:firstLineChars="200"/>
        <w:jc w:val="left"/>
        <w:rPr>
          <w:rFonts w:ascii="宋体" w:hAnsi="宋体"/>
          <w:kern w:val="0"/>
          <w:highlight w:val="none"/>
        </w:rPr>
      </w:pPr>
      <w:r>
        <w:rPr>
          <w:rFonts w:ascii="宋体" w:hAnsi="宋体"/>
          <w:kern w:val="0"/>
          <w:highlight w:val="none"/>
        </w:rPr>
        <w:t>(5)</w:t>
      </w:r>
      <w:r>
        <w:rPr>
          <w:rFonts w:hint="eastAsia" w:ascii="宋体" w:hAnsi="宋体"/>
          <w:kern w:val="0"/>
          <w:highlight w:val="none"/>
        </w:rPr>
        <w:t>其他无法保证电子交易的公平、公正和安全的情况。</w:t>
      </w:r>
    </w:p>
    <w:p>
      <w:pPr>
        <w:widowControl/>
        <w:spacing w:line="400" w:lineRule="exact"/>
        <w:ind w:firstLine="420" w:firstLineChars="200"/>
        <w:jc w:val="left"/>
        <w:rPr>
          <w:rFonts w:ascii="宋体" w:hAnsi="宋体"/>
          <w:kern w:val="0"/>
          <w:highlight w:val="none"/>
        </w:rPr>
      </w:pPr>
      <w:r>
        <w:rPr>
          <w:rFonts w:hint="eastAsia" w:ascii="宋体" w:hAnsi="宋体"/>
          <w:kern w:val="0"/>
          <w:highlight w:val="none"/>
        </w:rPr>
        <w:t>出现前款规定情形，不影响采购公平、公正性的，本机构待上述情形消除后继续组织电子交易活动；影响或可能影响采购公平、公正性的，重新组织采购活动。</w:t>
      </w:r>
    </w:p>
    <w:p>
      <w:pPr>
        <w:pStyle w:val="8"/>
        <w:spacing w:line="440" w:lineRule="exact"/>
        <w:ind w:firstLine="420" w:firstLineChars="200"/>
        <w:rPr>
          <w:rFonts w:hAnsi="宋体"/>
          <w:highlight w:val="none"/>
        </w:rPr>
      </w:pPr>
    </w:p>
    <w:p>
      <w:pPr>
        <w:spacing w:line="420" w:lineRule="atLeast"/>
        <w:jc w:val="center"/>
        <w:rPr>
          <w:rFonts w:ascii="宋体" w:hAnsi="宋体"/>
          <w:b/>
          <w:highlight w:val="none"/>
        </w:rPr>
      </w:pPr>
      <w:r>
        <w:rPr>
          <w:rFonts w:hint="eastAsia" w:ascii="宋体" w:hAnsi="宋体"/>
          <w:b/>
          <w:highlight w:val="none"/>
        </w:rPr>
        <w:t>五  签订合同</w:t>
      </w:r>
    </w:p>
    <w:p>
      <w:pPr>
        <w:pStyle w:val="8"/>
        <w:spacing w:line="420" w:lineRule="atLeast"/>
        <w:rPr>
          <w:rFonts w:hAnsi="宋体"/>
          <w:highlight w:val="none"/>
        </w:rPr>
      </w:pPr>
      <w:r>
        <w:rPr>
          <w:rFonts w:hint="eastAsia" w:hAnsi="宋体"/>
          <w:b/>
          <w:highlight w:val="none"/>
        </w:rPr>
        <w:t>20.成交通知</w:t>
      </w:r>
    </w:p>
    <w:p>
      <w:pPr>
        <w:pStyle w:val="8"/>
        <w:wordWrap w:val="0"/>
        <w:spacing w:line="420" w:lineRule="atLeast"/>
        <w:ind w:left="420" w:hanging="420" w:hangingChars="200"/>
        <w:rPr>
          <w:rFonts w:hAnsi="宋体"/>
          <w:highlight w:val="none"/>
        </w:rPr>
      </w:pPr>
      <w:r>
        <w:rPr>
          <w:rFonts w:hint="eastAsia" w:hAnsi="宋体"/>
          <w:highlight w:val="none"/>
        </w:rPr>
        <w:t>20.1采购代理机构根据谈判小组的评审结果，在竞标有效期内向成交人发出成交通知书，并在发布谈判公告的网站发布成交结果公告。</w:t>
      </w:r>
    </w:p>
    <w:p>
      <w:pPr>
        <w:pStyle w:val="8"/>
        <w:spacing w:line="420" w:lineRule="atLeast"/>
        <w:ind w:left="420" w:hanging="420" w:hangingChars="200"/>
        <w:rPr>
          <w:rFonts w:hAnsi="宋体"/>
          <w:highlight w:val="none"/>
        </w:rPr>
      </w:pPr>
      <w:r>
        <w:rPr>
          <w:rFonts w:hint="eastAsia" w:hAnsi="宋体"/>
          <w:highlight w:val="none"/>
        </w:rPr>
        <w:t>20.2谈判供应商认为权益受到损害的，必须首先以书面形式向本机构提出质疑，质疑书必须是由质疑人法定代表人、主要负责人或者其授权代表签字或盖章同时加盖单位公章，由法定代表人或其委托代理人持法定代表人授权委托书递交。本机构将在收到书面质疑后七个工作日内做出答复，但答复的内容不得涉及商业秘密；如本机构未在规定时间内做出答复或谈判供应商对答复不满意的，可以在答复期满后十五个工作日内书面向有关政府采购监督管理部门投诉。</w:t>
      </w:r>
    </w:p>
    <w:p>
      <w:pPr>
        <w:spacing w:line="420" w:lineRule="atLeast"/>
        <w:rPr>
          <w:rFonts w:ascii="宋体" w:hAnsi="宋体"/>
          <w:b/>
          <w:highlight w:val="none"/>
        </w:rPr>
      </w:pPr>
      <w:r>
        <w:rPr>
          <w:rFonts w:hint="eastAsia" w:ascii="宋体" w:hAnsi="宋体"/>
          <w:b/>
          <w:highlight w:val="none"/>
        </w:rPr>
        <w:t>21.合同授予标准</w:t>
      </w:r>
    </w:p>
    <w:p>
      <w:pPr>
        <w:pStyle w:val="8"/>
        <w:spacing w:line="420" w:lineRule="atLeast"/>
        <w:rPr>
          <w:rFonts w:hAnsi="宋体"/>
          <w:highlight w:val="none"/>
        </w:rPr>
      </w:pPr>
      <w:r>
        <w:rPr>
          <w:rFonts w:hint="eastAsia" w:hAnsi="宋体"/>
          <w:highlight w:val="none"/>
        </w:rPr>
        <w:t>21.1合同将授予被确定为实质上响应谈判采购文件要求，具备履行合同能力，最后报价最低的谈判供应商。</w:t>
      </w:r>
    </w:p>
    <w:p>
      <w:pPr>
        <w:pStyle w:val="8"/>
        <w:spacing w:line="420" w:lineRule="atLeast"/>
        <w:rPr>
          <w:rFonts w:hAnsi="宋体"/>
          <w:b/>
          <w:highlight w:val="none"/>
        </w:rPr>
      </w:pPr>
      <w:r>
        <w:rPr>
          <w:rFonts w:hint="eastAsia" w:hAnsi="宋体"/>
          <w:b/>
          <w:highlight w:val="none"/>
        </w:rPr>
        <w:t>22.签订合同</w:t>
      </w:r>
    </w:p>
    <w:p>
      <w:pPr>
        <w:spacing w:line="340" w:lineRule="exact"/>
        <w:rPr>
          <w:rFonts w:ascii="宋体" w:hAnsi="宋体"/>
          <w:szCs w:val="20"/>
          <w:highlight w:val="none"/>
        </w:rPr>
      </w:pPr>
      <w:r>
        <w:rPr>
          <w:rFonts w:hint="eastAsia" w:ascii="宋体" w:hAnsi="宋体"/>
          <w:szCs w:val="20"/>
          <w:highlight w:val="none"/>
        </w:rPr>
        <w:t>22.1成交供应商自成交通知书发出之日起：15日内与采购人签订合同（采购需求中另有要求的，按要求执行）。与采购单位签订合同后,并在合同签订之日起2个工作日内送合同副本到本机构进行公示。</w:t>
      </w:r>
    </w:p>
    <w:p>
      <w:pPr>
        <w:pStyle w:val="8"/>
        <w:spacing w:line="420" w:lineRule="atLeast"/>
        <w:ind w:left="420" w:hanging="420" w:hangingChars="200"/>
        <w:rPr>
          <w:rFonts w:hAnsi="宋体"/>
          <w:highlight w:val="none"/>
        </w:rPr>
      </w:pPr>
      <w:r>
        <w:rPr>
          <w:rFonts w:hint="eastAsia" w:hAnsi="宋体"/>
          <w:highlight w:val="none"/>
        </w:rPr>
        <w:t>22.2成交供应商不按采购代理机构规定时间、地点按时签约的，按成交供应商违约处理。采购代理机构将没收成交供应商谈判的全部谈判保证金（如有）。</w:t>
      </w:r>
    </w:p>
    <w:p>
      <w:pPr>
        <w:pStyle w:val="8"/>
        <w:spacing w:line="420" w:lineRule="atLeast"/>
        <w:rPr>
          <w:rFonts w:hAnsi="宋体"/>
          <w:highlight w:val="none"/>
        </w:rPr>
      </w:pPr>
      <w:r>
        <w:rPr>
          <w:rFonts w:hint="eastAsia" w:hAnsi="宋体"/>
          <w:highlight w:val="none"/>
        </w:rPr>
        <w:t>22.3</w:t>
      </w:r>
      <w:r>
        <w:rPr>
          <w:rFonts w:hint="eastAsia" w:hAnsi="宋体" w:cs="宋体"/>
          <w:szCs w:val="21"/>
          <w:highlight w:val="none"/>
        </w:rPr>
        <w:t>成交供应商拒绝签订政府采购合同的</w:t>
      </w:r>
      <w:r>
        <w:rPr>
          <w:rFonts w:hint="eastAsia" w:hAnsi="宋体"/>
          <w:highlight w:val="none"/>
        </w:rPr>
        <w:t>，合格供应商符合法定数量时，可以从合格的中标或者成交候选人中另行确定中标或者成交供应商的，采购人可以根据谈判评审报告确定排名第三的成交候选人</w:t>
      </w:r>
      <w:r>
        <w:rPr>
          <w:rFonts w:hint="eastAsia" w:hAnsi="宋体" w:cs="宋体"/>
          <w:szCs w:val="21"/>
          <w:highlight w:val="none"/>
        </w:rPr>
        <w:t>作为</w:t>
      </w:r>
      <w:r>
        <w:rPr>
          <w:rFonts w:hint="eastAsia" w:hAnsi="宋体"/>
          <w:highlight w:val="none"/>
        </w:rPr>
        <w:t>成交供应商</w:t>
      </w:r>
      <w:r>
        <w:rPr>
          <w:rFonts w:hint="eastAsia" w:hAnsi="宋体" w:cs="宋体"/>
          <w:szCs w:val="21"/>
          <w:highlight w:val="none"/>
        </w:rPr>
        <w:t>并签订政府采购合同，以此类推，</w:t>
      </w:r>
      <w:r>
        <w:rPr>
          <w:rFonts w:hint="eastAsia" w:hAnsi="宋体"/>
          <w:highlight w:val="none"/>
        </w:rPr>
        <w:t>否则责令重新开展采购活动</w:t>
      </w:r>
      <w:r>
        <w:rPr>
          <w:rFonts w:hint="eastAsia" w:hAnsi="宋体" w:cs="宋体"/>
          <w:szCs w:val="21"/>
          <w:highlight w:val="none"/>
        </w:rPr>
        <w:t>。拒绝签订政府采购合同的成交供应商不得参加对该项目重新开展的采购活动</w:t>
      </w:r>
      <w:r>
        <w:rPr>
          <w:rFonts w:hint="eastAsia" w:hAnsi="宋体"/>
          <w:highlight w:val="none"/>
        </w:rPr>
        <w:t>。</w:t>
      </w:r>
    </w:p>
    <w:p>
      <w:pPr>
        <w:pStyle w:val="8"/>
        <w:spacing w:line="420" w:lineRule="atLeast"/>
        <w:ind w:left="420" w:hanging="420" w:hangingChars="200"/>
        <w:rPr>
          <w:rFonts w:hAnsi="宋体"/>
          <w:highlight w:val="none"/>
        </w:rPr>
      </w:pPr>
      <w:r>
        <w:rPr>
          <w:rFonts w:hint="eastAsia" w:hAnsi="宋体"/>
          <w:szCs w:val="21"/>
          <w:highlight w:val="none"/>
        </w:rPr>
        <w:t>22.4成交通知书发出后，成交供应商放弃成交项目的，无正当理由不与采购人签订合同的，在签订合同时向采购人提出附加条件或者更改合同实质性内容的，或者拒不提交所要求的履约保证金（如有）的，采购人可取消其成交资格，没收其谈判保证金。</w:t>
      </w:r>
    </w:p>
    <w:p>
      <w:pPr>
        <w:spacing w:line="420" w:lineRule="atLeast"/>
        <w:jc w:val="center"/>
        <w:rPr>
          <w:rFonts w:ascii="宋体" w:hAnsi="宋体"/>
          <w:b/>
          <w:highlight w:val="none"/>
        </w:rPr>
      </w:pPr>
      <w:r>
        <w:rPr>
          <w:rFonts w:hint="eastAsia" w:ascii="宋体" w:hAnsi="宋体"/>
          <w:b/>
          <w:highlight w:val="none"/>
        </w:rPr>
        <w:t>六  其他事项</w:t>
      </w:r>
    </w:p>
    <w:p>
      <w:pPr>
        <w:pStyle w:val="8"/>
        <w:spacing w:line="360" w:lineRule="exact"/>
        <w:rPr>
          <w:szCs w:val="21"/>
          <w:highlight w:val="none"/>
        </w:rPr>
      </w:pPr>
      <w:r>
        <w:rPr>
          <w:rFonts w:hint="eastAsia" w:hAnsi="宋体"/>
          <w:highlight w:val="none"/>
        </w:rPr>
        <w:t>23.</w:t>
      </w:r>
      <w:r>
        <w:rPr>
          <w:rFonts w:hint="eastAsia"/>
          <w:szCs w:val="21"/>
          <w:highlight w:val="none"/>
        </w:rPr>
        <w:t>采购代理服务费</w:t>
      </w:r>
      <w:r>
        <w:rPr>
          <w:rFonts w:hint="eastAsia"/>
          <w:highlight w:val="none"/>
        </w:rPr>
        <w:t>按照收费标货物招标的标准向成交供应商收取，每家成交供应商的服务费按预算金额200万元×成交供应商最低成交折扣率÷2计算。</w:t>
      </w:r>
      <w:r>
        <w:rPr>
          <w:rFonts w:hint="eastAsia" w:hAnsi="宋体"/>
          <w:highlight w:val="none"/>
        </w:rPr>
        <w:t>在成交通知书发出前，成交供应商应向采购代理机构一次付清代理服务费。</w:t>
      </w:r>
      <w:r>
        <w:rPr>
          <w:rFonts w:hint="eastAsia"/>
          <w:highlight w:val="none"/>
        </w:rPr>
        <w:t>供应商的竞标报价应包含此项费用。</w:t>
      </w:r>
    </w:p>
    <w:p>
      <w:pPr>
        <w:pStyle w:val="8"/>
        <w:spacing w:line="360" w:lineRule="exact"/>
        <w:ind w:firstLine="420" w:firstLineChars="200"/>
        <w:rPr>
          <w:highlight w:val="none"/>
        </w:rPr>
      </w:pPr>
    </w:p>
    <w:p>
      <w:pPr>
        <w:pStyle w:val="8"/>
        <w:spacing w:line="360" w:lineRule="exact"/>
        <w:ind w:firstLine="420" w:firstLineChars="200"/>
        <w:rPr>
          <w:highlight w:val="none"/>
        </w:rPr>
      </w:pPr>
      <w:r>
        <w:rPr>
          <w:rFonts w:hint="eastAsia"/>
          <w:highlight w:val="none"/>
        </w:rPr>
        <w:t>代理服务收费标准：</w:t>
      </w:r>
    </w:p>
    <w:p>
      <w:pPr>
        <w:pStyle w:val="8"/>
        <w:spacing w:line="360" w:lineRule="exact"/>
        <w:ind w:firstLine="420" w:firstLineChars="200"/>
        <w:rPr>
          <w:highlight w:val="none"/>
        </w:rPr>
      </w:pPr>
    </w:p>
    <w:tbl>
      <w:tblPr>
        <w:tblStyle w:val="13"/>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09"/>
        <w:gridCol w:w="1399"/>
        <w:gridCol w:w="1245"/>
        <w:gridCol w:w="25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6" w:hRule="atLeast"/>
          <w:jc w:val="center"/>
        </w:trPr>
        <w:tc>
          <w:tcPr>
            <w:tcW w:w="1909" w:type="dxa"/>
            <w:noWrap/>
            <w:vAlign w:val="bottom"/>
          </w:tcPr>
          <w:p>
            <w:pPr>
              <w:widowControl/>
              <w:ind w:left="1155" w:leftChars="400" w:hanging="315" w:hangingChars="150"/>
              <w:jc w:val="left"/>
              <w:rPr>
                <w:rFonts w:ascii="宋体" w:hAnsi="宋体" w:cs="宋体"/>
                <w:kern w:val="0"/>
                <w:szCs w:val="21"/>
                <w:highlight w:val="none"/>
              </w:rPr>
            </w:pPr>
            <w:r>
              <w:rPr>
                <w:rFonts w:ascii="宋体" w:hAnsi="宋体" w:cs="宋体"/>
                <w:kern w:val="0"/>
                <w:szCs w:val="21"/>
                <w:highlight w:val="none"/>
              </w:rPr>
              <mc:AlternateContent>
                <mc:Choice Requires="wps">
                  <w:drawing>
                    <wp:anchor distT="0" distB="0" distL="114300" distR="114300" simplePos="0" relativeHeight="251664384" behindDoc="0" locked="0" layoutInCell="1" allowOverlap="1">
                      <wp:simplePos x="0" y="0"/>
                      <wp:positionH relativeFrom="column">
                        <wp:posOffset>334010</wp:posOffset>
                      </wp:positionH>
                      <wp:positionV relativeFrom="paragraph">
                        <wp:posOffset>4445</wp:posOffset>
                      </wp:positionV>
                      <wp:extent cx="799465" cy="848995"/>
                      <wp:effectExtent l="3175" t="3175" r="16510" b="5080"/>
                      <wp:wrapNone/>
                      <wp:docPr id="8" name="直接箭头连接符 8"/>
                      <wp:cNvGraphicFramePr/>
                      <a:graphic xmlns:a="http://schemas.openxmlformats.org/drawingml/2006/main">
                        <a:graphicData uri="http://schemas.microsoft.com/office/word/2010/wordprocessingShape">
                          <wps:wsp>
                            <wps:cNvCnPr/>
                            <wps:spPr>
                              <a:xfrm flipH="1" flipV="1">
                                <a:off x="0" y="0"/>
                                <a:ext cx="799465" cy="84899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flip:x y;margin-left:26.3pt;margin-top:0.35pt;height:66.85pt;width:62.95pt;z-index:251664384;mso-width-relative:page;mso-height-relative:page;" filled="f" stroked="t" coordsize="21600,21600" o:gfxdata="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IYvyJfYAAAABwEAAA8AAAAAAAAA&#10;AQAgAAAAIgAAAGRycy9kb3ducmV2LnhtbFBLAQIUABQAAAAIAIdO4kAvTVzJEQIAABIEAAAOAAAA&#10;AAAAAAEAIAAAACcBAABkcnMvZTJvRG9jLnhtbFBLBQYAAAAABgAGAFkBAACqBQAAAAA=&#10;">
                      <v:fill on="f" focussize="0,0"/>
                      <v:stroke color="#000000" joinstyle="round"/>
                      <v:imagedata o:title=""/>
                      <o:lock v:ext="edit" aspectratio="f"/>
                    </v:shape>
                  </w:pict>
                </mc:Fallback>
              </mc:AlternateContent>
            </w:r>
            <w:r>
              <w:rPr>
                <w:rFonts w:hint="eastAsia" w:ascii="宋体" w:hAnsi="宋体" w:cs="宋体"/>
                <w:kern w:val="0"/>
                <w:szCs w:val="21"/>
                <w:highlight w:val="none"/>
              </w:rPr>
              <w:t>服务类型</w:t>
            </w:r>
          </w:p>
          <w:p>
            <w:pPr>
              <w:widowControl/>
              <w:ind w:left="1155" w:hanging="1155" w:hangingChars="550"/>
              <w:jc w:val="left"/>
              <w:rPr>
                <w:rFonts w:ascii="宋体" w:hAnsi="宋体" w:cs="宋体"/>
                <w:kern w:val="0"/>
                <w:szCs w:val="21"/>
                <w:highlight w:val="none"/>
              </w:rPr>
            </w:pPr>
            <w:r>
              <w:rPr>
                <w:rFonts w:hint="eastAsia" w:ascii="宋体" w:hAnsi="宋体" w:cs="宋体"/>
                <w:kern w:val="0"/>
                <w:szCs w:val="21"/>
                <w:highlight w:val="none"/>
              </w:rPr>
              <w:t xml:space="preserve">费率           </w:t>
            </w:r>
          </w:p>
          <w:p>
            <w:pPr>
              <w:widowControl/>
              <w:jc w:val="left"/>
              <w:rPr>
                <w:rFonts w:ascii="宋体" w:hAnsi="宋体" w:cs="宋体"/>
                <w:kern w:val="0"/>
                <w:szCs w:val="21"/>
                <w:highlight w:val="none"/>
              </w:rPr>
            </w:pPr>
            <w:r>
              <w:rPr>
                <w:rFonts w:ascii="宋体" w:hAnsi="宋体" w:cs="宋体"/>
                <w:kern w:val="0"/>
                <w:szCs w:val="21"/>
                <w:highlight w:val="none"/>
              </w:rPr>
              <mc:AlternateContent>
                <mc:Choice Requires="wps">
                  <w:drawing>
                    <wp:anchor distT="0" distB="0" distL="114300" distR="114300" simplePos="0" relativeHeight="251665408" behindDoc="0" locked="0" layoutInCell="1" allowOverlap="1">
                      <wp:simplePos x="0" y="0"/>
                      <wp:positionH relativeFrom="column">
                        <wp:posOffset>-73660</wp:posOffset>
                      </wp:positionH>
                      <wp:positionV relativeFrom="paragraph">
                        <wp:posOffset>90805</wp:posOffset>
                      </wp:positionV>
                      <wp:extent cx="1207135" cy="416560"/>
                      <wp:effectExtent l="1270" t="4445" r="10795" b="17145"/>
                      <wp:wrapNone/>
                      <wp:docPr id="10" name="直接箭头连接符 10"/>
                      <wp:cNvGraphicFramePr/>
                      <a:graphic xmlns:a="http://schemas.openxmlformats.org/drawingml/2006/main">
                        <a:graphicData uri="http://schemas.microsoft.com/office/word/2010/wordprocessingShape">
                          <wps:wsp>
                            <wps:cNvCnPr/>
                            <wps:spPr>
                              <a:xfrm>
                                <a:off x="0" y="0"/>
                                <a:ext cx="1207135" cy="41656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5.8pt;margin-top:7.15pt;height:32.8pt;width:95.05pt;z-index:251665408;mso-width-relative:page;mso-height-relative:page;" filled="f" stroked="t" coordsize="21600,21600" o:gfxdata="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NNBxc7YAAAACQEAAA8AAAAAAAAAAQAgAAAAIgAA&#10;AGRycy9kb3ducmV2LnhtbFBLAQIUABQAAAAIAIdO4kBlTQM7CAIAAAEEAAAOAAAAAAAAAAEAIAAA&#10;ACcBAABkcnMvZTJvRG9jLnhtbFBLBQYAAAAABgAGAFkBAAChBQAAAAA=&#10;">
                      <v:fill on="f" focussize="0,0"/>
                      <v:stroke color="#000000" joinstyle="round"/>
                      <v:imagedata o:title=""/>
                      <o:lock v:ext="edit" aspectratio="f"/>
                    </v:shape>
                  </w:pict>
                </mc:Fallback>
              </mc:AlternateContent>
            </w:r>
          </w:p>
          <w:p>
            <w:pPr>
              <w:widowControl/>
              <w:jc w:val="left"/>
              <w:rPr>
                <w:rFonts w:ascii="宋体" w:hAnsi="宋体" w:cs="宋体"/>
                <w:kern w:val="0"/>
                <w:szCs w:val="21"/>
                <w:highlight w:val="none"/>
              </w:rPr>
            </w:pPr>
          </w:p>
          <w:p>
            <w:pPr>
              <w:widowControl/>
              <w:jc w:val="left"/>
              <w:rPr>
                <w:rFonts w:ascii="宋体" w:hAnsi="宋体" w:cs="宋体"/>
                <w:kern w:val="0"/>
                <w:szCs w:val="21"/>
                <w:highlight w:val="none"/>
              </w:rPr>
            </w:pPr>
          </w:p>
          <w:p>
            <w:pPr>
              <w:jc w:val="left"/>
              <w:rPr>
                <w:rFonts w:ascii="宋体" w:hAnsi="宋体" w:cs="宋体"/>
                <w:kern w:val="0"/>
                <w:szCs w:val="21"/>
                <w:highlight w:val="none"/>
              </w:rPr>
            </w:pPr>
            <w:r>
              <w:rPr>
                <w:rFonts w:hint="eastAsia" w:ascii="宋体" w:hAnsi="宋体" w:cs="宋体"/>
                <w:kern w:val="0"/>
                <w:szCs w:val="21"/>
                <w:highlight w:val="none"/>
              </w:rPr>
              <w:t>成交金额（万元）</w:t>
            </w:r>
          </w:p>
        </w:tc>
        <w:tc>
          <w:tcPr>
            <w:tcW w:w="1399" w:type="dxa"/>
            <w:noWrap/>
            <w:vAlign w:val="center"/>
          </w:tcPr>
          <w:p>
            <w:pPr>
              <w:jc w:val="center"/>
              <w:rPr>
                <w:rFonts w:ascii="宋体" w:hAnsi="宋体" w:cs="宋体"/>
                <w:kern w:val="0"/>
                <w:szCs w:val="21"/>
                <w:highlight w:val="none"/>
              </w:rPr>
            </w:pPr>
            <w:r>
              <w:rPr>
                <w:rFonts w:hint="eastAsia" w:ascii="宋体" w:hAnsi="宋体" w:cs="宋体"/>
                <w:kern w:val="0"/>
                <w:szCs w:val="21"/>
                <w:highlight w:val="none"/>
              </w:rPr>
              <w:t>货物</w:t>
            </w:r>
          </w:p>
          <w:p>
            <w:pPr>
              <w:jc w:val="center"/>
              <w:rPr>
                <w:rFonts w:ascii="宋体" w:hAnsi="宋体" w:cs="宋体"/>
                <w:kern w:val="0"/>
                <w:szCs w:val="21"/>
                <w:highlight w:val="none"/>
              </w:rPr>
            </w:pPr>
            <w:r>
              <w:rPr>
                <w:rFonts w:hint="eastAsia" w:ascii="宋体" w:hAnsi="宋体" w:cs="宋体"/>
                <w:kern w:val="0"/>
                <w:szCs w:val="21"/>
                <w:highlight w:val="none"/>
              </w:rPr>
              <w:t>招标</w:t>
            </w:r>
          </w:p>
        </w:tc>
        <w:tc>
          <w:tcPr>
            <w:tcW w:w="1245" w:type="dxa"/>
            <w:noWrap/>
            <w:vAlign w:val="center"/>
          </w:tcPr>
          <w:p>
            <w:pPr>
              <w:jc w:val="center"/>
              <w:rPr>
                <w:rFonts w:ascii="宋体" w:hAnsi="宋体" w:cs="宋体"/>
                <w:kern w:val="0"/>
                <w:szCs w:val="21"/>
                <w:highlight w:val="none"/>
              </w:rPr>
            </w:pPr>
            <w:r>
              <w:rPr>
                <w:rFonts w:hint="eastAsia" w:ascii="宋体" w:hAnsi="宋体" w:cs="宋体"/>
                <w:kern w:val="0"/>
                <w:szCs w:val="21"/>
                <w:highlight w:val="none"/>
              </w:rPr>
              <w:t>服务</w:t>
            </w:r>
          </w:p>
          <w:p>
            <w:pPr>
              <w:jc w:val="center"/>
              <w:rPr>
                <w:rFonts w:ascii="宋体" w:hAnsi="宋体" w:cs="宋体"/>
                <w:kern w:val="0"/>
                <w:szCs w:val="21"/>
                <w:highlight w:val="none"/>
              </w:rPr>
            </w:pPr>
            <w:r>
              <w:rPr>
                <w:rFonts w:hint="eastAsia" w:ascii="宋体" w:hAnsi="宋体" w:cs="宋体"/>
                <w:kern w:val="0"/>
                <w:szCs w:val="21"/>
                <w:highlight w:val="none"/>
              </w:rPr>
              <w:t>招标</w:t>
            </w:r>
          </w:p>
        </w:tc>
        <w:tc>
          <w:tcPr>
            <w:tcW w:w="2550" w:type="dxa"/>
            <w:noWrap/>
            <w:vAlign w:val="center"/>
          </w:tcPr>
          <w:p>
            <w:pPr>
              <w:jc w:val="center"/>
              <w:rPr>
                <w:rFonts w:ascii="宋体" w:hAnsi="宋体" w:cs="宋体"/>
                <w:kern w:val="0"/>
                <w:szCs w:val="21"/>
                <w:highlight w:val="none"/>
              </w:rPr>
            </w:pPr>
            <w:r>
              <w:rPr>
                <w:rFonts w:hint="eastAsia" w:ascii="宋体" w:hAnsi="宋体" w:cs="宋体"/>
                <w:kern w:val="0"/>
                <w:szCs w:val="21"/>
                <w:highlight w:val="none"/>
              </w:rPr>
              <w:t>工程</w:t>
            </w:r>
          </w:p>
          <w:p>
            <w:pPr>
              <w:jc w:val="center"/>
              <w:rPr>
                <w:rFonts w:ascii="宋体" w:hAnsi="宋体" w:cs="宋体"/>
                <w:kern w:val="0"/>
                <w:szCs w:val="21"/>
                <w:highlight w:val="none"/>
              </w:rPr>
            </w:pPr>
            <w:r>
              <w:rPr>
                <w:rFonts w:hint="eastAsia" w:ascii="宋体" w:hAnsi="宋体" w:cs="宋体"/>
                <w:kern w:val="0"/>
                <w:szCs w:val="21"/>
                <w:highlight w:val="none"/>
              </w:rPr>
              <w:t>招标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1909" w:type="dxa"/>
            <w:noWrap/>
            <w:vAlign w:val="center"/>
          </w:tcPr>
          <w:p>
            <w:pPr>
              <w:widowControl/>
              <w:jc w:val="center"/>
              <w:rPr>
                <w:rFonts w:ascii="宋体" w:hAnsi="宋体" w:cs="宋体"/>
                <w:kern w:val="0"/>
                <w:szCs w:val="21"/>
                <w:highlight w:val="none"/>
              </w:rPr>
            </w:pPr>
            <w:r>
              <w:rPr>
                <w:rFonts w:ascii="宋体" w:hAnsi="宋体" w:cs="宋体"/>
                <w:kern w:val="0"/>
                <w:szCs w:val="21"/>
                <w:highlight w:val="none"/>
              </w:rPr>
              <w:t>100</w:t>
            </w:r>
            <w:r>
              <w:rPr>
                <w:rFonts w:hint="eastAsia" w:ascii="宋体" w:hAnsi="宋体" w:cs="宋体"/>
                <w:kern w:val="0"/>
                <w:szCs w:val="21"/>
                <w:highlight w:val="none"/>
              </w:rPr>
              <w:t>以下</w:t>
            </w:r>
          </w:p>
        </w:tc>
        <w:tc>
          <w:tcPr>
            <w:tcW w:w="1399" w:type="dxa"/>
            <w:noWrap/>
            <w:vAlign w:val="bottom"/>
          </w:tcPr>
          <w:p>
            <w:pPr>
              <w:widowControl/>
              <w:jc w:val="center"/>
              <w:rPr>
                <w:rFonts w:ascii="宋体" w:hAnsi="宋体" w:cs="宋体"/>
                <w:kern w:val="0"/>
                <w:szCs w:val="21"/>
                <w:highlight w:val="none"/>
              </w:rPr>
            </w:pPr>
            <w:r>
              <w:rPr>
                <w:rFonts w:ascii="宋体" w:hAnsi="宋体" w:cs="宋体"/>
                <w:kern w:val="0"/>
                <w:szCs w:val="21"/>
                <w:highlight w:val="none"/>
              </w:rPr>
              <w:t>1.50%</w:t>
            </w:r>
          </w:p>
        </w:tc>
        <w:tc>
          <w:tcPr>
            <w:tcW w:w="1245" w:type="dxa"/>
            <w:noWrap/>
            <w:vAlign w:val="bottom"/>
          </w:tcPr>
          <w:p>
            <w:pPr>
              <w:widowControl/>
              <w:jc w:val="center"/>
              <w:rPr>
                <w:rFonts w:ascii="宋体" w:hAnsi="宋体" w:cs="宋体"/>
                <w:kern w:val="0"/>
                <w:szCs w:val="21"/>
                <w:highlight w:val="none"/>
              </w:rPr>
            </w:pPr>
            <w:r>
              <w:rPr>
                <w:rFonts w:ascii="宋体" w:hAnsi="宋体" w:cs="宋体"/>
                <w:kern w:val="0"/>
                <w:szCs w:val="21"/>
                <w:highlight w:val="none"/>
              </w:rPr>
              <w:t>1.50%</w:t>
            </w:r>
          </w:p>
        </w:tc>
        <w:tc>
          <w:tcPr>
            <w:tcW w:w="2550" w:type="dxa"/>
            <w:noWrap/>
            <w:vAlign w:val="bottom"/>
          </w:tcPr>
          <w:p>
            <w:pPr>
              <w:widowControl/>
              <w:jc w:val="center"/>
              <w:rPr>
                <w:rFonts w:ascii="宋体" w:hAnsi="宋体" w:cs="宋体"/>
                <w:kern w:val="0"/>
                <w:szCs w:val="21"/>
                <w:highlight w:val="none"/>
              </w:rPr>
            </w:pPr>
            <w:r>
              <w:rPr>
                <w:rFonts w:ascii="宋体" w:hAnsi="宋体" w:cs="宋体"/>
                <w:kern w:val="0"/>
                <w:szCs w:val="21"/>
                <w:highlight w:val="none"/>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1909" w:type="dxa"/>
            <w:noWrap/>
            <w:vAlign w:val="center"/>
          </w:tcPr>
          <w:p>
            <w:pPr>
              <w:widowControl/>
              <w:jc w:val="center"/>
              <w:rPr>
                <w:rFonts w:ascii="宋体" w:hAnsi="宋体" w:cs="宋体"/>
                <w:kern w:val="0"/>
                <w:szCs w:val="21"/>
                <w:highlight w:val="none"/>
              </w:rPr>
            </w:pPr>
            <w:r>
              <w:rPr>
                <w:rFonts w:ascii="宋体" w:hAnsi="宋体" w:cs="宋体"/>
                <w:kern w:val="0"/>
                <w:szCs w:val="21"/>
                <w:highlight w:val="none"/>
              </w:rPr>
              <w:t>100</w:t>
            </w:r>
            <w:r>
              <w:rPr>
                <w:rFonts w:hint="eastAsia" w:ascii="宋体" w:hAnsi="宋体" w:cs="宋体"/>
                <w:kern w:val="0"/>
                <w:szCs w:val="21"/>
                <w:highlight w:val="none"/>
              </w:rPr>
              <w:t>—</w:t>
            </w:r>
            <w:r>
              <w:rPr>
                <w:rFonts w:ascii="宋体" w:hAnsi="宋体" w:cs="宋体"/>
                <w:kern w:val="0"/>
                <w:szCs w:val="21"/>
                <w:highlight w:val="none"/>
              </w:rPr>
              <w:t>500</w:t>
            </w:r>
          </w:p>
        </w:tc>
        <w:tc>
          <w:tcPr>
            <w:tcW w:w="1399" w:type="dxa"/>
            <w:noWrap/>
            <w:vAlign w:val="bottom"/>
          </w:tcPr>
          <w:p>
            <w:pPr>
              <w:widowControl/>
              <w:jc w:val="center"/>
              <w:rPr>
                <w:rFonts w:ascii="宋体" w:hAnsi="宋体" w:cs="宋体"/>
                <w:kern w:val="0"/>
                <w:szCs w:val="21"/>
                <w:highlight w:val="none"/>
              </w:rPr>
            </w:pPr>
            <w:r>
              <w:rPr>
                <w:rFonts w:ascii="宋体" w:hAnsi="宋体" w:cs="宋体"/>
                <w:kern w:val="0"/>
                <w:szCs w:val="21"/>
                <w:highlight w:val="none"/>
              </w:rPr>
              <w:t>1.10%</w:t>
            </w:r>
          </w:p>
        </w:tc>
        <w:tc>
          <w:tcPr>
            <w:tcW w:w="1245" w:type="dxa"/>
            <w:noWrap/>
            <w:vAlign w:val="bottom"/>
          </w:tcPr>
          <w:p>
            <w:pPr>
              <w:widowControl/>
              <w:jc w:val="center"/>
              <w:rPr>
                <w:rFonts w:ascii="宋体" w:hAnsi="宋体" w:cs="宋体"/>
                <w:kern w:val="0"/>
                <w:szCs w:val="21"/>
                <w:highlight w:val="none"/>
              </w:rPr>
            </w:pPr>
            <w:r>
              <w:rPr>
                <w:rFonts w:ascii="宋体" w:hAnsi="宋体" w:cs="宋体"/>
                <w:kern w:val="0"/>
                <w:szCs w:val="21"/>
                <w:highlight w:val="none"/>
              </w:rPr>
              <w:t>0.80%</w:t>
            </w:r>
          </w:p>
        </w:tc>
        <w:tc>
          <w:tcPr>
            <w:tcW w:w="2550" w:type="dxa"/>
            <w:noWrap/>
            <w:vAlign w:val="bottom"/>
          </w:tcPr>
          <w:p>
            <w:pPr>
              <w:widowControl/>
              <w:jc w:val="center"/>
              <w:rPr>
                <w:rFonts w:ascii="宋体" w:hAnsi="宋体" w:cs="宋体"/>
                <w:kern w:val="0"/>
                <w:szCs w:val="21"/>
                <w:highlight w:val="none"/>
              </w:rPr>
            </w:pPr>
            <w:r>
              <w:rPr>
                <w:rFonts w:ascii="宋体" w:hAnsi="宋体" w:cs="宋体"/>
                <w:kern w:val="0"/>
                <w:szCs w:val="21"/>
                <w:highlight w:val="none"/>
              </w:rPr>
              <w:t>0.70%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1" w:hRule="atLeast"/>
          <w:jc w:val="center"/>
        </w:trPr>
        <w:tc>
          <w:tcPr>
            <w:tcW w:w="1909" w:type="dxa"/>
            <w:noWrap/>
            <w:vAlign w:val="center"/>
          </w:tcPr>
          <w:p>
            <w:pPr>
              <w:widowControl/>
              <w:jc w:val="center"/>
              <w:rPr>
                <w:rFonts w:ascii="宋体" w:hAnsi="宋体" w:cs="宋体"/>
                <w:kern w:val="0"/>
                <w:szCs w:val="21"/>
                <w:highlight w:val="none"/>
              </w:rPr>
            </w:pPr>
            <w:r>
              <w:rPr>
                <w:rFonts w:ascii="宋体" w:hAnsi="宋体" w:cs="宋体"/>
                <w:kern w:val="0"/>
                <w:szCs w:val="21"/>
                <w:highlight w:val="none"/>
              </w:rPr>
              <w:t>500</w:t>
            </w:r>
            <w:r>
              <w:rPr>
                <w:rFonts w:hint="eastAsia" w:ascii="宋体" w:hAnsi="宋体" w:cs="宋体"/>
                <w:kern w:val="0"/>
                <w:szCs w:val="21"/>
                <w:highlight w:val="none"/>
              </w:rPr>
              <w:t>—</w:t>
            </w:r>
            <w:r>
              <w:rPr>
                <w:rFonts w:ascii="宋体" w:hAnsi="宋体" w:cs="宋体"/>
                <w:kern w:val="0"/>
                <w:szCs w:val="21"/>
                <w:highlight w:val="none"/>
              </w:rPr>
              <w:t>1000</w:t>
            </w:r>
          </w:p>
        </w:tc>
        <w:tc>
          <w:tcPr>
            <w:tcW w:w="1399" w:type="dxa"/>
            <w:noWrap/>
            <w:vAlign w:val="bottom"/>
          </w:tcPr>
          <w:p>
            <w:pPr>
              <w:widowControl/>
              <w:jc w:val="center"/>
              <w:rPr>
                <w:rFonts w:ascii="宋体" w:hAnsi="宋体" w:cs="宋体"/>
                <w:kern w:val="0"/>
                <w:szCs w:val="21"/>
                <w:highlight w:val="none"/>
              </w:rPr>
            </w:pPr>
            <w:r>
              <w:rPr>
                <w:rFonts w:ascii="宋体" w:hAnsi="宋体" w:cs="宋体"/>
                <w:kern w:val="0"/>
                <w:szCs w:val="21"/>
                <w:highlight w:val="none"/>
              </w:rPr>
              <w:t>0.80%</w:t>
            </w:r>
          </w:p>
        </w:tc>
        <w:tc>
          <w:tcPr>
            <w:tcW w:w="1245" w:type="dxa"/>
            <w:noWrap/>
            <w:vAlign w:val="bottom"/>
          </w:tcPr>
          <w:p>
            <w:pPr>
              <w:widowControl/>
              <w:jc w:val="center"/>
              <w:rPr>
                <w:rFonts w:ascii="宋体" w:hAnsi="宋体" w:cs="宋体"/>
                <w:kern w:val="0"/>
                <w:szCs w:val="21"/>
                <w:highlight w:val="none"/>
              </w:rPr>
            </w:pPr>
            <w:r>
              <w:rPr>
                <w:rFonts w:ascii="宋体" w:hAnsi="宋体" w:cs="宋体"/>
                <w:kern w:val="0"/>
                <w:szCs w:val="21"/>
                <w:highlight w:val="none"/>
              </w:rPr>
              <w:t>0.45%</w:t>
            </w:r>
          </w:p>
        </w:tc>
        <w:tc>
          <w:tcPr>
            <w:tcW w:w="2550" w:type="dxa"/>
            <w:noWrap/>
            <w:vAlign w:val="bottom"/>
          </w:tcPr>
          <w:p>
            <w:pPr>
              <w:widowControl/>
              <w:jc w:val="center"/>
              <w:rPr>
                <w:rFonts w:ascii="宋体" w:hAnsi="宋体" w:cs="宋体"/>
                <w:kern w:val="0"/>
                <w:szCs w:val="21"/>
                <w:highlight w:val="none"/>
              </w:rPr>
            </w:pPr>
            <w:r>
              <w:rPr>
                <w:rFonts w:ascii="宋体" w:hAnsi="宋体" w:cs="宋体"/>
                <w:kern w:val="0"/>
                <w:szCs w:val="21"/>
                <w:highlight w:val="none"/>
              </w:rPr>
              <w:t>0.55%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0" w:hRule="atLeast"/>
          <w:jc w:val="center"/>
        </w:trPr>
        <w:tc>
          <w:tcPr>
            <w:tcW w:w="1909" w:type="dxa"/>
            <w:noWrap/>
            <w:vAlign w:val="center"/>
          </w:tcPr>
          <w:p>
            <w:pPr>
              <w:widowControl/>
              <w:jc w:val="center"/>
              <w:rPr>
                <w:rFonts w:ascii="宋体" w:hAnsi="宋体" w:cs="宋体"/>
                <w:kern w:val="0"/>
                <w:szCs w:val="21"/>
                <w:highlight w:val="none"/>
              </w:rPr>
            </w:pPr>
            <w:r>
              <w:rPr>
                <w:rFonts w:ascii="宋体" w:hAnsi="宋体" w:cs="宋体"/>
                <w:kern w:val="0"/>
                <w:szCs w:val="21"/>
                <w:highlight w:val="none"/>
              </w:rPr>
              <w:t>1000</w:t>
            </w:r>
            <w:r>
              <w:rPr>
                <w:rFonts w:hint="eastAsia" w:ascii="宋体" w:hAnsi="宋体" w:cs="宋体"/>
                <w:kern w:val="0"/>
                <w:szCs w:val="21"/>
                <w:highlight w:val="none"/>
              </w:rPr>
              <w:t>—</w:t>
            </w:r>
            <w:r>
              <w:rPr>
                <w:rFonts w:ascii="宋体" w:hAnsi="宋体" w:cs="宋体"/>
                <w:kern w:val="0"/>
                <w:szCs w:val="21"/>
                <w:highlight w:val="none"/>
              </w:rPr>
              <w:t>5000</w:t>
            </w:r>
          </w:p>
        </w:tc>
        <w:tc>
          <w:tcPr>
            <w:tcW w:w="1399" w:type="dxa"/>
            <w:noWrap/>
            <w:vAlign w:val="bottom"/>
          </w:tcPr>
          <w:p>
            <w:pPr>
              <w:widowControl/>
              <w:jc w:val="center"/>
              <w:rPr>
                <w:rFonts w:ascii="宋体" w:hAnsi="宋体" w:cs="宋体"/>
                <w:kern w:val="0"/>
                <w:szCs w:val="21"/>
                <w:highlight w:val="none"/>
              </w:rPr>
            </w:pPr>
            <w:r>
              <w:rPr>
                <w:rFonts w:ascii="宋体" w:hAnsi="宋体" w:cs="宋体"/>
                <w:kern w:val="0"/>
                <w:szCs w:val="21"/>
                <w:highlight w:val="none"/>
              </w:rPr>
              <w:t>0.50%</w:t>
            </w:r>
          </w:p>
        </w:tc>
        <w:tc>
          <w:tcPr>
            <w:tcW w:w="1245" w:type="dxa"/>
            <w:noWrap/>
            <w:vAlign w:val="bottom"/>
          </w:tcPr>
          <w:p>
            <w:pPr>
              <w:widowControl/>
              <w:jc w:val="center"/>
              <w:rPr>
                <w:rFonts w:ascii="宋体" w:hAnsi="宋体" w:cs="宋体"/>
                <w:kern w:val="0"/>
                <w:szCs w:val="21"/>
                <w:highlight w:val="none"/>
              </w:rPr>
            </w:pPr>
            <w:r>
              <w:rPr>
                <w:rFonts w:ascii="宋体" w:hAnsi="宋体" w:cs="宋体"/>
                <w:kern w:val="0"/>
                <w:szCs w:val="21"/>
                <w:highlight w:val="none"/>
              </w:rPr>
              <w:t>0.25%</w:t>
            </w:r>
          </w:p>
        </w:tc>
        <w:tc>
          <w:tcPr>
            <w:tcW w:w="2550" w:type="dxa"/>
            <w:noWrap/>
            <w:vAlign w:val="bottom"/>
          </w:tcPr>
          <w:p>
            <w:pPr>
              <w:widowControl/>
              <w:jc w:val="center"/>
              <w:rPr>
                <w:rFonts w:ascii="宋体" w:hAnsi="宋体" w:cs="宋体"/>
                <w:kern w:val="0"/>
                <w:szCs w:val="21"/>
                <w:highlight w:val="none"/>
              </w:rPr>
            </w:pPr>
            <w:r>
              <w:rPr>
                <w:rFonts w:ascii="宋体" w:hAnsi="宋体" w:cs="宋体"/>
                <w:kern w:val="0"/>
                <w:szCs w:val="21"/>
                <w:highlight w:val="none"/>
              </w:rPr>
              <w:t>0.35%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3" w:hRule="atLeast"/>
          <w:jc w:val="center"/>
        </w:trPr>
        <w:tc>
          <w:tcPr>
            <w:tcW w:w="1909" w:type="dxa"/>
            <w:noWrap/>
            <w:vAlign w:val="center"/>
          </w:tcPr>
          <w:p>
            <w:pPr>
              <w:widowControl/>
              <w:jc w:val="center"/>
              <w:rPr>
                <w:rFonts w:ascii="宋体" w:hAnsi="宋体" w:cs="宋体"/>
                <w:kern w:val="0"/>
                <w:szCs w:val="21"/>
                <w:highlight w:val="none"/>
              </w:rPr>
            </w:pPr>
            <w:r>
              <w:rPr>
                <w:rFonts w:ascii="宋体" w:hAnsi="宋体" w:cs="宋体"/>
                <w:kern w:val="0"/>
                <w:szCs w:val="21"/>
                <w:highlight w:val="none"/>
              </w:rPr>
              <w:t>5000</w:t>
            </w:r>
            <w:r>
              <w:rPr>
                <w:rFonts w:hint="eastAsia" w:ascii="宋体" w:hAnsi="宋体" w:cs="宋体"/>
                <w:kern w:val="0"/>
                <w:szCs w:val="21"/>
                <w:highlight w:val="none"/>
              </w:rPr>
              <w:t>—</w:t>
            </w:r>
            <w:r>
              <w:rPr>
                <w:rFonts w:ascii="宋体" w:hAnsi="宋体" w:cs="宋体"/>
                <w:kern w:val="0"/>
                <w:szCs w:val="21"/>
                <w:highlight w:val="none"/>
              </w:rPr>
              <w:t>10000</w:t>
            </w:r>
          </w:p>
        </w:tc>
        <w:tc>
          <w:tcPr>
            <w:tcW w:w="1399" w:type="dxa"/>
            <w:noWrap/>
            <w:vAlign w:val="bottom"/>
          </w:tcPr>
          <w:p>
            <w:pPr>
              <w:widowControl/>
              <w:jc w:val="center"/>
              <w:rPr>
                <w:rFonts w:ascii="宋体" w:hAnsi="宋体" w:cs="宋体"/>
                <w:kern w:val="0"/>
                <w:szCs w:val="21"/>
                <w:highlight w:val="none"/>
              </w:rPr>
            </w:pPr>
            <w:r>
              <w:rPr>
                <w:rFonts w:ascii="宋体" w:hAnsi="宋体" w:cs="宋体"/>
                <w:kern w:val="0"/>
                <w:szCs w:val="21"/>
                <w:highlight w:val="none"/>
              </w:rPr>
              <w:t>0.25%</w:t>
            </w:r>
          </w:p>
        </w:tc>
        <w:tc>
          <w:tcPr>
            <w:tcW w:w="1245" w:type="dxa"/>
            <w:noWrap/>
            <w:vAlign w:val="bottom"/>
          </w:tcPr>
          <w:p>
            <w:pPr>
              <w:widowControl/>
              <w:jc w:val="center"/>
              <w:rPr>
                <w:rFonts w:ascii="宋体" w:hAnsi="宋体" w:cs="宋体"/>
                <w:kern w:val="0"/>
                <w:szCs w:val="21"/>
                <w:highlight w:val="none"/>
              </w:rPr>
            </w:pPr>
            <w:r>
              <w:rPr>
                <w:rFonts w:ascii="宋体" w:hAnsi="宋体" w:cs="宋体"/>
                <w:kern w:val="0"/>
                <w:szCs w:val="21"/>
                <w:highlight w:val="none"/>
              </w:rPr>
              <w:t>0.10%</w:t>
            </w:r>
          </w:p>
        </w:tc>
        <w:tc>
          <w:tcPr>
            <w:tcW w:w="2550" w:type="dxa"/>
            <w:noWrap/>
            <w:vAlign w:val="bottom"/>
          </w:tcPr>
          <w:p>
            <w:pPr>
              <w:widowControl/>
              <w:jc w:val="center"/>
              <w:rPr>
                <w:rFonts w:ascii="宋体" w:hAnsi="宋体" w:cs="宋体"/>
                <w:kern w:val="0"/>
                <w:szCs w:val="21"/>
                <w:highlight w:val="none"/>
              </w:rPr>
            </w:pPr>
            <w:r>
              <w:rPr>
                <w:rFonts w:ascii="宋体" w:hAnsi="宋体" w:cs="宋体"/>
                <w:kern w:val="0"/>
                <w:szCs w:val="21"/>
                <w:highlight w:val="none"/>
              </w:rPr>
              <w:t>0.20%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0" w:hRule="atLeast"/>
          <w:jc w:val="center"/>
        </w:trPr>
        <w:tc>
          <w:tcPr>
            <w:tcW w:w="1909" w:type="dxa"/>
            <w:noWrap/>
            <w:vAlign w:val="center"/>
          </w:tcPr>
          <w:p>
            <w:pPr>
              <w:widowControl/>
              <w:jc w:val="center"/>
              <w:rPr>
                <w:rFonts w:ascii="宋体" w:hAnsi="宋体" w:cs="宋体"/>
                <w:kern w:val="0"/>
                <w:szCs w:val="21"/>
                <w:highlight w:val="none"/>
              </w:rPr>
            </w:pPr>
            <w:r>
              <w:rPr>
                <w:rFonts w:ascii="宋体" w:hAnsi="宋体" w:cs="宋体"/>
                <w:kern w:val="0"/>
                <w:szCs w:val="21"/>
                <w:highlight w:val="none"/>
              </w:rPr>
              <w:t>10000</w:t>
            </w:r>
            <w:r>
              <w:rPr>
                <w:rFonts w:hint="eastAsia" w:ascii="宋体" w:hAnsi="宋体" w:cs="宋体"/>
                <w:kern w:val="0"/>
                <w:szCs w:val="21"/>
                <w:highlight w:val="none"/>
              </w:rPr>
              <w:t>——</w:t>
            </w:r>
            <w:r>
              <w:rPr>
                <w:rFonts w:ascii="宋体" w:hAnsi="宋体" w:cs="宋体"/>
                <w:kern w:val="0"/>
                <w:szCs w:val="21"/>
                <w:highlight w:val="none"/>
              </w:rPr>
              <w:t>100000</w:t>
            </w:r>
          </w:p>
        </w:tc>
        <w:tc>
          <w:tcPr>
            <w:tcW w:w="1399" w:type="dxa"/>
            <w:noWrap/>
            <w:vAlign w:val="bottom"/>
          </w:tcPr>
          <w:p>
            <w:pPr>
              <w:widowControl/>
              <w:jc w:val="center"/>
              <w:rPr>
                <w:rFonts w:ascii="宋体" w:hAnsi="宋体" w:cs="宋体"/>
                <w:kern w:val="0"/>
                <w:szCs w:val="21"/>
                <w:highlight w:val="none"/>
              </w:rPr>
            </w:pPr>
            <w:r>
              <w:rPr>
                <w:rFonts w:ascii="宋体" w:hAnsi="宋体" w:cs="宋体"/>
                <w:kern w:val="0"/>
                <w:szCs w:val="21"/>
                <w:highlight w:val="none"/>
              </w:rPr>
              <w:t>0.05%</w:t>
            </w:r>
          </w:p>
        </w:tc>
        <w:tc>
          <w:tcPr>
            <w:tcW w:w="1245" w:type="dxa"/>
            <w:noWrap/>
            <w:vAlign w:val="bottom"/>
          </w:tcPr>
          <w:p>
            <w:pPr>
              <w:widowControl/>
              <w:jc w:val="center"/>
              <w:rPr>
                <w:rFonts w:ascii="宋体" w:hAnsi="宋体" w:cs="宋体"/>
                <w:kern w:val="0"/>
                <w:szCs w:val="21"/>
                <w:highlight w:val="none"/>
              </w:rPr>
            </w:pPr>
            <w:r>
              <w:rPr>
                <w:rFonts w:ascii="宋体" w:hAnsi="宋体" w:cs="宋体"/>
                <w:kern w:val="0"/>
                <w:szCs w:val="21"/>
                <w:highlight w:val="none"/>
              </w:rPr>
              <w:t>0.05%</w:t>
            </w:r>
          </w:p>
        </w:tc>
        <w:tc>
          <w:tcPr>
            <w:tcW w:w="2550" w:type="dxa"/>
            <w:noWrap/>
            <w:vAlign w:val="bottom"/>
          </w:tcPr>
          <w:p>
            <w:pPr>
              <w:widowControl/>
              <w:jc w:val="center"/>
              <w:rPr>
                <w:rFonts w:ascii="宋体" w:hAnsi="宋体" w:cs="宋体"/>
                <w:kern w:val="0"/>
                <w:szCs w:val="21"/>
                <w:highlight w:val="none"/>
              </w:rPr>
            </w:pPr>
            <w:r>
              <w:rPr>
                <w:rFonts w:ascii="宋体" w:hAnsi="宋体" w:cs="宋体"/>
                <w:kern w:val="0"/>
                <w:szCs w:val="21"/>
                <w:highlight w:val="none"/>
              </w:rPr>
              <w:t>0.05%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7" w:hRule="atLeast"/>
          <w:jc w:val="center"/>
        </w:trPr>
        <w:tc>
          <w:tcPr>
            <w:tcW w:w="1909" w:type="dxa"/>
            <w:noWrap/>
            <w:vAlign w:val="center"/>
          </w:tcPr>
          <w:p>
            <w:pPr>
              <w:widowControl/>
              <w:jc w:val="center"/>
              <w:rPr>
                <w:rFonts w:ascii="宋体" w:hAnsi="宋体" w:cs="宋体"/>
                <w:kern w:val="0"/>
                <w:szCs w:val="21"/>
                <w:highlight w:val="none"/>
              </w:rPr>
            </w:pPr>
            <w:r>
              <w:rPr>
                <w:rFonts w:ascii="宋体" w:hAnsi="宋体" w:cs="宋体"/>
                <w:kern w:val="0"/>
                <w:szCs w:val="21"/>
                <w:highlight w:val="none"/>
              </w:rPr>
              <w:t>1000000</w:t>
            </w:r>
            <w:r>
              <w:rPr>
                <w:rFonts w:hint="eastAsia" w:ascii="宋体" w:hAnsi="宋体" w:cs="宋体"/>
                <w:kern w:val="0"/>
                <w:szCs w:val="21"/>
                <w:highlight w:val="none"/>
              </w:rPr>
              <w:t>以上</w:t>
            </w:r>
          </w:p>
        </w:tc>
        <w:tc>
          <w:tcPr>
            <w:tcW w:w="1399" w:type="dxa"/>
            <w:noWrap/>
            <w:vAlign w:val="bottom"/>
          </w:tcPr>
          <w:p>
            <w:pPr>
              <w:widowControl/>
              <w:jc w:val="center"/>
              <w:rPr>
                <w:rFonts w:ascii="宋体" w:hAnsi="宋体" w:cs="宋体"/>
                <w:kern w:val="0"/>
                <w:szCs w:val="21"/>
                <w:highlight w:val="none"/>
              </w:rPr>
            </w:pPr>
            <w:r>
              <w:rPr>
                <w:rFonts w:ascii="宋体" w:hAnsi="宋体" w:cs="宋体"/>
                <w:kern w:val="0"/>
                <w:szCs w:val="21"/>
                <w:highlight w:val="none"/>
              </w:rPr>
              <w:t>0.01%</w:t>
            </w:r>
          </w:p>
        </w:tc>
        <w:tc>
          <w:tcPr>
            <w:tcW w:w="1245" w:type="dxa"/>
            <w:noWrap/>
            <w:vAlign w:val="bottom"/>
          </w:tcPr>
          <w:p>
            <w:pPr>
              <w:widowControl/>
              <w:jc w:val="center"/>
              <w:rPr>
                <w:rFonts w:ascii="宋体" w:hAnsi="宋体" w:cs="宋体"/>
                <w:kern w:val="0"/>
                <w:szCs w:val="21"/>
                <w:highlight w:val="none"/>
              </w:rPr>
            </w:pPr>
            <w:r>
              <w:rPr>
                <w:rFonts w:ascii="宋体" w:hAnsi="宋体" w:cs="宋体"/>
                <w:kern w:val="0"/>
                <w:szCs w:val="21"/>
                <w:highlight w:val="none"/>
              </w:rPr>
              <w:t>0.01%</w:t>
            </w:r>
          </w:p>
        </w:tc>
        <w:tc>
          <w:tcPr>
            <w:tcW w:w="2550" w:type="dxa"/>
            <w:noWrap/>
            <w:vAlign w:val="bottom"/>
          </w:tcPr>
          <w:p>
            <w:pPr>
              <w:widowControl/>
              <w:jc w:val="center"/>
              <w:rPr>
                <w:rFonts w:ascii="宋体" w:hAnsi="宋体" w:cs="宋体"/>
                <w:kern w:val="0"/>
                <w:szCs w:val="21"/>
                <w:highlight w:val="none"/>
              </w:rPr>
            </w:pPr>
            <w:r>
              <w:rPr>
                <w:rFonts w:ascii="宋体" w:hAnsi="宋体" w:cs="宋体"/>
                <w:kern w:val="0"/>
                <w:szCs w:val="21"/>
                <w:highlight w:val="none"/>
              </w:rPr>
              <w:t>0.01%</w:t>
            </w:r>
          </w:p>
        </w:tc>
      </w:tr>
    </w:tbl>
    <w:p>
      <w:pPr>
        <w:pStyle w:val="8"/>
        <w:spacing w:line="360" w:lineRule="auto"/>
        <w:rPr>
          <w:highlight w:val="none"/>
        </w:rPr>
      </w:pPr>
      <w:r>
        <w:rPr>
          <w:rFonts w:hint="eastAsia"/>
          <w:highlight w:val="none"/>
        </w:rPr>
        <w:t>注：采购代理服务收费按差额定率累进法计算。</w:t>
      </w:r>
    </w:p>
    <w:p>
      <w:pPr>
        <w:pStyle w:val="8"/>
        <w:spacing w:line="360" w:lineRule="auto"/>
        <w:rPr>
          <w:bCs/>
          <w:szCs w:val="21"/>
          <w:highlight w:val="none"/>
        </w:rPr>
      </w:pPr>
      <w:r>
        <w:rPr>
          <w:rFonts w:hint="eastAsia"/>
          <w:bCs/>
          <w:szCs w:val="21"/>
          <w:highlight w:val="none"/>
        </w:rPr>
        <w:t>例如：某货物招标代理业务成交金额为500万元，计算招标代理服务收费额如下：</w:t>
      </w:r>
    </w:p>
    <w:p>
      <w:pPr>
        <w:pStyle w:val="8"/>
        <w:spacing w:line="360" w:lineRule="auto"/>
        <w:rPr>
          <w:bCs/>
          <w:szCs w:val="21"/>
          <w:highlight w:val="none"/>
        </w:rPr>
      </w:pPr>
      <w:r>
        <w:rPr>
          <w:rFonts w:hint="eastAsia"/>
          <w:bCs/>
          <w:szCs w:val="21"/>
          <w:highlight w:val="none"/>
        </w:rPr>
        <w:t>100 万元×1.50%=1.5万元</w:t>
      </w:r>
    </w:p>
    <w:p>
      <w:pPr>
        <w:pStyle w:val="8"/>
        <w:spacing w:line="360" w:lineRule="auto"/>
        <w:rPr>
          <w:bCs/>
          <w:szCs w:val="21"/>
          <w:highlight w:val="none"/>
        </w:rPr>
      </w:pPr>
      <w:r>
        <w:rPr>
          <w:rFonts w:hint="eastAsia"/>
          <w:bCs/>
          <w:szCs w:val="21"/>
          <w:highlight w:val="none"/>
        </w:rPr>
        <w:t>（500-100）万元×1.10%= 4.4万元</w:t>
      </w:r>
    </w:p>
    <w:p>
      <w:pPr>
        <w:pStyle w:val="8"/>
        <w:spacing w:line="360" w:lineRule="exact"/>
        <w:rPr>
          <w:rFonts w:hAnsi="宋体"/>
          <w:highlight w:val="none"/>
        </w:rPr>
      </w:pPr>
      <w:r>
        <w:rPr>
          <w:rFonts w:hint="eastAsia"/>
          <w:bCs/>
          <w:szCs w:val="21"/>
          <w:highlight w:val="none"/>
        </w:rPr>
        <w:t>合计收费=1.5+4.4=5.9（万元）</w:t>
      </w:r>
    </w:p>
    <w:p>
      <w:pPr>
        <w:pStyle w:val="8"/>
        <w:spacing w:line="420" w:lineRule="atLeast"/>
        <w:ind w:left="422" w:hanging="422" w:hangingChars="200"/>
        <w:rPr>
          <w:rFonts w:hAnsi="宋体"/>
          <w:b/>
          <w:highlight w:val="none"/>
        </w:rPr>
      </w:pPr>
      <w:r>
        <w:rPr>
          <w:rFonts w:hint="eastAsia" w:hAnsi="宋体"/>
          <w:b/>
          <w:highlight w:val="none"/>
        </w:rPr>
        <w:t>24.解释权</w:t>
      </w:r>
    </w:p>
    <w:p>
      <w:pPr>
        <w:pStyle w:val="8"/>
        <w:spacing w:line="420" w:lineRule="atLeast"/>
        <w:ind w:left="420" w:hanging="420" w:hangingChars="200"/>
        <w:rPr>
          <w:rFonts w:hAnsi="宋体"/>
          <w:highlight w:val="none"/>
        </w:rPr>
      </w:pPr>
      <w:r>
        <w:rPr>
          <w:rFonts w:hint="eastAsia" w:hAnsi="宋体"/>
          <w:highlight w:val="none"/>
        </w:rPr>
        <w:t>24.1本谈判采购文件是根据国家相关法律及有关政策、法规和参照国际惯例编制，解释权属本采购代理机构。</w:t>
      </w:r>
    </w:p>
    <w:p>
      <w:pPr>
        <w:pStyle w:val="4"/>
        <w:jc w:val="both"/>
        <w:rPr>
          <w:highlight w:val="none"/>
        </w:rPr>
        <w:sectPr>
          <w:footerReference r:id="rId10" w:type="first"/>
          <w:pgSz w:w="11906" w:h="16838"/>
          <w:pgMar w:top="851" w:right="849" w:bottom="1134" w:left="993" w:header="720" w:footer="720" w:gutter="0"/>
          <w:cols w:space="720" w:num="1"/>
          <w:titlePg/>
          <w:docGrid w:linePitch="312" w:charSpace="0"/>
        </w:sectPr>
      </w:pPr>
      <w:bookmarkStart w:id="14" w:name="_Toc32342"/>
      <w:bookmarkStart w:id="15" w:name="_Toc18238"/>
      <w:bookmarkStart w:id="16" w:name="_Toc3199"/>
    </w:p>
    <w:p>
      <w:pPr>
        <w:pStyle w:val="4"/>
        <w:rPr>
          <w:highlight w:val="none"/>
        </w:rPr>
      </w:pPr>
      <w:bookmarkStart w:id="17" w:name="_Toc14336"/>
      <w:r>
        <w:rPr>
          <w:rFonts w:hint="eastAsia"/>
          <w:highlight w:val="none"/>
        </w:rPr>
        <w:t>第三章  项目需求</w:t>
      </w:r>
      <w:bookmarkEnd w:id="14"/>
      <w:bookmarkEnd w:id="15"/>
      <w:bookmarkEnd w:id="16"/>
      <w:bookmarkEnd w:id="17"/>
    </w:p>
    <w:p>
      <w:pPr>
        <w:spacing w:line="360" w:lineRule="auto"/>
        <w:ind w:left="-10" w:leftChars="-5" w:right="2" w:rightChars="1" w:firstLine="420" w:firstLineChars="200"/>
        <w:rPr>
          <w:highlight w:val="none"/>
        </w:rPr>
      </w:pPr>
      <w:r>
        <w:rPr>
          <w:rFonts w:hint="eastAsia"/>
          <w:highlight w:val="none"/>
        </w:rPr>
        <w:t>说明：</w:t>
      </w:r>
    </w:p>
    <w:p>
      <w:pPr>
        <w:spacing w:line="360" w:lineRule="auto"/>
        <w:ind w:left="-10" w:leftChars="-5" w:right="2" w:rightChars="1" w:firstLine="420" w:firstLineChars="200"/>
        <w:rPr>
          <w:highlight w:val="none"/>
        </w:rPr>
      </w:pPr>
      <w:r>
        <w:rPr>
          <w:rFonts w:hint="eastAsia"/>
          <w:highlight w:val="none"/>
        </w:rPr>
        <w:t>1、</w:t>
      </w:r>
      <w:r>
        <w:rPr>
          <w:highlight w:val="none"/>
        </w:rPr>
        <w:t>本一览表中参考品牌型号及技术参数性能（配置）不明确或有误的，或</w:t>
      </w:r>
      <w:r>
        <w:rPr>
          <w:rFonts w:hint="eastAsia"/>
          <w:highlight w:val="none"/>
        </w:rPr>
        <w:t>谈判供应商</w:t>
      </w:r>
      <w:r>
        <w:rPr>
          <w:highlight w:val="none"/>
        </w:rPr>
        <w:t>选用其他品牌型号替代的，请以详细、正确的品牌型号、技术参数性能（配置）同时填写</w:t>
      </w:r>
      <w:r>
        <w:rPr>
          <w:rFonts w:hint="eastAsia"/>
          <w:highlight w:val="none"/>
        </w:rPr>
        <w:t>谈判</w:t>
      </w:r>
      <w:r>
        <w:rPr>
          <w:highlight w:val="none"/>
        </w:rPr>
        <w:t>报价表和技术规格</w:t>
      </w:r>
      <w:r>
        <w:rPr>
          <w:rFonts w:hint="eastAsia"/>
          <w:highlight w:val="none"/>
        </w:rPr>
        <w:t>偏离</w:t>
      </w:r>
      <w:r>
        <w:rPr>
          <w:highlight w:val="none"/>
        </w:rPr>
        <w:t>表。</w:t>
      </w:r>
    </w:p>
    <w:p>
      <w:pPr>
        <w:spacing w:line="360" w:lineRule="auto"/>
        <w:ind w:left="-10" w:leftChars="-5" w:right="2" w:rightChars="1" w:firstLine="420" w:firstLineChars="200"/>
        <w:rPr>
          <w:highlight w:val="none"/>
        </w:rPr>
      </w:pPr>
      <w:r>
        <w:rPr>
          <w:rFonts w:hint="eastAsia"/>
          <w:highlight w:val="none"/>
        </w:rPr>
        <w:t>2、小型、微型企业提供中、大型企业制造货物的，视同为中、大型企业。</w:t>
      </w:r>
    </w:p>
    <w:p>
      <w:pPr>
        <w:spacing w:line="360" w:lineRule="auto"/>
        <w:ind w:left="-10" w:leftChars="-5" w:right="2" w:rightChars="1" w:firstLine="420" w:firstLineChars="200"/>
        <w:rPr>
          <w:szCs w:val="21"/>
          <w:highlight w:val="none"/>
        </w:rPr>
      </w:pPr>
      <w:r>
        <w:rPr>
          <w:rFonts w:hint="eastAsia"/>
          <w:highlight w:val="none"/>
        </w:rPr>
        <w:t>3</w:t>
      </w:r>
      <w:r>
        <w:rPr>
          <w:rFonts w:hint="eastAsia"/>
          <w:szCs w:val="21"/>
          <w:highlight w:val="none"/>
        </w:rPr>
        <w:t>、《节能产品政府采购品目清单》见《关于印发节能产品政府采购品目清单的通知》（财库〔2019〕19号）附件。采购人采购的产品属于清单中品目的，在技术、服务等指标满足采购需求的前提下，品目清单中非标注“</w:t>
      </w:r>
      <w:r>
        <w:rPr>
          <w:rFonts w:hint="eastAsia"/>
          <w:b/>
          <w:szCs w:val="21"/>
          <w:highlight w:val="none"/>
        </w:rPr>
        <w:t>★</w:t>
      </w:r>
      <w:r>
        <w:rPr>
          <w:rFonts w:hint="eastAsia"/>
          <w:szCs w:val="21"/>
          <w:highlight w:val="none"/>
        </w:rPr>
        <w:t>”的项目为优先采购的节能产品，品目清单成交注“</w:t>
      </w:r>
      <w:r>
        <w:rPr>
          <w:rFonts w:hint="eastAsia"/>
          <w:b/>
          <w:szCs w:val="21"/>
          <w:highlight w:val="none"/>
        </w:rPr>
        <w:t>★</w:t>
      </w:r>
      <w:r>
        <w:rPr>
          <w:rFonts w:hint="eastAsia"/>
          <w:szCs w:val="21"/>
          <w:highlight w:val="none"/>
        </w:rPr>
        <w:t>”的项目为政府强制采购节能产品。</w:t>
      </w:r>
    </w:p>
    <w:p>
      <w:pPr>
        <w:spacing w:line="360" w:lineRule="auto"/>
        <w:ind w:left="-10" w:leftChars="-5" w:right="2" w:rightChars="1" w:firstLine="420" w:firstLineChars="200"/>
        <w:rPr>
          <w:highlight w:val="none"/>
        </w:rPr>
      </w:pPr>
      <w:r>
        <w:rPr>
          <w:rFonts w:hint="eastAsia"/>
          <w:highlight w:val="none"/>
        </w:rPr>
        <w:t>《环境标志产品政府采购品目清单》见《关于印发环境标志产品政府采购品目清单的通知》（财库〔2019〕18号）附件。采购人采购的产品属于清单中品目的，在性能、技术、服务等指标同等条件下，优先采购环境标志产品。</w:t>
      </w:r>
    </w:p>
    <w:p>
      <w:pPr>
        <w:spacing w:line="360" w:lineRule="auto"/>
        <w:ind w:left="-10" w:leftChars="-5" w:right="2" w:rightChars="1" w:firstLine="422" w:firstLineChars="200"/>
        <w:rPr>
          <w:b/>
          <w:highlight w:val="none"/>
        </w:rPr>
      </w:pPr>
      <w:r>
        <w:rPr>
          <w:rFonts w:hint="eastAsia"/>
          <w:b/>
          <w:highlight w:val="none"/>
        </w:rPr>
        <w:t>4、特别说明：</w:t>
      </w:r>
    </w:p>
    <w:p>
      <w:pPr>
        <w:spacing w:line="360" w:lineRule="auto"/>
        <w:ind w:left="-10" w:leftChars="-5" w:right="2" w:rightChars="1" w:firstLine="422" w:firstLineChars="200"/>
        <w:rPr>
          <w:b/>
          <w:highlight w:val="none"/>
        </w:rPr>
      </w:pPr>
      <w:r>
        <w:rPr>
          <w:rFonts w:hint="eastAsia"/>
          <w:b/>
          <w:highlight w:val="none"/>
        </w:rPr>
        <w:t>4</w:t>
      </w:r>
      <w:r>
        <w:rPr>
          <w:b/>
          <w:highlight w:val="none"/>
        </w:rPr>
        <w:t>.1</w:t>
      </w:r>
      <w:r>
        <w:rPr>
          <w:rFonts w:hint="eastAsia"/>
          <w:b/>
          <w:highlight w:val="none"/>
        </w:rPr>
        <w:t>采用最低评标价法的采购项目，提供相同品牌产品的不同供应商参加同一合同项下谈判的，以其中通过资格审查、符合性审查且报价最低的参加评审；报价相同的，由采购人或者采购人委托谈判小组按照谈判采购文件规定的方式确定一个参加评审的供应商，谈判采购文件未规定的采取随机抽取方式确定，其他竞标无效</w:t>
      </w:r>
      <w:r>
        <w:rPr>
          <w:b/>
          <w:highlight w:val="none"/>
        </w:rPr>
        <w:t>;</w:t>
      </w:r>
    </w:p>
    <w:p>
      <w:pPr>
        <w:spacing w:line="360" w:lineRule="auto"/>
        <w:ind w:left="-10" w:leftChars="-5" w:right="2" w:rightChars="1" w:firstLine="422" w:firstLineChars="200"/>
        <w:rPr>
          <w:b/>
          <w:highlight w:val="none"/>
        </w:rPr>
      </w:pPr>
      <w:r>
        <w:rPr>
          <w:rFonts w:hint="eastAsia"/>
          <w:b/>
          <w:highlight w:val="none"/>
        </w:rPr>
        <w:t>4</w:t>
      </w:r>
      <w:r>
        <w:rPr>
          <w:b/>
          <w:highlight w:val="none"/>
        </w:rPr>
        <w:t>.2</w:t>
      </w:r>
      <w:r>
        <w:rPr>
          <w:rFonts w:hint="eastAsia"/>
          <w:b/>
          <w:highlight w:val="none"/>
        </w:rPr>
        <w:t>非单一产品采购项目，采购人应当根据采购项目技术构成、产品价格比重等合理确定核心产品，并在招标文件中载明。多家供应商提供的核心产品品牌相同的，按前款规定处理。</w:t>
      </w:r>
    </w:p>
    <w:p>
      <w:pPr>
        <w:spacing w:line="360" w:lineRule="auto"/>
        <w:ind w:left="-10" w:leftChars="-5" w:right="2" w:rightChars="1" w:firstLine="422" w:firstLineChars="200"/>
        <w:rPr>
          <w:b/>
          <w:highlight w:val="none"/>
        </w:rPr>
      </w:pPr>
      <w:r>
        <w:rPr>
          <w:rFonts w:hint="eastAsia"/>
          <w:b/>
          <w:highlight w:val="none"/>
        </w:rPr>
        <w:t>4</w:t>
      </w:r>
      <w:r>
        <w:rPr>
          <w:b/>
          <w:highlight w:val="none"/>
        </w:rPr>
        <w:t>.3</w:t>
      </w:r>
      <w:r>
        <w:rPr>
          <w:rFonts w:hint="eastAsia"/>
          <w:b/>
          <w:highlight w:val="none"/>
        </w:rPr>
        <w:t>供应商谈判所使用的资格、信誉、荣誉、业绩与企业认证必须为本法人所拥有。供应商竞标所使用的采购项目实施人员必须为本法人员工（或必须为本法人或控股公司正式员工）。</w:t>
      </w:r>
    </w:p>
    <w:p>
      <w:pPr>
        <w:spacing w:line="360" w:lineRule="auto"/>
        <w:ind w:left="-10" w:leftChars="-5" w:right="2" w:rightChars="1" w:firstLine="422" w:firstLineChars="200"/>
        <w:rPr>
          <w:b/>
          <w:highlight w:val="none"/>
        </w:rPr>
      </w:pPr>
      <w:r>
        <w:rPr>
          <w:rFonts w:hint="eastAsia"/>
          <w:b/>
          <w:highlight w:val="none"/>
        </w:rPr>
        <w:t>5、带▲技术参数里的要求是实质性要求条款，若无法满足则作无效响应处理。</w:t>
      </w:r>
    </w:p>
    <w:p>
      <w:pPr>
        <w:spacing w:line="360" w:lineRule="auto"/>
        <w:ind w:left="-10" w:leftChars="-5" w:right="2" w:rightChars="1" w:firstLine="422" w:firstLineChars="200"/>
        <w:rPr>
          <w:b/>
          <w:highlight w:val="none"/>
        </w:rPr>
      </w:pPr>
      <w:r>
        <w:rPr>
          <w:rFonts w:hint="eastAsia"/>
          <w:b/>
          <w:highlight w:val="none"/>
        </w:rPr>
        <w:t>6、本项目所属行业为“零售业”。</w:t>
      </w:r>
    </w:p>
    <w:p>
      <w:pPr>
        <w:rPr>
          <w:b/>
          <w:sz w:val="28"/>
          <w:szCs w:val="28"/>
          <w:highlight w:val="none"/>
        </w:rPr>
      </w:pPr>
    </w:p>
    <w:p>
      <w:pPr>
        <w:rPr>
          <w:rFonts w:asciiTheme="minorEastAsia" w:hAnsiTheme="minorEastAsia" w:eastAsiaTheme="minorEastAsia"/>
          <w:sz w:val="24"/>
          <w:highlight w:val="none"/>
        </w:rPr>
      </w:pPr>
      <w:r>
        <w:rPr>
          <w:rFonts w:asciiTheme="minorEastAsia" w:hAnsiTheme="minorEastAsia" w:eastAsiaTheme="minorEastAsia"/>
          <w:sz w:val="24"/>
          <w:highlight w:val="none"/>
        </w:rPr>
        <w:br w:type="page"/>
      </w:r>
    </w:p>
    <w:p>
      <w:pPr>
        <w:spacing w:line="500" w:lineRule="exact"/>
        <w:ind w:firstLine="480" w:firstLineChars="200"/>
        <w:rPr>
          <w:rFonts w:asciiTheme="minorEastAsia" w:hAnsiTheme="minorEastAsia" w:eastAsiaTheme="minorEastAsia"/>
          <w:sz w:val="24"/>
          <w:highlight w:val="none"/>
        </w:rPr>
      </w:pPr>
      <w:r>
        <w:rPr>
          <w:rFonts w:asciiTheme="minorEastAsia" w:hAnsiTheme="minorEastAsia" w:eastAsiaTheme="minorEastAsia"/>
          <w:sz w:val="24"/>
          <w:highlight w:val="none"/>
        </w:rPr>
        <w:t>梧州学院本次拟采购纸质图书</w:t>
      </w:r>
      <w:r>
        <w:rPr>
          <w:rFonts w:hint="eastAsia" w:asciiTheme="minorEastAsia" w:hAnsiTheme="minorEastAsia" w:eastAsiaTheme="minorEastAsia"/>
          <w:sz w:val="24"/>
          <w:highlight w:val="none"/>
        </w:rPr>
        <w:t>40000</w:t>
      </w:r>
      <w:r>
        <w:rPr>
          <w:rFonts w:asciiTheme="minorEastAsia" w:hAnsiTheme="minorEastAsia" w:eastAsiaTheme="minorEastAsia"/>
          <w:sz w:val="24"/>
          <w:highlight w:val="none"/>
        </w:rPr>
        <w:t>册</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通过</w:t>
      </w:r>
      <w:r>
        <w:rPr>
          <w:rFonts w:hint="eastAsia" w:asciiTheme="minorEastAsia" w:hAnsiTheme="minorEastAsia" w:eastAsiaTheme="minorEastAsia" w:cstheme="minorEastAsia"/>
          <w:sz w:val="24"/>
          <w:highlight w:val="none"/>
        </w:rPr>
        <w:t>竞争性谈判采购方式</w:t>
      </w:r>
      <w:r>
        <w:rPr>
          <w:rFonts w:asciiTheme="minorEastAsia" w:hAnsiTheme="minorEastAsia" w:eastAsiaTheme="minorEastAsia"/>
          <w:sz w:val="24"/>
          <w:highlight w:val="none"/>
        </w:rPr>
        <w:t>选择</w:t>
      </w:r>
      <w:r>
        <w:rPr>
          <w:rFonts w:hint="eastAsia" w:asciiTheme="minorEastAsia" w:hAnsiTheme="minorEastAsia" w:eastAsiaTheme="minorEastAsia"/>
          <w:sz w:val="24"/>
          <w:highlight w:val="none"/>
        </w:rPr>
        <w:t>2</w:t>
      </w:r>
      <w:r>
        <w:rPr>
          <w:rFonts w:asciiTheme="minorEastAsia" w:hAnsiTheme="minorEastAsia" w:eastAsiaTheme="minorEastAsia"/>
          <w:sz w:val="24"/>
          <w:highlight w:val="none"/>
        </w:rPr>
        <w:t>家供应商供货。</w:t>
      </w:r>
      <w:r>
        <w:rPr>
          <w:rFonts w:hint="eastAsia" w:asciiTheme="minorEastAsia" w:hAnsiTheme="minorEastAsia" w:eastAsiaTheme="minorEastAsia"/>
          <w:sz w:val="24"/>
          <w:highlight w:val="none"/>
        </w:rPr>
        <w:t>谈判小组根据通过资格性审查和符合性审查各供应商的评审报价由低到高的排列次序，</w:t>
      </w:r>
      <w:r>
        <w:rPr>
          <w:rFonts w:asciiTheme="minorEastAsia" w:hAnsiTheme="minorEastAsia" w:eastAsiaTheme="minorEastAsia"/>
          <w:sz w:val="24"/>
          <w:highlight w:val="none"/>
        </w:rPr>
        <w:t>推荐前</w:t>
      </w:r>
      <w:r>
        <w:rPr>
          <w:rFonts w:hint="eastAsia" w:asciiTheme="minorEastAsia" w:hAnsiTheme="minorEastAsia" w:eastAsiaTheme="minorEastAsia"/>
          <w:sz w:val="24"/>
          <w:highlight w:val="none"/>
        </w:rPr>
        <w:t>2名供应商</w:t>
      </w:r>
      <w:r>
        <w:rPr>
          <w:rFonts w:asciiTheme="minorEastAsia" w:hAnsiTheme="minorEastAsia" w:eastAsiaTheme="minorEastAsia"/>
          <w:sz w:val="24"/>
          <w:highlight w:val="none"/>
        </w:rPr>
        <w:t>为</w:t>
      </w:r>
      <w:r>
        <w:rPr>
          <w:rFonts w:hint="eastAsia" w:asciiTheme="minorEastAsia" w:hAnsiTheme="minorEastAsia" w:eastAsiaTheme="minorEastAsia"/>
          <w:sz w:val="24"/>
          <w:highlight w:val="none"/>
        </w:rPr>
        <w:t>成交供应商，成交供应商供书</w:t>
      </w:r>
      <w:r>
        <w:rPr>
          <w:rFonts w:asciiTheme="minorEastAsia" w:hAnsiTheme="minorEastAsia" w:eastAsiaTheme="minorEastAsia"/>
          <w:sz w:val="24"/>
          <w:highlight w:val="none"/>
        </w:rPr>
        <w:t>量</w:t>
      </w:r>
      <w:r>
        <w:rPr>
          <w:rFonts w:hint="eastAsia" w:asciiTheme="minorEastAsia" w:hAnsiTheme="minorEastAsia" w:eastAsiaTheme="minorEastAsia"/>
          <w:sz w:val="24"/>
          <w:highlight w:val="none"/>
        </w:rPr>
        <w:t>各</w:t>
      </w:r>
      <w:r>
        <w:rPr>
          <w:rFonts w:asciiTheme="minorEastAsia" w:hAnsiTheme="minorEastAsia" w:eastAsiaTheme="minorEastAsia"/>
          <w:sz w:val="24"/>
          <w:highlight w:val="none"/>
        </w:rPr>
        <w:t>为</w:t>
      </w:r>
      <w:r>
        <w:rPr>
          <w:rFonts w:hint="eastAsia" w:asciiTheme="minorEastAsia" w:hAnsiTheme="minorEastAsia" w:eastAsiaTheme="minorEastAsia"/>
          <w:sz w:val="24"/>
          <w:highlight w:val="none"/>
        </w:rPr>
        <w:t>20000册,第一成交供应商按《图书馆2024年图书采购A目录》供图书，第二成交供应商按《图书馆2024年图书采购B目录》供图书。如成交人不能按书目全部供应完毕，采购人有权按实际需求更换书目或另行采购，并由供应商承担违约责任。</w:t>
      </w:r>
    </w:p>
    <w:p>
      <w:pPr>
        <w:spacing w:line="500" w:lineRule="exact"/>
        <w:ind w:firstLine="482" w:firstLineChars="200"/>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一、供应商</w:t>
      </w:r>
      <w:r>
        <w:rPr>
          <w:rFonts w:asciiTheme="minorEastAsia" w:hAnsiTheme="minorEastAsia" w:eastAsiaTheme="minorEastAsia"/>
          <w:b/>
          <w:sz w:val="24"/>
          <w:highlight w:val="none"/>
        </w:rPr>
        <w:t>要求</w:t>
      </w:r>
    </w:p>
    <w:p>
      <w:pPr>
        <w:spacing w:line="500" w:lineRule="exact"/>
        <w:ind w:firstLine="422" w:firstLineChars="200"/>
        <w:rPr>
          <w:rFonts w:asciiTheme="minorEastAsia" w:hAnsiTheme="minorEastAsia" w:eastAsiaTheme="minorEastAsia"/>
          <w:sz w:val="24"/>
          <w:highlight w:val="none"/>
        </w:rPr>
      </w:pPr>
      <w:r>
        <w:rPr>
          <w:rFonts w:hint="eastAsia"/>
          <w:b/>
          <w:highlight w:val="none"/>
        </w:rPr>
        <w:t>▲</w:t>
      </w:r>
      <w:r>
        <w:rPr>
          <w:rFonts w:hint="eastAsia" w:asciiTheme="minorEastAsia" w:hAnsiTheme="minorEastAsia" w:eastAsiaTheme="minorEastAsia"/>
          <w:sz w:val="24"/>
          <w:highlight w:val="none"/>
        </w:rPr>
        <w:t>1.供应商图书来源渠道广泛，经营图书品种丰富，应能覆盖梧州学院所有学科，与图书出版单位有广泛的合作供货关系，有直接业务联系的国家级出版社数量。供应商承诺与“《梧州学院图书采购配送重要出版社名录》”所列的重要图书出版单位有供货关系，供应商提供的承诺书中，必须包括“《梧州学院图书采购配送重要出版社名录》中的配书量不低于总购书量的90%”内容。承诺书加盖单位公章，否则无效。供应商提供梧州学院重点出版社（机械工业出版社、清华大学出版社、电子工业出版社、化学工业出版社、人民邮电出版社、北京理工大学出版社、科学出版社、中国轻工业出版社、中国科学技术出版社、中国环境科学出版社、人民出版社、商务印书馆、中华书局、中国社会科学出版社、社会科学文献出版社、北京大学出版社、经济科学出版社、法律出版社、人民文学出版社、广西师范大学出版社）2022、2023或者2024年的供货合同或者授权书，20家出版社至少提供16家</w:t>
      </w:r>
      <w:r>
        <w:rPr>
          <w:rFonts w:asciiTheme="minorEastAsia" w:hAnsiTheme="minorEastAsia" w:eastAsiaTheme="minorEastAsia"/>
          <w:sz w:val="24"/>
          <w:highlight w:val="none"/>
        </w:rPr>
        <w:t>。</w:t>
      </w:r>
    </w:p>
    <w:p>
      <w:pPr>
        <w:spacing w:line="500" w:lineRule="exact"/>
        <w:ind w:firstLine="422" w:firstLineChars="200"/>
        <w:rPr>
          <w:rFonts w:asciiTheme="minorEastAsia" w:hAnsiTheme="minorEastAsia" w:eastAsiaTheme="minorEastAsia"/>
          <w:sz w:val="24"/>
          <w:highlight w:val="none"/>
        </w:rPr>
      </w:pPr>
      <w:r>
        <w:rPr>
          <w:rFonts w:hint="eastAsia"/>
          <w:b/>
          <w:highlight w:val="none"/>
        </w:rPr>
        <w:t>▲</w:t>
      </w:r>
      <w:r>
        <w:rPr>
          <w:rFonts w:hint="eastAsia" w:asciiTheme="minorEastAsia" w:hAnsiTheme="minorEastAsia" w:eastAsiaTheme="minorEastAsia"/>
          <w:sz w:val="24"/>
          <w:highlight w:val="none"/>
        </w:rPr>
        <w:t>2.</w:t>
      </w:r>
      <w:r>
        <w:rPr>
          <w:rFonts w:hint="eastAsia"/>
          <w:highlight w:val="none"/>
        </w:rPr>
        <w:t xml:space="preserve"> </w:t>
      </w:r>
      <w:r>
        <w:rPr>
          <w:rFonts w:hint="eastAsia" w:asciiTheme="minorEastAsia" w:hAnsiTheme="minorEastAsia" w:eastAsiaTheme="minorEastAsia"/>
          <w:sz w:val="24"/>
          <w:highlight w:val="none"/>
        </w:rPr>
        <w:t>供应商应当建有功能较完善、性能较稳定的专业化图书电子商务网站，定期发布征订书目等图书信息，开通网上服务，便于需求方了解新书出版情况。供应商应当向学校图书馆推荐教学科研所需的图书，便于供需双方高效开展业务工作</w:t>
      </w:r>
      <w:r>
        <w:rPr>
          <w:rFonts w:asciiTheme="minorEastAsia" w:hAnsiTheme="minorEastAsia" w:eastAsiaTheme="minorEastAsia"/>
          <w:sz w:val="24"/>
          <w:highlight w:val="none"/>
        </w:rPr>
        <w:t>。</w:t>
      </w:r>
    </w:p>
    <w:p>
      <w:pPr>
        <w:spacing w:line="500" w:lineRule="exact"/>
        <w:ind w:firstLine="422" w:firstLineChars="200"/>
        <w:rPr>
          <w:rFonts w:asciiTheme="minorEastAsia" w:hAnsiTheme="minorEastAsia" w:eastAsiaTheme="minorEastAsia"/>
          <w:sz w:val="24"/>
          <w:highlight w:val="none"/>
        </w:rPr>
      </w:pPr>
      <w:r>
        <w:rPr>
          <w:rFonts w:hint="eastAsia"/>
          <w:b/>
          <w:highlight w:val="none"/>
        </w:rPr>
        <w:t>▲</w:t>
      </w:r>
      <w:r>
        <w:rPr>
          <w:rFonts w:hint="eastAsia" w:asciiTheme="minorEastAsia" w:hAnsiTheme="minorEastAsia" w:eastAsiaTheme="minorEastAsia"/>
          <w:sz w:val="24"/>
          <w:highlight w:val="none"/>
        </w:rPr>
        <w:t>3.</w:t>
      </w:r>
      <w:r>
        <w:rPr>
          <w:rFonts w:hint="eastAsia"/>
          <w:highlight w:val="none"/>
        </w:rPr>
        <w:t xml:space="preserve"> </w:t>
      </w:r>
      <w:r>
        <w:rPr>
          <w:rFonts w:hint="eastAsia" w:asciiTheme="minorEastAsia" w:hAnsiTheme="minorEastAsia" w:eastAsiaTheme="minorEastAsia"/>
          <w:sz w:val="24"/>
          <w:highlight w:val="none"/>
        </w:rPr>
        <w:t>供应商应具有良好的图书配送服务系统，稳定的供货渠道、仓储设施、固定的营业场所和图书配送工具。图书经营场地面积（含有直接联系书店经营场地总面积）须出示相关证明材料，外省供应商有专人负责本省联系业务工作，发生问题时应3个工作日内予以解决</w:t>
      </w:r>
      <w:r>
        <w:rPr>
          <w:rFonts w:asciiTheme="minorEastAsia" w:hAnsiTheme="minorEastAsia" w:eastAsiaTheme="minorEastAsia"/>
          <w:sz w:val="24"/>
          <w:highlight w:val="none"/>
        </w:rPr>
        <w:t>。</w:t>
      </w:r>
    </w:p>
    <w:p>
      <w:pPr>
        <w:spacing w:line="500" w:lineRule="exact"/>
        <w:ind w:firstLine="422" w:firstLineChars="200"/>
        <w:rPr>
          <w:rFonts w:asciiTheme="minorEastAsia" w:hAnsiTheme="minorEastAsia" w:eastAsiaTheme="minorEastAsia"/>
          <w:sz w:val="24"/>
          <w:highlight w:val="none"/>
        </w:rPr>
      </w:pPr>
      <w:r>
        <w:rPr>
          <w:rFonts w:hint="eastAsia"/>
          <w:b/>
          <w:highlight w:val="none"/>
        </w:rPr>
        <w:t>▲</w:t>
      </w:r>
      <w:r>
        <w:rPr>
          <w:rFonts w:hint="eastAsia" w:asciiTheme="minorEastAsia" w:hAnsiTheme="minorEastAsia" w:eastAsiaTheme="minorEastAsia"/>
          <w:sz w:val="24"/>
          <w:highlight w:val="none"/>
        </w:rPr>
        <w:t>4.</w:t>
      </w:r>
      <w:r>
        <w:rPr>
          <w:rFonts w:hint="eastAsia"/>
          <w:highlight w:val="none"/>
        </w:rPr>
        <w:t xml:space="preserve"> </w:t>
      </w:r>
      <w:r>
        <w:rPr>
          <w:rFonts w:hint="eastAsia" w:asciiTheme="minorEastAsia" w:hAnsiTheme="minorEastAsia" w:eastAsiaTheme="minorEastAsia"/>
          <w:sz w:val="24"/>
          <w:highlight w:val="none"/>
        </w:rPr>
        <w:t>供应商现货供应《梧州学院图书采购配送重要出版社名录》近3年内出版新书品种在5万种以上，必须提供承诺书，格式自拟。</w:t>
      </w:r>
    </w:p>
    <w:p>
      <w:pPr>
        <w:spacing w:line="500" w:lineRule="exact"/>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5.成交供应商</w:t>
      </w:r>
      <w:r>
        <w:rPr>
          <w:rFonts w:asciiTheme="minorEastAsia" w:hAnsiTheme="minorEastAsia" w:eastAsiaTheme="minorEastAsia"/>
          <w:sz w:val="24"/>
          <w:highlight w:val="none"/>
        </w:rPr>
        <w:t>不得以任何形式和理由转包</w:t>
      </w:r>
      <w:r>
        <w:rPr>
          <w:rFonts w:hint="eastAsia" w:asciiTheme="minorEastAsia" w:hAnsiTheme="minorEastAsia" w:eastAsiaTheme="minorEastAsia"/>
          <w:sz w:val="24"/>
          <w:highlight w:val="none"/>
        </w:rPr>
        <w:t>成交</w:t>
      </w:r>
      <w:r>
        <w:rPr>
          <w:rFonts w:asciiTheme="minorEastAsia" w:hAnsiTheme="minorEastAsia" w:eastAsiaTheme="minorEastAsia"/>
          <w:sz w:val="24"/>
          <w:highlight w:val="none"/>
        </w:rPr>
        <w:t>项目。</w:t>
      </w:r>
    </w:p>
    <w:p>
      <w:pPr>
        <w:spacing w:line="500" w:lineRule="exact"/>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6.供应商</w:t>
      </w:r>
      <w:r>
        <w:rPr>
          <w:rFonts w:asciiTheme="minorEastAsia" w:hAnsiTheme="minorEastAsia" w:eastAsiaTheme="minorEastAsia"/>
          <w:sz w:val="24"/>
          <w:highlight w:val="none"/>
        </w:rPr>
        <w:t>能满足需求方指定采购点进行采购。</w:t>
      </w:r>
    </w:p>
    <w:p>
      <w:pPr>
        <w:spacing w:line="500" w:lineRule="exact"/>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7.供应商</w:t>
      </w:r>
      <w:r>
        <w:rPr>
          <w:rFonts w:asciiTheme="minorEastAsia" w:hAnsiTheme="minorEastAsia" w:eastAsiaTheme="minorEastAsia"/>
          <w:sz w:val="24"/>
          <w:highlight w:val="none"/>
        </w:rPr>
        <w:t>近三年内没有违法行为</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政府采购活动中没有违规和违约行为。</w:t>
      </w:r>
    </w:p>
    <w:p>
      <w:pPr>
        <w:spacing w:line="520" w:lineRule="exact"/>
        <w:ind w:firstLine="482" w:firstLineChars="200"/>
        <w:jc w:val="left"/>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二、项目要求</w:t>
      </w:r>
    </w:p>
    <w:p>
      <w:pPr>
        <w:spacing w:line="520" w:lineRule="exact"/>
        <w:ind w:firstLine="480" w:firstLineChars="200"/>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1.技术要求</w:t>
      </w:r>
    </w:p>
    <w:p>
      <w:pPr>
        <w:spacing w:line="520" w:lineRule="exact"/>
        <w:ind w:firstLine="422" w:firstLineChars="200"/>
        <w:jc w:val="left"/>
        <w:rPr>
          <w:rFonts w:asciiTheme="minorEastAsia" w:hAnsiTheme="minorEastAsia" w:eastAsiaTheme="minorEastAsia"/>
          <w:sz w:val="24"/>
          <w:highlight w:val="none"/>
        </w:rPr>
      </w:pPr>
      <w:r>
        <w:rPr>
          <w:rFonts w:hint="eastAsia"/>
          <w:b/>
          <w:highlight w:val="none"/>
        </w:rPr>
        <w:t>▲</w:t>
      </w:r>
      <w:r>
        <w:rPr>
          <w:rFonts w:hint="eastAsia" w:asciiTheme="minorEastAsia" w:hAnsiTheme="minorEastAsia" w:eastAsiaTheme="minorEastAsia"/>
          <w:sz w:val="24"/>
          <w:highlight w:val="none"/>
        </w:rPr>
        <w:t>（1）内容要求：供应商提供给采购人的订购书目必须涵盖哲学、经济学、法学、教育学、文学、农学、理学、工学、管理学、艺术学等学科门类，其中自然科学类图书品种数量不低于总量的40%。提供图书必须是正版图书,盗版图书一经发现，除假一赔十外，供应商还承担由此造成的一切后果，同时供需合同自动终止。</w:t>
      </w:r>
    </w:p>
    <w:p>
      <w:pPr>
        <w:spacing w:line="520" w:lineRule="exact"/>
        <w:ind w:firstLine="422" w:firstLineChars="200"/>
        <w:jc w:val="left"/>
        <w:rPr>
          <w:rFonts w:asciiTheme="minorEastAsia" w:hAnsiTheme="minorEastAsia" w:eastAsiaTheme="minorEastAsia"/>
          <w:sz w:val="24"/>
          <w:highlight w:val="none"/>
        </w:rPr>
      </w:pPr>
      <w:r>
        <w:rPr>
          <w:rFonts w:hint="eastAsia"/>
          <w:b/>
          <w:highlight w:val="none"/>
        </w:rPr>
        <w:t>▲</w:t>
      </w:r>
      <w:r>
        <w:rPr>
          <w:rFonts w:hint="eastAsia" w:asciiTheme="minorEastAsia" w:hAnsiTheme="minorEastAsia" w:eastAsiaTheme="minorEastAsia"/>
          <w:sz w:val="24"/>
          <w:highlight w:val="none"/>
        </w:rPr>
        <w:t>（2）采购方式以现场、订单选购混合方式进行，订单选购次数为一年4次以上。采购人提供具体书目信息，包含订购图书的书名、规格、品种、数量等基本信息，供应商必须满足采购人所提供书目的90%以上。</w:t>
      </w:r>
    </w:p>
    <w:p>
      <w:pPr>
        <w:spacing w:line="520" w:lineRule="exact"/>
        <w:ind w:firstLine="422" w:firstLineChars="200"/>
        <w:jc w:val="left"/>
        <w:rPr>
          <w:rFonts w:asciiTheme="minorEastAsia" w:hAnsiTheme="minorEastAsia" w:eastAsiaTheme="minorEastAsia"/>
          <w:sz w:val="24"/>
          <w:highlight w:val="none"/>
        </w:rPr>
      </w:pPr>
      <w:r>
        <w:rPr>
          <w:rFonts w:hint="eastAsia"/>
          <w:b/>
          <w:highlight w:val="none"/>
        </w:rPr>
        <w:t>▲</w:t>
      </w:r>
      <w:r>
        <w:rPr>
          <w:rFonts w:hint="eastAsia" w:asciiTheme="minorEastAsia" w:hAnsiTheme="minorEastAsia" w:eastAsiaTheme="minorEastAsia"/>
          <w:sz w:val="24"/>
          <w:highlight w:val="none"/>
        </w:rPr>
        <w:t>（3）供应商免费提供规范、详实、准确的新书征订书目数据，要求每周更新一次，每次2000条左右，文理分类，每1000条左右一个数据包，自然科学类图书品种数量不少于40%。年提供采访书目数据总量不得少于8万条，数据来源要求100%覆盖甲方的核心出版社（附表）及全国500多家出版社，100%覆盖当年全部三目（新华书目报《科技新书目》、《社科新书目》、《全国地方版科技新书目》）新书数据，覆盖当年其他新出图书的95%以上(自办发行不计在内)；供应商提供的书目数据必须覆盖当年所有出版发行学科文献的图书书目数据95%以上。根据采购人要求提供个性化采访数据，能及时按出版社提供全国性书展、书市采访数据，提供按出版社编制的全年出版书目数据。书目采访数据应包含书名、作者、ISBN号、出版社、价钱、出版时间、页码、装帧、开本大小、内容简介、适应读者范围等字段项目。翻译的购权版图书除包括作者中文译名外，还应提供著者英文姓名、译者。同时应区分现货数据、期货数据。要求配送国家图书馆的编目数据，编目严格按照《普通图书著录条例》进行著录，数据以《中国机读目录格式使用手册》为准。其数据应完全符合采购人图书集成管理系统的格式及运行要求，提供的所有数据都能在学校图书馆系统无障碍使用。</w:t>
      </w:r>
    </w:p>
    <w:p>
      <w:pPr>
        <w:spacing w:line="520" w:lineRule="exact"/>
        <w:ind w:firstLine="422" w:firstLineChars="200"/>
        <w:jc w:val="left"/>
        <w:rPr>
          <w:rFonts w:asciiTheme="minorEastAsia" w:hAnsiTheme="minorEastAsia" w:eastAsiaTheme="minorEastAsia"/>
          <w:sz w:val="24"/>
          <w:highlight w:val="none"/>
        </w:rPr>
      </w:pPr>
      <w:r>
        <w:rPr>
          <w:rFonts w:hint="eastAsia"/>
          <w:b/>
          <w:highlight w:val="none"/>
        </w:rPr>
        <w:t>▲</w:t>
      </w:r>
      <w:r>
        <w:rPr>
          <w:rFonts w:hint="eastAsia" w:asciiTheme="minorEastAsia" w:hAnsiTheme="minorEastAsia" w:eastAsiaTheme="minorEastAsia"/>
          <w:sz w:val="24"/>
          <w:highlight w:val="none"/>
        </w:rPr>
        <w:t>（4）预定书中如含有不符合采购人馆藏原则的图书（散页、挂图、活页本、配磁带书、小于或等于64开书、少于100页以下的书、少儿读物、中小学、中专、文学类以图画为主的非特指定选购书等），供货方在加工前应先选择淘汰，同时回告采购人。加工每批图书前，必须严格按采购人提供的图书加工审核要求加工预订图书，有必要时安排采购人采购人员查看样书，进一步确认后方能按采购人认可的品种、复本数、加工和包装要求加工图书，并及时送交到指定地点，为此所发生的费用全部由供应商承担。对看样后有变动的品种及复本，应单独列表反馈给采购人，并配合采购人修改采访数据。对不符合采购人要求的图书，即使进行了前期加工，采购人也有权退货，由此造成的损失由供应商自负。</w:t>
      </w:r>
    </w:p>
    <w:p>
      <w:pPr>
        <w:spacing w:line="560" w:lineRule="exact"/>
        <w:ind w:firstLine="480" w:firstLineChars="200"/>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（5）学科建设需要的自办发行的图书，由采购人提出具体订购要求，供应商帮助购买。</w:t>
      </w:r>
    </w:p>
    <w:p>
      <w:pPr>
        <w:spacing w:line="520" w:lineRule="exact"/>
        <w:ind w:firstLine="480" w:firstLineChars="200"/>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2.商务要求</w:t>
      </w:r>
    </w:p>
    <w:p>
      <w:pPr>
        <w:spacing w:line="520" w:lineRule="exact"/>
        <w:ind w:firstLine="422" w:firstLineChars="200"/>
        <w:jc w:val="left"/>
        <w:rPr>
          <w:rFonts w:asciiTheme="minorEastAsia" w:hAnsiTheme="minorEastAsia" w:eastAsiaTheme="minorEastAsia"/>
          <w:sz w:val="24"/>
          <w:highlight w:val="none"/>
        </w:rPr>
      </w:pPr>
      <w:r>
        <w:rPr>
          <w:rFonts w:hint="eastAsia"/>
          <w:b/>
          <w:highlight w:val="none"/>
        </w:rPr>
        <w:t>▲</w:t>
      </w:r>
      <w:r>
        <w:rPr>
          <w:rFonts w:hint="eastAsia" w:asciiTheme="minorEastAsia" w:hAnsiTheme="minorEastAsia" w:eastAsiaTheme="minorEastAsia"/>
          <w:sz w:val="24"/>
          <w:highlight w:val="none"/>
        </w:rPr>
        <w:t>（1）供货要求。供货时间：自签订合同之日起至2024年10月31日前全部交货完毕，并验收合格。交货地点：广西梧州市富民三路82号梧州学院图书馆。</w:t>
      </w:r>
    </w:p>
    <w:p>
      <w:pPr>
        <w:spacing w:line="520" w:lineRule="exact"/>
        <w:ind w:firstLine="422" w:firstLineChars="200"/>
        <w:jc w:val="left"/>
        <w:rPr>
          <w:rFonts w:asciiTheme="minorEastAsia" w:hAnsiTheme="minorEastAsia" w:eastAsiaTheme="minorEastAsia"/>
          <w:sz w:val="24"/>
          <w:highlight w:val="none"/>
        </w:rPr>
      </w:pPr>
      <w:r>
        <w:rPr>
          <w:rFonts w:hint="eastAsia"/>
          <w:b/>
          <w:highlight w:val="none"/>
        </w:rPr>
        <w:t>▲</w:t>
      </w:r>
      <w:r>
        <w:rPr>
          <w:rFonts w:hint="eastAsia" w:asciiTheme="minorEastAsia" w:hAnsiTheme="minorEastAsia" w:eastAsiaTheme="minorEastAsia"/>
          <w:sz w:val="24"/>
          <w:highlight w:val="none"/>
        </w:rPr>
        <w:t>（2）付款方式：服务时间内所有采购图书均按实洋价付款，合同的最终结算金额=实际供货码洋总价×成交折扣率，不超本项目预算价，若超出则以预算价结算，验收合格后成交供应商须按采购人要求开具正规发票，采购人按成交供应商提供的对公账号在10个工作日内一次性付清合同款。</w:t>
      </w:r>
    </w:p>
    <w:p>
      <w:pPr>
        <w:spacing w:line="520" w:lineRule="exact"/>
        <w:ind w:firstLine="422" w:firstLineChars="200"/>
        <w:jc w:val="left"/>
        <w:rPr>
          <w:rFonts w:asciiTheme="minorEastAsia" w:hAnsiTheme="minorEastAsia" w:eastAsiaTheme="minorEastAsia"/>
          <w:sz w:val="24"/>
          <w:highlight w:val="none"/>
        </w:rPr>
      </w:pPr>
      <w:r>
        <w:rPr>
          <w:rFonts w:hint="eastAsia"/>
          <w:b/>
          <w:highlight w:val="none"/>
        </w:rPr>
        <w:t>▲</w:t>
      </w:r>
      <w:r>
        <w:rPr>
          <w:rFonts w:hint="eastAsia" w:asciiTheme="minorEastAsia" w:hAnsiTheme="minorEastAsia" w:eastAsiaTheme="minorEastAsia"/>
          <w:sz w:val="24"/>
          <w:highlight w:val="none"/>
        </w:rPr>
        <w:t>（3）供应商必须保证按采购人订购的图书品种、数量及时供货。书单采书，接到订单一个月内到书率不低于80%，二个月到书率不低于90%，三个月到书率100%；现采图书一个月内到书率100%。供应商应提供保证到书率的措施；从接到采购人订单的一个月内，供应商应主动提供未到书清单，以书面形式分析、说明原因，并尽快设法补订未到的图书。</w:t>
      </w:r>
    </w:p>
    <w:p>
      <w:pPr>
        <w:spacing w:line="520" w:lineRule="exact"/>
        <w:ind w:firstLine="422" w:firstLineChars="200"/>
        <w:jc w:val="left"/>
        <w:rPr>
          <w:rFonts w:asciiTheme="minorEastAsia" w:hAnsiTheme="minorEastAsia" w:eastAsiaTheme="minorEastAsia"/>
          <w:sz w:val="24"/>
          <w:highlight w:val="none"/>
        </w:rPr>
      </w:pPr>
      <w:r>
        <w:rPr>
          <w:rFonts w:hint="eastAsia"/>
          <w:b/>
          <w:highlight w:val="none"/>
        </w:rPr>
        <w:t>▲</w:t>
      </w:r>
      <w:r>
        <w:rPr>
          <w:rFonts w:hint="eastAsia" w:asciiTheme="minorEastAsia" w:hAnsiTheme="minorEastAsia" w:eastAsiaTheme="minorEastAsia"/>
          <w:sz w:val="24"/>
          <w:highlight w:val="none"/>
        </w:rPr>
        <w:t>（4）订单处理方式：用户订单（包括发文、征订单、电子邮件、电话、传真等均视为订购合同）后的2个工作日内应反馈给用户确认订单收到，并告知订单所处的状态，上报出版社、配货、加工、发货及该订单的发货率等。如缺货，必须2个工作日内给予反馈。实际到书与订单信息有变化的，如ISBN号、书名、价格等变更，应列表通知采购人，修改有关订单数据，重新确认订购需求，书价变更差额大于30%的，准予变更订数。</w:t>
      </w:r>
    </w:p>
    <w:p>
      <w:pPr>
        <w:spacing w:line="520" w:lineRule="exact"/>
        <w:ind w:firstLine="422" w:firstLineChars="200"/>
        <w:jc w:val="left"/>
        <w:rPr>
          <w:rFonts w:asciiTheme="minorEastAsia" w:hAnsiTheme="minorEastAsia" w:eastAsiaTheme="minorEastAsia"/>
          <w:sz w:val="24"/>
          <w:highlight w:val="none"/>
        </w:rPr>
      </w:pPr>
      <w:r>
        <w:rPr>
          <w:rFonts w:hint="eastAsia"/>
          <w:b/>
          <w:highlight w:val="none"/>
        </w:rPr>
        <w:t>▲</w:t>
      </w:r>
      <w:r>
        <w:rPr>
          <w:rFonts w:hint="eastAsia" w:asciiTheme="minorEastAsia" w:hAnsiTheme="minorEastAsia" w:eastAsiaTheme="minorEastAsia"/>
          <w:sz w:val="24"/>
          <w:highlight w:val="none"/>
        </w:rPr>
        <w:t>（5）所有图书订购的品种、复本均由采购人决定，供应商不得自行搭配。如验收发现与订单不符，无论图书是否经过前期加工，供货商应无条件接受采购人退货。供应商在每次现采工作结束时，应马上反馈现采数据给采购人，否则视为无效书单，采购人可拒绝认可。</w:t>
      </w:r>
    </w:p>
    <w:p>
      <w:pPr>
        <w:spacing w:line="520" w:lineRule="exact"/>
        <w:ind w:firstLine="480" w:firstLineChars="200"/>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6）凡是印刷图文不清、污损、缺页、倒页、脱页、缺附件等质量不合格的，以及与订书单不符（包括重发的），无论是否已做前期加工，一律予以退货，由此造成的损失有及费用全部由供应商承担。因图书的质量问题发生争议，由法定的技术鉴定部门进行质量鉴定，该鉴定结论是终局的，供需双方均应当接受。</w:t>
      </w:r>
    </w:p>
    <w:p>
      <w:pPr>
        <w:spacing w:line="520" w:lineRule="exact"/>
        <w:ind w:firstLine="480" w:firstLineChars="200"/>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7）在图书发运前对其进行满足于运输距离、防潮、防霉、防破损装卸要求以及按采购人要求的分类包装，以保证图书安全快捷到达采购人指定地点，现场验收。随书应提供该批图书数量、品种、价格相符的详细清单，一式两份。</w:t>
      </w:r>
    </w:p>
    <w:p>
      <w:pPr>
        <w:spacing w:line="520" w:lineRule="exact"/>
        <w:ind w:firstLine="422" w:firstLineChars="200"/>
        <w:jc w:val="left"/>
        <w:rPr>
          <w:rFonts w:asciiTheme="minorEastAsia" w:hAnsiTheme="minorEastAsia" w:eastAsiaTheme="minorEastAsia"/>
          <w:sz w:val="24"/>
          <w:highlight w:val="none"/>
        </w:rPr>
      </w:pPr>
      <w:r>
        <w:rPr>
          <w:rFonts w:hint="eastAsia"/>
          <w:b/>
          <w:highlight w:val="none"/>
        </w:rPr>
        <w:t>▲</w:t>
      </w:r>
      <w:r>
        <w:rPr>
          <w:rFonts w:hint="eastAsia" w:asciiTheme="minorEastAsia" w:hAnsiTheme="minorEastAsia" w:eastAsiaTheme="minorEastAsia"/>
          <w:sz w:val="24"/>
          <w:highlight w:val="none"/>
        </w:rPr>
        <w:t>（8）图书编目加工要求</w:t>
      </w:r>
    </w:p>
    <w:p>
      <w:pPr>
        <w:spacing w:line="520" w:lineRule="exact"/>
        <w:ind w:firstLine="480" w:firstLineChars="200"/>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fldChar w:fldCharType="begin"/>
      </w:r>
      <w:r>
        <w:rPr>
          <w:rFonts w:hint="eastAsia" w:asciiTheme="minorEastAsia" w:hAnsiTheme="minorEastAsia" w:eastAsiaTheme="minorEastAsia"/>
          <w:sz w:val="24"/>
          <w:highlight w:val="none"/>
        </w:rPr>
        <w:instrText xml:space="preserve"> = 1 \* GB3 \* MERGEFORMAT </w:instrText>
      </w:r>
      <w:r>
        <w:rPr>
          <w:rFonts w:hint="eastAsia" w:asciiTheme="minorEastAsia" w:hAnsiTheme="minorEastAsia" w:eastAsiaTheme="minorEastAsia"/>
          <w:sz w:val="24"/>
          <w:highlight w:val="none"/>
        </w:rPr>
        <w:fldChar w:fldCharType="separate"/>
      </w:r>
      <w:r>
        <w:rPr>
          <w:rFonts w:hint="eastAsia" w:asciiTheme="minorEastAsia" w:hAnsiTheme="minorEastAsia" w:eastAsiaTheme="minorEastAsia"/>
          <w:sz w:val="24"/>
          <w:highlight w:val="none"/>
        </w:rPr>
        <w:t>①</w:t>
      </w:r>
      <w:r>
        <w:rPr>
          <w:rFonts w:hint="eastAsia" w:asciiTheme="minorEastAsia" w:hAnsiTheme="minorEastAsia" w:eastAsiaTheme="minorEastAsia"/>
          <w:sz w:val="24"/>
          <w:highlight w:val="none"/>
        </w:rPr>
        <w:fldChar w:fldCharType="end"/>
      </w:r>
      <w:r>
        <w:rPr>
          <w:rFonts w:hint="eastAsia" w:asciiTheme="minorEastAsia" w:hAnsiTheme="minorEastAsia" w:eastAsiaTheme="minorEastAsia"/>
          <w:sz w:val="24"/>
          <w:highlight w:val="none"/>
        </w:rPr>
        <w:t>打印财产号3个：分别在书名页上方靠左三分之一处、第111页上方、最后一页上方（财产编号由采购人提供）。</w:t>
      </w:r>
    </w:p>
    <w:p>
      <w:pPr>
        <w:spacing w:line="520" w:lineRule="exact"/>
        <w:ind w:firstLine="480" w:firstLineChars="200"/>
        <w:jc w:val="left"/>
        <w:rPr>
          <w:rFonts w:asciiTheme="minorEastAsia" w:hAnsiTheme="minorEastAsia" w:eastAsiaTheme="minorEastAsia"/>
          <w:sz w:val="24"/>
          <w:highlight w:val="none"/>
        </w:rPr>
      </w:pPr>
      <w:r>
        <w:rPr>
          <w:rFonts w:asciiTheme="minorEastAsia" w:hAnsiTheme="minorEastAsia" w:eastAsiaTheme="minorEastAsia"/>
          <w:sz w:val="24"/>
          <w:highlight w:val="none"/>
        </w:rPr>
        <w:t>②</w:t>
      </w:r>
      <w:r>
        <w:rPr>
          <w:rFonts w:hint="eastAsia" w:asciiTheme="minorEastAsia" w:hAnsiTheme="minorEastAsia" w:eastAsiaTheme="minorEastAsia"/>
          <w:sz w:val="24"/>
          <w:highlight w:val="none"/>
        </w:rPr>
        <w:t>盖印馆藏章3个：分别在书名页左下角、第111页左下角、书口上方三分之一处。（馆藏章样式见样板）</w:t>
      </w:r>
    </w:p>
    <w:p>
      <w:pPr>
        <w:spacing w:line="520" w:lineRule="exact"/>
        <w:ind w:firstLine="480" w:firstLineChars="200"/>
        <w:jc w:val="left"/>
        <w:rPr>
          <w:rFonts w:asciiTheme="minorEastAsia" w:hAnsiTheme="minorEastAsia" w:eastAsiaTheme="minorEastAsia"/>
          <w:sz w:val="24"/>
          <w:highlight w:val="none"/>
        </w:rPr>
      </w:pPr>
      <w:r>
        <w:rPr>
          <w:rFonts w:asciiTheme="minorEastAsia" w:hAnsiTheme="minorEastAsia" w:eastAsiaTheme="minorEastAsia"/>
          <w:sz w:val="24"/>
          <w:highlight w:val="none"/>
        </w:rPr>
        <w:t>③</w:t>
      </w:r>
      <w:r>
        <w:rPr>
          <w:rFonts w:hint="eastAsia" w:asciiTheme="minorEastAsia" w:hAnsiTheme="minorEastAsia" w:eastAsiaTheme="minorEastAsia"/>
          <w:sz w:val="24"/>
          <w:highlight w:val="none"/>
        </w:rPr>
        <w:t>粘贴条形码一个：在书名页上方，财产号的旁边，以不遮盖书名页中有效文字为准，用三九码。条形码号与财产号一致，条形码上方印“梧州学院图书馆”。（见条形码样板）</w:t>
      </w:r>
    </w:p>
    <w:p>
      <w:pPr>
        <w:spacing w:line="520" w:lineRule="exact"/>
        <w:ind w:firstLine="480" w:firstLineChars="200"/>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④粘贴可读写且有该图书编目、馆藏等数据信息的RFID芯片。粘贴书标、色标、覆盖透明胶带，于书脊离底边2CM处粘贴书标、色标，书标为横打竖贴（以顺时针方向从左向右观看），书标打印要求清晰明确，色标颜色要求严格按照我们的色板，透明胶带要完全覆盖书标、色标。</w:t>
      </w:r>
    </w:p>
    <w:p>
      <w:pPr>
        <w:spacing w:line="520" w:lineRule="exact"/>
        <w:ind w:firstLine="480" w:firstLineChars="200"/>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⑤690字段有两个以上分类号的，取第一个为正式索书号，其余的分类号另增于690字段，以备扩展查询。有些图书书名有手册、词典、指南等字样，但明显不是工具书的，分类号不需要有-61，-62等，可删掉。</w:t>
      </w:r>
    </w:p>
    <w:p>
      <w:pPr>
        <w:spacing w:line="520" w:lineRule="exact"/>
        <w:ind w:firstLine="480" w:firstLineChars="200"/>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⑥编目要求做完905字段，905字段做成验收状态。编目数据要求能顺利导入采购人学校图书馆系统（Interlib图书馆集群管理系统），并能正常使用。</w:t>
      </w:r>
    </w:p>
    <w:p>
      <w:pPr>
        <w:spacing w:line="520" w:lineRule="exact"/>
        <w:ind w:firstLine="480" w:firstLineChars="200"/>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⑦索书号由分类号和著者码组成，著者码取号要求见著者码表（由需要方提供），每册图书书名页右上角处用铅笔标明索书号。</w:t>
      </w:r>
    </w:p>
    <w:p>
      <w:pPr>
        <w:spacing w:line="520" w:lineRule="exact"/>
        <w:ind w:firstLine="480" w:firstLineChars="200"/>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⑧验收清单按采购人提供的格式装订成册，一式三份。供应商应在图书包装前，将每包的图书清单夹入该包图书的最上面一册中，以便开包时进行验收。</w:t>
      </w:r>
    </w:p>
    <w:p>
      <w:pPr>
        <w:spacing w:line="520" w:lineRule="exact"/>
        <w:ind w:firstLine="480" w:firstLineChars="200"/>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fldChar w:fldCharType="begin"/>
      </w:r>
      <w:r>
        <w:rPr>
          <w:rFonts w:hint="eastAsia" w:asciiTheme="minorEastAsia" w:hAnsiTheme="minorEastAsia" w:eastAsiaTheme="minorEastAsia"/>
          <w:sz w:val="24"/>
          <w:highlight w:val="none"/>
        </w:rPr>
        <w:instrText xml:space="preserve"> = 9 \* GB3 \* MERGEFORMAT </w:instrText>
      </w:r>
      <w:r>
        <w:rPr>
          <w:rFonts w:hint="eastAsia" w:asciiTheme="minorEastAsia" w:hAnsiTheme="minorEastAsia" w:eastAsiaTheme="minorEastAsia"/>
          <w:sz w:val="24"/>
          <w:highlight w:val="none"/>
        </w:rPr>
        <w:fldChar w:fldCharType="separate"/>
      </w:r>
      <w:r>
        <w:rPr>
          <w:rFonts w:hint="eastAsia" w:asciiTheme="minorEastAsia" w:hAnsiTheme="minorEastAsia" w:eastAsiaTheme="minorEastAsia"/>
          <w:sz w:val="24"/>
          <w:highlight w:val="none"/>
        </w:rPr>
        <w:t>⑨</w:t>
      </w:r>
      <w:r>
        <w:rPr>
          <w:rFonts w:hint="eastAsia" w:asciiTheme="minorEastAsia" w:hAnsiTheme="minorEastAsia" w:eastAsiaTheme="minorEastAsia"/>
          <w:sz w:val="24"/>
          <w:highlight w:val="none"/>
        </w:rPr>
        <w:fldChar w:fldCharType="end"/>
      </w:r>
      <w:r>
        <w:rPr>
          <w:rFonts w:hint="eastAsia" w:asciiTheme="minorEastAsia" w:hAnsiTheme="minorEastAsia" w:eastAsiaTheme="minorEastAsia"/>
          <w:sz w:val="24"/>
          <w:highlight w:val="none"/>
        </w:rPr>
        <w:t>自图书到馆1年内，如发现图书含有非本馆选定原则的图书，或者图书加工不符合要求，采购人有权要求供应商重新配送，配送期限2个月，不能按期配送的图书，供货商必须退货、退款。</w:t>
      </w:r>
    </w:p>
    <w:p>
      <w:pPr>
        <w:spacing w:line="520" w:lineRule="exact"/>
        <w:ind w:firstLine="480" w:firstLineChars="200"/>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fldChar w:fldCharType="begin"/>
      </w:r>
      <w:r>
        <w:rPr>
          <w:rFonts w:hint="eastAsia" w:asciiTheme="minorEastAsia" w:hAnsiTheme="minorEastAsia" w:eastAsiaTheme="minorEastAsia"/>
          <w:sz w:val="24"/>
          <w:highlight w:val="none"/>
        </w:rPr>
        <w:instrText xml:space="preserve"> = 10 \* GB3 \* MERGEFORMAT </w:instrText>
      </w:r>
      <w:r>
        <w:rPr>
          <w:rFonts w:hint="eastAsia" w:asciiTheme="minorEastAsia" w:hAnsiTheme="minorEastAsia" w:eastAsiaTheme="minorEastAsia"/>
          <w:sz w:val="24"/>
          <w:highlight w:val="none"/>
        </w:rPr>
        <w:fldChar w:fldCharType="separate"/>
      </w:r>
      <w:r>
        <w:rPr>
          <w:rFonts w:hint="eastAsia" w:asciiTheme="minorEastAsia" w:hAnsiTheme="minorEastAsia" w:eastAsiaTheme="minorEastAsia"/>
          <w:sz w:val="24"/>
          <w:highlight w:val="none"/>
        </w:rPr>
        <w:t>⑩</w:t>
      </w:r>
      <w:r>
        <w:rPr>
          <w:rFonts w:hint="eastAsia" w:asciiTheme="minorEastAsia" w:hAnsiTheme="minorEastAsia" w:eastAsiaTheme="minorEastAsia"/>
          <w:sz w:val="24"/>
          <w:highlight w:val="none"/>
        </w:rPr>
        <w:fldChar w:fldCharType="end"/>
      </w:r>
      <w:r>
        <w:rPr>
          <w:rFonts w:hint="eastAsia" w:asciiTheme="minorEastAsia" w:hAnsiTheme="minorEastAsia" w:eastAsiaTheme="minorEastAsia"/>
          <w:sz w:val="24"/>
          <w:highlight w:val="none"/>
        </w:rPr>
        <w:t>图书加工所产生的费用全部由供应商承担。</w:t>
      </w:r>
    </w:p>
    <w:p>
      <w:pPr>
        <w:spacing w:line="520" w:lineRule="exact"/>
        <w:ind w:firstLine="480" w:firstLineChars="200"/>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▲（9）履约保证金。成交供应商须在签订合同前缴纳成交合同价的2%作为履约保证金，履约保证金在履约完成后15个工作日内无息退回。</w:t>
      </w:r>
    </w:p>
    <w:p>
      <w:pPr>
        <w:spacing w:line="520" w:lineRule="exact"/>
        <w:ind w:firstLine="480" w:firstLineChars="200"/>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10）违约责任。接到订单三个月内，供应商必须完成书目订单80%以上供货，将加工好的图书送到采购人指定地点。如供应商超过订单总册数的10%不能供货，采购人可视其为不具备供货能力，按未到图书总码洋的100%支付未到图书总实洋违约金，违约金从保证金或者图书结算款中扣除。为尽可能消除因供应商不能按合同要求供货所造成的影响，采购人有权采取相应的补救措施（如直接向出版社邮购或向其他供应商补订），由此给采购人造成的各项损失或增加的各项费用（如折扣损失、邮费、数据费、加工费等）均由违约的供应商承担，从保证金或图书结算款中扣除。</w:t>
      </w:r>
    </w:p>
    <w:p>
      <w:pPr>
        <w:rPr>
          <w:rFonts w:ascii="隶书" w:eastAsia="隶书"/>
          <w:b/>
          <w:bCs/>
          <w:sz w:val="44"/>
          <w:highlight w:val="none"/>
        </w:rPr>
      </w:pPr>
      <w:r>
        <w:rPr>
          <w:rFonts w:ascii="隶书" w:eastAsia="隶书"/>
          <w:b/>
          <w:bCs/>
          <w:sz w:val="44"/>
          <w:highlight w:val="none"/>
        </w:rPr>
        <w:br w:type="page"/>
      </w:r>
    </w:p>
    <w:p>
      <w:pPr>
        <w:pStyle w:val="8"/>
        <w:rPr>
          <w:rFonts w:ascii="隶书" w:eastAsia="隶书"/>
          <w:b/>
          <w:bCs/>
          <w:sz w:val="44"/>
          <w:highlight w:val="none"/>
        </w:rPr>
      </w:pPr>
    </w:p>
    <w:p>
      <w:pPr>
        <w:pStyle w:val="4"/>
        <w:rPr>
          <w:highlight w:val="none"/>
        </w:rPr>
      </w:pPr>
      <w:bookmarkStart w:id="18" w:name="_Toc29668"/>
      <w:bookmarkStart w:id="19" w:name="_Toc6983"/>
      <w:bookmarkStart w:id="20" w:name="_Toc19037"/>
      <w:bookmarkStart w:id="21" w:name="_Toc21884"/>
      <w:r>
        <w:rPr>
          <w:rFonts w:hint="eastAsia"/>
          <w:highlight w:val="none"/>
        </w:rPr>
        <w:t>第四章  采购合同书（格式）</w:t>
      </w:r>
      <w:bookmarkEnd w:id="18"/>
      <w:bookmarkEnd w:id="19"/>
      <w:bookmarkEnd w:id="20"/>
      <w:bookmarkEnd w:id="21"/>
    </w:p>
    <w:p>
      <w:pPr>
        <w:pStyle w:val="20"/>
        <w:ind w:firstLine="504"/>
        <w:jc w:val="center"/>
        <w:rPr>
          <w:highlight w:val="none"/>
        </w:rPr>
      </w:pPr>
      <w:bookmarkStart w:id="22" w:name="_Toc9463"/>
      <w:bookmarkStart w:id="23" w:name="_Toc6720"/>
      <w:bookmarkStart w:id="24" w:name="_Toc21170"/>
      <w:r>
        <w:rPr>
          <w:rFonts w:hint="eastAsia"/>
          <w:highlight w:val="none"/>
        </w:rPr>
        <w:cr/>
      </w:r>
      <w:r>
        <w:rPr>
          <w:rFonts w:hint="eastAsia"/>
          <w:highlight w:val="none"/>
        </w:rPr>
        <w:cr/>
      </w:r>
      <w:r>
        <w:rPr>
          <w:rFonts w:hint="eastAsia"/>
          <w:highlight w:val="none"/>
        </w:rPr>
        <w:cr/>
      </w:r>
    </w:p>
    <w:p>
      <w:pPr>
        <w:pStyle w:val="20"/>
        <w:ind w:firstLine="504"/>
        <w:jc w:val="center"/>
        <w:rPr>
          <w:highlight w:val="none"/>
        </w:rPr>
      </w:pPr>
    </w:p>
    <w:p>
      <w:pPr>
        <w:pStyle w:val="20"/>
        <w:ind w:firstLine="504"/>
        <w:jc w:val="center"/>
        <w:rPr>
          <w:highlight w:val="none"/>
        </w:rPr>
      </w:pPr>
    </w:p>
    <w:p>
      <w:pPr>
        <w:pStyle w:val="20"/>
        <w:ind w:firstLine="504"/>
        <w:jc w:val="center"/>
        <w:rPr>
          <w:highlight w:val="none"/>
        </w:rPr>
      </w:pPr>
    </w:p>
    <w:p>
      <w:pPr>
        <w:pStyle w:val="20"/>
        <w:ind w:firstLine="504"/>
        <w:jc w:val="center"/>
        <w:rPr>
          <w:highlight w:val="none"/>
        </w:rPr>
      </w:pPr>
    </w:p>
    <w:p>
      <w:pPr>
        <w:pStyle w:val="20"/>
        <w:ind w:firstLine="504"/>
        <w:jc w:val="center"/>
        <w:rPr>
          <w:highlight w:val="none"/>
        </w:rPr>
      </w:pPr>
    </w:p>
    <w:p>
      <w:pPr>
        <w:pStyle w:val="20"/>
        <w:ind w:firstLine="0" w:firstLineChars="0"/>
        <w:jc w:val="center"/>
        <w:rPr>
          <w:rFonts w:asciiTheme="minorEastAsia" w:hAnsiTheme="minorEastAsia" w:eastAsiaTheme="minorEastAsia"/>
          <w:b/>
          <w:sz w:val="52"/>
          <w:szCs w:val="52"/>
          <w:highlight w:val="none"/>
        </w:rPr>
      </w:pPr>
      <w:r>
        <w:rPr>
          <w:rFonts w:hint="eastAsia" w:asciiTheme="minorEastAsia" w:hAnsiTheme="minorEastAsia" w:eastAsiaTheme="minorEastAsia"/>
          <w:b/>
          <w:sz w:val="52"/>
          <w:szCs w:val="52"/>
          <w:highlight w:val="none"/>
        </w:rPr>
        <w:t>政府采购合同</w:t>
      </w:r>
      <w:bookmarkEnd w:id="22"/>
      <w:bookmarkEnd w:id="23"/>
      <w:bookmarkEnd w:id="24"/>
    </w:p>
    <w:p>
      <w:pPr>
        <w:jc w:val="center"/>
        <w:rPr>
          <w:rFonts w:ascii="黑体" w:eastAsia="黑体"/>
          <w:b/>
          <w:sz w:val="32"/>
          <w:highlight w:val="none"/>
        </w:rPr>
      </w:pPr>
    </w:p>
    <w:p>
      <w:pPr>
        <w:jc w:val="lef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（注：本合同样本仅供参考，具体内容由采购人和成交供应商协商确定，但补充和修改不得造成与本章格式内容有实质性的违背。）</w:t>
      </w:r>
    </w:p>
    <w:p>
      <w:pPr>
        <w:jc w:val="center"/>
        <w:rPr>
          <w:sz w:val="28"/>
          <w:highlight w:val="none"/>
        </w:rPr>
      </w:pPr>
    </w:p>
    <w:p>
      <w:pPr>
        <w:jc w:val="center"/>
        <w:rPr>
          <w:sz w:val="28"/>
          <w:highlight w:val="none"/>
        </w:rPr>
      </w:pPr>
    </w:p>
    <w:p>
      <w:pPr>
        <w:jc w:val="center"/>
        <w:rPr>
          <w:sz w:val="28"/>
          <w:highlight w:val="none"/>
        </w:rPr>
      </w:pPr>
    </w:p>
    <w:p>
      <w:pPr>
        <w:rPr>
          <w:sz w:val="32"/>
          <w:highlight w:val="none"/>
        </w:rPr>
      </w:pPr>
    </w:p>
    <w:p>
      <w:pPr>
        <w:ind w:firstLine="1760" w:firstLineChars="550"/>
        <w:rPr>
          <w:sz w:val="32"/>
          <w:highlight w:val="none"/>
        </w:rPr>
      </w:pPr>
    </w:p>
    <w:p>
      <w:pPr>
        <w:ind w:firstLine="1760" w:firstLineChars="550"/>
        <w:rPr>
          <w:sz w:val="32"/>
          <w:highlight w:val="none"/>
        </w:rPr>
      </w:pPr>
    </w:p>
    <w:p>
      <w:pPr>
        <w:ind w:firstLine="1760" w:firstLineChars="550"/>
        <w:rPr>
          <w:sz w:val="32"/>
          <w:highlight w:val="none"/>
        </w:rPr>
      </w:pPr>
    </w:p>
    <w:p>
      <w:pPr>
        <w:ind w:firstLine="1760" w:firstLineChars="550"/>
        <w:rPr>
          <w:sz w:val="32"/>
          <w:highlight w:val="none"/>
        </w:rPr>
      </w:pPr>
    </w:p>
    <w:p>
      <w:pPr>
        <w:ind w:firstLine="1760" w:firstLineChars="550"/>
        <w:rPr>
          <w:sz w:val="32"/>
          <w:highlight w:val="none"/>
        </w:rPr>
      </w:pPr>
      <w:r>
        <w:rPr>
          <w:rFonts w:hint="eastAsia"/>
          <w:sz w:val="32"/>
          <w:highlight w:val="none"/>
        </w:rPr>
        <w:t>合同名称：</w:t>
      </w:r>
    </w:p>
    <w:p>
      <w:pPr>
        <w:ind w:firstLine="1760" w:firstLineChars="550"/>
        <w:rPr>
          <w:sz w:val="32"/>
          <w:highlight w:val="none"/>
        </w:rPr>
      </w:pPr>
    </w:p>
    <w:p>
      <w:pPr>
        <w:ind w:firstLine="1760" w:firstLineChars="550"/>
        <w:rPr>
          <w:sz w:val="32"/>
          <w:highlight w:val="none"/>
        </w:rPr>
      </w:pPr>
      <w:r>
        <w:rPr>
          <w:rFonts w:hint="eastAsia"/>
          <w:sz w:val="32"/>
          <w:highlight w:val="none"/>
        </w:rPr>
        <w:t>合同编号：</w:t>
      </w:r>
    </w:p>
    <w:p>
      <w:pPr>
        <w:rPr>
          <w:sz w:val="32"/>
          <w:highlight w:val="none"/>
        </w:rPr>
      </w:pPr>
    </w:p>
    <w:p>
      <w:pPr>
        <w:ind w:firstLine="1760" w:firstLineChars="550"/>
        <w:rPr>
          <w:sz w:val="32"/>
          <w:highlight w:val="none"/>
        </w:rPr>
      </w:pPr>
      <w:r>
        <w:rPr>
          <w:rFonts w:hint="eastAsia"/>
          <w:sz w:val="32"/>
          <w:highlight w:val="none"/>
        </w:rPr>
        <w:t>签订合同地点：</w:t>
      </w:r>
    </w:p>
    <w:p>
      <w:pPr>
        <w:ind w:firstLine="1760" w:firstLineChars="550"/>
        <w:rPr>
          <w:sz w:val="32"/>
          <w:highlight w:val="none"/>
        </w:rPr>
      </w:pPr>
    </w:p>
    <w:p>
      <w:pPr>
        <w:ind w:firstLine="1760" w:firstLineChars="550"/>
        <w:rPr>
          <w:rFonts w:hAnsi="宋体"/>
          <w:highlight w:val="none"/>
        </w:rPr>
      </w:pPr>
      <w:r>
        <w:rPr>
          <w:rFonts w:hint="eastAsia"/>
          <w:sz w:val="32"/>
          <w:highlight w:val="none"/>
        </w:rPr>
        <w:t xml:space="preserve">签订合同时间：  </w:t>
      </w:r>
    </w:p>
    <w:p>
      <w:pPr>
        <w:pStyle w:val="8"/>
        <w:rPr>
          <w:rFonts w:hAnsi="宋体"/>
          <w:b/>
          <w:sz w:val="24"/>
          <w:highlight w:val="none"/>
        </w:rPr>
      </w:pPr>
    </w:p>
    <w:p>
      <w:pPr>
        <w:pStyle w:val="8"/>
        <w:rPr>
          <w:rFonts w:hAnsi="宋体"/>
          <w:b/>
          <w:sz w:val="24"/>
          <w:highlight w:val="none"/>
        </w:rPr>
      </w:pPr>
      <w:r>
        <w:rPr>
          <w:rFonts w:hint="eastAsia" w:hAnsi="宋体"/>
          <w:b/>
          <w:sz w:val="24"/>
          <w:highlight w:val="none"/>
        </w:rPr>
        <w:br w:type="page"/>
      </w:r>
      <w:bookmarkStart w:id="25" w:name="_Toc15733"/>
      <w:bookmarkStart w:id="26" w:name="_Toc10176"/>
      <w:bookmarkStart w:id="27" w:name="_Toc21291"/>
      <w:r>
        <w:rPr>
          <w:rFonts w:hint="eastAsia" w:hAnsi="宋体"/>
          <w:b/>
          <w:sz w:val="24"/>
          <w:highlight w:val="none"/>
        </w:rPr>
        <w:t>合 同 书 （格 式）</w:t>
      </w:r>
    </w:p>
    <w:p>
      <w:pPr>
        <w:pStyle w:val="8"/>
        <w:spacing w:line="560" w:lineRule="exact"/>
        <w:jc w:val="center"/>
        <w:rPr>
          <w:rFonts w:hAnsi="宋体" w:cs="宋体"/>
          <w:b/>
          <w:bCs/>
          <w:sz w:val="24"/>
          <w:szCs w:val="24"/>
          <w:highlight w:val="none"/>
        </w:rPr>
      </w:pPr>
      <w:r>
        <w:rPr>
          <w:rFonts w:hint="eastAsia" w:hAnsi="宋体" w:cs="宋体"/>
          <w:b/>
          <w:bCs/>
          <w:sz w:val="24"/>
          <w:szCs w:val="24"/>
          <w:highlight w:val="none"/>
        </w:rPr>
        <w:t>采 购 合 同</w:t>
      </w:r>
    </w:p>
    <w:p>
      <w:pPr>
        <w:autoSpaceDE w:val="0"/>
        <w:autoSpaceDN w:val="0"/>
        <w:adjustRightInd w:val="0"/>
        <w:spacing w:line="360" w:lineRule="auto"/>
        <w:jc w:val="left"/>
        <w:rPr>
          <w:rFonts w:ascii="宋体" w:hAnsi="宋体" w:cs="宋体"/>
          <w:kern w:val="0"/>
          <w:sz w:val="24"/>
          <w:highlight w:val="none"/>
        </w:rPr>
      </w:pPr>
      <w:r>
        <w:rPr>
          <w:rFonts w:hint="eastAsia" w:ascii="宋体" w:hAnsi="宋体" w:cs="宋体"/>
          <w:kern w:val="0"/>
          <w:sz w:val="24"/>
          <w:highlight w:val="none"/>
        </w:rPr>
        <w:t>合同编号：</w:t>
      </w:r>
    </w:p>
    <w:p>
      <w:pPr>
        <w:autoSpaceDE w:val="0"/>
        <w:autoSpaceDN w:val="0"/>
        <w:adjustRightInd w:val="0"/>
        <w:spacing w:line="360" w:lineRule="auto"/>
        <w:jc w:val="left"/>
        <w:rPr>
          <w:rFonts w:ascii="宋体" w:hAnsi="宋体" w:cs="宋体"/>
          <w:kern w:val="0"/>
          <w:sz w:val="24"/>
          <w:highlight w:val="none"/>
        </w:rPr>
      </w:pPr>
      <w:r>
        <w:rPr>
          <w:rFonts w:hint="eastAsia" w:ascii="宋体" w:hAnsi="宋体" w:cs="宋体"/>
          <w:kern w:val="0"/>
          <w:sz w:val="24"/>
          <w:highlight w:val="none"/>
        </w:rPr>
        <w:t>采购单位（甲方）：梧州学院</w:t>
      </w:r>
    </w:p>
    <w:p>
      <w:pPr>
        <w:autoSpaceDE w:val="0"/>
        <w:autoSpaceDN w:val="0"/>
        <w:adjustRightInd w:val="0"/>
        <w:spacing w:line="360" w:lineRule="auto"/>
        <w:jc w:val="left"/>
        <w:rPr>
          <w:rFonts w:ascii="宋体" w:hAnsi="宋体" w:cs="宋体"/>
          <w:kern w:val="0"/>
          <w:sz w:val="24"/>
          <w:highlight w:val="none"/>
        </w:rPr>
      </w:pPr>
      <w:r>
        <w:rPr>
          <w:rFonts w:hint="eastAsia" w:ascii="宋体" w:hAnsi="宋体" w:cs="宋体"/>
          <w:kern w:val="0"/>
          <w:sz w:val="24"/>
          <w:highlight w:val="none"/>
        </w:rPr>
        <w:t>供应商（乙方）：</w:t>
      </w:r>
    </w:p>
    <w:p>
      <w:pPr>
        <w:autoSpaceDE w:val="0"/>
        <w:autoSpaceDN w:val="0"/>
        <w:adjustRightInd w:val="0"/>
        <w:spacing w:line="360" w:lineRule="auto"/>
        <w:ind w:firstLine="480" w:firstLineChars="200"/>
        <w:jc w:val="left"/>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为了保护甲乙双方合法权益，根据《中华人民共和国政府采购法》、《中华人民共和国民法典》等相关法律法规以及项目编号为</w:t>
      </w:r>
      <w:r>
        <w:rPr>
          <w:rFonts w:hint="eastAsia" w:cs="宋体" w:asciiTheme="minorEastAsia" w:hAnsiTheme="minorEastAsia" w:eastAsiaTheme="minorEastAsia"/>
          <w:kern w:val="0"/>
          <w:sz w:val="24"/>
          <w:highlight w:val="none"/>
          <w:u w:val="single"/>
        </w:rPr>
        <w:t xml:space="preserve">       </w:t>
      </w:r>
      <w:r>
        <w:rPr>
          <w:rFonts w:hint="eastAsia" w:cs="宋体" w:asciiTheme="minorEastAsia" w:hAnsiTheme="minorEastAsia" w:eastAsiaTheme="minorEastAsia"/>
          <w:kern w:val="0"/>
          <w:sz w:val="24"/>
          <w:highlight w:val="none"/>
        </w:rPr>
        <w:t>的项目，双方签署本合同，以资共同遵守。</w:t>
      </w:r>
    </w:p>
    <w:p>
      <w:pPr>
        <w:autoSpaceDE w:val="0"/>
        <w:autoSpaceDN w:val="0"/>
        <w:adjustRightInd w:val="0"/>
        <w:spacing w:line="360" w:lineRule="auto"/>
        <w:ind w:firstLine="482" w:firstLineChars="200"/>
        <w:jc w:val="left"/>
        <w:rPr>
          <w:rFonts w:cs="宋体" w:asciiTheme="minorEastAsia" w:hAnsiTheme="minorEastAsia" w:eastAsiaTheme="minorEastAsia"/>
          <w:b/>
          <w:bCs/>
          <w:kern w:val="0"/>
          <w:sz w:val="24"/>
          <w:highlight w:val="none"/>
        </w:rPr>
      </w:pPr>
      <w:r>
        <w:rPr>
          <w:rFonts w:hint="eastAsia" w:cs="宋体" w:asciiTheme="minorEastAsia" w:hAnsiTheme="minorEastAsia" w:eastAsiaTheme="minorEastAsia"/>
          <w:b/>
          <w:bCs/>
          <w:kern w:val="0"/>
          <w:sz w:val="24"/>
          <w:highlight w:val="none"/>
        </w:rPr>
        <w:t>一、采购标的</w:t>
      </w:r>
    </w:p>
    <w:p>
      <w:pPr>
        <w:autoSpaceDE w:val="0"/>
        <w:autoSpaceDN w:val="0"/>
        <w:adjustRightInd w:val="0"/>
        <w:spacing w:line="360" w:lineRule="auto"/>
        <w:ind w:firstLine="480" w:firstLineChars="200"/>
        <w:jc w:val="left"/>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金额单位：万元</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6"/>
        <w:gridCol w:w="972"/>
        <w:gridCol w:w="786"/>
        <w:gridCol w:w="800"/>
        <w:gridCol w:w="857"/>
        <w:gridCol w:w="1814"/>
        <w:gridCol w:w="648"/>
        <w:gridCol w:w="922"/>
        <w:gridCol w:w="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5" w:type="dxa"/>
          </w:tcPr>
          <w:p>
            <w:pPr>
              <w:autoSpaceDE w:val="0"/>
              <w:autoSpaceDN w:val="0"/>
              <w:adjustRightInd w:val="0"/>
              <w:spacing w:line="360" w:lineRule="auto"/>
              <w:ind w:firstLine="480" w:firstLineChars="200"/>
              <w:jc w:val="left"/>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序</w:t>
            </w:r>
          </w:p>
          <w:p>
            <w:pPr>
              <w:autoSpaceDE w:val="0"/>
              <w:autoSpaceDN w:val="0"/>
              <w:adjustRightInd w:val="0"/>
              <w:spacing w:line="360" w:lineRule="auto"/>
              <w:ind w:firstLine="480" w:firstLineChars="200"/>
              <w:jc w:val="left"/>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号</w:t>
            </w:r>
          </w:p>
        </w:tc>
        <w:tc>
          <w:tcPr>
            <w:tcW w:w="972" w:type="dxa"/>
          </w:tcPr>
          <w:p>
            <w:pPr>
              <w:autoSpaceDE w:val="0"/>
              <w:autoSpaceDN w:val="0"/>
              <w:adjustRightInd w:val="0"/>
              <w:spacing w:line="360" w:lineRule="auto"/>
              <w:jc w:val="left"/>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采购计划编号</w:t>
            </w:r>
          </w:p>
        </w:tc>
        <w:tc>
          <w:tcPr>
            <w:tcW w:w="786" w:type="dxa"/>
          </w:tcPr>
          <w:p>
            <w:pPr>
              <w:autoSpaceDE w:val="0"/>
              <w:autoSpaceDN w:val="0"/>
              <w:adjustRightInd w:val="0"/>
              <w:spacing w:line="360" w:lineRule="auto"/>
              <w:jc w:val="left"/>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货物名称</w:t>
            </w:r>
          </w:p>
        </w:tc>
        <w:tc>
          <w:tcPr>
            <w:tcW w:w="800" w:type="dxa"/>
          </w:tcPr>
          <w:p>
            <w:pPr>
              <w:autoSpaceDE w:val="0"/>
              <w:autoSpaceDN w:val="0"/>
              <w:adjustRightInd w:val="0"/>
              <w:spacing w:line="360" w:lineRule="auto"/>
              <w:jc w:val="left"/>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品牌</w:t>
            </w:r>
          </w:p>
        </w:tc>
        <w:tc>
          <w:tcPr>
            <w:tcW w:w="857" w:type="dxa"/>
          </w:tcPr>
          <w:p>
            <w:pPr>
              <w:autoSpaceDE w:val="0"/>
              <w:autoSpaceDN w:val="0"/>
              <w:adjustRightInd w:val="0"/>
              <w:spacing w:line="360" w:lineRule="auto"/>
              <w:jc w:val="left"/>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型号规格</w:t>
            </w:r>
          </w:p>
        </w:tc>
        <w:tc>
          <w:tcPr>
            <w:tcW w:w="1814" w:type="dxa"/>
          </w:tcPr>
          <w:p>
            <w:pPr>
              <w:autoSpaceDE w:val="0"/>
              <w:autoSpaceDN w:val="0"/>
              <w:adjustRightInd w:val="0"/>
              <w:spacing w:line="360" w:lineRule="auto"/>
              <w:jc w:val="left"/>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技术参数或配置要求</w:t>
            </w:r>
          </w:p>
        </w:tc>
        <w:tc>
          <w:tcPr>
            <w:tcW w:w="648" w:type="dxa"/>
          </w:tcPr>
          <w:p>
            <w:pPr>
              <w:autoSpaceDE w:val="0"/>
              <w:autoSpaceDN w:val="0"/>
              <w:adjustRightInd w:val="0"/>
              <w:spacing w:line="360" w:lineRule="auto"/>
              <w:jc w:val="left"/>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数量</w:t>
            </w:r>
          </w:p>
        </w:tc>
        <w:tc>
          <w:tcPr>
            <w:tcW w:w="922" w:type="dxa"/>
          </w:tcPr>
          <w:p>
            <w:pPr>
              <w:autoSpaceDE w:val="0"/>
              <w:autoSpaceDN w:val="0"/>
              <w:adjustRightInd w:val="0"/>
              <w:spacing w:line="360" w:lineRule="auto"/>
              <w:jc w:val="left"/>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单价</w:t>
            </w:r>
          </w:p>
        </w:tc>
        <w:tc>
          <w:tcPr>
            <w:tcW w:w="922" w:type="dxa"/>
          </w:tcPr>
          <w:p>
            <w:pPr>
              <w:autoSpaceDE w:val="0"/>
              <w:autoSpaceDN w:val="0"/>
              <w:adjustRightInd w:val="0"/>
              <w:spacing w:line="360" w:lineRule="auto"/>
              <w:jc w:val="left"/>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合计价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5" w:type="dxa"/>
          </w:tcPr>
          <w:p>
            <w:pPr>
              <w:autoSpaceDE w:val="0"/>
              <w:autoSpaceDN w:val="0"/>
              <w:adjustRightInd w:val="0"/>
              <w:spacing w:line="360" w:lineRule="auto"/>
              <w:ind w:firstLine="480" w:firstLineChars="200"/>
              <w:jc w:val="left"/>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1</w:t>
            </w:r>
          </w:p>
        </w:tc>
        <w:tc>
          <w:tcPr>
            <w:tcW w:w="972" w:type="dxa"/>
          </w:tcPr>
          <w:p>
            <w:pPr>
              <w:autoSpaceDE w:val="0"/>
              <w:autoSpaceDN w:val="0"/>
              <w:adjustRightInd w:val="0"/>
              <w:spacing w:line="360" w:lineRule="auto"/>
              <w:ind w:firstLine="480" w:firstLineChars="200"/>
              <w:jc w:val="left"/>
              <w:rPr>
                <w:rFonts w:cs="宋体" w:asciiTheme="minorEastAsia" w:hAnsiTheme="minorEastAsia" w:eastAsiaTheme="minorEastAsia"/>
                <w:kern w:val="0"/>
                <w:sz w:val="24"/>
                <w:highlight w:val="none"/>
              </w:rPr>
            </w:pPr>
          </w:p>
        </w:tc>
        <w:tc>
          <w:tcPr>
            <w:tcW w:w="786" w:type="dxa"/>
          </w:tcPr>
          <w:p>
            <w:pPr>
              <w:autoSpaceDE w:val="0"/>
              <w:autoSpaceDN w:val="0"/>
              <w:adjustRightInd w:val="0"/>
              <w:spacing w:line="360" w:lineRule="auto"/>
              <w:jc w:val="left"/>
              <w:rPr>
                <w:rFonts w:cs="宋体" w:asciiTheme="minorEastAsia" w:hAnsiTheme="minorEastAsia" w:eastAsiaTheme="minorEastAsia"/>
                <w:kern w:val="0"/>
                <w:sz w:val="24"/>
                <w:highlight w:val="none"/>
              </w:rPr>
            </w:pPr>
          </w:p>
        </w:tc>
        <w:tc>
          <w:tcPr>
            <w:tcW w:w="800" w:type="dxa"/>
          </w:tcPr>
          <w:p>
            <w:pPr>
              <w:autoSpaceDE w:val="0"/>
              <w:autoSpaceDN w:val="0"/>
              <w:adjustRightInd w:val="0"/>
              <w:spacing w:line="360" w:lineRule="auto"/>
              <w:ind w:firstLine="480" w:firstLineChars="200"/>
              <w:jc w:val="left"/>
              <w:rPr>
                <w:rFonts w:cs="宋体" w:asciiTheme="minorEastAsia" w:hAnsiTheme="minorEastAsia" w:eastAsiaTheme="minorEastAsia"/>
                <w:kern w:val="0"/>
                <w:sz w:val="24"/>
                <w:highlight w:val="none"/>
              </w:rPr>
            </w:pPr>
          </w:p>
        </w:tc>
        <w:tc>
          <w:tcPr>
            <w:tcW w:w="857" w:type="dxa"/>
          </w:tcPr>
          <w:p>
            <w:pPr>
              <w:autoSpaceDE w:val="0"/>
              <w:autoSpaceDN w:val="0"/>
              <w:adjustRightInd w:val="0"/>
              <w:spacing w:line="360" w:lineRule="auto"/>
              <w:jc w:val="left"/>
              <w:rPr>
                <w:rFonts w:cs="宋体" w:asciiTheme="minorEastAsia" w:hAnsiTheme="minorEastAsia" w:eastAsiaTheme="minorEastAsia"/>
                <w:kern w:val="0"/>
                <w:sz w:val="24"/>
                <w:highlight w:val="none"/>
              </w:rPr>
            </w:pPr>
          </w:p>
        </w:tc>
        <w:tc>
          <w:tcPr>
            <w:tcW w:w="1814" w:type="dxa"/>
          </w:tcPr>
          <w:p>
            <w:pPr>
              <w:autoSpaceDE w:val="0"/>
              <w:autoSpaceDN w:val="0"/>
              <w:adjustRightInd w:val="0"/>
              <w:spacing w:line="360" w:lineRule="auto"/>
              <w:jc w:val="left"/>
              <w:rPr>
                <w:rFonts w:cs="宋体" w:asciiTheme="minorEastAsia" w:hAnsiTheme="minorEastAsia" w:eastAsiaTheme="minorEastAsia"/>
                <w:kern w:val="0"/>
                <w:sz w:val="24"/>
                <w:highlight w:val="none"/>
              </w:rPr>
            </w:pPr>
          </w:p>
        </w:tc>
        <w:tc>
          <w:tcPr>
            <w:tcW w:w="648" w:type="dxa"/>
          </w:tcPr>
          <w:p>
            <w:pPr>
              <w:autoSpaceDE w:val="0"/>
              <w:autoSpaceDN w:val="0"/>
              <w:adjustRightInd w:val="0"/>
              <w:spacing w:line="360" w:lineRule="auto"/>
              <w:jc w:val="left"/>
              <w:rPr>
                <w:rFonts w:cs="宋体" w:asciiTheme="minorEastAsia" w:hAnsiTheme="minorEastAsia" w:eastAsiaTheme="minorEastAsia"/>
                <w:kern w:val="0"/>
                <w:sz w:val="24"/>
                <w:highlight w:val="none"/>
              </w:rPr>
            </w:pPr>
          </w:p>
        </w:tc>
        <w:tc>
          <w:tcPr>
            <w:tcW w:w="922" w:type="dxa"/>
          </w:tcPr>
          <w:p>
            <w:pPr>
              <w:autoSpaceDE w:val="0"/>
              <w:autoSpaceDN w:val="0"/>
              <w:adjustRightInd w:val="0"/>
              <w:spacing w:line="360" w:lineRule="auto"/>
              <w:jc w:val="left"/>
              <w:rPr>
                <w:rFonts w:cs="宋体" w:asciiTheme="minorEastAsia" w:hAnsiTheme="minorEastAsia" w:eastAsiaTheme="minorEastAsia"/>
                <w:kern w:val="0"/>
                <w:sz w:val="24"/>
                <w:highlight w:val="none"/>
              </w:rPr>
            </w:pPr>
          </w:p>
        </w:tc>
        <w:tc>
          <w:tcPr>
            <w:tcW w:w="922" w:type="dxa"/>
          </w:tcPr>
          <w:p>
            <w:pPr>
              <w:autoSpaceDE w:val="0"/>
              <w:autoSpaceDN w:val="0"/>
              <w:adjustRightInd w:val="0"/>
              <w:spacing w:line="360" w:lineRule="auto"/>
              <w:jc w:val="left"/>
              <w:rPr>
                <w:rFonts w:cs="宋体" w:asciiTheme="minorEastAsia" w:hAnsiTheme="minorEastAsia" w:eastAsiaTheme="minorEastAsia"/>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5" w:type="dxa"/>
          </w:tcPr>
          <w:p>
            <w:pPr>
              <w:autoSpaceDE w:val="0"/>
              <w:autoSpaceDN w:val="0"/>
              <w:adjustRightInd w:val="0"/>
              <w:spacing w:line="360" w:lineRule="auto"/>
              <w:ind w:firstLine="480" w:firstLineChars="200"/>
              <w:jc w:val="left"/>
              <w:rPr>
                <w:rFonts w:cs="宋体" w:asciiTheme="minorEastAsia" w:hAnsiTheme="minorEastAsia" w:eastAsiaTheme="minorEastAsia"/>
                <w:kern w:val="0"/>
                <w:sz w:val="24"/>
                <w:highlight w:val="none"/>
              </w:rPr>
            </w:pPr>
          </w:p>
        </w:tc>
        <w:tc>
          <w:tcPr>
            <w:tcW w:w="972" w:type="dxa"/>
          </w:tcPr>
          <w:p>
            <w:pPr>
              <w:autoSpaceDE w:val="0"/>
              <w:autoSpaceDN w:val="0"/>
              <w:adjustRightInd w:val="0"/>
              <w:spacing w:line="360" w:lineRule="auto"/>
              <w:ind w:firstLine="480" w:firstLineChars="200"/>
              <w:jc w:val="left"/>
              <w:rPr>
                <w:rFonts w:cs="宋体" w:asciiTheme="minorEastAsia" w:hAnsiTheme="minorEastAsia" w:eastAsiaTheme="minorEastAsia"/>
                <w:kern w:val="0"/>
                <w:sz w:val="24"/>
                <w:highlight w:val="none"/>
              </w:rPr>
            </w:pPr>
          </w:p>
        </w:tc>
        <w:tc>
          <w:tcPr>
            <w:tcW w:w="786" w:type="dxa"/>
          </w:tcPr>
          <w:p>
            <w:pPr>
              <w:autoSpaceDE w:val="0"/>
              <w:autoSpaceDN w:val="0"/>
              <w:adjustRightInd w:val="0"/>
              <w:spacing w:line="360" w:lineRule="auto"/>
              <w:ind w:firstLine="480" w:firstLineChars="200"/>
              <w:jc w:val="left"/>
              <w:rPr>
                <w:rFonts w:cs="宋体" w:asciiTheme="minorEastAsia" w:hAnsiTheme="minorEastAsia" w:eastAsiaTheme="minorEastAsia"/>
                <w:kern w:val="0"/>
                <w:sz w:val="24"/>
                <w:highlight w:val="none"/>
              </w:rPr>
            </w:pPr>
          </w:p>
        </w:tc>
        <w:tc>
          <w:tcPr>
            <w:tcW w:w="800" w:type="dxa"/>
          </w:tcPr>
          <w:p>
            <w:pPr>
              <w:autoSpaceDE w:val="0"/>
              <w:autoSpaceDN w:val="0"/>
              <w:adjustRightInd w:val="0"/>
              <w:spacing w:line="360" w:lineRule="auto"/>
              <w:ind w:firstLine="480" w:firstLineChars="200"/>
              <w:jc w:val="left"/>
              <w:rPr>
                <w:rFonts w:cs="宋体" w:asciiTheme="minorEastAsia" w:hAnsiTheme="minorEastAsia" w:eastAsiaTheme="minorEastAsia"/>
                <w:kern w:val="0"/>
                <w:sz w:val="24"/>
                <w:highlight w:val="none"/>
              </w:rPr>
            </w:pPr>
          </w:p>
        </w:tc>
        <w:tc>
          <w:tcPr>
            <w:tcW w:w="857" w:type="dxa"/>
          </w:tcPr>
          <w:p>
            <w:pPr>
              <w:autoSpaceDE w:val="0"/>
              <w:autoSpaceDN w:val="0"/>
              <w:adjustRightInd w:val="0"/>
              <w:spacing w:line="360" w:lineRule="auto"/>
              <w:ind w:firstLine="480" w:firstLineChars="200"/>
              <w:jc w:val="left"/>
              <w:rPr>
                <w:rFonts w:cs="宋体" w:asciiTheme="minorEastAsia" w:hAnsiTheme="minorEastAsia" w:eastAsiaTheme="minorEastAsia"/>
                <w:kern w:val="0"/>
                <w:sz w:val="24"/>
                <w:highlight w:val="none"/>
              </w:rPr>
            </w:pPr>
          </w:p>
        </w:tc>
        <w:tc>
          <w:tcPr>
            <w:tcW w:w="1814" w:type="dxa"/>
          </w:tcPr>
          <w:p>
            <w:pPr>
              <w:autoSpaceDE w:val="0"/>
              <w:autoSpaceDN w:val="0"/>
              <w:adjustRightInd w:val="0"/>
              <w:spacing w:line="360" w:lineRule="auto"/>
              <w:ind w:firstLine="480" w:firstLineChars="200"/>
              <w:jc w:val="left"/>
              <w:rPr>
                <w:rFonts w:cs="宋体" w:asciiTheme="minorEastAsia" w:hAnsiTheme="minorEastAsia" w:eastAsiaTheme="minorEastAsia"/>
                <w:kern w:val="0"/>
                <w:sz w:val="24"/>
                <w:highlight w:val="none"/>
              </w:rPr>
            </w:pPr>
          </w:p>
        </w:tc>
        <w:tc>
          <w:tcPr>
            <w:tcW w:w="648" w:type="dxa"/>
          </w:tcPr>
          <w:p>
            <w:pPr>
              <w:autoSpaceDE w:val="0"/>
              <w:autoSpaceDN w:val="0"/>
              <w:adjustRightInd w:val="0"/>
              <w:spacing w:line="360" w:lineRule="auto"/>
              <w:ind w:firstLine="480" w:firstLineChars="200"/>
              <w:jc w:val="left"/>
              <w:rPr>
                <w:rFonts w:cs="宋体" w:asciiTheme="minorEastAsia" w:hAnsiTheme="minorEastAsia" w:eastAsiaTheme="minorEastAsia"/>
                <w:kern w:val="0"/>
                <w:sz w:val="24"/>
                <w:highlight w:val="none"/>
              </w:rPr>
            </w:pPr>
          </w:p>
        </w:tc>
        <w:tc>
          <w:tcPr>
            <w:tcW w:w="922" w:type="dxa"/>
          </w:tcPr>
          <w:p>
            <w:pPr>
              <w:autoSpaceDE w:val="0"/>
              <w:autoSpaceDN w:val="0"/>
              <w:adjustRightInd w:val="0"/>
              <w:spacing w:line="360" w:lineRule="auto"/>
              <w:ind w:firstLine="480" w:firstLineChars="200"/>
              <w:jc w:val="left"/>
              <w:rPr>
                <w:rFonts w:cs="宋体" w:asciiTheme="minorEastAsia" w:hAnsiTheme="minorEastAsia" w:eastAsiaTheme="minorEastAsia"/>
                <w:kern w:val="0"/>
                <w:sz w:val="24"/>
                <w:highlight w:val="none"/>
              </w:rPr>
            </w:pPr>
          </w:p>
        </w:tc>
        <w:tc>
          <w:tcPr>
            <w:tcW w:w="922" w:type="dxa"/>
          </w:tcPr>
          <w:p>
            <w:pPr>
              <w:autoSpaceDE w:val="0"/>
              <w:autoSpaceDN w:val="0"/>
              <w:adjustRightInd w:val="0"/>
              <w:spacing w:line="360" w:lineRule="auto"/>
              <w:ind w:firstLine="480" w:firstLineChars="200"/>
              <w:jc w:val="left"/>
              <w:rPr>
                <w:rFonts w:cs="宋体" w:asciiTheme="minorEastAsia" w:hAnsiTheme="minorEastAsia" w:eastAsiaTheme="minorEastAsia"/>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gridSpan w:val="9"/>
          </w:tcPr>
          <w:p>
            <w:pPr>
              <w:autoSpaceDE w:val="0"/>
              <w:autoSpaceDN w:val="0"/>
              <w:adjustRightInd w:val="0"/>
              <w:spacing w:line="360" w:lineRule="auto"/>
              <w:ind w:firstLine="480" w:firstLineChars="200"/>
              <w:jc w:val="left"/>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合同总价：（大写）  （￥）</w:t>
            </w:r>
          </w:p>
        </w:tc>
      </w:tr>
    </w:tbl>
    <w:p>
      <w:pPr>
        <w:autoSpaceDE w:val="0"/>
        <w:autoSpaceDN w:val="0"/>
        <w:adjustRightInd w:val="0"/>
        <w:spacing w:line="360" w:lineRule="auto"/>
        <w:ind w:firstLine="480" w:firstLineChars="200"/>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注：以上合同总价包含货物到达甲方或甲方指定用户并能正常使用所需的一切费用，包括但不限于包装费、运输费、装卸费、保险费、安装调试费、技术服务费、培训费以及保修费、税费等。</w:t>
      </w:r>
    </w:p>
    <w:p>
      <w:pPr>
        <w:autoSpaceDE w:val="0"/>
        <w:autoSpaceDN w:val="0"/>
        <w:adjustRightInd w:val="0"/>
        <w:spacing w:line="360" w:lineRule="auto"/>
        <w:ind w:firstLine="482" w:firstLineChars="200"/>
        <w:jc w:val="left"/>
        <w:rPr>
          <w:rFonts w:cs="宋体" w:asciiTheme="minorEastAsia" w:hAnsiTheme="minorEastAsia" w:eastAsiaTheme="minorEastAsia"/>
          <w:b/>
          <w:bCs/>
          <w:kern w:val="0"/>
          <w:sz w:val="24"/>
          <w:highlight w:val="none"/>
        </w:rPr>
      </w:pPr>
      <w:r>
        <w:rPr>
          <w:rFonts w:hint="eastAsia" w:cs="宋体" w:asciiTheme="minorEastAsia" w:hAnsiTheme="minorEastAsia" w:eastAsiaTheme="minorEastAsia"/>
          <w:b/>
          <w:bCs/>
          <w:kern w:val="0"/>
          <w:sz w:val="24"/>
          <w:highlight w:val="none"/>
        </w:rPr>
        <w:t>二、供货范围</w:t>
      </w:r>
    </w:p>
    <w:p>
      <w:pPr>
        <w:autoSpaceDE w:val="0"/>
        <w:autoSpaceDN w:val="0"/>
        <w:adjustRightInd w:val="0"/>
        <w:spacing w:line="360" w:lineRule="auto"/>
        <w:ind w:firstLine="480" w:firstLineChars="200"/>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供货范围包括所有图书、图书附件等相关技术资料，必须涵盖哲学、经济学、法学、教育学、文学、农学、理学、工学、管理学、艺术学等学科门类，其中自然科学类图书品种数量不低于总量的40%，《梧州学院图书采购配送重要出版社名录》中的配书量不低于总购书量的90%。在执行合同过程中如发现任何漏项和短缺，在合同或附件清单并未列入，但该部分漏项或短缺是满足合同货物的性能所必须的，则均应由乙方负责免费将所漏项或短缺的货物及技术服务等在最短的合理时间内补齐。</w:t>
      </w:r>
    </w:p>
    <w:p>
      <w:pPr>
        <w:autoSpaceDE w:val="0"/>
        <w:autoSpaceDN w:val="0"/>
        <w:adjustRightInd w:val="0"/>
        <w:spacing w:line="360" w:lineRule="auto"/>
        <w:ind w:firstLine="482" w:firstLineChars="200"/>
        <w:jc w:val="left"/>
        <w:rPr>
          <w:rFonts w:cs="宋体" w:asciiTheme="minorEastAsia" w:hAnsiTheme="minorEastAsia" w:eastAsiaTheme="minorEastAsia"/>
          <w:b/>
          <w:bCs/>
          <w:kern w:val="0"/>
          <w:sz w:val="24"/>
          <w:highlight w:val="none"/>
        </w:rPr>
      </w:pPr>
      <w:r>
        <w:rPr>
          <w:rFonts w:hint="eastAsia" w:cs="宋体" w:asciiTheme="minorEastAsia" w:hAnsiTheme="minorEastAsia" w:eastAsiaTheme="minorEastAsia"/>
          <w:b/>
          <w:bCs/>
          <w:kern w:val="0"/>
          <w:sz w:val="24"/>
          <w:highlight w:val="none"/>
        </w:rPr>
        <w:t>三、资金来源及支付方式</w:t>
      </w:r>
    </w:p>
    <w:p>
      <w:pPr>
        <w:autoSpaceDE w:val="0"/>
        <w:autoSpaceDN w:val="0"/>
        <w:adjustRightInd w:val="0"/>
        <w:spacing w:line="360" w:lineRule="auto"/>
        <w:ind w:firstLine="480" w:firstLineChars="200"/>
        <w:jc w:val="left"/>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金额单位：万元</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5"/>
        <w:gridCol w:w="1185"/>
        <w:gridCol w:w="1185"/>
        <w:gridCol w:w="1185"/>
        <w:gridCol w:w="1185"/>
        <w:gridCol w:w="1185"/>
        <w:gridCol w:w="1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5" w:type="dxa"/>
          </w:tcPr>
          <w:p>
            <w:pPr>
              <w:autoSpaceDE w:val="0"/>
              <w:autoSpaceDN w:val="0"/>
              <w:adjustRightInd w:val="0"/>
              <w:spacing w:line="360" w:lineRule="auto"/>
              <w:jc w:val="left"/>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序号</w:t>
            </w:r>
          </w:p>
        </w:tc>
        <w:tc>
          <w:tcPr>
            <w:tcW w:w="1185" w:type="dxa"/>
          </w:tcPr>
          <w:p>
            <w:pPr>
              <w:autoSpaceDE w:val="0"/>
              <w:autoSpaceDN w:val="0"/>
              <w:adjustRightInd w:val="0"/>
              <w:spacing w:line="360" w:lineRule="auto"/>
              <w:ind w:firstLine="480" w:firstLineChars="200"/>
              <w:jc w:val="left"/>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采购计划编号</w:t>
            </w:r>
          </w:p>
        </w:tc>
        <w:tc>
          <w:tcPr>
            <w:tcW w:w="1185" w:type="dxa"/>
          </w:tcPr>
          <w:p>
            <w:pPr>
              <w:autoSpaceDE w:val="0"/>
              <w:autoSpaceDN w:val="0"/>
              <w:adjustRightInd w:val="0"/>
              <w:spacing w:line="360" w:lineRule="auto"/>
              <w:jc w:val="left"/>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采购目录</w:t>
            </w:r>
          </w:p>
        </w:tc>
        <w:tc>
          <w:tcPr>
            <w:tcW w:w="1185" w:type="dxa"/>
          </w:tcPr>
          <w:p>
            <w:pPr>
              <w:autoSpaceDE w:val="0"/>
              <w:autoSpaceDN w:val="0"/>
              <w:adjustRightInd w:val="0"/>
              <w:spacing w:line="360" w:lineRule="auto"/>
              <w:jc w:val="left"/>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数量</w:t>
            </w:r>
          </w:p>
        </w:tc>
        <w:tc>
          <w:tcPr>
            <w:tcW w:w="1185" w:type="dxa"/>
          </w:tcPr>
          <w:p>
            <w:pPr>
              <w:autoSpaceDE w:val="0"/>
              <w:autoSpaceDN w:val="0"/>
              <w:adjustRightInd w:val="0"/>
              <w:spacing w:line="360" w:lineRule="auto"/>
              <w:jc w:val="left"/>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预算</w:t>
            </w:r>
          </w:p>
        </w:tc>
        <w:tc>
          <w:tcPr>
            <w:tcW w:w="1185" w:type="dxa"/>
          </w:tcPr>
          <w:p>
            <w:pPr>
              <w:autoSpaceDE w:val="0"/>
              <w:autoSpaceDN w:val="0"/>
              <w:adjustRightInd w:val="0"/>
              <w:spacing w:line="360" w:lineRule="auto"/>
              <w:jc w:val="left"/>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资金来源性质</w:t>
            </w:r>
          </w:p>
        </w:tc>
        <w:tc>
          <w:tcPr>
            <w:tcW w:w="1186" w:type="dxa"/>
          </w:tcPr>
          <w:p>
            <w:pPr>
              <w:autoSpaceDE w:val="0"/>
              <w:autoSpaceDN w:val="0"/>
              <w:adjustRightInd w:val="0"/>
              <w:spacing w:line="360" w:lineRule="auto"/>
              <w:jc w:val="left"/>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资金支付方式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5" w:type="dxa"/>
          </w:tcPr>
          <w:p>
            <w:pPr>
              <w:autoSpaceDE w:val="0"/>
              <w:autoSpaceDN w:val="0"/>
              <w:adjustRightInd w:val="0"/>
              <w:spacing w:line="360" w:lineRule="auto"/>
              <w:ind w:firstLine="480" w:firstLineChars="200"/>
              <w:jc w:val="left"/>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1</w:t>
            </w:r>
          </w:p>
        </w:tc>
        <w:tc>
          <w:tcPr>
            <w:tcW w:w="1185" w:type="dxa"/>
          </w:tcPr>
          <w:p>
            <w:pPr>
              <w:autoSpaceDE w:val="0"/>
              <w:autoSpaceDN w:val="0"/>
              <w:adjustRightInd w:val="0"/>
              <w:spacing w:line="360" w:lineRule="auto"/>
              <w:jc w:val="left"/>
              <w:rPr>
                <w:rFonts w:cs="宋体" w:asciiTheme="minorEastAsia" w:hAnsiTheme="minorEastAsia" w:eastAsiaTheme="minorEastAsia"/>
                <w:kern w:val="0"/>
                <w:sz w:val="24"/>
                <w:highlight w:val="none"/>
              </w:rPr>
            </w:pPr>
          </w:p>
          <w:p>
            <w:pPr>
              <w:autoSpaceDE w:val="0"/>
              <w:autoSpaceDN w:val="0"/>
              <w:adjustRightInd w:val="0"/>
              <w:spacing w:line="360" w:lineRule="auto"/>
              <w:ind w:firstLine="480" w:firstLineChars="200"/>
              <w:jc w:val="left"/>
              <w:rPr>
                <w:rFonts w:cs="宋体" w:asciiTheme="minorEastAsia" w:hAnsiTheme="minorEastAsia" w:eastAsiaTheme="minorEastAsia"/>
                <w:kern w:val="0"/>
                <w:sz w:val="24"/>
                <w:highlight w:val="none"/>
              </w:rPr>
            </w:pPr>
          </w:p>
        </w:tc>
        <w:tc>
          <w:tcPr>
            <w:tcW w:w="1185" w:type="dxa"/>
          </w:tcPr>
          <w:p>
            <w:pPr>
              <w:autoSpaceDE w:val="0"/>
              <w:autoSpaceDN w:val="0"/>
              <w:adjustRightInd w:val="0"/>
              <w:spacing w:line="360" w:lineRule="auto"/>
              <w:jc w:val="left"/>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图书</w:t>
            </w:r>
          </w:p>
        </w:tc>
        <w:tc>
          <w:tcPr>
            <w:tcW w:w="1185" w:type="dxa"/>
          </w:tcPr>
          <w:p>
            <w:pPr>
              <w:autoSpaceDE w:val="0"/>
              <w:autoSpaceDN w:val="0"/>
              <w:adjustRightInd w:val="0"/>
              <w:spacing w:line="360" w:lineRule="auto"/>
              <w:jc w:val="left"/>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一批</w:t>
            </w:r>
          </w:p>
        </w:tc>
        <w:tc>
          <w:tcPr>
            <w:tcW w:w="1185" w:type="dxa"/>
          </w:tcPr>
          <w:p>
            <w:pPr>
              <w:autoSpaceDE w:val="0"/>
              <w:autoSpaceDN w:val="0"/>
              <w:adjustRightInd w:val="0"/>
              <w:spacing w:line="360" w:lineRule="auto"/>
              <w:jc w:val="left"/>
              <w:rPr>
                <w:rFonts w:cs="宋体" w:asciiTheme="minorEastAsia" w:hAnsiTheme="minorEastAsia" w:eastAsiaTheme="minorEastAsia"/>
                <w:kern w:val="0"/>
                <w:sz w:val="24"/>
                <w:highlight w:val="none"/>
              </w:rPr>
            </w:pPr>
          </w:p>
        </w:tc>
        <w:tc>
          <w:tcPr>
            <w:tcW w:w="1185" w:type="dxa"/>
          </w:tcPr>
          <w:p>
            <w:pPr>
              <w:autoSpaceDE w:val="0"/>
              <w:autoSpaceDN w:val="0"/>
              <w:adjustRightInd w:val="0"/>
              <w:spacing w:line="360" w:lineRule="auto"/>
              <w:jc w:val="left"/>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预算内资金</w:t>
            </w:r>
          </w:p>
        </w:tc>
        <w:tc>
          <w:tcPr>
            <w:tcW w:w="1186" w:type="dxa"/>
          </w:tcPr>
          <w:p>
            <w:pPr>
              <w:autoSpaceDE w:val="0"/>
              <w:autoSpaceDN w:val="0"/>
              <w:adjustRightInd w:val="0"/>
              <w:spacing w:line="360" w:lineRule="auto"/>
              <w:jc w:val="left"/>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单位自行支付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5" w:type="dxa"/>
          </w:tcPr>
          <w:p>
            <w:pPr>
              <w:autoSpaceDE w:val="0"/>
              <w:autoSpaceDN w:val="0"/>
              <w:adjustRightInd w:val="0"/>
              <w:spacing w:line="360" w:lineRule="auto"/>
              <w:ind w:firstLine="480" w:firstLineChars="200"/>
              <w:jc w:val="left"/>
              <w:rPr>
                <w:rFonts w:cs="宋体" w:asciiTheme="minorEastAsia" w:hAnsiTheme="minorEastAsia" w:eastAsiaTheme="minorEastAsia"/>
                <w:kern w:val="0"/>
                <w:sz w:val="24"/>
                <w:highlight w:val="none"/>
              </w:rPr>
            </w:pPr>
          </w:p>
        </w:tc>
        <w:tc>
          <w:tcPr>
            <w:tcW w:w="1185" w:type="dxa"/>
          </w:tcPr>
          <w:p>
            <w:pPr>
              <w:autoSpaceDE w:val="0"/>
              <w:autoSpaceDN w:val="0"/>
              <w:adjustRightInd w:val="0"/>
              <w:spacing w:line="360" w:lineRule="auto"/>
              <w:ind w:firstLine="480" w:firstLineChars="200"/>
              <w:jc w:val="left"/>
              <w:rPr>
                <w:rFonts w:cs="宋体" w:asciiTheme="minorEastAsia" w:hAnsiTheme="minorEastAsia" w:eastAsiaTheme="minorEastAsia"/>
                <w:kern w:val="0"/>
                <w:sz w:val="24"/>
                <w:highlight w:val="none"/>
              </w:rPr>
            </w:pPr>
          </w:p>
        </w:tc>
        <w:tc>
          <w:tcPr>
            <w:tcW w:w="1185" w:type="dxa"/>
          </w:tcPr>
          <w:p>
            <w:pPr>
              <w:autoSpaceDE w:val="0"/>
              <w:autoSpaceDN w:val="0"/>
              <w:adjustRightInd w:val="0"/>
              <w:spacing w:line="360" w:lineRule="auto"/>
              <w:ind w:firstLine="480" w:firstLineChars="200"/>
              <w:jc w:val="left"/>
              <w:rPr>
                <w:rFonts w:cs="宋体" w:asciiTheme="minorEastAsia" w:hAnsiTheme="minorEastAsia" w:eastAsiaTheme="minorEastAsia"/>
                <w:kern w:val="0"/>
                <w:sz w:val="24"/>
                <w:highlight w:val="none"/>
              </w:rPr>
            </w:pPr>
          </w:p>
        </w:tc>
        <w:tc>
          <w:tcPr>
            <w:tcW w:w="1185" w:type="dxa"/>
          </w:tcPr>
          <w:p>
            <w:pPr>
              <w:autoSpaceDE w:val="0"/>
              <w:autoSpaceDN w:val="0"/>
              <w:adjustRightInd w:val="0"/>
              <w:spacing w:line="360" w:lineRule="auto"/>
              <w:ind w:firstLine="480" w:firstLineChars="200"/>
              <w:jc w:val="left"/>
              <w:rPr>
                <w:rFonts w:cs="宋体" w:asciiTheme="minorEastAsia" w:hAnsiTheme="minorEastAsia" w:eastAsiaTheme="minorEastAsia"/>
                <w:kern w:val="0"/>
                <w:sz w:val="24"/>
                <w:highlight w:val="none"/>
              </w:rPr>
            </w:pPr>
          </w:p>
        </w:tc>
        <w:tc>
          <w:tcPr>
            <w:tcW w:w="1185" w:type="dxa"/>
          </w:tcPr>
          <w:p>
            <w:pPr>
              <w:autoSpaceDE w:val="0"/>
              <w:autoSpaceDN w:val="0"/>
              <w:adjustRightInd w:val="0"/>
              <w:spacing w:line="360" w:lineRule="auto"/>
              <w:ind w:firstLine="480" w:firstLineChars="200"/>
              <w:jc w:val="left"/>
              <w:rPr>
                <w:rFonts w:cs="宋体" w:asciiTheme="minorEastAsia" w:hAnsiTheme="minorEastAsia" w:eastAsiaTheme="minorEastAsia"/>
                <w:kern w:val="0"/>
                <w:sz w:val="24"/>
                <w:highlight w:val="none"/>
              </w:rPr>
            </w:pPr>
          </w:p>
        </w:tc>
        <w:tc>
          <w:tcPr>
            <w:tcW w:w="1185" w:type="dxa"/>
          </w:tcPr>
          <w:p>
            <w:pPr>
              <w:autoSpaceDE w:val="0"/>
              <w:autoSpaceDN w:val="0"/>
              <w:adjustRightInd w:val="0"/>
              <w:spacing w:line="360" w:lineRule="auto"/>
              <w:ind w:firstLine="480" w:firstLineChars="200"/>
              <w:jc w:val="left"/>
              <w:rPr>
                <w:rFonts w:cs="宋体" w:asciiTheme="minorEastAsia" w:hAnsiTheme="minorEastAsia" w:eastAsiaTheme="minorEastAsia"/>
                <w:kern w:val="0"/>
                <w:sz w:val="24"/>
                <w:highlight w:val="none"/>
              </w:rPr>
            </w:pPr>
          </w:p>
        </w:tc>
        <w:tc>
          <w:tcPr>
            <w:tcW w:w="1186" w:type="dxa"/>
          </w:tcPr>
          <w:p>
            <w:pPr>
              <w:autoSpaceDE w:val="0"/>
              <w:autoSpaceDN w:val="0"/>
              <w:adjustRightInd w:val="0"/>
              <w:spacing w:line="360" w:lineRule="auto"/>
              <w:ind w:firstLine="480" w:firstLineChars="200"/>
              <w:jc w:val="left"/>
              <w:rPr>
                <w:rFonts w:cs="宋体" w:asciiTheme="minorEastAsia" w:hAnsiTheme="minorEastAsia" w:eastAsiaTheme="minorEastAsia"/>
                <w:kern w:val="0"/>
                <w:sz w:val="24"/>
                <w:highlight w:val="none"/>
              </w:rPr>
            </w:pPr>
          </w:p>
        </w:tc>
      </w:tr>
    </w:tbl>
    <w:p>
      <w:pPr>
        <w:autoSpaceDE w:val="0"/>
        <w:autoSpaceDN w:val="0"/>
        <w:adjustRightInd w:val="0"/>
        <w:spacing w:line="360" w:lineRule="auto"/>
        <w:ind w:firstLine="482" w:firstLineChars="200"/>
        <w:rPr>
          <w:rFonts w:cs="宋体" w:asciiTheme="minorEastAsia" w:hAnsiTheme="minorEastAsia" w:eastAsiaTheme="minorEastAsia"/>
          <w:b/>
          <w:bCs/>
          <w:kern w:val="0"/>
          <w:sz w:val="24"/>
          <w:highlight w:val="none"/>
        </w:rPr>
      </w:pPr>
      <w:r>
        <w:rPr>
          <w:rFonts w:hint="eastAsia" w:cs="宋体" w:asciiTheme="minorEastAsia" w:hAnsiTheme="minorEastAsia" w:eastAsiaTheme="minorEastAsia"/>
          <w:b/>
          <w:bCs/>
          <w:kern w:val="0"/>
          <w:sz w:val="24"/>
          <w:highlight w:val="none"/>
        </w:rPr>
        <w:t>四、货款结算</w:t>
      </w:r>
    </w:p>
    <w:p>
      <w:pPr>
        <w:autoSpaceDE w:val="0"/>
        <w:autoSpaceDN w:val="0"/>
        <w:adjustRightInd w:val="0"/>
        <w:spacing w:line="360" w:lineRule="auto"/>
        <w:ind w:firstLine="480" w:firstLineChars="200"/>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1.本次采购图书约20000册，根据《成交通知书》的成交内容，成交综合折扣率：</w:t>
      </w:r>
      <w:r>
        <w:rPr>
          <w:rFonts w:hint="eastAsia" w:cs="宋体" w:asciiTheme="minorEastAsia" w:hAnsiTheme="minorEastAsia" w:eastAsiaTheme="minorEastAsia"/>
          <w:kern w:val="0"/>
          <w:sz w:val="24"/>
          <w:highlight w:val="none"/>
          <w:u w:val="single"/>
        </w:rPr>
        <w:t xml:space="preserve">        </w:t>
      </w:r>
      <w:r>
        <w:rPr>
          <w:rFonts w:hint="eastAsia" w:cs="宋体" w:asciiTheme="minorEastAsia" w:hAnsiTheme="minorEastAsia" w:eastAsiaTheme="minorEastAsia"/>
          <w:kern w:val="0"/>
          <w:sz w:val="24"/>
          <w:highlight w:val="none"/>
        </w:rPr>
        <w:t>。</w:t>
      </w:r>
    </w:p>
    <w:p>
      <w:pPr>
        <w:autoSpaceDE w:val="0"/>
        <w:autoSpaceDN w:val="0"/>
        <w:adjustRightInd w:val="0"/>
        <w:spacing w:line="360" w:lineRule="auto"/>
        <w:ind w:firstLine="480" w:firstLineChars="200"/>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2.本项目结算金额以实际采购的实洋价为准，图书实洋价=该图书码洋价×成交综合折扣率。结算金额最高不超本项目预算价，若超出则以预算价结算。</w:t>
      </w:r>
    </w:p>
    <w:p>
      <w:pPr>
        <w:autoSpaceDE w:val="0"/>
        <w:autoSpaceDN w:val="0"/>
        <w:adjustRightInd w:val="0"/>
        <w:spacing w:line="360" w:lineRule="auto"/>
        <w:ind w:firstLine="480" w:firstLineChars="200"/>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3.验收合格后，乙方须按甲方要求开具正规发票，甲方按乙方提供的对公账号在10个工作日内一次性付清合同款。</w:t>
      </w:r>
    </w:p>
    <w:p>
      <w:pPr>
        <w:autoSpaceDE w:val="0"/>
        <w:autoSpaceDN w:val="0"/>
        <w:adjustRightInd w:val="0"/>
        <w:spacing w:line="360" w:lineRule="auto"/>
        <w:ind w:firstLine="482" w:firstLineChars="200"/>
        <w:rPr>
          <w:rFonts w:cs="宋体" w:asciiTheme="minorEastAsia" w:hAnsiTheme="minorEastAsia" w:eastAsiaTheme="minorEastAsia"/>
          <w:b/>
          <w:bCs/>
          <w:kern w:val="0"/>
          <w:sz w:val="24"/>
          <w:highlight w:val="none"/>
        </w:rPr>
      </w:pPr>
      <w:r>
        <w:rPr>
          <w:rFonts w:hint="eastAsia" w:cs="宋体" w:asciiTheme="minorEastAsia" w:hAnsiTheme="minorEastAsia" w:eastAsiaTheme="minorEastAsia"/>
          <w:b/>
          <w:bCs/>
          <w:kern w:val="0"/>
          <w:sz w:val="24"/>
          <w:highlight w:val="none"/>
        </w:rPr>
        <w:t>五、质量保证与权利保证</w:t>
      </w:r>
    </w:p>
    <w:p>
      <w:pPr>
        <w:autoSpaceDE w:val="0"/>
        <w:autoSpaceDN w:val="0"/>
        <w:adjustRightInd w:val="0"/>
        <w:spacing w:line="360" w:lineRule="auto"/>
        <w:ind w:firstLine="480" w:firstLineChars="200"/>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1.乙方必须严格按照甲方提供的图书采购书目清单供货，不得擅自调换，否则甲方有权予以退货并拒绝支付合同价款。乙方接到订单三个月内，必须完成甲方图书采购书目清单90%（到书率=实际入库图书品种/书目清单品种）以上供货，并将加工好的图书送到甲方指定地点。</w:t>
      </w:r>
    </w:p>
    <w:p>
      <w:pPr>
        <w:autoSpaceDE w:val="0"/>
        <w:autoSpaceDN w:val="0"/>
        <w:adjustRightInd w:val="0"/>
        <w:spacing w:line="360" w:lineRule="auto"/>
        <w:ind w:firstLine="480" w:firstLineChars="200"/>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2.乙方提供的产品必须符合国家、行业强制执行的相关质量标准要求，提供的图书质量完全符合《图书质量管理规定》要求；乙方所供图书是国家新闻总署和省新闻出版局批准发行的正式出版物，保证所提供图书版本及进货渠道来源合法，对所供图书的版本、知识产权、进货来源负相应的法律责任，均为国家正规出版物，无假冒、盗印、盗用、非法加印等侵权和国家明令禁止的图书，确保所供图书无缺页、无断线、无污损，所供图书内容无不健康(反动、迷信、色情、暴力等)内容。</w:t>
      </w:r>
    </w:p>
    <w:p>
      <w:pPr>
        <w:autoSpaceDE w:val="0"/>
        <w:autoSpaceDN w:val="0"/>
        <w:adjustRightInd w:val="0"/>
        <w:spacing w:line="360" w:lineRule="auto"/>
        <w:ind w:firstLine="480" w:firstLineChars="200"/>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3.乙方应保证所提供货物在使用时不会侵犯任何第三方的专利权、商标权、工业设计权或其他权利。</w:t>
      </w:r>
    </w:p>
    <w:p>
      <w:pPr>
        <w:autoSpaceDE w:val="0"/>
        <w:autoSpaceDN w:val="0"/>
        <w:adjustRightInd w:val="0"/>
        <w:spacing w:line="360" w:lineRule="auto"/>
        <w:ind w:firstLine="480" w:firstLineChars="200"/>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4.乙方应按谈判文件规定的时间向甲方提供使用货物的有关技术资料。</w:t>
      </w:r>
    </w:p>
    <w:p>
      <w:pPr>
        <w:autoSpaceDE w:val="0"/>
        <w:autoSpaceDN w:val="0"/>
        <w:adjustRightInd w:val="0"/>
        <w:spacing w:line="360" w:lineRule="auto"/>
        <w:ind w:firstLine="480" w:firstLineChars="200"/>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5.乙方保证所交付的标的所有权完全属于乙方且无任何抵押、质押、查封等产权瑕疵。</w:t>
      </w:r>
    </w:p>
    <w:p>
      <w:pPr>
        <w:autoSpaceDE w:val="0"/>
        <w:autoSpaceDN w:val="0"/>
        <w:adjustRightInd w:val="0"/>
        <w:spacing w:line="360" w:lineRule="auto"/>
        <w:ind w:firstLine="482" w:firstLineChars="200"/>
        <w:rPr>
          <w:rFonts w:cs="宋体" w:asciiTheme="minorEastAsia" w:hAnsiTheme="minorEastAsia" w:eastAsiaTheme="minorEastAsia"/>
          <w:b/>
          <w:bCs/>
          <w:kern w:val="0"/>
          <w:sz w:val="24"/>
          <w:highlight w:val="none"/>
        </w:rPr>
      </w:pPr>
      <w:r>
        <w:rPr>
          <w:rFonts w:hint="eastAsia" w:cs="宋体" w:asciiTheme="minorEastAsia" w:hAnsiTheme="minorEastAsia" w:eastAsiaTheme="minorEastAsia"/>
          <w:b/>
          <w:bCs/>
          <w:kern w:val="0"/>
          <w:sz w:val="24"/>
          <w:highlight w:val="none"/>
        </w:rPr>
        <w:t>六、转包或分包</w:t>
      </w:r>
    </w:p>
    <w:p>
      <w:pPr>
        <w:autoSpaceDE w:val="0"/>
        <w:autoSpaceDN w:val="0"/>
        <w:adjustRightInd w:val="0"/>
        <w:spacing w:line="360" w:lineRule="auto"/>
        <w:ind w:firstLine="480" w:firstLineChars="200"/>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本合同范围的图书，应由乙方直接供应，不得转让他人供应，否则，甲方有权解除合同，并追究乙方的违约责任。</w:t>
      </w:r>
    </w:p>
    <w:p>
      <w:pPr>
        <w:autoSpaceDE w:val="0"/>
        <w:autoSpaceDN w:val="0"/>
        <w:adjustRightInd w:val="0"/>
        <w:spacing w:line="360" w:lineRule="auto"/>
        <w:ind w:firstLine="482" w:firstLineChars="200"/>
        <w:rPr>
          <w:rFonts w:cs="宋体" w:asciiTheme="minorEastAsia" w:hAnsiTheme="minorEastAsia" w:eastAsiaTheme="minorEastAsia"/>
          <w:b/>
          <w:bCs/>
          <w:kern w:val="0"/>
          <w:sz w:val="24"/>
          <w:highlight w:val="none"/>
        </w:rPr>
      </w:pPr>
      <w:r>
        <w:rPr>
          <w:rFonts w:hint="eastAsia" w:cs="宋体" w:asciiTheme="minorEastAsia" w:hAnsiTheme="minorEastAsia" w:eastAsiaTheme="minorEastAsia"/>
          <w:b/>
          <w:bCs/>
          <w:kern w:val="0"/>
          <w:sz w:val="24"/>
          <w:highlight w:val="none"/>
        </w:rPr>
        <w:t>七、货物包装</w:t>
      </w:r>
    </w:p>
    <w:p>
      <w:pPr>
        <w:autoSpaceDE w:val="0"/>
        <w:autoSpaceDN w:val="0"/>
        <w:adjustRightInd w:val="0"/>
        <w:spacing w:line="360" w:lineRule="auto"/>
        <w:ind w:firstLine="480" w:firstLineChars="200"/>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1.乙方提供的全部图书均应按国家标准中关于包装、储运指示标志的规定及其他相关规定进行包装。该包装应适于远程运输和反复装卸，并具有防潮、防震、防锈、防霉等作用，以确保货物安全无损地运抵甲方指定地点。由于包装不善所引起的货物锈蚀、损坏和损失均由乙方承担。</w:t>
      </w:r>
    </w:p>
    <w:p>
      <w:pPr>
        <w:autoSpaceDE w:val="0"/>
        <w:autoSpaceDN w:val="0"/>
        <w:adjustRightInd w:val="0"/>
        <w:spacing w:line="360" w:lineRule="auto"/>
        <w:ind w:firstLine="480" w:firstLineChars="200"/>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2.原厂原包装，包装完好完整、无破损、未开封。图书（含包装）运抵甲方指定交付地点前发生损坏的，相关损失由乙方自行承担。</w:t>
      </w:r>
    </w:p>
    <w:p>
      <w:pPr>
        <w:autoSpaceDE w:val="0"/>
        <w:autoSpaceDN w:val="0"/>
        <w:adjustRightInd w:val="0"/>
        <w:spacing w:line="360" w:lineRule="auto"/>
        <w:ind w:firstLine="480" w:firstLineChars="200"/>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3.乙方在货物发运手续办理完毕后二十四小时内或货到甲方四十八小时前通知甲方，以准备接货。</w:t>
      </w:r>
    </w:p>
    <w:p>
      <w:pPr>
        <w:autoSpaceDE w:val="0"/>
        <w:autoSpaceDN w:val="0"/>
        <w:adjustRightInd w:val="0"/>
        <w:spacing w:line="360" w:lineRule="auto"/>
        <w:ind w:firstLine="480" w:firstLineChars="200"/>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4.货物在交付甲方前发生的风险均由乙方负责。</w:t>
      </w:r>
    </w:p>
    <w:p>
      <w:pPr>
        <w:autoSpaceDE w:val="0"/>
        <w:autoSpaceDN w:val="0"/>
        <w:adjustRightInd w:val="0"/>
        <w:spacing w:line="360" w:lineRule="auto"/>
        <w:ind w:firstLine="482" w:firstLineChars="200"/>
        <w:rPr>
          <w:rFonts w:cs="宋体" w:asciiTheme="minorEastAsia" w:hAnsiTheme="minorEastAsia" w:eastAsiaTheme="minorEastAsia"/>
          <w:b/>
          <w:bCs/>
          <w:kern w:val="0"/>
          <w:sz w:val="24"/>
          <w:highlight w:val="none"/>
        </w:rPr>
      </w:pPr>
      <w:r>
        <w:rPr>
          <w:rFonts w:hint="eastAsia" w:cs="宋体" w:asciiTheme="minorEastAsia" w:hAnsiTheme="minorEastAsia" w:eastAsiaTheme="minorEastAsia"/>
          <w:b/>
          <w:bCs/>
          <w:kern w:val="0"/>
          <w:sz w:val="24"/>
          <w:highlight w:val="none"/>
        </w:rPr>
        <w:t>八、货物交付</w:t>
      </w:r>
    </w:p>
    <w:p>
      <w:pPr>
        <w:autoSpaceDE w:val="0"/>
        <w:autoSpaceDN w:val="0"/>
        <w:adjustRightInd w:val="0"/>
        <w:spacing w:line="360" w:lineRule="auto"/>
        <w:ind w:firstLine="480" w:firstLineChars="200"/>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1.交货期：2024年10月31日前</w:t>
      </w:r>
    </w:p>
    <w:p>
      <w:pPr>
        <w:autoSpaceDE w:val="0"/>
        <w:autoSpaceDN w:val="0"/>
        <w:adjustRightInd w:val="0"/>
        <w:spacing w:line="360" w:lineRule="auto"/>
        <w:ind w:firstLine="480" w:firstLineChars="200"/>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 xml:space="preserve">2.交货方式： </w:t>
      </w:r>
      <w:r>
        <w:rPr>
          <w:rFonts w:hint="eastAsia" w:cs="宋体" w:asciiTheme="minorEastAsia" w:hAnsiTheme="minorEastAsia" w:eastAsiaTheme="minorEastAsia"/>
          <w:kern w:val="0"/>
          <w:sz w:val="24"/>
          <w:highlight w:val="none"/>
          <w:u w:val="single"/>
        </w:rPr>
        <w:t xml:space="preserve">     送货上门     </w:t>
      </w:r>
    </w:p>
    <w:p>
      <w:pPr>
        <w:autoSpaceDE w:val="0"/>
        <w:autoSpaceDN w:val="0"/>
        <w:adjustRightInd w:val="0"/>
        <w:spacing w:line="360" w:lineRule="auto"/>
        <w:ind w:firstLine="480" w:firstLineChars="200"/>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3.收货信息：</w:t>
      </w:r>
    </w:p>
    <w:p>
      <w:pPr>
        <w:autoSpaceDE w:val="0"/>
        <w:autoSpaceDN w:val="0"/>
        <w:adjustRightInd w:val="0"/>
        <w:spacing w:line="360" w:lineRule="auto"/>
        <w:ind w:firstLine="480" w:firstLineChars="200"/>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（1）收货人：</w:t>
      </w:r>
      <w:r>
        <w:rPr>
          <w:rFonts w:hint="eastAsia" w:cs="宋体" w:asciiTheme="minorEastAsia" w:hAnsiTheme="minorEastAsia" w:eastAsiaTheme="minorEastAsia"/>
          <w:kern w:val="0"/>
          <w:sz w:val="24"/>
          <w:highlight w:val="none"/>
          <w:u w:val="single"/>
        </w:rPr>
        <w:t xml:space="preserve"> 黄老师 </w:t>
      </w:r>
      <w:r>
        <w:rPr>
          <w:rFonts w:hint="eastAsia" w:cs="宋体" w:asciiTheme="minorEastAsia" w:hAnsiTheme="minorEastAsia" w:eastAsiaTheme="minorEastAsia"/>
          <w:kern w:val="0"/>
          <w:sz w:val="24"/>
          <w:highlight w:val="none"/>
        </w:rPr>
        <w:t>；联系电话：</w:t>
      </w:r>
      <w:r>
        <w:rPr>
          <w:rFonts w:hint="eastAsia" w:cs="宋体" w:asciiTheme="minorEastAsia" w:hAnsiTheme="minorEastAsia" w:eastAsiaTheme="minorEastAsia"/>
          <w:kern w:val="0"/>
          <w:sz w:val="24"/>
          <w:highlight w:val="none"/>
          <w:u w:val="single"/>
        </w:rPr>
        <w:t xml:space="preserve"> 0774-5820957 </w:t>
      </w:r>
      <w:r>
        <w:rPr>
          <w:rFonts w:hint="eastAsia" w:cs="宋体" w:asciiTheme="minorEastAsia" w:hAnsiTheme="minorEastAsia" w:eastAsiaTheme="minorEastAsia"/>
          <w:kern w:val="0"/>
          <w:sz w:val="24"/>
          <w:highlight w:val="none"/>
        </w:rPr>
        <w:t>；收货地址：</w:t>
      </w:r>
      <w:r>
        <w:rPr>
          <w:rFonts w:hint="eastAsia" w:cs="宋体" w:asciiTheme="minorEastAsia" w:hAnsiTheme="minorEastAsia" w:eastAsiaTheme="minorEastAsia"/>
          <w:kern w:val="0"/>
          <w:sz w:val="24"/>
          <w:highlight w:val="none"/>
          <w:u w:val="single"/>
        </w:rPr>
        <w:t>广西壮族自治区梧州市万秀区富民三路82号梧州学院图书馆</w:t>
      </w:r>
      <w:r>
        <w:rPr>
          <w:rFonts w:hint="eastAsia" w:cs="宋体" w:asciiTheme="minorEastAsia" w:hAnsiTheme="minorEastAsia" w:eastAsiaTheme="minorEastAsia"/>
          <w:kern w:val="0"/>
          <w:sz w:val="24"/>
          <w:highlight w:val="none"/>
        </w:rPr>
        <w:t>；</w:t>
      </w:r>
    </w:p>
    <w:p>
      <w:pPr>
        <w:autoSpaceDE w:val="0"/>
        <w:autoSpaceDN w:val="0"/>
        <w:adjustRightInd w:val="0"/>
        <w:spacing w:line="360" w:lineRule="auto"/>
        <w:ind w:firstLine="480" w:firstLineChars="200"/>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4.乙方应提前</w:t>
      </w:r>
      <w:r>
        <w:rPr>
          <w:rFonts w:hint="eastAsia" w:cs="宋体" w:asciiTheme="minorEastAsia" w:hAnsiTheme="minorEastAsia" w:eastAsiaTheme="minorEastAsia"/>
          <w:kern w:val="0"/>
          <w:sz w:val="24"/>
          <w:highlight w:val="none"/>
          <w:u w:val="single"/>
        </w:rPr>
        <w:t xml:space="preserve">  3   </w:t>
      </w:r>
      <w:r>
        <w:rPr>
          <w:rFonts w:hint="eastAsia" w:cs="宋体" w:asciiTheme="minorEastAsia" w:hAnsiTheme="minorEastAsia" w:eastAsiaTheme="minorEastAsia"/>
          <w:kern w:val="0"/>
          <w:sz w:val="24"/>
          <w:highlight w:val="none"/>
        </w:rPr>
        <w:t>天以书面形式通知甲方货物备妥待运日期及装箱清单，甲方应为接收货物做好前期准备。如甲方不具备接收货物的条件，应在约定的交货日期</w:t>
      </w:r>
      <w:r>
        <w:rPr>
          <w:rFonts w:hint="eastAsia" w:cs="宋体" w:asciiTheme="minorEastAsia" w:hAnsiTheme="minorEastAsia" w:eastAsiaTheme="minorEastAsia"/>
          <w:kern w:val="0"/>
          <w:sz w:val="24"/>
          <w:highlight w:val="none"/>
          <w:u w:val="single"/>
        </w:rPr>
        <w:t xml:space="preserve"> 5 </w:t>
      </w:r>
      <w:r>
        <w:rPr>
          <w:rFonts w:hint="eastAsia" w:cs="宋体" w:asciiTheme="minorEastAsia" w:hAnsiTheme="minorEastAsia" w:eastAsiaTheme="minorEastAsia"/>
          <w:kern w:val="0"/>
          <w:sz w:val="24"/>
          <w:highlight w:val="none"/>
        </w:rPr>
        <w:t>日前以书面形式通知乙方，并重新确定交货日期。</w:t>
      </w:r>
    </w:p>
    <w:p>
      <w:pPr>
        <w:autoSpaceDE w:val="0"/>
        <w:autoSpaceDN w:val="0"/>
        <w:adjustRightInd w:val="0"/>
        <w:spacing w:line="360" w:lineRule="auto"/>
        <w:ind w:firstLine="480" w:firstLineChars="200"/>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5.交货前，乙方应对货物作出全面检查和对验收文件进行整理，并列出清单，作为甲方收货验收和使用的技术条件依据，检验的结果应随货物交甲方。</w:t>
      </w:r>
    </w:p>
    <w:p>
      <w:pPr>
        <w:autoSpaceDE w:val="0"/>
        <w:autoSpaceDN w:val="0"/>
        <w:adjustRightInd w:val="0"/>
        <w:spacing w:line="360" w:lineRule="auto"/>
        <w:ind w:firstLine="482" w:firstLineChars="200"/>
        <w:rPr>
          <w:rFonts w:cs="宋体" w:asciiTheme="minorEastAsia" w:hAnsiTheme="minorEastAsia" w:eastAsiaTheme="minorEastAsia"/>
          <w:b/>
          <w:bCs/>
          <w:kern w:val="0"/>
          <w:sz w:val="24"/>
          <w:highlight w:val="none"/>
        </w:rPr>
      </w:pPr>
      <w:r>
        <w:rPr>
          <w:rFonts w:hint="eastAsia" w:cs="宋体" w:asciiTheme="minorEastAsia" w:hAnsiTheme="minorEastAsia" w:eastAsiaTheme="minorEastAsia"/>
          <w:b/>
          <w:bCs/>
          <w:kern w:val="0"/>
          <w:sz w:val="24"/>
          <w:highlight w:val="none"/>
        </w:rPr>
        <w:t>九、交付与验收</w:t>
      </w:r>
    </w:p>
    <w:p>
      <w:pPr>
        <w:autoSpaceDE w:val="0"/>
        <w:autoSpaceDN w:val="0"/>
        <w:adjustRightInd w:val="0"/>
        <w:spacing w:line="360" w:lineRule="auto"/>
        <w:ind w:firstLine="480" w:firstLineChars="200"/>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1.乙方于2024年10月31日前将所有货物配送至甲方指定地点。乙方应保证到书清单清晰、明了、有序，随书清单注明书名、ISBN号、中图分类、出版社、出版时间、册数、定价、总价等，便于验收、查对。</w:t>
      </w:r>
    </w:p>
    <w:p>
      <w:pPr>
        <w:autoSpaceDE w:val="0"/>
        <w:autoSpaceDN w:val="0"/>
        <w:adjustRightInd w:val="0"/>
        <w:spacing w:line="360" w:lineRule="auto"/>
        <w:ind w:firstLine="480" w:firstLineChars="200"/>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2.乙方提供不符合谈判文件规定、乙方响应文件承诺和本合同规定的标的，甲方有权拒绝接受。</w:t>
      </w:r>
    </w:p>
    <w:p>
      <w:pPr>
        <w:autoSpaceDE w:val="0"/>
        <w:autoSpaceDN w:val="0"/>
        <w:adjustRightInd w:val="0"/>
        <w:spacing w:line="360" w:lineRule="auto"/>
        <w:ind w:firstLine="480" w:firstLineChars="200"/>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3.乙方交货前应对产品做出全面的检查和对验收文件进行整理，并列出清单，作为甲方验收和使用的依据，验收的结果应随货物交甲方。</w:t>
      </w:r>
    </w:p>
    <w:p>
      <w:pPr>
        <w:autoSpaceDE w:val="0"/>
        <w:autoSpaceDN w:val="0"/>
        <w:adjustRightInd w:val="0"/>
        <w:spacing w:line="360" w:lineRule="auto"/>
        <w:ind w:firstLine="480" w:firstLineChars="200"/>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4.甲方在采购标的全部到达甲方指定地点后，验收小组成立之日起7个工作日内验收。</w:t>
      </w:r>
    </w:p>
    <w:p>
      <w:pPr>
        <w:autoSpaceDE w:val="0"/>
        <w:autoSpaceDN w:val="0"/>
        <w:adjustRightInd w:val="0"/>
        <w:spacing w:line="360" w:lineRule="auto"/>
        <w:ind w:firstLine="480" w:firstLineChars="200"/>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5.验收时，甲乙双方应当派员在场，并对验收结果签署意见，否则视为其同意验收结果。</w:t>
      </w:r>
    </w:p>
    <w:p>
      <w:pPr>
        <w:autoSpaceDE w:val="0"/>
        <w:autoSpaceDN w:val="0"/>
        <w:adjustRightInd w:val="0"/>
        <w:spacing w:line="360" w:lineRule="auto"/>
        <w:ind w:firstLine="480" w:firstLineChars="200"/>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6.甲方根据谈判文件采购需求及乙方响应文件承诺进行验收，必要时，甲方有权邀请国家质量监督检验部门或第三方机构参与验收。如产品不满足谈判文件要求、乙方响应承诺或国家、行业强制执行的相关质量标准要求，甲方有权不予验收，由此造成甲方的经济损失由乙方承担全部赔偿责任。</w:t>
      </w:r>
    </w:p>
    <w:p>
      <w:pPr>
        <w:autoSpaceDE w:val="0"/>
        <w:autoSpaceDN w:val="0"/>
        <w:adjustRightInd w:val="0"/>
        <w:spacing w:line="360" w:lineRule="auto"/>
        <w:ind w:firstLine="480" w:firstLineChars="200"/>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7.若验收时发现有污染、图文不清、缺页、倒装、缺附件等不合格的图书，乙方给予免费调换，直到合格为止。</w:t>
      </w:r>
    </w:p>
    <w:p>
      <w:pPr>
        <w:autoSpaceDE w:val="0"/>
        <w:autoSpaceDN w:val="0"/>
        <w:adjustRightInd w:val="0"/>
        <w:spacing w:line="360" w:lineRule="auto"/>
        <w:ind w:firstLine="480" w:firstLineChars="200"/>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8.由于乙方的原因造成验收不合格、影响甲方正常使用的，甲方有权终止合同并全部退货，由此造成甲方经济损失的由乙方负责承担全部赔偿责任，乙方自行承担由此带来的一切不利后果。</w:t>
      </w:r>
    </w:p>
    <w:p>
      <w:pPr>
        <w:autoSpaceDE w:val="0"/>
        <w:autoSpaceDN w:val="0"/>
        <w:adjustRightInd w:val="0"/>
        <w:spacing w:line="360" w:lineRule="auto"/>
        <w:ind w:firstLine="480" w:firstLineChars="200"/>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9.对技术复杂的货物或对验收结果存在异议的，甲方可请国家认可的专业检测机构参与验收，并由其出具质量检测报告，相关费用由乙方承担。</w:t>
      </w:r>
    </w:p>
    <w:p>
      <w:pPr>
        <w:autoSpaceDE w:val="0"/>
        <w:autoSpaceDN w:val="0"/>
        <w:adjustRightInd w:val="0"/>
        <w:spacing w:line="360" w:lineRule="auto"/>
        <w:ind w:firstLine="480" w:firstLineChars="200"/>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10.验收过程中所产生的一切费用由乙方承担。</w:t>
      </w:r>
    </w:p>
    <w:p>
      <w:pPr>
        <w:autoSpaceDE w:val="0"/>
        <w:autoSpaceDN w:val="0"/>
        <w:adjustRightInd w:val="0"/>
        <w:spacing w:line="360" w:lineRule="auto"/>
        <w:ind w:firstLine="482" w:firstLineChars="200"/>
        <w:rPr>
          <w:rFonts w:cs="宋体" w:asciiTheme="minorEastAsia" w:hAnsiTheme="minorEastAsia" w:eastAsiaTheme="minorEastAsia"/>
          <w:b/>
          <w:bCs/>
          <w:kern w:val="0"/>
          <w:sz w:val="24"/>
          <w:highlight w:val="none"/>
        </w:rPr>
      </w:pPr>
      <w:r>
        <w:rPr>
          <w:rFonts w:hint="eastAsia" w:cs="宋体" w:asciiTheme="minorEastAsia" w:hAnsiTheme="minorEastAsia" w:eastAsiaTheme="minorEastAsia"/>
          <w:b/>
          <w:bCs/>
          <w:kern w:val="0"/>
          <w:sz w:val="24"/>
          <w:highlight w:val="none"/>
        </w:rPr>
        <w:t>十、保修与售后服务</w:t>
      </w:r>
    </w:p>
    <w:p>
      <w:pPr>
        <w:autoSpaceDE w:val="0"/>
        <w:autoSpaceDN w:val="0"/>
        <w:adjustRightInd w:val="0"/>
        <w:spacing w:line="360" w:lineRule="auto"/>
        <w:ind w:firstLine="480" w:firstLineChars="200"/>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1.乙方应按照国家有关法律规定和“三包”规定以及谈判文件要求、乙方响应文件承诺为甲方提供售后服务。</w:t>
      </w:r>
    </w:p>
    <w:p>
      <w:pPr>
        <w:autoSpaceDE w:val="0"/>
        <w:autoSpaceDN w:val="0"/>
        <w:adjustRightInd w:val="0"/>
        <w:spacing w:line="360" w:lineRule="auto"/>
        <w:ind w:firstLine="480" w:firstLineChars="200"/>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2.如在使用过程中发生质量问题，乙方在接到甲方通知后在72小时内到达甲方现场处理。</w:t>
      </w:r>
    </w:p>
    <w:p>
      <w:pPr>
        <w:autoSpaceDE w:val="0"/>
        <w:autoSpaceDN w:val="0"/>
        <w:adjustRightInd w:val="0"/>
        <w:spacing w:line="360" w:lineRule="auto"/>
        <w:ind w:firstLine="480" w:firstLineChars="200"/>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3.履约保证。</w:t>
      </w:r>
    </w:p>
    <w:p>
      <w:pPr>
        <w:autoSpaceDE w:val="0"/>
        <w:autoSpaceDN w:val="0"/>
        <w:adjustRightInd w:val="0"/>
        <w:spacing w:line="360" w:lineRule="auto"/>
        <w:ind w:firstLine="480" w:firstLineChars="200"/>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（1）乙方按本合同总金额的2%向甲方指定账户交纳履约保证金。甲方指定账户：</w:t>
      </w:r>
    </w:p>
    <w:p>
      <w:pPr>
        <w:autoSpaceDE w:val="0"/>
        <w:autoSpaceDN w:val="0"/>
        <w:adjustRightInd w:val="0"/>
        <w:spacing w:line="360" w:lineRule="auto"/>
        <w:ind w:firstLine="480" w:firstLineChars="200"/>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开户名称：梧州学院</w:t>
      </w:r>
    </w:p>
    <w:p>
      <w:pPr>
        <w:autoSpaceDE w:val="0"/>
        <w:autoSpaceDN w:val="0"/>
        <w:adjustRightInd w:val="0"/>
        <w:spacing w:line="360" w:lineRule="auto"/>
        <w:ind w:firstLine="480" w:firstLineChars="200"/>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开户银行：农业银行梧州分行营业部</w:t>
      </w:r>
    </w:p>
    <w:p>
      <w:pPr>
        <w:autoSpaceDE w:val="0"/>
        <w:autoSpaceDN w:val="0"/>
        <w:adjustRightInd w:val="0"/>
        <w:spacing w:line="360" w:lineRule="auto"/>
        <w:ind w:firstLine="480" w:firstLineChars="200"/>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银行账号：20305301040001988</w:t>
      </w:r>
    </w:p>
    <w:p>
      <w:pPr>
        <w:autoSpaceDE w:val="0"/>
        <w:autoSpaceDN w:val="0"/>
        <w:adjustRightInd w:val="0"/>
        <w:spacing w:line="360" w:lineRule="auto"/>
        <w:ind w:firstLine="480" w:firstLineChars="200"/>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（2）递交方式：银行转账、支票、汇票、本票或者银行、保险机构出具的保函等非现金方式。</w:t>
      </w:r>
    </w:p>
    <w:p>
      <w:pPr>
        <w:autoSpaceDE w:val="0"/>
        <w:autoSpaceDN w:val="0"/>
        <w:adjustRightInd w:val="0"/>
        <w:spacing w:line="360" w:lineRule="auto"/>
        <w:ind w:firstLine="480" w:firstLineChars="200"/>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3）履约保证金在乙方按合同履约完毕并验收合格，由乙方向甲方提供《政府采购项目履约保证金退付意见书》及《广西壮族自治区政府采购项目合同验收书》，甲方在收到合格材料后十五个工作日内以银行转帐方式退还（不计利息）。涉及违约的违约金和损失赔偿从履约保证金中扣减，不足的由乙方补足。</w:t>
      </w:r>
    </w:p>
    <w:p>
      <w:pPr>
        <w:autoSpaceDE w:val="0"/>
        <w:autoSpaceDN w:val="0"/>
        <w:adjustRightInd w:val="0"/>
        <w:spacing w:line="360" w:lineRule="auto"/>
        <w:ind w:firstLine="482" w:firstLineChars="200"/>
        <w:rPr>
          <w:rFonts w:cs="宋体" w:asciiTheme="minorEastAsia" w:hAnsiTheme="minorEastAsia" w:eastAsiaTheme="minorEastAsia"/>
          <w:b/>
          <w:bCs/>
          <w:kern w:val="0"/>
          <w:sz w:val="24"/>
          <w:highlight w:val="none"/>
        </w:rPr>
      </w:pPr>
      <w:r>
        <w:rPr>
          <w:rFonts w:hint="eastAsia" w:cs="宋体" w:asciiTheme="minorEastAsia" w:hAnsiTheme="minorEastAsia" w:eastAsiaTheme="minorEastAsia"/>
          <w:b/>
          <w:bCs/>
          <w:kern w:val="0"/>
          <w:sz w:val="24"/>
          <w:highlight w:val="none"/>
        </w:rPr>
        <w:t>十一、违约责任</w:t>
      </w:r>
    </w:p>
    <w:p>
      <w:pPr>
        <w:autoSpaceDE w:val="0"/>
        <w:autoSpaceDN w:val="0"/>
        <w:adjustRightInd w:val="0"/>
        <w:spacing w:line="360" w:lineRule="auto"/>
        <w:ind w:firstLine="480" w:firstLineChars="200"/>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1.乙方接到甲方图书采购书目清单三个月内，必须完成甲方清单90%（到书率=实际入库图书品种/书目清单品种）以上供货。乙方超过清单总册数10%及以上不能供货，可视其为不具备供货能力，乙方按未到图书总码洋的100%支付甲方未到图书总实洋违约金，违约金从保证金或者图书结算款中扣除。</w:t>
      </w:r>
    </w:p>
    <w:p>
      <w:pPr>
        <w:autoSpaceDE w:val="0"/>
        <w:autoSpaceDN w:val="0"/>
        <w:adjustRightInd w:val="0"/>
        <w:spacing w:line="360" w:lineRule="auto"/>
        <w:ind w:firstLine="480" w:firstLineChars="200"/>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2.本合同项下图书在交货、数据加工、验收及质保期等任何阶段内不符合合同约定的技术规范要求和验收标准的，甲方有权向乙方索赔并选择下列一项或多项补救措施：</w:t>
      </w:r>
    </w:p>
    <w:p>
      <w:pPr>
        <w:autoSpaceDE w:val="0"/>
        <w:autoSpaceDN w:val="0"/>
        <w:adjustRightInd w:val="0"/>
        <w:spacing w:line="360" w:lineRule="auto"/>
        <w:ind w:firstLine="480" w:firstLineChars="200"/>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（1）由乙方采取措施消除图书缺陷或不符合合同之处，如果乙方不能及时消除缺陷，甲方有权自行消除缺陷或不符合合同之处，由此产生的一切费用均由乙方承担。</w:t>
      </w:r>
    </w:p>
    <w:p>
      <w:pPr>
        <w:autoSpaceDE w:val="0"/>
        <w:autoSpaceDN w:val="0"/>
        <w:adjustRightInd w:val="0"/>
        <w:spacing w:line="360" w:lineRule="auto"/>
        <w:ind w:firstLine="480" w:firstLineChars="200"/>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（2）由乙方在接到甲方通知后</w:t>
      </w:r>
      <w:r>
        <w:rPr>
          <w:rFonts w:hint="eastAsia" w:cs="宋体" w:asciiTheme="minorEastAsia" w:hAnsiTheme="minorEastAsia" w:eastAsiaTheme="minorEastAsia"/>
          <w:kern w:val="0"/>
          <w:sz w:val="24"/>
          <w:highlight w:val="none"/>
          <w:u w:val="single"/>
        </w:rPr>
        <w:t xml:space="preserve"> 3 </w:t>
      </w:r>
      <w:r>
        <w:rPr>
          <w:rFonts w:hint="eastAsia" w:cs="宋体" w:asciiTheme="minorEastAsia" w:hAnsiTheme="minorEastAsia" w:eastAsiaTheme="minorEastAsia"/>
          <w:kern w:val="0"/>
          <w:sz w:val="24"/>
          <w:highlight w:val="none"/>
        </w:rPr>
        <w:t>日内用符合合同规定的规格、质量和性能要求的新书更换有缺陷的图书，乙方应承担一切费用和风险并负担给甲方造成的全部损失。</w:t>
      </w:r>
    </w:p>
    <w:p>
      <w:pPr>
        <w:autoSpaceDE w:val="0"/>
        <w:autoSpaceDN w:val="0"/>
        <w:adjustRightInd w:val="0"/>
        <w:spacing w:line="360" w:lineRule="auto"/>
        <w:ind w:firstLine="480" w:firstLineChars="200"/>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（3）退货，乙方应退还甲方支付的全部合同款，同时应承担该货物的直接费用（运输、保险、检验、货款利息及银行手续费等）。</w:t>
      </w:r>
    </w:p>
    <w:p>
      <w:pPr>
        <w:autoSpaceDE w:val="0"/>
        <w:autoSpaceDN w:val="0"/>
        <w:adjustRightInd w:val="0"/>
        <w:spacing w:line="360" w:lineRule="auto"/>
        <w:ind w:firstLine="480" w:firstLineChars="200"/>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3.甲方无正当理由拒收货物的，应向乙方偿付拒收货款总值</w:t>
      </w:r>
      <w:r>
        <w:rPr>
          <w:rFonts w:hint="eastAsia" w:cs="宋体" w:asciiTheme="minorEastAsia" w:hAnsiTheme="minorEastAsia" w:eastAsiaTheme="minorEastAsia"/>
          <w:kern w:val="0"/>
          <w:sz w:val="24"/>
          <w:highlight w:val="none"/>
          <w:u w:val="single"/>
        </w:rPr>
        <w:t xml:space="preserve"> 3 </w:t>
      </w:r>
      <w:r>
        <w:rPr>
          <w:rFonts w:hint="eastAsia" w:cs="宋体" w:asciiTheme="minorEastAsia" w:hAnsiTheme="minorEastAsia" w:eastAsiaTheme="minorEastAsia"/>
          <w:kern w:val="0"/>
          <w:sz w:val="24"/>
          <w:highlight w:val="none"/>
        </w:rPr>
        <w:t xml:space="preserve"> %的违约金。</w:t>
      </w:r>
    </w:p>
    <w:p>
      <w:pPr>
        <w:autoSpaceDE w:val="0"/>
        <w:autoSpaceDN w:val="0"/>
        <w:adjustRightInd w:val="0"/>
        <w:spacing w:line="360" w:lineRule="auto"/>
        <w:ind w:firstLine="480" w:firstLineChars="200"/>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4.甲方无故逾期验收和办理货款支付手续的，每逾期一日，应按逾期付款总额</w:t>
      </w:r>
      <w:r>
        <w:rPr>
          <w:rFonts w:hint="eastAsia" w:cs="宋体" w:asciiTheme="minorEastAsia" w:hAnsiTheme="minorEastAsia" w:eastAsiaTheme="minorEastAsia"/>
          <w:kern w:val="0"/>
          <w:sz w:val="24"/>
          <w:highlight w:val="none"/>
          <w:u w:val="single"/>
        </w:rPr>
        <w:t xml:space="preserve">   0.5  </w:t>
      </w:r>
      <w:r>
        <w:rPr>
          <w:rFonts w:hint="eastAsia" w:cs="宋体" w:asciiTheme="minorEastAsia" w:hAnsiTheme="minorEastAsia" w:eastAsiaTheme="minorEastAsia"/>
          <w:kern w:val="0"/>
          <w:sz w:val="24"/>
          <w:highlight w:val="none"/>
        </w:rPr>
        <w:t>‰向乙方支付违约金。</w:t>
      </w:r>
    </w:p>
    <w:p>
      <w:pPr>
        <w:autoSpaceDE w:val="0"/>
        <w:autoSpaceDN w:val="0"/>
        <w:adjustRightInd w:val="0"/>
        <w:spacing w:line="360" w:lineRule="auto"/>
        <w:ind w:firstLine="480" w:firstLineChars="200"/>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5.乙方逾期交付货物的，每逾期一日，应按逾期交货总额</w:t>
      </w:r>
      <w:r>
        <w:rPr>
          <w:rFonts w:hint="eastAsia" w:cs="宋体" w:asciiTheme="minorEastAsia" w:hAnsiTheme="minorEastAsia" w:eastAsiaTheme="minorEastAsia"/>
          <w:kern w:val="0"/>
          <w:sz w:val="24"/>
          <w:highlight w:val="none"/>
          <w:u w:val="single"/>
        </w:rPr>
        <w:t xml:space="preserve">  1   </w:t>
      </w:r>
      <w:r>
        <w:rPr>
          <w:rFonts w:hint="eastAsia" w:cs="宋体" w:asciiTheme="minorEastAsia" w:hAnsiTheme="minorEastAsia" w:eastAsiaTheme="minorEastAsia"/>
          <w:kern w:val="0"/>
          <w:sz w:val="24"/>
          <w:highlight w:val="none"/>
        </w:rPr>
        <w:t>‰向甲方支付违约金。逾期超过约定日期</w:t>
      </w:r>
      <w:r>
        <w:rPr>
          <w:rFonts w:hint="eastAsia" w:cs="宋体" w:asciiTheme="minorEastAsia" w:hAnsiTheme="minorEastAsia" w:eastAsiaTheme="minorEastAsia"/>
          <w:kern w:val="0"/>
          <w:sz w:val="24"/>
          <w:highlight w:val="none"/>
          <w:u w:val="single"/>
        </w:rPr>
        <w:t xml:space="preserve">  30   </w:t>
      </w:r>
      <w:r>
        <w:rPr>
          <w:rFonts w:hint="eastAsia" w:cs="宋体" w:asciiTheme="minorEastAsia" w:hAnsiTheme="minorEastAsia" w:eastAsiaTheme="minorEastAsia"/>
          <w:kern w:val="0"/>
          <w:sz w:val="24"/>
          <w:highlight w:val="none"/>
        </w:rPr>
        <w:t>个工作日不能交货的，甲方有权解除本合同，并要求乙方支付合同总额</w:t>
      </w:r>
      <w:r>
        <w:rPr>
          <w:rFonts w:hint="eastAsia" w:cs="宋体" w:asciiTheme="minorEastAsia" w:hAnsiTheme="minorEastAsia" w:eastAsiaTheme="minorEastAsia"/>
          <w:kern w:val="0"/>
          <w:sz w:val="24"/>
          <w:highlight w:val="none"/>
          <w:u w:val="single"/>
        </w:rPr>
        <w:t xml:space="preserve">   30  </w:t>
      </w:r>
      <w:r>
        <w:rPr>
          <w:rFonts w:hint="eastAsia" w:cs="宋体" w:asciiTheme="minorEastAsia" w:hAnsiTheme="minorEastAsia" w:eastAsiaTheme="minorEastAsia"/>
          <w:kern w:val="0"/>
          <w:sz w:val="24"/>
          <w:highlight w:val="none"/>
        </w:rPr>
        <w:t xml:space="preserve"> %的违约金。</w:t>
      </w:r>
    </w:p>
    <w:p>
      <w:pPr>
        <w:autoSpaceDE w:val="0"/>
        <w:autoSpaceDN w:val="0"/>
        <w:adjustRightInd w:val="0"/>
        <w:spacing w:line="360" w:lineRule="auto"/>
        <w:ind w:firstLine="480" w:firstLineChars="200"/>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乙方未在约定时间内完成交付的，参照前款约定承担违约责任。</w:t>
      </w:r>
    </w:p>
    <w:p>
      <w:pPr>
        <w:autoSpaceDE w:val="0"/>
        <w:autoSpaceDN w:val="0"/>
        <w:adjustRightInd w:val="0"/>
        <w:spacing w:line="360" w:lineRule="auto"/>
        <w:ind w:firstLine="480" w:firstLineChars="200"/>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6.乙方所交付的货物品种、型号、规格、技术参数、质量不符合合同规定及采购文件规定标准的，甲方有权拒收该货物，乙方愿意更换货物但逾期交货的，按乙方逾期交货处理。乙方拒绝更换货物的，甲方可单方面解除合同，并要求乙方支付合同总值</w:t>
      </w:r>
      <w:r>
        <w:rPr>
          <w:rFonts w:hint="eastAsia" w:cs="宋体" w:asciiTheme="minorEastAsia" w:hAnsiTheme="minorEastAsia" w:eastAsiaTheme="minorEastAsia"/>
          <w:kern w:val="0"/>
          <w:sz w:val="24"/>
          <w:highlight w:val="none"/>
          <w:u w:val="single"/>
        </w:rPr>
        <w:t xml:space="preserve">   30  </w:t>
      </w:r>
      <w:r>
        <w:rPr>
          <w:rFonts w:hint="eastAsia" w:cs="宋体" w:asciiTheme="minorEastAsia" w:hAnsiTheme="minorEastAsia" w:eastAsiaTheme="minorEastAsia"/>
          <w:kern w:val="0"/>
          <w:sz w:val="24"/>
          <w:highlight w:val="none"/>
        </w:rPr>
        <w:t xml:space="preserve"> %的违约金，违约金不足以弥补甲方损失的，乙方还应负责赔偿。</w:t>
      </w:r>
    </w:p>
    <w:p>
      <w:pPr>
        <w:autoSpaceDE w:val="0"/>
        <w:autoSpaceDN w:val="0"/>
        <w:adjustRightInd w:val="0"/>
        <w:spacing w:line="360" w:lineRule="auto"/>
        <w:ind w:firstLine="480" w:firstLineChars="200"/>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7.乙方未能按约定要求履行保修义务的，每发生一次应向甲方支付</w:t>
      </w:r>
      <w:r>
        <w:rPr>
          <w:rFonts w:hint="eastAsia" w:cs="宋体" w:asciiTheme="minorEastAsia" w:hAnsiTheme="minorEastAsia" w:eastAsiaTheme="minorEastAsia"/>
          <w:kern w:val="0"/>
          <w:sz w:val="24"/>
          <w:highlight w:val="none"/>
          <w:u w:val="single"/>
        </w:rPr>
        <w:t xml:space="preserve">500  </w:t>
      </w:r>
      <w:r>
        <w:rPr>
          <w:rFonts w:hint="eastAsia" w:cs="宋体" w:asciiTheme="minorEastAsia" w:hAnsiTheme="minorEastAsia" w:eastAsiaTheme="minorEastAsia"/>
          <w:kern w:val="0"/>
          <w:sz w:val="24"/>
          <w:highlight w:val="none"/>
        </w:rPr>
        <w:t>元的违约金，同时，甲方有权委托第三方进行保修，所产生的费用由乙方承担。若因货物缺陷或乙方服务质量等问题造成甲方或任何人员人身、财产损害的，乙方应承担有关责任并作出相应赔偿。</w:t>
      </w:r>
    </w:p>
    <w:p>
      <w:pPr>
        <w:autoSpaceDE w:val="0"/>
        <w:autoSpaceDN w:val="0"/>
        <w:adjustRightInd w:val="0"/>
        <w:spacing w:line="360" w:lineRule="auto"/>
        <w:ind w:firstLine="480" w:firstLineChars="200"/>
        <w:rPr>
          <w:rFonts w:asciiTheme="minorEastAsia" w:hAnsiTheme="minorEastAsia" w:eastAsiaTheme="minorEastAsia"/>
          <w:sz w:val="24"/>
          <w:highlight w:val="none"/>
        </w:rPr>
      </w:pPr>
      <w:r>
        <w:rPr>
          <w:rFonts w:hint="eastAsia" w:cs="宋体" w:asciiTheme="minorEastAsia" w:hAnsiTheme="minorEastAsia" w:eastAsiaTheme="minorEastAsia"/>
          <w:kern w:val="0"/>
          <w:sz w:val="24"/>
          <w:highlight w:val="none"/>
        </w:rPr>
        <w:t>8.因乙方其他违约行为导致甲方解除合同的，乙方应向甲方支付合同总值</w:t>
      </w:r>
      <w:r>
        <w:rPr>
          <w:rFonts w:hint="eastAsia" w:cs="宋体" w:asciiTheme="minorEastAsia" w:hAnsiTheme="minorEastAsia" w:eastAsiaTheme="minorEastAsia"/>
          <w:kern w:val="0"/>
          <w:sz w:val="24"/>
          <w:highlight w:val="none"/>
          <w:u w:val="single"/>
        </w:rPr>
        <w:t xml:space="preserve">   30  </w:t>
      </w:r>
      <w:r>
        <w:rPr>
          <w:rFonts w:hint="eastAsia" w:cs="宋体" w:asciiTheme="minorEastAsia" w:hAnsiTheme="minorEastAsia" w:eastAsiaTheme="minorEastAsia"/>
          <w:kern w:val="0"/>
          <w:sz w:val="24"/>
          <w:highlight w:val="none"/>
        </w:rPr>
        <w:t xml:space="preserve"> %的违约金，如造成甲方损失超过违约金的，超出部分由乙方继续承担赔偿责任。</w:t>
      </w:r>
    </w:p>
    <w:p>
      <w:pPr>
        <w:autoSpaceDE w:val="0"/>
        <w:autoSpaceDN w:val="0"/>
        <w:adjustRightInd w:val="0"/>
        <w:spacing w:line="360" w:lineRule="auto"/>
        <w:ind w:firstLine="482" w:firstLineChars="200"/>
        <w:rPr>
          <w:rFonts w:cs="宋体" w:asciiTheme="minorEastAsia" w:hAnsiTheme="minorEastAsia" w:eastAsiaTheme="minorEastAsia"/>
          <w:b/>
          <w:bCs/>
          <w:kern w:val="0"/>
          <w:sz w:val="24"/>
          <w:highlight w:val="none"/>
        </w:rPr>
      </w:pPr>
      <w:r>
        <w:rPr>
          <w:rFonts w:hint="eastAsia" w:cs="宋体" w:asciiTheme="minorEastAsia" w:hAnsiTheme="minorEastAsia" w:eastAsiaTheme="minorEastAsia"/>
          <w:b/>
          <w:bCs/>
          <w:kern w:val="0"/>
          <w:sz w:val="24"/>
          <w:highlight w:val="none"/>
        </w:rPr>
        <w:t>十二、不可抗力</w:t>
      </w:r>
    </w:p>
    <w:p>
      <w:pPr>
        <w:autoSpaceDE w:val="0"/>
        <w:autoSpaceDN w:val="0"/>
        <w:adjustRightInd w:val="0"/>
        <w:spacing w:line="360" w:lineRule="auto"/>
        <w:ind w:firstLine="480" w:firstLineChars="200"/>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1.在合同有效期内，任何一方因不可抗力事件导致不能履行合同，则合同履行期可延长，其延长期与不可抗力影响期相同。</w:t>
      </w:r>
    </w:p>
    <w:p>
      <w:pPr>
        <w:autoSpaceDE w:val="0"/>
        <w:autoSpaceDN w:val="0"/>
        <w:adjustRightInd w:val="0"/>
        <w:spacing w:line="360" w:lineRule="auto"/>
        <w:ind w:firstLine="480" w:firstLineChars="200"/>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2.本条所述的“不可抗力”系指那些双方不可预见、不可避免、不可克服的事件，但不包括双方的违约或疏忽。这些事件包括但不限于:战争、严重火灭、洪水、台风、地震、国家政策的重大变化，以及双方商定的其他事件。</w:t>
      </w:r>
    </w:p>
    <w:p>
      <w:pPr>
        <w:autoSpaceDE w:val="0"/>
        <w:autoSpaceDN w:val="0"/>
        <w:adjustRightInd w:val="0"/>
        <w:spacing w:line="360" w:lineRule="auto"/>
        <w:ind w:firstLine="480" w:firstLineChars="200"/>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3.不可抗力事件发生后，受不可抗力事件影响的一方应立即通知对方，并寄送有关权威机构出具的证明。同时应立即尽一切合理努力采取措施，消除影响，减少损失。</w:t>
      </w:r>
    </w:p>
    <w:p>
      <w:pPr>
        <w:autoSpaceDE w:val="0"/>
        <w:autoSpaceDN w:val="0"/>
        <w:adjustRightInd w:val="0"/>
        <w:spacing w:line="360" w:lineRule="auto"/>
        <w:ind w:firstLine="480" w:firstLineChars="200"/>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4.如果不可抗力事件延续</w:t>
      </w:r>
      <w:r>
        <w:rPr>
          <w:rFonts w:hint="eastAsia" w:cs="宋体" w:asciiTheme="minorEastAsia" w:hAnsiTheme="minorEastAsia" w:eastAsiaTheme="minorEastAsia"/>
          <w:kern w:val="0"/>
          <w:sz w:val="24"/>
          <w:highlight w:val="none"/>
          <w:u w:val="single"/>
        </w:rPr>
        <w:t xml:space="preserve">   120    </w:t>
      </w:r>
      <w:r>
        <w:rPr>
          <w:rFonts w:hint="eastAsia" w:cs="宋体" w:asciiTheme="minorEastAsia" w:hAnsiTheme="minorEastAsia" w:eastAsiaTheme="minorEastAsia"/>
          <w:kern w:val="0"/>
          <w:sz w:val="24"/>
          <w:highlight w:val="none"/>
        </w:rPr>
        <w:t>日以上，双方应通过友好协商，确定是否继续履行合同。</w:t>
      </w:r>
    </w:p>
    <w:p>
      <w:pPr>
        <w:autoSpaceDE w:val="0"/>
        <w:autoSpaceDN w:val="0"/>
        <w:adjustRightInd w:val="0"/>
        <w:spacing w:line="360" w:lineRule="auto"/>
        <w:ind w:firstLine="482" w:firstLineChars="200"/>
        <w:rPr>
          <w:rFonts w:cs="宋体" w:asciiTheme="minorEastAsia" w:hAnsiTheme="minorEastAsia" w:eastAsiaTheme="minorEastAsia"/>
          <w:b/>
          <w:bCs/>
          <w:kern w:val="0"/>
          <w:sz w:val="24"/>
          <w:highlight w:val="none"/>
        </w:rPr>
      </w:pPr>
      <w:r>
        <w:rPr>
          <w:rFonts w:hint="eastAsia" w:cs="宋体" w:asciiTheme="minorEastAsia" w:hAnsiTheme="minorEastAsia" w:eastAsiaTheme="minorEastAsia"/>
          <w:b/>
          <w:bCs/>
          <w:kern w:val="0"/>
          <w:sz w:val="24"/>
          <w:highlight w:val="none"/>
        </w:rPr>
        <w:t>十三、法律适用与争议解决</w:t>
      </w:r>
    </w:p>
    <w:p>
      <w:pPr>
        <w:autoSpaceDE w:val="0"/>
        <w:autoSpaceDN w:val="0"/>
        <w:adjustRightInd w:val="0"/>
        <w:spacing w:line="360" w:lineRule="auto"/>
        <w:ind w:firstLine="480" w:firstLineChars="200"/>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1.本合同的订立、解释、履行及争议解决，均适用中华人民共和国法律。</w:t>
      </w:r>
    </w:p>
    <w:p>
      <w:pPr>
        <w:autoSpaceDE w:val="0"/>
        <w:autoSpaceDN w:val="0"/>
        <w:adjustRightInd w:val="0"/>
        <w:spacing w:line="360" w:lineRule="auto"/>
        <w:ind w:firstLine="480" w:firstLineChars="200"/>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2.本合同履行过程中发生争议的，甲乙双方应友好协商；协商不成的，任何一方可向甲方所在地人民法院起诉。</w:t>
      </w:r>
    </w:p>
    <w:p>
      <w:pPr>
        <w:autoSpaceDE w:val="0"/>
        <w:autoSpaceDN w:val="0"/>
        <w:adjustRightInd w:val="0"/>
        <w:spacing w:line="360" w:lineRule="auto"/>
        <w:ind w:firstLine="480" w:firstLineChars="200"/>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3.诉讼期间，本合同继续履行。</w:t>
      </w:r>
    </w:p>
    <w:p>
      <w:pPr>
        <w:autoSpaceDE w:val="0"/>
        <w:autoSpaceDN w:val="0"/>
        <w:adjustRightInd w:val="0"/>
        <w:spacing w:line="360" w:lineRule="auto"/>
        <w:ind w:firstLine="482" w:firstLineChars="200"/>
        <w:rPr>
          <w:rFonts w:cs="宋体" w:asciiTheme="minorEastAsia" w:hAnsiTheme="minorEastAsia" w:eastAsiaTheme="minorEastAsia"/>
          <w:b/>
          <w:bCs/>
          <w:kern w:val="0"/>
          <w:sz w:val="24"/>
          <w:highlight w:val="none"/>
        </w:rPr>
      </w:pPr>
      <w:r>
        <w:rPr>
          <w:rFonts w:hint="eastAsia" w:cs="宋体" w:asciiTheme="minorEastAsia" w:hAnsiTheme="minorEastAsia" w:eastAsiaTheme="minorEastAsia"/>
          <w:b/>
          <w:bCs/>
          <w:kern w:val="0"/>
          <w:sz w:val="24"/>
          <w:highlight w:val="none"/>
        </w:rPr>
        <w:t>十四、合同生效及其他</w:t>
      </w:r>
    </w:p>
    <w:p>
      <w:pPr>
        <w:autoSpaceDE w:val="0"/>
        <w:autoSpaceDN w:val="0"/>
        <w:adjustRightInd w:val="0"/>
        <w:spacing w:line="360" w:lineRule="auto"/>
        <w:ind w:firstLine="480" w:firstLineChars="200"/>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1.本合同经甲、乙双方加盖单位公章后生效，合同一式</w:t>
      </w:r>
      <w:r>
        <w:rPr>
          <w:rFonts w:hint="eastAsia" w:cs="宋体" w:asciiTheme="minorEastAsia" w:hAnsiTheme="minorEastAsia" w:eastAsiaTheme="minorEastAsia"/>
          <w:kern w:val="0"/>
          <w:sz w:val="24"/>
          <w:highlight w:val="none"/>
          <w:u w:val="single"/>
        </w:rPr>
        <w:t xml:space="preserve">  陆  </w:t>
      </w:r>
      <w:r>
        <w:rPr>
          <w:rFonts w:hint="eastAsia" w:cs="宋体" w:asciiTheme="minorEastAsia" w:hAnsiTheme="minorEastAsia" w:eastAsiaTheme="minorEastAsia"/>
          <w:kern w:val="0"/>
          <w:sz w:val="24"/>
          <w:highlight w:val="none"/>
        </w:rPr>
        <w:t>份，甲方执</w:t>
      </w:r>
      <w:r>
        <w:rPr>
          <w:rFonts w:hint="eastAsia" w:cs="宋体" w:asciiTheme="minorEastAsia" w:hAnsiTheme="minorEastAsia" w:eastAsiaTheme="minorEastAsia"/>
          <w:kern w:val="0"/>
          <w:sz w:val="24"/>
          <w:highlight w:val="none"/>
          <w:u w:val="single"/>
        </w:rPr>
        <w:t xml:space="preserve">  伍  </w:t>
      </w:r>
      <w:r>
        <w:rPr>
          <w:rFonts w:hint="eastAsia" w:cs="宋体" w:asciiTheme="minorEastAsia" w:hAnsiTheme="minorEastAsia" w:eastAsiaTheme="minorEastAsia"/>
          <w:kern w:val="0"/>
          <w:sz w:val="24"/>
          <w:highlight w:val="none"/>
        </w:rPr>
        <w:t>份、乙方执</w:t>
      </w:r>
      <w:r>
        <w:rPr>
          <w:rFonts w:hint="eastAsia" w:cs="宋体" w:asciiTheme="minorEastAsia" w:hAnsiTheme="minorEastAsia" w:eastAsiaTheme="minorEastAsia"/>
          <w:kern w:val="0"/>
          <w:sz w:val="24"/>
          <w:highlight w:val="none"/>
          <w:u w:val="single"/>
        </w:rPr>
        <w:t xml:space="preserve">  壹  </w:t>
      </w:r>
      <w:r>
        <w:rPr>
          <w:rFonts w:hint="eastAsia" w:cs="宋体" w:asciiTheme="minorEastAsia" w:hAnsiTheme="minorEastAsia" w:eastAsiaTheme="minorEastAsia"/>
          <w:kern w:val="0"/>
          <w:sz w:val="24"/>
          <w:highlight w:val="none"/>
        </w:rPr>
        <w:t>份，具有同等法律效力。</w:t>
      </w:r>
    </w:p>
    <w:p>
      <w:pPr>
        <w:autoSpaceDE w:val="0"/>
        <w:autoSpaceDN w:val="0"/>
        <w:adjustRightInd w:val="0"/>
        <w:spacing w:line="360" w:lineRule="auto"/>
        <w:ind w:firstLine="480" w:firstLineChars="200"/>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2.本次采购过程中形成的采购文件、响应文件、补充协议、附件等与本合同具有同等法律效力，互相补充和解释。各项文件之间约定不一致的，按以下排列顺序在先者为准。</w:t>
      </w:r>
    </w:p>
    <w:p>
      <w:pPr>
        <w:autoSpaceDE w:val="0"/>
        <w:autoSpaceDN w:val="0"/>
        <w:adjustRightInd w:val="0"/>
        <w:spacing w:line="360" w:lineRule="auto"/>
        <w:ind w:firstLine="480" w:firstLineChars="200"/>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（1）采购文件（含澄清、变更公告）；</w:t>
      </w:r>
    </w:p>
    <w:p>
      <w:pPr>
        <w:autoSpaceDE w:val="0"/>
        <w:autoSpaceDN w:val="0"/>
        <w:adjustRightInd w:val="0"/>
        <w:spacing w:line="360" w:lineRule="auto"/>
        <w:ind w:firstLine="480" w:firstLineChars="200"/>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（2）采购过程中乙方提供的应答记录（如有）</w:t>
      </w:r>
    </w:p>
    <w:p>
      <w:pPr>
        <w:autoSpaceDE w:val="0"/>
        <w:autoSpaceDN w:val="0"/>
        <w:adjustRightInd w:val="0"/>
        <w:spacing w:line="360" w:lineRule="auto"/>
        <w:ind w:firstLine="480" w:firstLineChars="200"/>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（3）乙方提供的响应（或澄清）文件；</w:t>
      </w:r>
    </w:p>
    <w:p>
      <w:pPr>
        <w:autoSpaceDE w:val="0"/>
        <w:autoSpaceDN w:val="0"/>
        <w:adjustRightInd w:val="0"/>
        <w:spacing w:line="360" w:lineRule="auto"/>
        <w:ind w:firstLine="480" w:firstLineChars="200"/>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（4）售后服务承诺书、服务方案；</w:t>
      </w:r>
    </w:p>
    <w:p>
      <w:pPr>
        <w:autoSpaceDE w:val="0"/>
        <w:autoSpaceDN w:val="0"/>
        <w:adjustRightInd w:val="0"/>
        <w:spacing w:line="360" w:lineRule="auto"/>
        <w:ind w:firstLine="480" w:firstLineChars="200"/>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（5）报价表；</w:t>
      </w:r>
    </w:p>
    <w:p>
      <w:pPr>
        <w:autoSpaceDE w:val="0"/>
        <w:autoSpaceDN w:val="0"/>
        <w:adjustRightInd w:val="0"/>
        <w:spacing w:line="360" w:lineRule="auto"/>
        <w:ind w:firstLine="480" w:firstLineChars="200"/>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（6）中标或成交通知书；</w:t>
      </w:r>
    </w:p>
    <w:p>
      <w:pPr>
        <w:autoSpaceDE w:val="0"/>
        <w:autoSpaceDN w:val="0"/>
        <w:adjustRightInd w:val="0"/>
        <w:spacing w:line="360" w:lineRule="auto"/>
        <w:ind w:firstLine="480" w:firstLineChars="200"/>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（7）其他补充文件。</w:t>
      </w:r>
    </w:p>
    <w:p>
      <w:pPr>
        <w:autoSpaceDE w:val="0"/>
        <w:autoSpaceDN w:val="0"/>
        <w:adjustRightInd w:val="0"/>
        <w:spacing w:line="360" w:lineRule="auto"/>
        <w:ind w:firstLine="480" w:firstLineChars="200"/>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3.合同附件：（1）图书采购清单；（2）梧州学院图书采购配送重要出版社名录；（3）售后服务承诺书。</w:t>
      </w:r>
    </w:p>
    <w:p>
      <w:pPr>
        <w:autoSpaceDE w:val="0"/>
        <w:autoSpaceDN w:val="0"/>
        <w:adjustRightInd w:val="0"/>
        <w:spacing w:line="360" w:lineRule="auto"/>
        <w:ind w:firstLine="480" w:firstLineChars="200"/>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4.本合同未尽事宜，遵照《政府采购法》、《民法典》有关条文执行。</w:t>
      </w:r>
    </w:p>
    <w:p>
      <w:pPr>
        <w:autoSpaceDE w:val="0"/>
        <w:autoSpaceDN w:val="0"/>
        <w:adjustRightInd w:val="0"/>
        <w:spacing w:line="360" w:lineRule="auto"/>
        <w:ind w:firstLine="480" w:firstLineChars="200"/>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5.本合同的核心内容必须与成交结果一致。同时，未经同级财政部门批准，甲乙双方不得以任何方式签订合同以外的补充协议，擅自修改合同条款，否则将追究其相关责任。</w:t>
      </w:r>
    </w:p>
    <w:p>
      <w:pPr>
        <w:autoSpaceDE w:val="0"/>
        <w:autoSpaceDN w:val="0"/>
        <w:adjustRightInd w:val="0"/>
        <w:spacing w:line="360" w:lineRule="auto"/>
        <w:ind w:firstLine="480" w:firstLineChars="200"/>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6.本合同必须在规定时间内备案、公告。</w:t>
      </w:r>
    </w:p>
    <w:p>
      <w:pPr>
        <w:autoSpaceDE w:val="0"/>
        <w:autoSpaceDN w:val="0"/>
        <w:adjustRightInd w:val="0"/>
        <w:spacing w:line="360" w:lineRule="auto"/>
        <w:jc w:val="left"/>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7.合同签订地点：广西梧州市万秀区</w:t>
      </w:r>
    </w:p>
    <w:p>
      <w:pPr>
        <w:autoSpaceDE w:val="0"/>
        <w:autoSpaceDN w:val="0"/>
        <w:adjustRightInd w:val="0"/>
        <w:jc w:val="left"/>
        <w:rPr>
          <w:rFonts w:ascii="宋体" w:hAnsi="宋体" w:cs="宋体"/>
          <w:kern w:val="0"/>
          <w:sz w:val="24"/>
          <w:highlight w:val="none"/>
        </w:rPr>
      </w:pPr>
    </w:p>
    <w:tbl>
      <w:tblPr>
        <w:tblStyle w:val="1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148"/>
        <w:gridCol w:w="41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10" w:hRule="atLeast"/>
        </w:trPr>
        <w:tc>
          <w:tcPr>
            <w:tcW w:w="4148" w:type="dxa"/>
          </w:tcPr>
          <w:p>
            <w:pPr>
              <w:autoSpaceDE w:val="0"/>
              <w:autoSpaceDN w:val="0"/>
              <w:adjustRightInd w:val="0"/>
              <w:jc w:val="left"/>
              <w:rPr>
                <w:rFonts w:ascii="宋体" w:hAnsi="宋体" w:cs="宋体"/>
                <w:kern w:val="0"/>
                <w:sz w:val="24"/>
                <w:highlight w:val="none"/>
              </w:rPr>
            </w:pPr>
            <w:r>
              <w:rPr>
                <w:rFonts w:hint="eastAsia" w:ascii="宋体" w:hAnsi="宋体" w:cs="宋体"/>
                <w:kern w:val="0"/>
                <w:sz w:val="24"/>
                <w:highlight w:val="none"/>
              </w:rPr>
              <w:t>甲方（公章）：梧州学院</w:t>
            </w:r>
          </w:p>
        </w:tc>
        <w:tc>
          <w:tcPr>
            <w:tcW w:w="4148" w:type="dxa"/>
          </w:tcPr>
          <w:p>
            <w:pPr>
              <w:autoSpaceDE w:val="0"/>
              <w:autoSpaceDN w:val="0"/>
              <w:adjustRightInd w:val="0"/>
              <w:jc w:val="left"/>
              <w:rPr>
                <w:rFonts w:ascii="宋体" w:hAnsi="宋体" w:cs="宋体"/>
                <w:kern w:val="0"/>
                <w:sz w:val="24"/>
                <w:highlight w:val="none"/>
              </w:rPr>
            </w:pPr>
            <w:r>
              <w:rPr>
                <w:rFonts w:hint="eastAsia" w:ascii="宋体" w:hAnsi="宋体" w:cs="宋体"/>
                <w:kern w:val="0"/>
                <w:sz w:val="24"/>
                <w:highlight w:val="none"/>
              </w:rPr>
              <w:t>乙方（公章）：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4148" w:type="dxa"/>
          </w:tcPr>
          <w:p>
            <w:pPr>
              <w:autoSpaceDE w:val="0"/>
              <w:autoSpaceDN w:val="0"/>
              <w:adjustRightInd w:val="0"/>
              <w:jc w:val="left"/>
              <w:rPr>
                <w:rFonts w:ascii="宋体" w:hAnsi="宋体" w:cs="宋体"/>
                <w:kern w:val="0"/>
                <w:sz w:val="24"/>
                <w:highlight w:val="none"/>
              </w:rPr>
            </w:pPr>
            <w:r>
              <w:rPr>
                <w:rFonts w:hint="eastAsia" w:ascii="宋体" w:hAnsi="宋体" w:cs="宋体"/>
                <w:kern w:val="0"/>
                <w:sz w:val="24"/>
                <w:highlight w:val="none"/>
              </w:rPr>
              <w:t>法定（授权）代表人</w:t>
            </w:r>
          </w:p>
        </w:tc>
        <w:tc>
          <w:tcPr>
            <w:tcW w:w="4148" w:type="dxa"/>
          </w:tcPr>
          <w:p>
            <w:pPr>
              <w:autoSpaceDE w:val="0"/>
              <w:autoSpaceDN w:val="0"/>
              <w:adjustRightInd w:val="0"/>
              <w:jc w:val="left"/>
              <w:rPr>
                <w:rFonts w:ascii="宋体" w:hAnsi="宋体" w:cs="宋体"/>
                <w:kern w:val="0"/>
                <w:sz w:val="24"/>
                <w:highlight w:val="none"/>
              </w:rPr>
            </w:pPr>
            <w:r>
              <w:rPr>
                <w:rFonts w:hint="eastAsia" w:ascii="宋体" w:hAnsi="宋体" w:cs="宋体"/>
                <w:kern w:val="0"/>
                <w:sz w:val="24"/>
                <w:highlight w:val="none"/>
              </w:rPr>
              <w:t>法定（授权）代表人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4148" w:type="dxa"/>
          </w:tcPr>
          <w:p>
            <w:pPr>
              <w:autoSpaceDE w:val="0"/>
              <w:autoSpaceDN w:val="0"/>
              <w:adjustRightInd w:val="0"/>
              <w:jc w:val="left"/>
              <w:rPr>
                <w:rFonts w:ascii="宋体" w:hAnsi="宋体" w:cs="宋体"/>
                <w:kern w:val="0"/>
                <w:sz w:val="24"/>
                <w:highlight w:val="none"/>
              </w:rPr>
            </w:pPr>
            <w:r>
              <w:rPr>
                <w:rFonts w:hint="eastAsia" w:ascii="宋体" w:hAnsi="宋体" w:cs="宋体"/>
                <w:kern w:val="0"/>
                <w:sz w:val="24"/>
                <w:highlight w:val="none"/>
              </w:rPr>
              <w:t>（签字）：</w:t>
            </w:r>
          </w:p>
        </w:tc>
        <w:tc>
          <w:tcPr>
            <w:tcW w:w="4148" w:type="dxa"/>
          </w:tcPr>
          <w:p>
            <w:pPr>
              <w:autoSpaceDE w:val="0"/>
              <w:autoSpaceDN w:val="0"/>
              <w:adjustRightInd w:val="0"/>
              <w:jc w:val="left"/>
              <w:rPr>
                <w:rFonts w:ascii="宋体" w:hAnsi="宋体" w:cs="宋体"/>
                <w:kern w:val="0"/>
                <w:sz w:val="24"/>
                <w:highlight w:val="none"/>
              </w:rPr>
            </w:pPr>
            <w:r>
              <w:rPr>
                <w:rFonts w:hint="eastAsia" w:ascii="宋体" w:hAnsi="宋体" w:cs="宋体"/>
                <w:kern w:val="0"/>
                <w:sz w:val="24"/>
                <w:highlight w:val="none"/>
              </w:rPr>
              <w:t>（签字）：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4148" w:type="dxa"/>
          </w:tcPr>
          <w:p>
            <w:pPr>
              <w:autoSpaceDE w:val="0"/>
              <w:autoSpaceDN w:val="0"/>
              <w:adjustRightInd w:val="0"/>
              <w:jc w:val="left"/>
              <w:rPr>
                <w:rFonts w:ascii="宋体" w:hAnsi="宋体" w:cs="宋体"/>
                <w:kern w:val="0"/>
                <w:sz w:val="24"/>
                <w:highlight w:val="none"/>
              </w:rPr>
            </w:pPr>
            <w:r>
              <w:rPr>
                <w:rFonts w:hint="eastAsia" w:ascii="宋体" w:hAnsi="宋体" w:cs="宋体"/>
                <w:kern w:val="0"/>
                <w:sz w:val="24"/>
                <w:highlight w:val="none"/>
              </w:rPr>
              <w:t>地址：广西梧州市万秀区富民三路82号</w:t>
            </w:r>
          </w:p>
        </w:tc>
        <w:tc>
          <w:tcPr>
            <w:tcW w:w="4148" w:type="dxa"/>
          </w:tcPr>
          <w:p>
            <w:pPr>
              <w:autoSpaceDE w:val="0"/>
              <w:autoSpaceDN w:val="0"/>
              <w:adjustRightInd w:val="0"/>
              <w:jc w:val="left"/>
              <w:rPr>
                <w:rFonts w:ascii="宋体" w:hAnsi="宋体" w:cs="宋体"/>
                <w:kern w:val="0"/>
                <w:sz w:val="24"/>
                <w:highlight w:val="none"/>
              </w:rPr>
            </w:pPr>
            <w:r>
              <w:rPr>
                <w:rFonts w:hint="eastAsia" w:ascii="宋体" w:hAnsi="宋体" w:cs="宋体"/>
                <w:kern w:val="0"/>
                <w:sz w:val="24"/>
                <w:highlight w:val="none"/>
              </w:rPr>
              <w:t>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4148" w:type="dxa"/>
          </w:tcPr>
          <w:p>
            <w:pPr>
              <w:autoSpaceDE w:val="0"/>
              <w:autoSpaceDN w:val="0"/>
              <w:adjustRightInd w:val="0"/>
              <w:jc w:val="left"/>
              <w:rPr>
                <w:rFonts w:ascii="宋体" w:hAnsi="宋体" w:cs="宋体"/>
                <w:kern w:val="0"/>
                <w:sz w:val="24"/>
                <w:highlight w:val="none"/>
              </w:rPr>
            </w:pPr>
            <w:r>
              <w:rPr>
                <w:rFonts w:hint="eastAsia" w:ascii="宋体" w:hAnsi="宋体" w:cs="宋体"/>
                <w:kern w:val="0"/>
                <w:sz w:val="24"/>
                <w:highlight w:val="none"/>
              </w:rPr>
              <w:t>电话：07745834125</w:t>
            </w:r>
          </w:p>
        </w:tc>
        <w:tc>
          <w:tcPr>
            <w:tcW w:w="4148" w:type="dxa"/>
          </w:tcPr>
          <w:p>
            <w:pPr>
              <w:autoSpaceDE w:val="0"/>
              <w:autoSpaceDN w:val="0"/>
              <w:adjustRightInd w:val="0"/>
              <w:jc w:val="left"/>
              <w:rPr>
                <w:rFonts w:ascii="宋体" w:hAnsi="宋体" w:cs="宋体"/>
                <w:kern w:val="0"/>
                <w:sz w:val="24"/>
                <w:highlight w:val="none"/>
              </w:rPr>
            </w:pPr>
            <w:r>
              <w:rPr>
                <w:rFonts w:hint="eastAsia" w:ascii="宋体" w:hAnsi="宋体" w:cs="宋体"/>
                <w:kern w:val="0"/>
                <w:sz w:val="24"/>
                <w:highlight w:val="none"/>
              </w:rPr>
              <w:t>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4148" w:type="dxa"/>
          </w:tcPr>
          <w:p>
            <w:pPr>
              <w:autoSpaceDE w:val="0"/>
              <w:autoSpaceDN w:val="0"/>
              <w:adjustRightInd w:val="0"/>
              <w:jc w:val="left"/>
              <w:rPr>
                <w:rFonts w:ascii="宋体" w:hAnsi="宋体" w:cs="宋体"/>
                <w:kern w:val="0"/>
                <w:sz w:val="24"/>
                <w:highlight w:val="none"/>
              </w:rPr>
            </w:pPr>
            <w:r>
              <w:rPr>
                <w:rFonts w:hint="eastAsia" w:ascii="宋体" w:hAnsi="宋体" w:cs="宋体"/>
                <w:kern w:val="0"/>
                <w:sz w:val="24"/>
                <w:highlight w:val="none"/>
              </w:rPr>
              <w:t>开户银行：农业银行梧州分行营业部</w:t>
            </w:r>
          </w:p>
        </w:tc>
        <w:tc>
          <w:tcPr>
            <w:tcW w:w="4148" w:type="dxa"/>
          </w:tcPr>
          <w:p>
            <w:pPr>
              <w:autoSpaceDE w:val="0"/>
              <w:autoSpaceDN w:val="0"/>
              <w:adjustRightInd w:val="0"/>
              <w:jc w:val="left"/>
              <w:rPr>
                <w:rFonts w:ascii="宋体" w:hAnsi="宋体" w:cs="宋体"/>
                <w:kern w:val="0"/>
                <w:sz w:val="24"/>
                <w:highlight w:val="none"/>
              </w:rPr>
            </w:pPr>
            <w:r>
              <w:rPr>
                <w:rFonts w:hint="eastAsia" w:ascii="宋体" w:hAnsi="宋体" w:cs="宋体"/>
                <w:kern w:val="0"/>
                <w:sz w:val="24"/>
                <w:highlight w:val="none"/>
              </w:rPr>
              <w:t>开户银行：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4148" w:type="dxa"/>
          </w:tcPr>
          <w:p>
            <w:pPr>
              <w:autoSpaceDE w:val="0"/>
              <w:autoSpaceDN w:val="0"/>
              <w:adjustRightInd w:val="0"/>
              <w:jc w:val="left"/>
              <w:rPr>
                <w:rFonts w:ascii="宋体" w:hAnsi="宋体" w:cs="宋体"/>
                <w:kern w:val="0"/>
                <w:sz w:val="24"/>
                <w:highlight w:val="none"/>
              </w:rPr>
            </w:pPr>
            <w:r>
              <w:rPr>
                <w:rFonts w:hint="eastAsia" w:ascii="宋体" w:hAnsi="宋体" w:cs="宋体"/>
                <w:kern w:val="0"/>
                <w:sz w:val="24"/>
                <w:highlight w:val="none"/>
              </w:rPr>
              <w:t>账号：20305301040001988</w:t>
            </w:r>
          </w:p>
        </w:tc>
        <w:tc>
          <w:tcPr>
            <w:tcW w:w="4148" w:type="dxa"/>
          </w:tcPr>
          <w:p>
            <w:pPr>
              <w:autoSpaceDE w:val="0"/>
              <w:autoSpaceDN w:val="0"/>
              <w:adjustRightInd w:val="0"/>
              <w:jc w:val="left"/>
              <w:rPr>
                <w:rFonts w:ascii="宋体" w:hAnsi="宋体" w:cs="宋体"/>
                <w:kern w:val="0"/>
                <w:sz w:val="24"/>
                <w:highlight w:val="none"/>
              </w:rPr>
            </w:pPr>
            <w:r>
              <w:rPr>
                <w:rFonts w:hint="eastAsia" w:ascii="宋体" w:hAnsi="宋体" w:cs="宋体"/>
                <w:kern w:val="0"/>
                <w:sz w:val="24"/>
                <w:highlight w:val="none"/>
              </w:rPr>
              <w:t>账号：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4148" w:type="dxa"/>
          </w:tcPr>
          <w:p>
            <w:pPr>
              <w:rPr>
                <w:rFonts w:ascii="宋体" w:hAnsi="宋体" w:cs="宋体"/>
                <w:kern w:val="0"/>
                <w:sz w:val="24"/>
                <w:highlight w:val="none"/>
              </w:rPr>
            </w:pPr>
            <w:r>
              <w:rPr>
                <w:rFonts w:hint="eastAsia" w:ascii="宋体" w:hAnsi="宋体" w:cs="宋体"/>
                <w:kern w:val="0"/>
                <w:sz w:val="24"/>
                <w:highlight w:val="none"/>
              </w:rPr>
              <w:t>签订日期：      年   月   日</w:t>
            </w:r>
          </w:p>
        </w:tc>
        <w:tc>
          <w:tcPr>
            <w:tcW w:w="4148" w:type="dxa"/>
          </w:tcPr>
          <w:p>
            <w:pPr>
              <w:rPr>
                <w:rFonts w:ascii="宋体" w:hAnsi="宋体" w:cs="宋体"/>
                <w:kern w:val="0"/>
                <w:sz w:val="24"/>
                <w:highlight w:val="none"/>
              </w:rPr>
            </w:pPr>
            <w:r>
              <w:rPr>
                <w:rFonts w:hint="eastAsia" w:ascii="宋体" w:hAnsi="宋体" w:cs="宋体"/>
                <w:kern w:val="0"/>
                <w:sz w:val="24"/>
                <w:highlight w:val="none"/>
              </w:rPr>
              <w:t>签订日期：      年   月   日</w:t>
            </w:r>
          </w:p>
        </w:tc>
      </w:tr>
    </w:tbl>
    <w:p>
      <w:pPr>
        <w:pStyle w:val="8"/>
        <w:rPr>
          <w:highlight w:val="none"/>
        </w:rPr>
      </w:pPr>
    </w:p>
    <w:p>
      <w:pPr>
        <w:pStyle w:val="8"/>
        <w:rPr>
          <w:highlight w:val="none"/>
        </w:rPr>
      </w:pPr>
    </w:p>
    <w:p>
      <w:pPr>
        <w:pStyle w:val="8"/>
        <w:rPr>
          <w:highlight w:val="none"/>
        </w:rPr>
      </w:pPr>
    </w:p>
    <w:p>
      <w:pPr>
        <w:pStyle w:val="8"/>
        <w:rPr>
          <w:highlight w:val="none"/>
        </w:rPr>
      </w:pPr>
    </w:p>
    <w:p>
      <w:pPr>
        <w:pStyle w:val="4"/>
        <w:rPr>
          <w:highlight w:val="none"/>
        </w:rPr>
      </w:pPr>
    </w:p>
    <w:p>
      <w:pPr>
        <w:pStyle w:val="4"/>
        <w:rPr>
          <w:highlight w:val="none"/>
        </w:rPr>
      </w:pPr>
    </w:p>
    <w:p>
      <w:pPr>
        <w:pStyle w:val="4"/>
        <w:rPr>
          <w:highlight w:val="none"/>
        </w:rPr>
      </w:pPr>
    </w:p>
    <w:p>
      <w:pPr>
        <w:rPr>
          <w:highlight w:val="none"/>
        </w:rPr>
      </w:pPr>
    </w:p>
    <w:p>
      <w:pPr>
        <w:rPr>
          <w:highlight w:val="none"/>
        </w:rPr>
      </w:pPr>
    </w:p>
    <w:p>
      <w:pPr>
        <w:rPr>
          <w:highlight w:val="none"/>
        </w:rPr>
      </w:pPr>
    </w:p>
    <w:p>
      <w:pPr>
        <w:rPr>
          <w:highlight w:val="none"/>
        </w:rPr>
      </w:pPr>
    </w:p>
    <w:p>
      <w:pPr>
        <w:pStyle w:val="4"/>
        <w:rPr>
          <w:sz w:val="22"/>
          <w:szCs w:val="22"/>
          <w:highlight w:val="none"/>
        </w:rPr>
      </w:pPr>
      <w:bookmarkStart w:id="28" w:name="_Toc26315"/>
      <w:r>
        <w:rPr>
          <w:rFonts w:hint="eastAsia"/>
          <w:highlight w:val="none"/>
        </w:rPr>
        <w:t xml:space="preserve">第五章   </w:t>
      </w:r>
      <w:bookmarkEnd w:id="25"/>
      <w:bookmarkEnd w:id="26"/>
      <w:bookmarkEnd w:id="27"/>
      <w:r>
        <w:rPr>
          <w:rFonts w:hint="eastAsia"/>
          <w:sz w:val="48"/>
          <w:szCs w:val="32"/>
          <w:highlight w:val="none"/>
        </w:rPr>
        <w:t>竞争性谈判响应文件格式</w:t>
      </w:r>
      <w:bookmarkEnd w:id="28"/>
    </w:p>
    <w:p>
      <w:pPr>
        <w:pStyle w:val="6"/>
        <w:ind w:firstLine="0"/>
        <w:jc w:val="left"/>
        <w:rPr>
          <w:highlight w:val="none"/>
        </w:rPr>
      </w:pPr>
      <w:r>
        <w:rPr>
          <w:rFonts w:hint="eastAsia"/>
          <w:highlight w:val="none"/>
        </w:rPr>
        <w:br w:type="page"/>
      </w:r>
      <w:r>
        <w:rPr>
          <w:rFonts w:hint="eastAsia"/>
          <w:highlight w:val="none"/>
        </w:rPr>
        <w:t>竞争性谈判响应文件封面格式：</w:t>
      </w:r>
    </w:p>
    <w:p>
      <w:pPr>
        <w:pStyle w:val="6"/>
        <w:ind w:right="600" w:firstLine="0"/>
        <w:jc w:val="right"/>
        <w:rPr>
          <w:sz w:val="24"/>
          <w:szCs w:val="18"/>
          <w:highlight w:val="none"/>
        </w:rPr>
      </w:pPr>
    </w:p>
    <w:p>
      <w:pPr>
        <w:pStyle w:val="6"/>
        <w:wordWrap w:val="0"/>
        <w:ind w:firstLine="0"/>
        <w:jc w:val="right"/>
        <w:rPr>
          <w:sz w:val="32"/>
          <w:szCs w:val="32"/>
          <w:highlight w:val="none"/>
        </w:rPr>
      </w:pPr>
      <w:r>
        <w:rPr>
          <w:rFonts w:hint="eastAsia"/>
          <w:sz w:val="32"/>
          <w:szCs w:val="32"/>
          <w:highlight w:val="none"/>
        </w:rPr>
        <w:t xml:space="preserve"> </w:t>
      </w:r>
    </w:p>
    <w:p>
      <w:pPr>
        <w:rPr>
          <w:highlight w:val="none"/>
        </w:rPr>
      </w:pPr>
    </w:p>
    <w:p>
      <w:pPr>
        <w:pStyle w:val="6"/>
        <w:ind w:firstLine="0"/>
        <w:jc w:val="center"/>
        <w:rPr>
          <w:w w:val="150"/>
          <w:sz w:val="36"/>
          <w:szCs w:val="22"/>
          <w:highlight w:val="none"/>
        </w:rPr>
      </w:pPr>
    </w:p>
    <w:p>
      <w:pPr>
        <w:pStyle w:val="6"/>
        <w:ind w:firstLine="0"/>
        <w:jc w:val="center"/>
        <w:rPr>
          <w:sz w:val="48"/>
          <w:szCs w:val="32"/>
          <w:highlight w:val="none"/>
        </w:rPr>
      </w:pPr>
      <w:r>
        <w:rPr>
          <w:rFonts w:hint="eastAsia"/>
          <w:sz w:val="48"/>
          <w:szCs w:val="32"/>
          <w:highlight w:val="none"/>
        </w:rPr>
        <w:t>竞争性谈判响应文件</w:t>
      </w:r>
    </w:p>
    <w:p>
      <w:pPr>
        <w:pStyle w:val="6"/>
        <w:ind w:firstLine="0"/>
        <w:jc w:val="center"/>
        <w:rPr>
          <w:sz w:val="40"/>
          <w:szCs w:val="24"/>
          <w:highlight w:val="none"/>
        </w:rPr>
      </w:pPr>
    </w:p>
    <w:p>
      <w:pPr>
        <w:pStyle w:val="6"/>
        <w:ind w:firstLine="0"/>
        <w:jc w:val="center"/>
        <w:rPr>
          <w:sz w:val="40"/>
          <w:szCs w:val="24"/>
          <w:highlight w:val="none"/>
        </w:rPr>
      </w:pPr>
    </w:p>
    <w:p>
      <w:pPr>
        <w:pStyle w:val="6"/>
        <w:ind w:firstLine="0"/>
        <w:jc w:val="center"/>
        <w:rPr>
          <w:sz w:val="40"/>
          <w:szCs w:val="24"/>
          <w:highlight w:val="none"/>
        </w:rPr>
      </w:pPr>
    </w:p>
    <w:p>
      <w:pPr>
        <w:pStyle w:val="6"/>
        <w:ind w:firstLine="0"/>
        <w:rPr>
          <w:sz w:val="36"/>
          <w:szCs w:val="22"/>
          <w:highlight w:val="none"/>
          <w:u w:val="single"/>
        </w:rPr>
      </w:pPr>
      <w:r>
        <w:rPr>
          <w:rFonts w:hint="eastAsia"/>
          <w:sz w:val="36"/>
          <w:szCs w:val="22"/>
          <w:highlight w:val="none"/>
        </w:rPr>
        <w:t xml:space="preserve">     项目名称：</w:t>
      </w:r>
    </w:p>
    <w:p>
      <w:pPr>
        <w:pStyle w:val="6"/>
        <w:ind w:firstLine="0"/>
        <w:rPr>
          <w:sz w:val="36"/>
          <w:szCs w:val="22"/>
          <w:highlight w:val="none"/>
          <w:u w:val="single"/>
        </w:rPr>
      </w:pPr>
      <w:r>
        <w:rPr>
          <w:rFonts w:hint="eastAsia"/>
          <w:sz w:val="36"/>
          <w:szCs w:val="22"/>
          <w:highlight w:val="none"/>
        </w:rPr>
        <w:t xml:space="preserve">     项目编号：</w:t>
      </w:r>
    </w:p>
    <w:p>
      <w:pPr>
        <w:pStyle w:val="6"/>
        <w:ind w:firstLine="0"/>
        <w:rPr>
          <w:sz w:val="36"/>
          <w:szCs w:val="22"/>
          <w:highlight w:val="none"/>
        </w:rPr>
      </w:pPr>
    </w:p>
    <w:p>
      <w:pPr>
        <w:pStyle w:val="6"/>
        <w:ind w:firstLine="0"/>
        <w:jc w:val="center"/>
        <w:rPr>
          <w:sz w:val="40"/>
          <w:szCs w:val="24"/>
          <w:highlight w:val="none"/>
        </w:rPr>
      </w:pPr>
    </w:p>
    <w:p>
      <w:pPr>
        <w:pStyle w:val="6"/>
        <w:ind w:firstLine="0"/>
        <w:rPr>
          <w:highlight w:val="none"/>
          <w:u w:val="single"/>
        </w:rPr>
      </w:pPr>
      <w:r>
        <w:rPr>
          <w:rFonts w:hint="eastAsia"/>
          <w:highlight w:val="none"/>
        </w:rPr>
        <w:t xml:space="preserve">      谈判供应商名称（加盖单位公章）：</w:t>
      </w:r>
    </w:p>
    <w:p>
      <w:pPr>
        <w:pStyle w:val="6"/>
        <w:ind w:firstLine="0"/>
        <w:rPr>
          <w:highlight w:val="none"/>
          <w:u w:val="single"/>
        </w:rPr>
      </w:pPr>
      <w:r>
        <w:rPr>
          <w:rFonts w:hint="eastAsia"/>
          <w:highlight w:val="none"/>
        </w:rPr>
        <w:t xml:space="preserve">      地    址：</w:t>
      </w:r>
    </w:p>
    <w:p>
      <w:pPr>
        <w:pStyle w:val="6"/>
        <w:ind w:firstLine="0"/>
        <w:rPr>
          <w:highlight w:val="none"/>
          <w:u w:val="single"/>
        </w:rPr>
      </w:pPr>
      <w:r>
        <w:rPr>
          <w:rFonts w:hint="eastAsia"/>
          <w:highlight w:val="none"/>
        </w:rPr>
        <w:t xml:space="preserve">      法定代表人（负责人）或委托代理人（签字或签章）：</w:t>
      </w:r>
    </w:p>
    <w:p>
      <w:pPr>
        <w:pStyle w:val="6"/>
        <w:ind w:firstLine="0"/>
        <w:rPr>
          <w:b w:val="0"/>
          <w:bCs/>
          <w:highlight w:val="none"/>
          <w:u w:val="single"/>
        </w:rPr>
      </w:pPr>
      <w:r>
        <w:rPr>
          <w:rFonts w:hint="eastAsia"/>
          <w:highlight w:val="none"/>
        </w:rPr>
        <w:t xml:space="preserve">      联系电话：</w:t>
      </w:r>
    </w:p>
    <w:p>
      <w:pPr>
        <w:pStyle w:val="6"/>
        <w:ind w:firstLine="0"/>
        <w:rPr>
          <w:highlight w:val="none"/>
        </w:rPr>
      </w:pPr>
    </w:p>
    <w:p>
      <w:pPr>
        <w:pStyle w:val="6"/>
        <w:ind w:firstLine="1661" w:firstLineChars="591"/>
        <w:rPr>
          <w:highlight w:val="none"/>
          <w:u w:val="single"/>
        </w:rPr>
      </w:pPr>
      <w:r>
        <w:rPr>
          <w:rFonts w:hint="eastAsia"/>
          <w:highlight w:val="none"/>
        </w:rPr>
        <w:t>谈判日期：</w:t>
      </w:r>
      <w:r>
        <w:rPr>
          <w:rFonts w:hint="eastAsia"/>
          <w:highlight w:val="none"/>
          <w:u w:val="single"/>
        </w:rPr>
        <w:t xml:space="preserve">     年    月    日    时    分</w:t>
      </w:r>
    </w:p>
    <w:p>
      <w:pPr>
        <w:pStyle w:val="6"/>
        <w:ind w:firstLine="0"/>
        <w:jc w:val="center"/>
        <w:rPr>
          <w:highlight w:val="none"/>
        </w:rPr>
      </w:pPr>
      <w:r>
        <w:rPr>
          <w:rFonts w:hint="eastAsia"/>
          <w:sz w:val="40"/>
          <w:szCs w:val="24"/>
          <w:highlight w:val="none"/>
        </w:rPr>
        <w:br w:type="page"/>
      </w:r>
      <w:r>
        <w:rPr>
          <w:rFonts w:hint="eastAsia"/>
          <w:highlight w:val="none"/>
        </w:rPr>
        <w:t>1．谈 判 书 格 式</w:t>
      </w:r>
    </w:p>
    <w:p>
      <w:pPr>
        <w:pStyle w:val="8"/>
        <w:spacing w:line="360" w:lineRule="auto"/>
        <w:jc w:val="left"/>
        <w:rPr>
          <w:highlight w:val="none"/>
        </w:rPr>
      </w:pPr>
    </w:p>
    <w:p>
      <w:pPr>
        <w:pStyle w:val="8"/>
        <w:spacing w:line="360" w:lineRule="auto"/>
        <w:jc w:val="left"/>
        <w:rPr>
          <w:highlight w:val="none"/>
          <w:u w:val="single"/>
        </w:rPr>
      </w:pPr>
      <w:r>
        <w:rPr>
          <w:rFonts w:hint="eastAsia"/>
          <w:highlight w:val="none"/>
        </w:rPr>
        <w:t>广西海川工程咨询有限公司：</w:t>
      </w:r>
    </w:p>
    <w:p>
      <w:pPr>
        <w:pStyle w:val="8"/>
        <w:spacing w:line="360" w:lineRule="auto"/>
        <w:ind w:firstLine="420"/>
        <w:rPr>
          <w:highlight w:val="none"/>
        </w:rPr>
      </w:pPr>
      <w:r>
        <w:rPr>
          <w:rFonts w:hint="eastAsia"/>
          <w:highlight w:val="none"/>
        </w:rPr>
        <w:t>根据贵方</w:t>
      </w:r>
      <w:r>
        <w:rPr>
          <w:rFonts w:hint="eastAsia" w:hAnsi="宋体"/>
          <w:highlight w:val="none"/>
          <w:u w:val="single"/>
        </w:rPr>
        <w:t>（项目名称及编号）</w:t>
      </w:r>
      <w:r>
        <w:rPr>
          <w:rFonts w:hint="eastAsia" w:hAnsi="宋体"/>
          <w:highlight w:val="none"/>
        </w:rPr>
        <w:t>项目政府采购的谈判邀请，我方</w:t>
      </w:r>
      <w:r>
        <w:rPr>
          <w:rFonts w:hint="eastAsia"/>
          <w:highlight w:val="none"/>
          <w:u w:val="single"/>
        </w:rPr>
        <w:t>（姓名和职务）</w:t>
      </w:r>
      <w:r>
        <w:rPr>
          <w:rFonts w:hint="eastAsia"/>
          <w:highlight w:val="none"/>
        </w:rPr>
        <w:t>经正式授权并代表谈判供应商</w:t>
      </w:r>
      <w:r>
        <w:rPr>
          <w:rFonts w:hint="eastAsia"/>
          <w:highlight w:val="none"/>
          <w:u w:val="single"/>
        </w:rPr>
        <w:t>（谈判供应商名称）</w:t>
      </w:r>
      <w:r>
        <w:rPr>
          <w:rFonts w:hint="eastAsia"/>
          <w:highlight w:val="none"/>
        </w:rPr>
        <w:t>，提交竞争性谈判响应文件。</w:t>
      </w:r>
    </w:p>
    <w:p>
      <w:pPr>
        <w:pStyle w:val="8"/>
        <w:spacing w:line="360" w:lineRule="auto"/>
        <w:ind w:firstLine="420" w:firstLineChars="200"/>
        <w:rPr>
          <w:highlight w:val="none"/>
        </w:rPr>
      </w:pPr>
      <w:r>
        <w:rPr>
          <w:rFonts w:hint="eastAsia"/>
          <w:highlight w:val="none"/>
        </w:rPr>
        <w:t>据此函，签字人兹宣布同意如下：</w:t>
      </w:r>
    </w:p>
    <w:p>
      <w:pPr>
        <w:pStyle w:val="8"/>
        <w:spacing w:line="360" w:lineRule="auto"/>
        <w:ind w:firstLine="420"/>
        <w:jc w:val="left"/>
        <w:rPr>
          <w:rFonts w:hAnsi="宋体"/>
          <w:spacing w:val="-6"/>
          <w:highlight w:val="none"/>
        </w:rPr>
      </w:pPr>
      <w:r>
        <w:rPr>
          <w:rFonts w:hint="eastAsia"/>
          <w:highlight w:val="none"/>
        </w:rPr>
        <w:t>（1）根据谈判采购文件项目需求和谈判报价表，我方愿意以总报价为折扣率</w:t>
      </w:r>
      <w:r>
        <w:rPr>
          <w:rFonts w:hint="eastAsia"/>
          <w:highlight w:val="none"/>
          <w:u w:val="single"/>
        </w:rPr>
        <w:t xml:space="preserve">     %</w:t>
      </w:r>
      <w:r>
        <w:rPr>
          <w:rFonts w:hint="eastAsia"/>
          <w:highlight w:val="none"/>
        </w:rPr>
        <w:t>，供货时间</w:t>
      </w:r>
      <w:r>
        <w:rPr>
          <w:rFonts w:hint="eastAsia" w:hAnsi="宋体"/>
          <w:spacing w:val="-6"/>
          <w:highlight w:val="none"/>
        </w:rPr>
        <w:t>：</w:t>
      </w:r>
      <w:r>
        <w:rPr>
          <w:rFonts w:hint="eastAsia" w:hAnsi="宋体"/>
          <w:spacing w:val="-6"/>
          <w:highlight w:val="none"/>
          <w:u w:val="single"/>
        </w:rPr>
        <w:t xml:space="preserve">          </w:t>
      </w:r>
      <w:r>
        <w:rPr>
          <w:rFonts w:hint="eastAsia" w:hAnsi="宋体"/>
          <w:spacing w:val="-6"/>
          <w:highlight w:val="none"/>
        </w:rPr>
        <w:t>，交货地点：</w:t>
      </w:r>
      <w:r>
        <w:rPr>
          <w:rFonts w:hint="eastAsia" w:hAnsi="宋体"/>
          <w:spacing w:val="-6"/>
          <w:highlight w:val="none"/>
          <w:u w:val="single"/>
        </w:rPr>
        <w:t xml:space="preserve">          </w:t>
      </w:r>
      <w:r>
        <w:rPr>
          <w:rFonts w:hint="eastAsia" w:hAnsi="宋体"/>
          <w:spacing w:val="-6"/>
          <w:highlight w:val="none"/>
        </w:rPr>
        <w:t>。</w:t>
      </w:r>
    </w:p>
    <w:p>
      <w:pPr>
        <w:pStyle w:val="8"/>
        <w:spacing w:line="360" w:lineRule="auto"/>
        <w:ind w:firstLine="420"/>
        <w:rPr>
          <w:highlight w:val="none"/>
        </w:rPr>
      </w:pPr>
      <w:r>
        <w:rPr>
          <w:rFonts w:hint="eastAsia"/>
          <w:highlight w:val="none"/>
        </w:rPr>
        <w:t>（2）我们根据谈判采购文件的规定，承担完成合同的责任和义务。</w:t>
      </w:r>
    </w:p>
    <w:p>
      <w:pPr>
        <w:pStyle w:val="8"/>
        <w:spacing w:line="360" w:lineRule="auto"/>
        <w:ind w:firstLine="420"/>
        <w:rPr>
          <w:highlight w:val="none"/>
        </w:rPr>
      </w:pPr>
      <w:r>
        <w:rPr>
          <w:rFonts w:hint="eastAsia"/>
          <w:highlight w:val="none"/>
        </w:rPr>
        <w:t>（3）我们已详细审核谈判采购文件，我们知道必须放弃提出含糊不清或容易导致误解的问题的权利。</w:t>
      </w:r>
    </w:p>
    <w:p>
      <w:pPr>
        <w:pStyle w:val="8"/>
        <w:spacing w:line="360" w:lineRule="auto"/>
        <w:ind w:firstLine="420" w:firstLineChars="200"/>
        <w:rPr>
          <w:highlight w:val="none"/>
        </w:rPr>
      </w:pPr>
      <w:r>
        <w:rPr>
          <w:rFonts w:hint="eastAsia"/>
          <w:highlight w:val="none"/>
        </w:rPr>
        <w:t>（4）我们已详细审查全部“谈判采购文件”，包括修改文件（如有的话）以及全部参考资料和有关附件，已经了解我方对于谈判采购文件、采购过程、采购结果有依法进行询问、质疑、投诉的权利及相关渠道和要求。</w:t>
      </w:r>
    </w:p>
    <w:p>
      <w:pPr>
        <w:pStyle w:val="8"/>
        <w:spacing w:line="360" w:lineRule="auto"/>
        <w:ind w:firstLine="420" w:firstLineChars="200"/>
        <w:rPr>
          <w:highlight w:val="none"/>
        </w:rPr>
      </w:pPr>
      <w:r>
        <w:rPr>
          <w:rFonts w:hint="eastAsia"/>
          <w:highlight w:val="none"/>
        </w:rPr>
        <w:t>（5）我们在竞标之前已经与贵方进行了充分的沟通，完全理解并接受谈判采购文件的各项规定和要求，对谈判采购文件的合理性、合法性不再有异议。</w:t>
      </w:r>
    </w:p>
    <w:p>
      <w:pPr>
        <w:pStyle w:val="8"/>
        <w:spacing w:line="360" w:lineRule="auto"/>
        <w:ind w:firstLine="420"/>
        <w:rPr>
          <w:highlight w:val="none"/>
        </w:rPr>
      </w:pPr>
      <w:r>
        <w:rPr>
          <w:rFonts w:hint="eastAsia"/>
          <w:highlight w:val="none"/>
        </w:rPr>
        <w:t>（6）我们同意在谈判须知规定的截标日期起遵循本竞争性谈判响应文件，并在谈判须知第14条规定的竞标有效期满之前均具有约束力，并有可能成交。</w:t>
      </w:r>
    </w:p>
    <w:p>
      <w:pPr>
        <w:pStyle w:val="8"/>
        <w:spacing w:line="360" w:lineRule="auto"/>
        <w:ind w:firstLine="420"/>
        <w:rPr>
          <w:highlight w:val="none"/>
        </w:rPr>
      </w:pPr>
      <w:r>
        <w:rPr>
          <w:rFonts w:hint="eastAsia"/>
          <w:highlight w:val="none"/>
        </w:rPr>
        <w:t>（7）如果在竞标截止时间后的竞标有效期内撤回竞标或者有其他违约行为，我们的谈判保证金可被贵方全部没收。</w:t>
      </w:r>
    </w:p>
    <w:p>
      <w:pPr>
        <w:pStyle w:val="8"/>
        <w:spacing w:line="360" w:lineRule="auto"/>
        <w:ind w:firstLine="420"/>
        <w:rPr>
          <w:highlight w:val="none"/>
        </w:rPr>
      </w:pPr>
      <w:r>
        <w:rPr>
          <w:rFonts w:hint="eastAsia"/>
          <w:highlight w:val="none"/>
        </w:rPr>
        <w:t>（8）同意向贵方提供贵方可能要求的与本竞标有关的任何数据或资料。</w:t>
      </w:r>
    </w:p>
    <w:p>
      <w:pPr>
        <w:pStyle w:val="8"/>
        <w:spacing w:line="360" w:lineRule="auto"/>
        <w:ind w:firstLine="420"/>
        <w:rPr>
          <w:highlight w:val="none"/>
        </w:rPr>
      </w:pPr>
      <w:r>
        <w:rPr>
          <w:rFonts w:hint="eastAsia"/>
          <w:highlight w:val="none"/>
        </w:rPr>
        <w:t>（9）我们完全理解贵方不一定要接受最低报价的谈判供应商为成交供应商。</w:t>
      </w:r>
    </w:p>
    <w:p>
      <w:pPr>
        <w:pStyle w:val="8"/>
        <w:spacing w:line="360" w:lineRule="auto"/>
        <w:ind w:firstLine="420"/>
        <w:rPr>
          <w:highlight w:val="none"/>
        </w:rPr>
      </w:pPr>
    </w:p>
    <w:p>
      <w:pPr>
        <w:pStyle w:val="8"/>
        <w:spacing w:line="360" w:lineRule="auto"/>
        <w:ind w:firstLine="420"/>
        <w:rPr>
          <w:highlight w:val="none"/>
        </w:rPr>
      </w:pPr>
      <w:r>
        <w:rPr>
          <w:rFonts w:hint="eastAsia"/>
          <w:highlight w:val="none"/>
        </w:rPr>
        <w:t>与本谈判有关的正式通讯地址如下：</w:t>
      </w:r>
    </w:p>
    <w:p>
      <w:pPr>
        <w:pStyle w:val="8"/>
        <w:spacing w:line="360" w:lineRule="auto"/>
        <w:ind w:firstLine="420"/>
        <w:rPr>
          <w:highlight w:val="none"/>
        </w:rPr>
      </w:pPr>
      <w:r>
        <w:rPr>
          <w:rFonts w:hint="eastAsia"/>
          <w:highlight w:val="none"/>
        </w:rPr>
        <w:t xml:space="preserve">地址：                       </w:t>
      </w:r>
    </w:p>
    <w:p>
      <w:pPr>
        <w:pStyle w:val="8"/>
        <w:spacing w:line="360" w:lineRule="auto"/>
        <w:ind w:firstLine="420"/>
        <w:rPr>
          <w:highlight w:val="none"/>
        </w:rPr>
      </w:pPr>
      <w:r>
        <w:rPr>
          <w:rFonts w:hint="eastAsia"/>
          <w:highlight w:val="none"/>
        </w:rPr>
        <w:t>邮政编码：</w:t>
      </w:r>
    </w:p>
    <w:p>
      <w:pPr>
        <w:pStyle w:val="8"/>
        <w:spacing w:line="360" w:lineRule="auto"/>
        <w:ind w:firstLine="420"/>
        <w:rPr>
          <w:highlight w:val="none"/>
          <w:u w:val="single"/>
        </w:rPr>
      </w:pPr>
      <w:r>
        <w:rPr>
          <w:rFonts w:hint="eastAsia"/>
          <w:highlight w:val="none"/>
        </w:rPr>
        <w:t>电话、传真：</w:t>
      </w:r>
    </w:p>
    <w:p>
      <w:pPr>
        <w:pStyle w:val="8"/>
        <w:spacing w:line="360" w:lineRule="auto"/>
        <w:ind w:firstLine="420"/>
        <w:rPr>
          <w:highlight w:val="none"/>
          <w:u w:val="single"/>
        </w:rPr>
      </w:pPr>
      <w:r>
        <w:rPr>
          <w:rFonts w:hint="eastAsia"/>
          <w:highlight w:val="none"/>
        </w:rPr>
        <w:t>开户名称：</w:t>
      </w:r>
    </w:p>
    <w:p>
      <w:pPr>
        <w:pStyle w:val="8"/>
        <w:spacing w:line="360" w:lineRule="auto"/>
        <w:ind w:firstLine="420"/>
        <w:rPr>
          <w:highlight w:val="none"/>
          <w:u w:val="single"/>
        </w:rPr>
      </w:pPr>
      <w:r>
        <w:rPr>
          <w:rFonts w:hint="eastAsia"/>
          <w:highlight w:val="none"/>
        </w:rPr>
        <w:t>开户银行：</w:t>
      </w:r>
    </w:p>
    <w:p>
      <w:pPr>
        <w:pStyle w:val="8"/>
        <w:spacing w:line="360" w:lineRule="auto"/>
        <w:ind w:firstLine="420"/>
        <w:rPr>
          <w:highlight w:val="none"/>
          <w:u w:val="single"/>
        </w:rPr>
      </w:pPr>
      <w:r>
        <w:rPr>
          <w:rFonts w:hint="eastAsia"/>
          <w:highlight w:val="none"/>
        </w:rPr>
        <w:t>帐号：</w:t>
      </w:r>
    </w:p>
    <w:p>
      <w:pPr>
        <w:pStyle w:val="8"/>
        <w:spacing w:line="360" w:lineRule="auto"/>
        <w:ind w:firstLine="420"/>
        <w:rPr>
          <w:highlight w:val="none"/>
        </w:rPr>
      </w:pPr>
      <w:r>
        <w:rPr>
          <w:rFonts w:hint="eastAsia"/>
          <w:highlight w:val="none"/>
        </w:rPr>
        <w:t>法定代表人（负责人）或委托代理人（签字或签章）：</w:t>
      </w:r>
    </w:p>
    <w:p>
      <w:pPr>
        <w:pStyle w:val="8"/>
        <w:spacing w:line="360" w:lineRule="auto"/>
        <w:ind w:firstLine="420"/>
        <w:rPr>
          <w:highlight w:val="none"/>
        </w:rPr>
      </w:pPr>
      <w:r>
        <w:rPr>
          <w:rFonts w:hint="eastAsia"/>
          <w:highlight w:val="none"/>
        </w:rPr>
        <w:t>谈判供应商名称（加盖公章）：</w:t>
      </w:r>
    </w:p>
    <w:p>
      <w:pPr>
        <w:pStyle w:val="8"/>
        <w:spacing w:line="360" w:lineRule="auto"/>
        <w:ind w:firstLine="420"/>
        <w:rPr>
          <w:highlight w:val="none"/>
          <w:u w:val="single"/>
        </w:rPr>
      </w:pPr>
      <w:r>
        <w:rPr>
          <w:rFonts w:hint="eastAsia"/>
          <w:highlight w:val="none"/>
        </w:rPr>
        <w:t>日期：</w:t>
      </w:r>
    </w:p>
    <w:p>
      <w:pPr>
        <w:pStyle w:val="6"/>
        <w:ind w:firstLine="0"/>
        <w:rPr>
          <w:highlight w:val="none"/>
        </w:rPr>
        <w:sectPr>
          <w:footerReference r:id="rId11" w:type="first"/>
          <w:pgSz w:w="11906" w:h="16838"/>
          <w:pgMar w:top="851" w:right="964" w:bottom="851" w:left="1134" w:header="720" w:footer="720" w:gutter="0"/>
          <w:cols w:space="720" w:num="1"/>
          <w:titlePg/>
          <w:docGrid w:linePitch="312" w:charSpace="0"/>
        </w:sectPr>
      </w:pPr>
    </w:p>
    <w:p>
      <w:pPr>
        <w:pStyle w:val="6"/>
        <w:numPr>
          <w:ilvl w:val="0"/>
          <w:numId w:val="4"/>
        </w:numPr>
        <w:ind w:firstLine="0"/>
        <w:jc w:val="center"/>
        <w:rPr>
          <w:highlight w:val="none"/>
        </w:rPr>
      </w:pPr>
      <w:r>
        <w:rPr>
          <w:rFonts w:hint="eastAsia"/>
          <w:highlight w:val="none"/>
        </w:rPr>
        <w:t>谈判报价表格式</w:t>
      </w:r>
    </w:p>
    <w:p>
      <w:pPr>
        <w:rPr>
          <w:highlight w:val="none"/>
        </w:rPr>
      </w:pPr>
    </w:p>
    <w:p>
      <w:pPr>
        <w:jc w:val="left"/>
        <w:rPr>
          <w:b/>
          <w:bCs/>
          <w:szCs w:val="21"/>
          <w:highlight w:val="none"/>
        </w:rPr>
      </w:pPr>
      <w:r>
        <w:rPr>
          <w:rFonts w:hint="eastAsia"/>
          <w:b/>
          <w:bCs/>
          <w:szCs w:val="21"/>
          <w:highlight w:val="none"/>
        </w:rPr>
        <w:t>项目名称：</w:t>
      </w:r>
    </w:p>
    <w:p>
      <w:pPr>
        <w:pStyle w:val="5"/>
        <w:ind w:firstLine="0"/>
        <w:jc w:val="left"/>
        <w:rPr>
          <w:b/>
          <w:bCs/>
          <w:sz w:val="21"/>
          <w:szCs w:val="21"/>
          <w:highlight w:val="none"/>
        </w:rPr>
      </w:pPr>
      <w:r>
        <w:rPr>
          <w:rFonts w:hint="eastAsia"/>
          <w:b/>
          <w:bCs/>
          <w:sz w:val="21"/>
          <w:szCs w:val="21"/>
          <w:highlight w:val="none"/>
        </w:rPr>
        <w:t>项目编号：</w:t>
      </w:r>
    </w:p>
    <w:p>
      <w:pPr>
        <w:jc w:val="left"/>
        <w:rPr>
          <w:b/>
          <w:bCs/>
          <w:szCs w:val="21"/>
          <w:highlight w:val="none"/>
        </w:rPr>
      </w:pPr>
      <w:r>
        <w:rPr>
          <w:rFonts w:hint="eastAsia"/>
          <w:b/>
          <w:bCs/>
          <w:szCs w:val="21"/>
          <w:highlight w:val="none"/>
        </w:rPr>
        <w:t xml:space="preserve">       </w:t>
      </w:r>
    </w:p>
    <w:tbl>
      <w:tblPr>
        <w:tblStyle w:val="13"/>
        <w:tblW w:w="99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0"/>
        <w:gridCol w:w="2403"/>
        <w:gridCol w:w="1493"/>
        <w:gridCol w:w="4565"/>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975" w:hRule="atLeast"/>
          <w:jc w:val="center"/>
        </w:trPr>
        <w:tc>
          <w:tcPr>
            <w:tcW w:w="440" w:type="dxa"/>
            <w:tcBorders>
              <w:top w:val="single" w:color="auto" w:sz="4" w:space="0"/>
              <w:left w:val="single" w:color="auto" w:sz="4" w:space="0"/>
              <w:bottom w:val="single" w:color="auto" w:sz="4" w:space="0"/>
              <w:right w:val="single" w:color="auto" w:sz="4" w:space="0"/>
            </w:tcBorders>
            <w:vAlign w:val="center"/>
          </w:tcPr>
          <w:p>
            <w:pPr>
              <w:pStyle w:val="8"/>
              <w:jc w:val="center"/>
              <w:rPr>
                <w:spacing w:val="-20"/>
                <w:szCs w:val="21"/>
                <w:highlight w:val="none"/>
              </w:rPr>
            </w:pPr>
            <w:r>
              <w:rPr>
                <w:rFonts w:hint="eastAsia"/>
                <w:spacing w:val="-20"/>
                <w:szCs w:val="21"/>
                <w:highlight w:val="none"/>
              </w:rPr>
              <w:t>序号</w:t>
            </w:r>
          </w:p>
        </w:tc>
        <w:tc>
          <w:tcPr>
            <w:tcW w:w="2403" w:type="dxa"/>
            <w:tcBorders>
              <w:top w:val="single" w:color="auto" w:sz="4" w:space="0"/>
              <w:left w:val="single" w:color="auto" w:sz="4" w:space="0"/>
              <w:bottom w:val="single" w:color="auto" w:sz="4" w:space="0"/>
              <w:right w:val="single" w:color="auto" w:sz="4" w:space="0"/>
            </w:tcBorders>
            <w:vAlign w:val="center"/>
          </w:tcPr>
          <w:p>
            <w:pPr>
              <w:pStyle w:val="8"/>
              <w:jc w:val="center"/>
              <w:rPr>
                <w:spacing w:val="-20"/>
                <w:szCs w:val="21"/>
                <w:highlight w:val="none"/>
              </w:rPr>
            </w:pPr>
            <w:r>
              <w:rPr>
                <w:rFonts w:hint="eastAsia"/>
                <w:spacing w:val="-20"/>
                <w:szCs w:val="21"/>
                <w:highlight w:val="none"/>
              </w:rPr>
              <w:t>项目名称</w:t>
            </w:r>
          </w:p>
        </w:tc>
        <w:tc>
          <w:tcPr>
            <w:tcW w:w="1493" w:type="dxa"/>
            <w:tcBorders>
              <w:top w:val="single" w:color="auto" w:sz="4" w:space="0"/>
              <w:left w:val="single" w:color="auto" w:sz="4" w:space="0"/>
              <w:bottom w:val="single" w:color="auto" w:sz="4" w:space="0"/>
              <w:right w:val="single" w:color="auto" w:sz="4" w:space="0"/>
            </w:tcBorders>
            <w:vAlign w:val="center"/>
          </w:tcPr>
          <w:p>
            <w:pPr>
              <w:pStyle w:val="8"/>
              <w:jc w:val="center"/>
              <w:rPr>
                <w:spacing w:val="-20"/>
                <w:szCs w:val="21"/>
                <w:highlight w:val="none"/>
              </w:rPr>
            </w:pPr>
            <w:r>
              <w:rPr>
                <w:rFonts w:hint="eastAsia"/>
                <w:spacing w:val="-20"/>
                <w:szCs w:val="21"/>
                <w:highlight w:val="none"/>
              </w:rPr>
              <w:t>数量</w:t>
            </w:r>
          </w:p>
        </w:tc>
        <w:tc>
          <w:tcPr>
            <w:tcW w:w="4565" w:type="dxa"/>
            <w:tcBorders>
              <w:top w:val="single" w:color="auto" w:sz="4" w:space="0"/>
              <w:left w:val="single" w:color="auto" w:sz="4" w:space="0"/>
              <w:bottom w:val="single" w:color="auto" w:sz="4" w:space="0"/>
              <w:right w:val="single" w:color="auto" w:sz="4" w:space="0"/>
            </w:tcBorders>
            <w:vAlign w:val="center"/>
          </w:tcPr>
          <w:p>
            <w:pPr>
              <w:pStyle w:val="8"/>
              <w:jc w:val="center"/>
              <w:rPr>
                <w:szCs w:val="21"/>
                <w:highlight w:val="none"/>
              </w:rPr>
            </w:pPr>
            <w:r>
              <w:rPr>
                <w:rFonts w:hint="eastAsia"/>
                <w:szCs w:val="21"/>
                <w:highlight w:val="none"/>
              </w:rPr>
              <w:t>折扣率（%）</w:t>
            </w:r>
          </w:p>
        </w:tc>
        <w:tc>
          <w:tcPr>
            <w:tcW w:w="1080" w:type="dxa"/>
            <w:tcBorders>
              <w:top w:val="single" w:color="auto" w:sz="4" w:space="0"/>
              <w:left w:val="single" w:color="auto" w:sz="4" w:space="0"/>
              <w:bottom w:val="single" w:color="auto" w:sz="4" w:space="0"/>
              <w:right w:val="single" w:color="auto" w:sz="4" w:space="0"/>
            </w:tcBorders>
            <w:vAlign w:val="center"/>
          </w:tcPr>
          <w:p>
            <w:pPr>
              <w:pStyle w:val="8"/>
              <w:jc w:val="center"/>
              <w:rPr>
                <w:szCs w:val="21"/>
                <w:highlight w:val="none"/>
              </w:rPr>
            </w:pPr>
            <w:r>
              <w:rPr>
                <w:rFonts w:hint="eastAsia"/>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Courier New"/>
                <w:szCs w:val="21"/>
                <w:highlight w:val="none"/>
              </w:rPr>
            </w:pPr>
            <w:r>
              <w:rPr>
                <w:rFonts w:hint="eastAsia"/>
                <w:szCs w:val="21"/>
                <w:highlight w:val="none"/>
              </w:rPr>
              <w:t>1</w:t>
            </w:r>
          </w:p>
        </w:tc>
        <w:tc>
          <w:tcPr>
            <w:tcW w:w="2403" w:type="dxa"/>
            <w:tcBorders>
              <w:top w:val="single" w:color="auto" w:sz="4" w:space="0"/>
              <w:left w:val="single" w:color="auto" w:sz="4" w:space="0"/>
              <w:bottom w:val="single" w:color="auto" w:sz="4" w:space="0"/>
              <w:right w:val="single" w:color="auto" w:sz="4" w:space="0"/>
            </w:tcBorders>
            <w:vAlign w:val="center"/>
          </w:tcPr>
          <w:p>
            <w:pPr>
              <w:jc w:val="center"/>
              <w:rPr>
                <w:rFonts w:ascii="宋体" w:hAnsi="Courier New"/>
                <w:szCs w:val="21"/>
                <w:highlight w:val="none"/>
              </w:rPr>
            </w:pPr>
          </w:p>
        </w:tc>
        <w:tc>
          <w:tcPr>
            <w:tcW w:w="14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Courier New"/>
                <w:szCs w:val="21"/>
                <w:highlight w:val="none"/>
              </w:rPr>
            </w:pPr>
            <w:r>
              <w:rPr>
                <w:rFonts w:hint="eastAsia" w:ascii="宋体" w:hAnsi="Courier New"/>
                <w:szCs w:val="21"/>
                <w:highlight w:val="none"/>
              </w:rPr>
              <w:t>20000册</w:t>
            </w:r>
          </w:p>
        </w:tc>
        <w:tc>
          <w:tcPr>
            <w:tcW w:w="4565" w:type="dxa"/>
            <w:tcBorders>
              <w:top w:val="single" w:color="auto" w:sz="4" w:space="0"/>
              <w:left w:val="single" w:color="auto" w:sz="4" w:space="0"/>
              <w:bottom w:val="single" w:color="auto" w:sz="4" w:space="0"/>
              <w:right w:val="single" w:color="auto" w:sz="4" w:space="0"/>
            </w:tcBorders>
            <w:vAlign w:val="center"/>
          </w:tcPr>
          <w:p>
            <w:pPr>
              <w:pStyle w:val="8"/>
              <w:rPr>
                <w:szCs w:val="21"/>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pStyle w:val="8"/>
              <w:rPr>
                <w:spacing w:val="-6"/>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9981" w:type="dxa"/>
            <w:gridSpan w:val="5"/>
            <w:tcBorders>
              <w:top w:val="single" w:color="auto" w:sz="4" w:space="0"/>
              <w:left w:val="single" w:color="auto" w:sz="4" w:space="0"/>
              <w:bottom w:val="single" w:color="auto" w:sz="4" w:space="0"/>
              <w:right w:val="single" w:color="auto" w:sz="4" w:space="0"/>
            </w:tcBorders>
            <w:vAlign w:val="center"/>
          </w:tcPr>
          <w:p>
            <w:pPr>
              <w:pStyle w:val="8"/>
              <w:rPr>
                <w:spacing w:val="-6"/>
                <w:szCs w:val="21"/>
                <w:highlight w:val="none"/>
              </w:rPr>
            </w:pPr>
            <w:r>
              <w:rPr>
                <w:rFonts w:hint="eastAsia"/>
                <w:highlight w:val="none"/>
              </w:rPr>
              <w:t>供货时间</w:t>
            </w:r>
            <w:r>
              <w:rPr>
                <w:rFonts w:hint="eastAsia"/>
                <w:spacing w:val="-6"/>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9981" w:type="dxa"/>
            <w:gridSpan w:val="5"/>
            <w:tcBorders>
              <w:top w:val="single" w:color="auto" w:sz="4" w:space="0"/>
              <w:left w:val="single" w:color="auto" w:sz="4" w:space="0"/>
              <w:bottom w:val="single" w:color="auto" w:sz="4" w:space="0"/>
              <w:right w:val="single" w:color="auto" w:sz="4" w:space="0"/>
            </w:tcBorders>
            <w:vAlign w:val="center"/>
          </w:tcPr>
          <w:p>
            <w:pPr>
              <w:pStyle w:val="8"/>
              <w:rPr>
                <w:spacing w:val="-6"/>
                <w:szCs w:val="21"/>
                <w:highlight w:val="none"/>
              </w:rPr>
            </w:pPr>
            <w:r>
              <w:rPr>
                <w:rFonts w:hint="eastAsia" w:hAnsi="宋体"/>
                <w:spacing w:val="-6"/>
                <w:highlight w:val="none"/>
              </w:rPr>
              <w:t>交货地点</w:t>
            </w:r>
            <w:r>
              <w:rPr>
                <w:rFonts w:hint="eastAsia"/>
                <w:spacing w:val="-6"/>
                <w:szCs w:val="21"/>
                <w:highlight w:val="none"/>
              </w:rPr>
              <w:t>：</w:t>
            </w:r>
          </w:p>
        </w:tc>
      </w:tr>
    </w:tbl>
    <w:p>
      <w:pPr>
        <w:pStyle w:val="8"/>
        <w:rPr>
          <w:szCs w:val="21"/>
          <w:highlight w:val="none"/>
        </w:rPr>
      </w:pPr>
    </w:p>
    <w:p>
      <w:pPr>
        <w:pStyle w:val="8"/>
        <w:rPr>
          <w:szCs w:val="21"/>
          <w:highlight w:val="none"/>
        </w:rPr>
      </w:pPr>
      <w:r>
        <w:rPr>
          <w:rFonts w:hint="eastAsia"/>
          <w:szCs w:val="21"/>
          <w:highlight w:val="none"/>
        </w:rPr>
        <w:t>备注：</w:t>
      </w:r>
    </w:p>
    <w:p>
      <w:pPr>
        <w:pStyle w:val="8"/>
        <w:spacing w:line="360" w:lineRule="auto"/>
        <w:rPr>
          <w:rFonts w:hAnsi="宋体" w:cs="宋体"/>
          <w:bCs/>
          <w:highlight w:val="none"/>
        </w:rPr>
      </w:pPr>
      <w:r>
        <w:rPr>
          <w:rFonts w:hint="eastAsia" w:hAnsi="宋体"/>
          <w:highlight w:val="none"/>
        </w:rPr>
        <w:t>1、谈判</w:t>
      </w:r>
      <w:r>
        <w:rPr>
          <w:rFonts w:hint="eastAsia" w:hAnsi="宋体"/>
          <w:szCs w:val="21"/>
          <w:highlight w:val="none"/>
        </w:rPr>
        <w:t>报价包含货物、装卸费、运费、安装调试、售后服务、税金及其它完成本项目的所有费用。</w:t>
      </w:r>
      <w:r>
        <w:rPr>
          <w:rFonts w:hint="eastAsia"/>
          <w:highlight w:val="none"/>
        </w:rPr>
        <w:t>对于采购文件中未列明，而供应商认为必需的费用也需列入总报价。在合同实施时，采购人将不予支付成交供应商没有列入的项目费用，并认为此项目的费用已包括在总报价中</w:t>
      </w:r>
      <w:r>
        <w:rPr>
          <w:rFonts w:hint="eastAsia" w:hAnsi="宋体" w:cs="宋体"/>
          <w:bCs/>
          <w:highlight w:val="none"/>
        </w:rPr>
        <w:t>。</w:t>
      </w:r>
    </w:p>
    <w:p>
      <w:pPr>
        <w:pStyle w:val="8"/>
        <w:spacing w:line="360" w:lineRule="auto"/>
        <w:rPr>
          <w:rFonts w:hAnsi="宋体"/>
          <w:highlight w:val="none"/>
        </w:rPr>
      </w:pPr>
      <w:r>
        <w:rPr>
          <w:rFonts w:hint="eastAsia" w:hAnsi="宋体" w:cs="宋体"/>
          <w:bCs/>
          <w:highlight w:val="none"/>
        </w:rPr>
        <w:t>2.最终</w:t>
      </w:r>
      <w:r>
        <w:rPr>
          <w:rFonts w:hAnsi="宋体" w:cs="宋体"/>
          <w:bCs/>
          <w:highlight w:val="none"/>
        </w:rPr>
        <w:t>结算</w:t>
      </w:r>
      <w:r>
        <w:rPr>
          <w:rFonts w:hint="eastAsia" w:hAnsi="宋体" w:cs="宋体"/>
          <w:bCs/>
          <w:highlight w:val="none"/>
        </w:rPr>
        <w:t>款项</w:t>
      </w:r>
      <w:r>
        <w:rPr>
          <w:rFonts w:hAnsi="宋体" w:cs="宋体"/>
          <w:bCs/>
          <w:highlight w:val="none"/>
        </w:rPr>
        <w:t>=</w:t>
      </w:r>
      <w:r>
        <w:rPr>
          <w:rFonts w:hint="eastAsia" w:hAnsi="宋体" w:cs="宋体"/>
          <w:bCs/>
          <w:highlight w:val="none"/>
        </w:rPr>
        <w:t>实际</w:t>
      </w:r>
      <w:r>
        <w:rPr>
          <w:rFonts w:hAnsi="宋体" w:cs="宋体"/>
          <w:bCs/>
          <w:highlight w:val="none"/>
        </w:rPr>
        <w:t>订购图书码洋</w:t>
      </w:r>
      <w:r>
        <w:rPr>
          <w:rFonts w:hint="eastAsia" w:hAnsi="宋体" w:cs="宋体"/>
          <w:bCs/>
          <w:highlight w:val="none"/>
        </w:rPr>
        <w:t>总额*折扣</w:t>
      </w:r>
      <w:r>
        <w:rPr>
          <w:rFonts w:hAnsi="宋体" w:cs="宋体"/>
          <w:bCs/>
          <w:highlight w:val="none"/>
        </w:rPr>
        <w:t>率</w:t>
      </w:r>
    </w:p>
    <w:p>
      <w:pPr>
        <w:pStyle w:val="8"/>
        <w:spacing w:line="360" w:lineRule="auto"/>
        <w:rPr>
          <w:rFonts w:hAnsi="宋体"/>
          <w:highlight w:val="none"/>
        </w:rPr>
      </w:pPr>
      <w:r>
        <w:rPr>
          <w:rFonts w:hint="eastAsia" w:hAnsi="宋体"/>
          <w:highlight w:val="none"/>
        </w:rPr>
        <w:t>3、表格内容均需按要求如实填写，否则作无效响应处理；</w:t>
      </w:r>
    </w:p>
    <w:p>
      <w:pPr>
        <w:pStyle w:val="8"/>
        <w:spacing w:line="360" w:lineRule="auto"/>
        <w:rPr>
          <w:rFonts w:hAnsi="宋体"/>
          <w:b/>
          <w:bCs/>
          <w:highlight w:val="none"/>
        </w:rPr>
      </w:pPr>
      <w:r>
        <w:rPr>
          <w:rFonts w:hint="eastAsia" w:hAnsi="宋体"/>
          <w:highlight w:val="none"/>
        </w:rPr>
        <w:t>4、</w:t>
      </w:r>
      <w:r>
        <w:rPr>
          <w:rFonts w:hint="eastAsia" w:hAnsi="宋体"/>
          <w:b/>
          <w:bCs/>
          <w:highlight w:val="none"/>
        </w:rPr>
        <w:t>折扣率是指按原价的若干成计价。如折扣率80%，成交价格=原价×80%。</w:t>
      </w:r>
    </w:p>
    <w:p>
      <w:pPr>
        <w:pStyle w:val="8"/>
        <w:spacing w:line="360" w:lineRule="auto"/>
        <w:rPr>
          <w:rFonts w:hAnsi="宋体"/>
          <w:highlight w:val="none"/>
        </w:rPr>
      </w:pPr>
    </w:p>
    <w:p>
      <w:pPr>
        <w:pStyle w:val="8"/>
        <w:spacing w:line="560" w:lineRule="exact"/>
        <w:ind w:firstLine="3402" w:firstLineChars="1620"/>
        <w:rPr>
          <w:highlight w:val="none"/>
        </w:rPr>
      </w:pPr>
    </w:p>
    <w:p>
      <w:pPr>
        <w:pStyle w:val="8"/>
        <w:spacing w:line="560" w:lineRule="exact"/>
        <w:ind w:firstLine="3402" w:firstLineChars="1620"/>
        <w:rPr>
          <w:highlight w:val="none"/>
        </w:rPr>
      </w:pPr>
    </w:p>
    <w:p>
      <w:pPr>
        <w:pStyle w:val="8"/>
        <w:spacing w:line="560" w:lineRule="exact"/>
        <w:ind w:firstLine="3402" w:firstLineChars="1620"/>
        <w:rPr>
          <w:szCs w:val="21"/>
          <w:highlight w:val="none"/>
          <w:u w:val="single"/>
        </w:rPr>
      </w:pPr>
      <w:r>
        <w:rPr>
          <w:rFonts w:hint="eastAsia"/>
          <w:highlight w:val="none"/>
        </w:rPr>
        <w:t>谈判供应商名称（加盖单位公章）</w:t>
      </w:r>
      <w:r>
        <w:rPr>
          <w:rFonts w:hint="eastAsia"/>
          <w:szCs w:val="21"/>
          <w:highlight w:val="none"/>
        </w:rPr>
        <w:t>：</w:t>
      </w:r>
    </w:p>
    <w:p>
      <w:pPr>
        <w:pStyle w:val="8"/>
        <w:spacing w:line="560" w:lineRule="exact"/>
        <w:ind w:firstLine="3402" w:firstLineChars="1620"/>
        <w:rPr>
          <w:szCs w:val="21"/>
          <w:highlight w:val="none"/>
          <w:u w:val="single"/>
        </w:rPr>
      </w:pPr>
      <w:r>
        <w:rPr>
          <w:rFonts w:hint="eastAsia"/>
          <w:szCs w:val="21"/>
          <w:highlight w:val="none"/>
        </w:rPr>
        <w:t>法定代表人（负责人）或委托代理人（签字或签章）：</w:t>
      </w:r>
    </w:p>
    <w:p>
      <w:pPr>
        <w:pStyle w:val="8"/>
        <w:spacing w:line="440" w:lineRule="exact"/>
        <w:ind w:firstLine="4111"/>
        <w:rPr>
          <w:rFonts w:hAnsi="宋体"/>
          <w:bCs/>
          <w:highlight w:val="none"/>
        </w:rPr>
      </w:pPr>
      <w:r>
        <w:rPr>
          <w:rFonts w:hint="eastAsia" w:hAnsi="宋体"/>
          <w:bCs/>
          <w:highlight w:val="none"/>
        </w:rPr>
        <w:t>日期：    年   月   日</w:t>
      </w:r>
    </w:p>
    <w:p>
      <w:pPr>
        <w:pStyle w:val="8"/>
        <w:spacing w:line="440" w:lineRule="exact"/>
        <w:ind w:firstLine="4111"/>
        <w:rPr>
          <w:rFonts w:hAnsi="宋体"/>
          <w:bCs/>
          <w:highlight w:val="none"/>
        </w:rPr>
        <w:sectPr>
          <w:pgSz w:w="11906" w:h="16838"/>
          <w:pgMar w:top="1276" w:right="964" w:bottom="851" w:left="1134" w:header="720" w:footer="720" w:gutter="0"/>
          <w:cols w:space="720" w:num="1"/>
          <w:titlePg/>
          <w:docGrid w:linePitch="312" w:charSpace="0"/>
        </w:sectPr>
      </w:pPr>
    </w:p>
    <w:p>
      <w:pPr>
        <w:pStyle w:val="8"/>
        <w:rPr>
          <w:b/>
          <w:sz w:val="30"/>
          <w:highlight w:val="none"/>
        </w:rPr>
      </w:pPr>
    </w:p>
    <w:p>
      <w:pPr>
        <w:pStyle w:val="8"/>
        <w:spacing w:line="360" w:lineRule="auto"/>
        <w:jc w:val="center"/>
        <w:rPr>
          <w:b/>
          <w:sz w:val="28"/>
          <w:szCs w:val="28"/>
          <w:highlight w:val="none"/>
        </w:rPr>
      </w:pPr>
      <w:r>
        <w:rPr>
          <w:rFonts w:hint="eastAsia"/>
          <w:b/>
          <w:sz w:val="28"/>
          <w:szCs w:val="28"/>
          <w:highlight w:val="none"/>
        </w:rPr>
        <w:t>3、谈判保证金声明（格式，采用转账或电汇形式适用）</w:t>
      </w:r>
    </w:p>
    <w:p>
      <w:pPr>
        <w:pStyle w:val="8"/>
        <w:spacing w:line="360" w:lineRule="auto"/>
        <w:rPr>
          <w:szCs w:val="21"/>
          <w:highlight w:val="none"/>
          <w:u w:val="single"/>
        </w:rPr>
      </w:pPr>
    </w:p>
    <w:p>
      <w:pPr>
        <w:pStyle w:val="8"/>
        <w:spacing w:line="360" w:lineRule="auto"/>
        <w:rPr>
          <w:szCs w:val="21"/>
          <w:highlight w:val="none"/>
        </w:rPr>
      </w:pPr>
      <w:r>
        <w:rPr>
          <w:rFonts w:hint="eastAsia"/>
          <w:szCs w:val="21"/>
          <w:highlight w:val="none"/>
          <w:u w:val="single"/>
        </w:rPr>
        <w:t>广西海川工程咨询有限公司</w:t>
      </w:r>
      <w:r>
        <w:rPr>
          <w:rFonts w:hint="eastAsia"/>
          <w:szCs w:val="21"/>
          <w:highlight w:val="none"/>
        </w:rPr>
        <w:t>：</w:t>
      </w:r>
    </w:p>
    <w:p>
      <w:pPr>
        <w:pStyle w:val="8"/>
        <w:spacing w:line="360" w:lineRule="auto"/>
        <w:ind w:firstLine="420" w:firstLineChars="200"/>
        <w:rPr>
          <w:szCs w:val="21"/>
          <w:highlight w:val="none"/>
        </w:rPr>
      </w:pPr>
      <w:r>
        <w:rPr>
          <w:rFonts w:hint="eastAsia"/>
          <w:szCs w:val="21"/>
          <w:highlight w:val="none"/>
        </w:rPr>
        <w:t>我方参加</w:t>
      </w:r>
      <w:r>
        <w:rPr>
          <w:rFonts w:hint="eastAsia"/>
          <w:szCs w:val="21"/>
          <w:highlight w:val="none"/>
          <w:u w:val="single"/>
        </w:rPr>
        <w:t>（项目名称、项目编号）</w:t>
      </w:r>
      <w:r>
        <w:rPr>
          <w:rFonts w:hint="eastAsia"/>
          <w:szCs w:val="21"/>
          <w:highlight w:val="none"/>
        </w:rPr>
        <w:t>的竞争性谈判采购活动，缴纳谈判保证金人民币</w:t>
      </w:r>
      <w:r>
        <w:rPr>
          <w:rFonts w:hint="eastAsia"/>
          <w:szCs w:val="21"/>
          <w:highlight w:val="none"/>
          <w:u w:val="single"/>
        </w:rPr>
        <w:t xml:space="preserve">        （</w:t>
      </w:r>
      <w:r>
        <w:rPr>
          <w:rFonts w:hint="eastAsia" w:asciiTheme="minorEastAsia" w:hAnsiTheme="minorEastAsia" w:eastAsiaTheme="minorEastAsia"/>
          <w:szCs w:val="21"/>
          <w:highlight w:val="none"/>
          <w:u w:val="single"/>
        </w:rPr>
        <w:t>¥</w:t>
      </w:r>
      <w:r>
        <w:rPr>
          <w:rFonts w:hint="eastAsia"/>
          <w:szCs w:val="21"/>
          <w:highlight w:val="none"/>
          <w:u w:val="single"/>
        </w:rPr>
        <w:t xml:space="preserve">     元）</w:t>
      </w:r>
      <w:r>
        <w:rPr>
          <w:rFonts w:hint="eastAsia"/>
          <w:szCs w:val="21"/>
          <w:highlight w:val="none"/>
        </w:rPr>
        <w:t>。若没有成交，请贵方在退付谈判保证金时转到以下对公账户：</w:t>
      </w:r>
    </w:p>
    <w:p>
      <w:pPr>
        <w:pStyle w:val="8"/>
        <w:spacing w:line="360" w:lineRule="auto"/>
        <w:ind w:firstLine="420" w:firstLineChars="200"/>
        <w:rPr>
          <w:szCs w:val="21"/>
          <w:highlight w:val="none"/>
          <w:u w:val="single"/>
        </w:rPr>
      </w:pPr>
      <w:r>
        <w:rPr>
          <w:rFonts w:hint="eastAsia"/>
          <w:szCs w:val="21"/>
          <w:highlight w:val="none"/>
        </w:rPr>
        <w:t>开户名称：</w:t>
      </w:r>
    </w:p>
    <w:p>
      <w:pPr>
        <w:pStyle w:val="8"/>
        <w:spacing w:line="360" w:lineRule="auto"/>
        <w:ind w:firstLine="420" w:firstLineChars="200"/>
        <w:rPr>
          <w:szCs w:val="21"/>
          <w:highlight w:val="none"/>
          <w:u w:val="single"/>
        </w:rPr>
      </w:pPr>
      <w:r>
        <w:rPr>
          <w:rFonts w:hint="eastAsia"/>
          <w:szCs w:val="21"/>
          <w:highlight w:val="none"/>
        </w:rPr>
        <w:t>开户银行：</w:t>
      </w:r>
    </w:p>
    <w:p>
      <w:pPr>
        <w:pStyle w:val="8"/>
        <w:spacing w:line="360" w:lineRule="auto"/>
        <w:ind w:firstLine="420" w:firstLineChars="200"/>
        <w:rPr>
          <w:szCs w:val="21"/>
          <w:highlight w:val="none"/>
          <w:u w:val="single"/>
        </w:rPr>
      </w:pPr>
      <w:r>
        <w:rPr>
          <w:rFonts w:hint="eastAsia"/>
          <w:szCs w:val="21"/>
          <w:highlight w:val="none"/>
        </w:rPr>
        <w:t>银行账号：</w:t>
      </w:r>
    </w:p>
    <w:p>
      <w:pPr>
        <w:pStyle w:val="8"/>
        <w:spacing w:line="360" w:lineRule="auto"/>
        <w:ind w:firstLine="420" w:firstLineChars="200"/>
        <w:rPr>
          <w:szCs w:val="21"/>
          <w:highlight w:val="none"/>
        </w:rPr>
      </w:pPr>
      <w:r>
        <w:rPr>
          <w:rFonts w:hint="eastAsia"/>
          <w:szCs w:val="21"/>
          <w:highlight w:val="none"/>
        </w:rPr>
        <w:t>联系人：</w:t>
      </w:r>
    </w:p>
    <w:p>
      <w:pPr>
        <w:pStyle w:val="8"/>
        <w:spacing w:line="360" w:lineRule="auto"/>
        <w:ind w:firstLine="420" w:firstLineChars="200"/>
        <w:rPr>
          <w:szCs w:val="21"/>
          <w:highlight w:val="none"/>
        </w:rPr>
      </w:pPr>
      <w:r>
        <w:rPr>
          <w:rFonts w:hint="eastAsia"/>
          <w:szCs w:val="21"/>
          <w:highlight w:val="none"/>
        </w:rPr>
        <w:t>联系电话（手机）：</w:t>
      </w:r>
    </w:p>
    <w:p>
      <w:pPr>
        <w:pStyle w:val="8"/>
        <w:spacing w:line="360" w:lineRule="auto"/>
        <w:ind w:firstLine="420" w:firstLineChars="200"/>
        <w:rPr>
          <w:szCs w:val="21"/>
          <w:highlight w:val="none"/>
        </w:rPr>
      </w:pPr>
    </w:p>
    <w:p>
      <w:pPr>
        <w:pStyle w:val="8"/>
        <w:spacing w:line="360" w:lineRule="auto"/>
        <w:ind w:firstLine="420" w:firstLineChars="200"/>
        <w:rPr>
          <w:szCs w:val="21"/>
          <w:highlight w:val="none"/>
        </w:rPr>
      </w:pPr>
      <w:r>
        <w:rPr>
          <w:rFonts w:hint="eastAsia"/>
          <w:szCs w:val="21"/>
          <w:highlight w:val="none"/>
        </w:rPr>
        <w:t>特此声明！</w:t>
      </w:r>
    </w:p>
    <w:p>
      <w:pPr>
        <w:pStyle w:val="8"/>
        <w:spacing w:line="360" w:lineRule="auto"/>
        <w:ind w:firstLine="420" w:firstLineChars="200"/>
        <w:rPr>
          <w:szCs w:val="21"/>
          <w:highlight w:val="none"/>
        </w:rPr>
      </w:pPr>
    </w:p>
    <w:p>
      <w:pPr>
        <w:pStyle w:val="8"/>
        <w:spacing w:line="560" w:lineRule="exact"/>
        <w:ind w:firstLine="3402" w:firstLineChars="1620"/>
        <w:rPr>
          <w:szCs w:val="21"/>
          <w:highlight w:val="none"/>
          <w:u w:val="single"/>
        </w:rPr>
      </w:pPr>
      <w:r>
        <w:rPr>
          <w:rFonts w:hint="eastAsia"/>
          <w:highlight w:val="none"/>
        </w:rPr>
        <w:t>谈判供应商名称（加盖单位公章）</w:t>
      </w:r>
      <w:r>
        <w:rPr>
          <w:rFonts w:hint="eastAsia"/>
          <w:szCs w:val="21"/>
          <w:highlight w:val="none"/>
        </w:rPr>
        <w:t>：</w:t>
      </w:r>
      <w:r>
        <w:rPr>
          <w:rFonts w:hint="eastAsia"/>
          <w:szCs w:val="21"/>
          <w:highlight w:val="none"/>
          <w:u w:val="single"/>
        </w:rPr>
        <w:t xml:space="preserve">            </w:t>
      </w:r>
    </w:p>
    <w:p>
      <w:pPr>
        <w:pStyle w:val="8"/>
        <w:spacing w:line="360" w:lineRule="auto"/>
        <w:ind w:firstLine="5103" w:firstLineChars="2430"/>
        <w:rPr>
          <w:szCs w:val="21"/>
          <w:highlight w:val="none"/>
        </w:rPr>
      </w:pPr>
      <w:r>
        <w:rPr>
          <w:rFonts w:hint="eastAsia"/>
          <w:szCs w:val="21"/>
          <w:highlight w:val="none"/>
        </w:rPr>
        <w:t>日期：</w:t>
      </w:r>
      <w:r>
        <w:rPr>
          <w:rFonts w:hint="eastAsia"/>
          <w:szCs w:val="21"/>
          <w:highlight w:val="none"/>
          <w:u w:val="single"/>
        </w:rPr>
        <w:t xml:space="preserve">    </w:t>
      </w:r>
      <w:r>
        <w:rPr>
          <w:rFonts w:hint="eastAsia"/>
          <w:szCs w:val="21"/>
          <w:highlight w:val="none"/>
        </w:rPr>
        <w:t>年</w:t>
      </w:r>
      <w:r>
        <w:rPr>
          <w:rFonts w:hint="eastAsia"/>
          <w:szCs w:val="21"/>
          <w:highlight w:val="none"/>
          <w:u w:val="single"/>
        </w:rPr>
        <w:t xml:space="preserve">    </w:t>
      </w:r>
      <w:r>
        <w:rPr>
          <w:rFonts w:hint="eastAsia"/>
          <w:szCs w:val="21"/>
          <w:highlight w:val="none"/>
        </w:rPr>
        <w:t>月</w:t>
      </w:r>
      <w:r>
        <w:rPr>
          <w:rFonts w:hint="eastAsia"/>
          <w:szCs w:val="21"/>
          <w:highlight w:val="none"/>
          <w:u w:val="single"/>
        </w:rPr>
        <w:t xml:space="preserve">    </w:t>
      </w:r>
      <w:r>
        <w:rPr>
          <w:rFonts w:hint="eastAsia"/>
          <w:szCs w:val="21"/>
          <w:highlight w:val="none"/>
        </w:rPr>
        <w:t>日</w:t>
      </w:r>
    </w:p>
    <w:tbl>
      <w:tblPr>
        <w:tblStyle w:val="14"/>
        <w:tblW w:w="89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9" w:hRule="atLeast"/>
          <w:jc w:val="center"/>
        </w:trPr>
        <w:tc>
          <w:tcPr>
            <w:tcW w:w="8900" w:type="dxa"/>
            <w:vAlign w:val="center"/>
          </w:tcPr>
          <w:p>
            <w:pPr>
              <w:pStyle w:val="8"/>
              <w:spacing w:line="560" w:lineRule="exact"/>
              <w:jc w:val="center"/>
              <w:rPr>
                <w:b/>
                <w:sz w:val="28"/>
                <w:szCs w:val="28"/>
                <w:highlight w:val="none"/>
              </w:rPr>
            </w:pPr>
            <w:r>
              <w:rPr>
                <w:rFonts w:hint="eastAsia"/>
                <w:szCs w:val="21"/>
                <w:highlight w:val="none"/>
              </w:rPr>
              <w:t>（粘贴谈判保证金缴纳凭证复印件）</w:t>
            </w:r>
          </w:p>
          <w:p>
            <w:pPr>
              <w:pStyle w:val="8"/>
              <w:spacing w:line="560" w:lineRule="exact"/>
              <w:jc w:val="center"/>
              <w:rPr>
                <w:szCs w:val="21"/>
                <w:highlight w:val="none"/>
              </w:rPr>
            </w:pPr>
          </w:p>
        </w:tc>
      </w:tr>
    </w:tbl>
    <w:p>
      <w:pPr>
        <w:pStyle w:val="8"/>
        <w:spacing w:line="560" w:lineRule="exact"/>
        <w:jc w:val="center"/>
        <w:rPr>
          <w:szCs w:val="21"/>
          <w:highlight w:val="none"/>
        </w:rPr>
      </w:pPr>
    </w:p>
    <w:p>
      <w:pPr>
        <w:pStyle w:val="8"/>
        <w:rPr>
          <w:b/>
          <w:sz w:val="30"/>
          <w:highlight w:val="none"/>
        </w:rPr>
      </w:pPr>
    </w:p>
    <w:p>
      <w:pPr>
        <w:pStyle w:val="8"/>
        <w:jc w:val="center"/>
        <w:rPr>
          <w:b/>
          <w:szCs w:val="21"/>
          <w:highlight w:val="none"/>
        </w:rPr>
      </w:pPr>
      <w:r>
        <w:rPr>
          <w:rFonts w:hint="eastAsia"/>
          <w:b/>
          <w:szCs w:val="21"/>
          <w:highlight w:val="none"/>
        </w:rPr>
        <w:t>备注：1、供应商应另备一份谈判保证金声明原件，在开标会上备查；</w:t>
      </w:r>
    </w:p>
    <w:p>
      <w:pPr>
        <w:pStyle w:val="8"/>
        <w:rPr>
          <w:b/>
          <w:szCs w:val="21"/>
          <w:highlight w:val="none"/>
        </w:rPr>
      </w:pPr>
      <w:r>
        <w:rPr>
          <w:rFonts w:hint="eastAsia"/>
          <w:b/>
          <w:szCs w:val="21"/>
          <w:highlight w:val="none"/>
        </w:rPr>
        <w:t xml:space="preserve">                    2、采用支票、汇票、本票、保函形式缴纳保证金的，不用提供。</w:t>
      </w:r>
    </w:p>
    <w:p>
      <w:pPr>
        <w:pStyle w:val="8"/>
        <w:rPr>
          <w:b/>
          <w:sz w:val="30"/>
          <w:highlight w:val="none"/>
        </w:rPr>
      </w:pPr>
      <w:r>
        <w:rPr>
          <w:b/>
          <w:sz w:val="30"/>
          <w:highlight w:val="none"/>
        </w:rPr>
        <w:br w:type="page"/>
      </w:r>
    </w:p>
    <w:p>
      <w:pPr>
        <w:pStyle w:val="8"/>
        <w:rPr>
          <w:b/>
          <w:sz w:val="30"/>
          <w:highlight w:val="none"/>
        </w:rPr>
      </w:pPr>
      <w:r>
        <w:rPr>
          <w:rFonts w:hint="eastAsia"/>
          <w:b/>
          <w:sz w:val="30"/>
          <w:highlight w:val="none"/>
        </w:rPr>
        <w:t>4、证明谈判供应商合格和资格的文件：（谈判供应商按谈判须知第10条要求提供）；</w:t>
      </w:r>
    </w:p>
    <w:p>
      <w:pPr>
        <w:pStyle w:val="8"/>
        <w:rPr>
          <w:b/>
          <w:sz w:val="28"/>
          <w:szCs w:val="28"/>
          <w:highlight w:val="none"/>
        </w:rPr>
      </w:pPr>
    </w:p>
    <w:p>
      <w:pPr>
        <w:pStyle w:val="8"/>
        <w:rPr>
          <w:b/>
          <w:sz w:val="28"/>
          <w:szCs w:val="28"/>
          <w:highlight w:val="none"/>
        </w:rPr>
      </w:pPr>
    </w:p>
    <w:p>
      <w:pPr>
        <w:pStyle w:val="8"/>
        <w:rPr>
          <w:b/>
          <w:sz w:val="28"/>
          <w:szCs w:val="28"/>
          <w:highlight w:val="none"/>
        </w:rPr>
      </w:pPr>
    </w:p>
    <w:p>
      <w:pPr>
        <w:pStyle w:val="8"/>
        <w:rPr>
          <w:b/>
          <w:sz w:val="28"/>
          <w:szCs w:val="28"/>
          <w:highlight w:val="none"/>
        </w:rPr>
      </w:pPr>
    </w:p>
    <w:p>
      <w:pPr>
        <w:pStyle w:val="8"/>
        <w:rPr>
          <w:b/>
          <w:sz w:val="28"/>
          <w:szCs w:val="28"/>
          <w:highlight w:val="none"/>
        </w:rPr>
      </w:pPr>
    </w:p>
    <w:p>
      <w:pPr>
        <w:pStyle w:val="8"/>
        <w:rPr>
          <w:b/>
          <w:sz w:val="28"/>
          <w:szCs w:val="28"/>
          <w:highlight w:val="none"/>
        </w:rPr>
      </w:pPr>
    </w:p>
    <w:p>
      <w:pPr>
        <w:pStyle w:val="8"/>
        <w:rPr>
          <w:b/>
          <w:sz w:val="28"/>
          <w:szCs w:val="28"/>
          <w:highlight w:val="none"/>
        </w:rPr>
      </w:pPr>
    </w:p>
    <w:p>
      <w:pPr>
        <w:pStyle w:val="8"/>
        <w:rPr>
          <w:b/>
          <w:sz w:val="28"/>
          <w:szCs w:val="28"/>
          <w:highlight w:val="none"/>
        </w:rPr>
      </w:pPr>
    </w:p>
    <w:p>
      <w:pPr>
        <w:pStyle w:val="8"/>
        <w:rPr>
          <w:b/>
          <w:sz w:val="28"/>
          <w:szCs w:val="28"/>
          <w:highlight w:val="none"/>
        </w:rPr>
      </w:pPr>
    </w:p>
    <w:p>
      <w:pPr>
        <w:pStyle w:val="8"/>
        <w:spacing w:before="240" w:line="560" w:lineRule="exact"/>
        <w:jc w:val="center"/>
        <w:rPr>
          <w:rFonts w:asciiTheme="minorEastAsia" w:hAnsiTheme="minorEastAsia" w:eastAsiaTheme="minorEastAsia"/>
          <w:bCs/>
          <w:sz w:val="28"/>
          <w:szCs w:val="28"/>
          <w:highlight w:val="none"/>
        </w:rPr>
      </w:pPr>
      <w:r>
        <w:rPr>
          <w:rFonts w:hint="eastAsia" w:ascii="黑体" w:eastAsia="黑体"/>
          <w:b/>
          <w:sz w:val="32"/>
          <w:highlight w:val="none"/>
        </w:rPr>
        <w:br w:type="page"/>
      </w:r>
      <w:r>
        <w:rPr>
          <w:rFonts w:hint="eastAsia" w:asciiTheme="minorEastAsia" w:hAnsiTheme="minorEastAsia" w:eastAsiaTheme="minorEastAsia"/>
          <w:b/>
          <w:sz w:val="28"/>
          <w:szCs w:val="28"/>
          <w:highlight w:val="none"/>
        </w:rPr>
        <w:t xml:space="preserve"> 法定代表人（负责人）身份证明书（格式）</w:t>
      </w:r>
    </w:p>
    <w:p>
      <w:pPr>
        <w:spacing w:line="740" w:lineRule="exact"/>
        <w:ind w:firstLine="840" w:firstLineChars="400"/>
        <w:rPr>
          <w:szCs w:val="21"/>
          <w:highlight w:val="none"/>
          <w:u w:val="single"/>
        </w:rPr>
      </w:pPr>
    </w:p>
    <w:p>
      <w:pPr>
        <w:spacing w:line="600" w:lineRule="exact"/>
        <w:ind w:firstLine="420" w:firstLineChars="200"/>
        <w:rPr>
          <w:rFonts w:hAnsi="宋体"/>
          <w:highlight w:val="none"/>
        </w:rPr>
      </w:pPr>
      <w:r>
        <w:rPr>
          <w:rFonts w:hint="eastAsia" w:hAnsi="宋体"/>
          <w:highlight w:val="none"/>
        </w:rPr>
        <w:t xml:space="preserve">我 </w:t>
      </w:r>
      <w:r>
        <w:rPr>
          <w:rFonts w:hint="eastAsia" w:hAnsi="宋体"/>
          <w:highlight w:val="none"/>
          <w:u w:val="single"/>
        </w:rPr>
        <w:t xml:space="preserve">  （姓名） </w:t>
      </w:r>
      <w:r>
        <w:rPr>
          <w:rFonts w:hint="eastAsia" w:hAnsi="宋体"/>
          <w:highlight w:val="none"/>
        </w:rPr>
        <w:t>系</w:t>
      </w:r>
      <w:r>
        <w:rPr>
          <w:rFonts w:hint="eastAsia" w:hAnsi="宋体"/>
          <w:highlight w:val="none"/>
          <w:u w:val="single"/>
        </w:rPr>
        <w:t xml:space="preserve">（谈判供应商名称）     </w:t>
      </w:r>
      <w:r>
        <w:rPr>
          <w:rFonts w:hint="eastAsia" w:hAnsi="宋体"/>
          <w:highlight w:val="none"/>
        </w:rPr>
        <w:t>的法定代表人（负责人），以本公司的名义参加</w:t>
      </w:r>
      <w:r>
        <w:rPr>
          <w:rFonts w:hint="eastAsia" w:hAnsi="宋体"/>
          <w:highlight w:val="none"/>
          <w:u w:val="single"/>
        </w:rPr>
        <w:t xml:space="preserve">  （项目名称）  </w:t>
      </w:r>
      <w:r>
        <w:rPr>
          <w:rFonts w:hint="eastAsia" w:hAnsi="宋体"/>
          <w:highlight w:val="none"/>
        </w:rPr>
        <w:t>项目的谈判活动。并在竞标和合同谈判过程中签署一切文件和处理与之有关的一切事务。</w:t>
      </w:r>
    </w:p>
    <w:p>
      <w:pPr>
        <w:spacing w:line="600" w:lineRule="exact"/>
        <w:ind w:firstLine="420" w:firstLineChars="200"/>
        <w:rPr>
          <w:rFonts w:hAnsi="宋体"/>
          <w:highlight w:val="none"/>
        </w:rPr>
      </w:pPr>
      <w:r>
        <w:rPr>
          <w:rFonts w:hint="eastAsia" w:hAnsi="宋体"/>
          <w:highlight w:val="none"/>
        </w:rPr>
        <w:t>特此证明。</w:t>
      </w:r>
    </w:p>
    <w:p>
      <w:pPr>
        <w:spacing w:line="600" w:lineRule="exact"/>
        <w:ind w:firstLine="420" w:firstLineChars="200"/>
        <w:rPr>
          <w:rFonts w:hAnsi="宋体"/>
          <w:highlight w:val="none"/>
        </w:rPr>
      </w:pPr>
      <w:r>
        <w:rPr>
          <w:rFonts w:hint="eastAsia" w:hAnsi="宋体"/>
          <w:highlight w:val="none"/>
        </w:rPr>
        <w:t>谈判供应商：（加盖公章）</w:t>
      </w:r>
    </w:p>
    <w:p>
      <w:pPr>
        <w:spacing w:line="600" w:lineRule="exact"/>
        <w:ind w:firstLine="420" w:firstLineChars="200"/>
        <w:rPr>
          <w:rFonts w:hAnsi="宋体"/>
          <w:highlight w:val="none"/>
        </w:rPr>
      </w:pPr>
      <w:r>
        <w:rPr>
          <w:rFonts w:hint="eastAsia" w:hAnsi="宋体"/>
          <w:highlight w:val="none"/>
        </w:rPr>
        <w:t>日期：</w:t>
      </w:r>
      <w:r>
        <w:rPr>
          <w:rFonts w:hint="eastAsia" w:hAnsi="宋体"/>
          <w:highlight w:val="none"/>
          <w:u w:val="single"/>
        </w:rPr>
        <w:t xml:space="preserve">       年    月    日</w:t>
      </w:r>
    </w:p>
    <w:p>
      <w:pPr>
        <w:spacing w:line="600" w:lineRule="exact"/>
        <w:rPr>
          <w:rFonts w:hAnsi="宋体"/>
          <w:sz w:val="24"/>
          <w:highlight w:val="none"/>
        </w:rPr>
      </w:pPr>
    </w:p>
    <w:p>
      <w:pPr>
        <w:spacing w:after="50" w:line="400" w:lineRule="exact"/>
        <w:rPr>
          <w:rFonts w:hAnsi="宋体"/>
          <w:sz w:val="24"/>
          <w:highlight w:val="none"/>
        </w:rPr>
      </w:pPr>
    </w:p>
    <w:p>
      <w:pPr>
        <w:spacing w:line="600" w:lineRule="exact"/>
        <w:rPr>
          <w:rFonts w:hAnsi="宋体"/>
          <w:highlight w:val="none"/>
        </w:rPr>
      </w:pPr>
      <w:r>
        <w:rPr>
          <w:rFonts w:hint="eastAsia" w:hAnsi="宋体"/>
          <w:highlight w:val="none"/>
        </w:rPr>
        <w:t>附：法定代表人（负责人）身份证复印件。</w:t>
      </w:r>
    </w:p>
    <w:p>
      <w:pPr>
        <w:pStyle w:val="8"/>
        <w:spacing w:before="240" w:line="560" w:lineRule="exact"/>
        <w:jc w:val="center"/>
        <w:rPr>
          <w:b/>
          <w:szCs w:val="21"/>
          <w:highlight w:val="none"/>
          <w:u w:val="single"/>
        </w:rPr>
      </w:pPr>
      <w:r>
        <w:rPr>
          <w:szCs w:val="21"/>
          <w:highlight w:val="none"/>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384810</wp:posOffset>
                </wp:positionV>
                <wp:extent cx="5871210" cy="3608705"/>
                <wp:effectExtent l="5080" t="5080" r="10160" b="5715"/>
                <wp:wrapNone/>
                <wp:docPr id="6" name="文本框 6"/>
                <wp:cNvGraphicFramePr/>
                <a:graphic xmlns:a="http://schemas.openxmlformats.org/drawingml/2006/main">
                  <a:graphicData uri="http://schemas.microsoft.com/office/word/2010/wordprocessingShape">
                    <wps:wsp>
                      <wps:cNvSpPr txBox="1"/>
                      <wps:spPr>
                        <a:xfrm>
                          <a:off x="0" y="0"/>
                          <a:ext cx="5871210" cy="360870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Cs w:val="21"/>
                              </w:rPr>
                            </w:pPr>
                            <w:r>
                              <w:rPr>
                                <w:rFonts w:hint="eastAsia"/>
                                <w:szCs w:val="21"/>
                              </w:rPr>
                              <w:t>法定代表人（负责人）身份证(正、背)面复印件粘贴处</w:t>
                            </w:r>
                          </w:p>
                          <w:p>
                            <w:pPr>
                              <w:jc w:val="center"/>
                              <w:rPr>
                                <w:color w:val="0000FF"/>
                              </w:rPr>
                            </w:pPr>
                          </w:p>
                        </w:txbxContent>
                      </wps:txbx>
                      <wps:bodyPr upright="1"/>
                    </wps:wsp>
                  </a:graphicData>
                </a:graphic>
              </wp:anchor>
            </w:drawing>
          </mc:Choice>
          <mc:Fallback>
            <w:pict>
              <v:shape id="_x0000_s1026" o:spid="_x0000_s1026" o:spt="202" type="#_x0000_t202" style="position:absolute;left:0pt;margin-left:9pt;margin-top:30.3pt;height:284.15pt;width:462.3pt;z-index:251660288;mso-width-relative:page;mso-height-relative:page;" fillcolor="#FFFFFF" filled="t" stroked="t" coordsize="21600,21600" o:gfxdata="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hm5lgNcAAAAJAQAADwAAAAAAAAAB&#10;ACAAAAAiAAAAZHJzL2Rvd25yZXYueG1sUEsBAhQAFAAAAAgAh07iQHrR1I0RAgAARQQAAA4AAAAA&#10;AAAAAQAgAAAAJgEAAGRycy9lMm9Eb2MueG1sUEsFBgAAAAAGAAYAWQEAAKkFAAAAAA==&#10;">
                <v:fill on="t" focussize="0,0"/>
                <v:stroke color="#000000" joinstyle="miter"/>
                <v:imagedata o:title=""/>
                <o:lock v:ext="edit" aspectratio="f"/>
                <v:textbox>
                  <w:txbxContent>
                    <w:p>
                      <w:pPr>
                        <w:jc w:val="center"/>
                        <w:rPr>
                          <w:szCs w:val="21"/>
                        </w:rPr>
                      </w:pPr>
                      <w:r>
                        <w:rPr>
                          <w:rFonts w:hint="eastAsia"/>
                          <w:szCs w:val="21"/>
                        </w:rPr>
                        <w:t>法定代表人（负责人）身份证(正、背)面复印件粘贴处</w:t>
                      </w:r>
                    </w:p>
                    <w:p>
                      <w:pPr>
                        <w:jc w:val="center"/>
                        <w:rPr>
                          <w:color w:val="0000FF"/>
                        </w:rPr>
                      </w:pPr>
                    </w:p>
                  </w:txbxContent>
                </v:textbox>
              </v:shape>
            </w:pict>
          </mc:Fallback>
        </mc:AlternateContent>
      </w:r>
      <w:r>
        <w:rPr>
          <w:rFonts w:hint="eastAsia"/>
          <w:highlight w:val="none"/>
        </w:rPr>
        <w:br w:type="page"/>
      </w:r>
      <w:r>
        <w:rPr>
          <w:rFonts w:hint="eastAsia" w:asciiTheme="minorEastAsia" w:hAnsiTheme="minorEastAsia" w:eastAsiaTheme="minorEastAsia"/>
          <w:b/>
          <w:sz w:val="28"/>
          <w:szCs w:val="28"/>
          <w:highlight w:val="none"/>
        </w:rPr>
        <w:t>授权委托书格式（格式）</w:t>
      </w:r>
    </w:p>
    <w:p>
      <w:pPr>
        <w:pStyle w:val="8"/>
        <w:rPr>
          <w:highlight w:val="none"/>
        </w:rPr>
      </w:pPr>
    </w:p>
    <w:p>
      <w:pPr>
        <w:pStyle w:val="8"/>
        <w:spacing w:line="480" w:lineRule="exact"/>
        <w:rPr>
          <w:highlight w:val="none"/>
        </w:rPr>
      </w:pPr>
      <w:r>
        <w:rPr>
          <w:rFonts w:hint="eastAsia"/>
          <w:highlight w:val="none"/>
        </w:rPr>
        <w:t>广西海川工程咨询有限公司：</w:t>
      </w:r>
    </w:p>
    <w:p>
      <w:pPr>
        <w:pStyle w:val="8"/>
        <w:spacing w:line="480" w:lineRule="exact"/>
        <w:ind w:firstLine="420"/>
        <w:rPr>
          <w:highlight w:val="none"/>
        </w:rPr>
      </w:pPr>
      <w:r>
        <w:rPr>
          <w:rFonts w:hint="eastAsia"/>
          <w:highlight w:val="none"/>
        </w:rPr>
        <w:t>兹授权</w:t>
      </w:r>
      <w:r>
        <w:rPr>
          <w:rFonts w:hint="eastAsia"/>
          <w:highlight w:val="none"/>
          <w:u w:val="single"/>
        </w:rPr>
        <w:t>（姓 名）</w:t>
      </w:r>
      <w:r>
        <w:rPr>
          <w:rFonts w:hint="eastAsia"/>
          <w:highlight w:val="none"/>
        </w:rPr>
        <w:t>同志为我方参加贵单位组织的</w:t>
      </w:r>
      <w:r>
        <w:rPr>
          <w:rFonts w:hint="eastAsia"/>
          <w:highlight w:val="none"/>
          <w:u w:val="single"/>
        </w:rPr>
        <w:t xml:space="preserve">   （项目名称）  </w:t>
      </w:r>
      <w:r>
        <w:rPr>
          <w:rFonts w:hint="eastAsia"/>
          <w:highlight w:val="none"/>
        </w:rPr>
        <w:t>项目（项目编号</w:t>
      </w:r>
      <w:r>
        <w:rPr>
          <w:rFonts w:hint="eastAsia"/>
          <w:highlight w:val="none"/>
          <w:u w:val="single"/>
        </w:rPr>
        <w:t xml:space="preserve">：      </w:t>
      </w:r>
      <w:r>
        <w:rPr>
          <w:rFonts w:hint="eastAsia"/>
          <w:highlight w:val="none"/>
        </w:rPr>
        <w:t>）谈判活动的代理人，全权代表我方处理在该项目活动中的一切事宜。</w:t>
      </w:r>
    </w:p>
    <w:p>
      <w:pPr>
        <w:pStyle w:val="8"/>
        <w:spacing w:line="480" w:lineRule="exact"/>
        <w:ind w:firstLine="420"/>
        <w:rPr>
          <w:highlight w:val="none"/>
        </w:rPr>
      </w:pPr>
      <w:r>
        <w:rPr>
          <w:rFonts w:hint="eastAsia"/>
          <w:highlight w:val="none"/>
        </w:rPr>
        <w:t>代理期限从    年    月   日至    年    月    日止</w:t>
      </w:r>
    </w:p>
    <w:p>
      <w:pPr>
        <w:pStyle w:val="8"/>
        <w:spacing w:line="480" w:lineRule="exact"/>
        <w:rPr>
          <w:highlight w:val="none"/>
        </w:rPr>
      </w:pPr>
    </w:p>
    <w:p>
      <w:pPr>
        <w:pStyle w:val="8"/>
        <w:spacing w:line="480" w:lineRule="exact"/>
        <w:ind w:firstLine="420"/>
        <w:rPr>
          <w:highlight w:val="none"/>
        </w:rPr>
      </w:pPr>
      <w:r>
        <w:rPr>
          <w:rFonts w:hint="eastAsia"/>
          <w:highlight w:val="none"/>
        </w:rPr>
        <w:t>授权单位（加盖单位公章）：</w:t>
      </w:r>
    </w:p>
    <w:p>
      <w:pPr>
        <w:pStyle w:val="8"/>
        <w:spacing w:line="480" w:lineRule="exact"/>
        <w:ind w:firstLine="420"/>
        <w:rPr>
          <w:highlight w:val="none"/>
        </w:rPr>
      </w:pPr>
      <w:r>
        <w:rPr>
          <w:rFonts w:hint="eastAsia"/>
          <w:highlight w:val="none"/>
        </w:rPr>
        <w:t>法定代表人（负责人）（签字或签章）：</w:t>
      </w:r>
    </w:p>
    <w:p>
      <w:pPr>
        <w:pStyle w:val="8"/>
        <w:spacing w:line="480" w:lineRule="exact"/>
        <w:ind w:firstLine="420"/>
        <w:rPr>
          <w:highlight w:val="none"/>
        </w:rPr>
      </w:pPr>
      <w:r>
        <w:rPr>
          <w:rFonts w:hint="eastAsia"/>
          <w:highlight w:val="none"/>
        </w:rPr>
        <w:t>签发日期：    年      月     日</w:t>
      </w:r>
    </w:p>
    <w:p>
      <w:pPr>
        <w:pStyle w:val="8"/>
        <w:spacing w:line="480" w:lineRule="exact"/>
        <w:rPr>
          <w:highlight w:val="none"/>
        </w:rPr>
      </w:pPr>
    </w:p>
    <w:p>
      <w:pPr>
        <w:pStyle w:val="8"/>
        <w:spacing w:line="480" w:lineRule="exact"/>
        <w:rPr>
          <w:highlight w:val="none"/>
        </w:rPr>
      </w:pPr>
      <w:r>
        <w:rPr>
          <w:highlight w:val="none"/>
        </w:rPr>
        <mc:AlternateContent>
          <mc:Choice Requires="wps">
            <w:drawing>
              <wp:anchor distT="180340" distB="0" distL="114300" distR="114300" simplePos="0" relativeHeight="251661312" behindDoc="0" locked="0" layoutInCell="0" allowOverlap="1">
                <wp:simplePos x="0" y="0"/>
                <wp:positionH relativeFrom="column">
                  <wp:posOffset>0</wp:posOffset>
                </wp:positionH>
                <wp:positionV relativeFrom="paragraph">
                  <wp:posOffset>0</wp:posOffset>
                </wp:positionV>
                <wp:extent cx="6134100" cy="0"/>
                <wp:effectExtent l="0" t="4445" r="0" b="0"/>
                <wp:wrapTopAndBottom/>
                <wp:docPr id="7" name="直接连接符 7"/>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0pt;margin-top:0pt;height:0pt;width:483pt;mso-wrap-distance-bottom:0pt;mso-wrap-distance-top:14.2pt;z-index:251661312;mso-width-relative:page;mso-height-relative:page;" filled="f" stroked="t" coordsize="21600,21600" o:allowincell="f" o:gfxdata="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cB1T30AAAAAIB&#10;AAAPAAAAAAAAAAEAIAAAACIAAABkcnMvZG93bnJldi54bWxQSwECFAAUAAAACACHTuJAq+bc4eoB&#10;AAC4AwAADgAAAAAAAAABACAAAAAfAQAAZHJzL2Uyb0RvYy54bWxQSwUGAAAAAAYABgBZAQAAewUA&#10;AAAA&#10;">
                <v:fill on="f" focussize="0,0"/>
                <v:stroke color="#000000" joinstyle="round"/>
                <v:imagedata o:title=""/>
                <o:lock v:ext="edit" aspectratio="f"/>
                <w10:wrap type="topAndBottom"/>
              </v:line>
            </w:pict>
          </mc:Fallback>
        </mc:AlternateContent>
      </w:r>
      <w:r>
        <w:rPr>
          <w:rFonts w:hint="eastAsia"/>
          <w:highlight w:val="none"/>
        </w:rPr>
        <w:t xml:space="preserve">    附：代理人工作单位：                       职务：</w:t>
      </w:r>
    </w:p>
    <w:p>
      <w:pPr>
        <w:pStyle w:val="8"/>
        <w:spacing w:line="480" w:lineRule="exact"/>
        <w:ind w:firstLine="420"/>
        <w:rPr>
          <w:highlight w:val="none"/>
        </w:rPr>
      </w:pPr>
      <w:r>
        <w:rPr>
          <w:rFonts w:hint="eastAsia"/>
          <w:highlight w:val="none"/>
        </w:rPr>
        <w:t xml:space="preserve">    姓名：         身份证号码：                      性别：           年龄：</w:t>
      </w:r>
    </w:p>
    <w:p>
      <w:pPr>
        <w:pStyle w:val="8"/>
        <w:spacing w:line="480" w:lineRule="exact"/>
        <w:rPr>
          <w:highlight w:val="none"/>
        </w:rPr>
      </w:pPr>
    </w:p>
    <w:p>
      <w:pPr>
        <w:pStyle w:val="8"/>
        <w:spacing w:line="480" w:lineRule="exact"/>
        <w:ind w:firstLine="420"/>
        <w:rPr>
          <w:highlight w:val="none"/>
        </w:rPr>
      </w:pPr>
      <w:r>
        <w:rPr>
          <w:rFonts w:hint="eastAsia"/>
          <w:highlight w:val="none"/>
        </w:rPr>
        <w:t>说明：</w:t>
      </w:r>
    </w:p>
    <w:p>
      <w:pPr>
        <w:pStyle w:val="8"/>
        <w:spacing w:line="480" w:lineRule="exact"/>
        <w:ind w:firstLine="735"/>
        <w:rPr>
          <w:highlight w:val="none"/>
        </w:rPr>
      </w:pPr>
      <w:r>
        <w:rPr>
          <w:rFonts w:hint="eastAsia"/>
          <w:highlight w:val="none"/>
        </w:rPr>
        <w:t>1、授权委托书所签发的代理期限必须涵盖代理人所有签字为有效的时间。</w:t>
      </w:r>
    </w:p>
    <w:p>
      <w:pPr>
        <w:pStyle w:val="8"/>
        <w:spacing w:line="480" w:lineRule="exact"/>
        <w:ind w:firstLine="735"/>
        <w:rPr>
          <w:highlight w:val="none"/>
        </w:rPr>
      </w:pPr>
      <w:r>
        <w:rPr>
          <w:rFonts w:hint="eastAsia"/>
          <w:highlight w:val="none"/>
        </w:rPr>
        <w:t>2、委托书内容填写要明确，文字要工整清楚，涂改无效。</w:t>
      </w:r>
    </w:p>
    <w:p>
      <w:pPr>
        <w:pStyle w:val="8"/>
        <w:spacing w:line="480" w:lineRule="exact"/>
        <w:ind w:firstLine="735"/>
        <w:rPr>
          <w:highlight w:val="none"/>
        </w:rPr>
      </w:pPr>
      <w:r>
        <w:rPr>
          <w:rFonts w:hint="eastAsia"/>
          <w:highlight w:val="none"/>
        </w:rPr>
        <w:t>3、委托书不得转借、转让，不得买卖。</w:t>
      </w:r>
    </w:p>
    <w:p>
      <w:pPr>
        <w:pStyle w:val="8"/>
        <w:spacing w:line="560" w:lineRule="exact"/>
        <w:ind w:firstLine="630" w:firstLineChars="300"/>
        <w:rPr>
          <w:highlight w:val="none"/>
        </w:rPr>
      </w:pPr>
      <w:r>
        <w:rPr>
          <w:rFonts w:hint="eastAsia"/>
          <w:highlight w:val="none"/>
        </w:rPr>
        <w:t>代理人根据授权范围，以委托单位的名义签订合同，并将此委托书提交给对方作为合同附件。</w:t>
      </w:r>
    </w:p>
    <w:tbl>
      <w:tblPr>
        <w:tblStyle w:val="14"/>
        <w:tblW w:w="100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4" w:hRule="atLeast"/>
        </w:trPr>
        <w:tc>
          <w:tcPr>
            <w:tcW w:w="10024" w:type="dxa"/>
          </w:tcPr>
          <w:p>
            <w:pPr>
              <w:pStyle w:val="8"/>
              <w:spacing w:line="560" w:lineRule="exact"/>
              <w:rPr>
                <w:szCs w:val="21"/>
                <w:highlight w:val="none"/>
              </w:rPr>
            </w:pPr>
            <w:r>
              <w:rPr>
                <w:rFonts w:hint="eastAsia"/>
                <w:szCs w:val="21"/>
                <w:highlight w:val="none"/>
              </w:rPr>
              <w:t>黏贴代理人身份证（复印件）</w:t>
            </w:r>
          </w:p>
        </w:tc>
      </w:tr>
    </w:tbl>
    <w:p>
      <w:pPr>
        <w:pStyle w:val="8"/>
        <w:snapToGrid w:val="0"/>
        <w:spacing w:line="600" w:lineRule="exact"/>
        <w:rPr>
          <w:b/>
          <w:bCs/>
          <w:sz w:val="28"/>
          <w:szCs w:val="28"/>
          <w:highlight w:val="none"/>
        </w:rPr>
      </w:pPr>
    </w:p>
    <w:p>
      <w:pPr>
        <w:pStyle w:val="8"/>
        <w:snapToGrid w:val="0"/>
        <w:spacing w:line="600" w:lineRule="exact"/>
        <w:jc w:val="center"/>
        <w:rPr>
          <w:b/>
          <w:bCs/>
          <w:sz w:val="30"/>
          <w:szCs w:val="30"/>
          <w:highlight w:val="none"/>
        </w:rPr>
      </w:pPr>
      <w:r>
        <w:rPr>
          <w:rFonts w:hint="eastAsia"/>
          <w:b/>
          <w:bCs/>
          <w:sz w:val="28"/>
          <w:szCs w:val="28"/>
          <w:highlight w:val="none"/>
        </w:rPr>
        <w:t>无重大违法记录声明书（格式）</w:t>
      </w:r>
    </w:p>
    <w:p>
      <w:pPr>
        <w:pStyle w:val="8"/>
        <w:snapToGrid w:val="0"/>
        <w:spacing w:line="600" w:lineRule="exact"/>
        <w:rPr>
          <w:bCs/>
          <w:sz w:val="24"/>
          <w:highlight w:val="none"/>
        </w:rPr>
      </w:pPr>
    </w:p>
    <w:p>
      <w:pPr>
        <w:pStyle w:val="8"/>
        <w:snapToGrid w:val="0"/>
        <w:spacing w:line="600" w:lineRule="exact"/>
        <w:rPr>
          <w:bCs/>
          <w:sz w:val="24"/>
          <w:highlight w:val="none"/>
        </w:rPr>
      </w:pPr>
      <w:r>
        <w:rPr>
          <w:rFonts w:hint="eastAsia"/>
          <w:bCs/>
          <w:sz w:val="24"/>
          <w:highlight w:val="none"/>
        </w:rPr>
        <w:t>广西海川工程咨询有限公司：</w:t>
      </w:r>
    </w:p>
    <w:p>
      <w:pPr>
        <w:pStyle w:val="8"/>
        <w:snapToGrid w:val="0"/>
        <w:spacing w:line="600" w:lineRule="exact"/>
        <w:ind w:firstLine="480" w:firstLineChars="200"/>
        <w:rPr>
          <w:kern w:val="0"/>
          <w:sz w:val="24"/>
          <w:highlight w:val="none"/>
        </w:rPr>
      </w:pPr>
      <w:r>
        <w:rPr>
          <w:rFonts w:hint="eastAsia"/>
          <w:bCs/>
          <w:sz w:val="24"/>
          <w:highlight w:val="none"/>
        </w:rPr>
        <w:t>我公司参加贵公司组织的：项目的政府采购活动。我公司在此郑重声明，我公司参加本项目的政府采购活动前三年在经营中没有重大违法记录，符合《</w:t>
      </w:r>
      <w:r>
        <w:rPr>
          <w:kern w:val="0"/>
          <w:sz w:val="24"/>
          <w:highlight w:val="none"/>
        </w:rPr>
        <w:t>中华人民共和国政府采购法</w:t>
      </w:r>
      <w:r>
        <w:rPr>
          <w:rFonts w:hint="eastAsia"/>
          <w:bCs/>
          <w:sz w:val="24"/>
          <w:highlight w:val="none"/>
        </w:rPr>
        <w:t>》及</w:t>
      </w:r>
      <w:r>
        <w:rPr>
          <w:kern w:val="0"/>
          <w:sz w:val="24"/>
          <w:highlight w:val="none"/>
        </w:rPr>
        <w:t>《中华人民共和国政府采购法</w:t>
      </w:r>
      <w:r>
        <w:rPr>
          <w:rFonts w:hint="eastAsia"/>
          <w:kern w:val="0"/>
          <w:sz w:val="24"/>
          <w:highlight w:val="none"/>
        </w:rPr>
        <w:t>实施条例</w:t>
      </w:r>
      <w:r>
        <w:rPr>
          <w:kern w:val="0"/>
          <w:sz w:val="24"/>
          <w:highlight w:val="none"/>
        </w:rPr>
        <w:t>》</w:t>
      </w:r>
      <w:r>
        <w:rPr>
          <w:rFonts w:hint="eastAsia"/>
          <w:kern w:val="0"/>
          <w:sz w:val="24"/>
          <w:highlight w:val="none"/>
        </w:rPr>
        <w:t>的供应商条件，我公司对此声明负全部法律责任。</w:t>
      </w:r>
    </w:p>
    <w:p>
      <w:pPr>
        <w:pStyle w:val="8"/>
        <w:snapToGrid w:val="0"/>
        <w:spacing w:line="600" w:lineRule="exact"/>
        <w:ind w:firstLine="480" w:firstLineChars="200"/>
        <w:rPr>
          <w:kern w:val="0"/>
          <w:sz w:val="24"/>
          <w:highlight w:val="none"/>
        </w:rPr>
      </w:pPr>
      <w:r>
        <w:rPr>
          <w:rFonts w:hint="eastAsia"/>
          <w:kern w:val="0"/>
          <w:sz w:val="24"/>
          <w:highlight w:val="none"/>
        </w:rPr>
        <w:t>特此承诺。</w:t>
      </w:r>
    </w:p>
    <w:p>
      <w:pPr>
        <w:pStyle w:val="8"/>
        <w:snapToGrid w:val="0"/>
        <w:spacing w:line="600" w:lineRule="exact"/>
        <w:rPr>
          <w:kern w:val="0"/>
          <w:sz w:val="24"/>
          <w:highlight w:val="none"/>
        </w:rPr>
      </w:pPr>
    </w:p>
    <w:p>
      <w:pPr>
        <w:pStyle w:val="8"/>
        <w:snapToGrid w:val="0"/>
        <w:spacing w:line="600" w:lineRule="exact"/>
        <w:ind w:firstLine="480" w:firstLineChars="200"/>
        <w:rPr>
          <w:kern w:val="0"/>
          <w:sz w:val="24"/>
          <w:highlight w:val="none"/>
          <w:u w:val="single"/>
        </w:rPr>
      </w:pPr>
      <w:r>
        <w:rPr>
          <w:rFonts w:hint="eastAsia"/>
          <w:kern w:val="0"/>
          <w:sz w:val="24"/>
          <w:highlight w:val="none"/>
        </w:rPr>
        <w:t>谈判供应商（加盖公章）：</w:t>
      </w:r>
    </w:p>
    <w:p>
      <w:pPr>
        <w:pStyle w:val="8"/>
        <w:snapToGrid w:val="0"/>
        <w:spacing w:line="600" w:lineRule="exact"/>
        <w:ind w:firstLine="480" w:firstLineChars="200"/>
        <w:rPr>
          <w:kern w:val="0"/>
          <w:sz w:val="24"/>
          <w:highlight w:val="none"/>
          <w:u w:val="single"/>
        </w:rPr>
      </w:pPr>
      <w:r>
        <w:rPr>
          <w:rFonts w:hint="eastAsia"/>
          <w:kern w:val="0"/>
          <w:sz w:val="24"/>
          <w:highlight w:val="none"/>
        </w:rPr>
        <w:t>法定代表人（负责人）或委托代理人（签字或签章）：</w:t>
      </w:r>
    </w:p>
    <w:p>
      <w:pPr>
        <w:pStyle w:val="8"/>
        <w:snapToGrid w:val="0"/>
        <w:spacing w:line="600" w:lineRule="exact"/>
        <w:ind w:firstLine="480" w:firstLineChars="200"/>
        <w:rPr>
          <w:kern w:val="0"/>
          <w:sz w:val="24"/>
          <w:highlight w:val="none"/>
        </w:rPr>
        <w:sectPr>
          <w:pgSz w:w="11906" w:h="16838"/>
          <w:pgMar w:top="1276" w:right="964" w:bottom="851" w:left="1134" w:header="720" w:footer="720" w:gutter="0"/>
          <w:cols w:space="720" w:num="1"/>
          <w:titlePg/>
          <w:docGrid w:linePitch="312" w:charSpace="0"/>
        </w:sectPr>
      </w:pPr>
      <w:r>
        <w:rPr>
          <w:rFonts w:hint="eastAsia"/>
          <w:kern w:val="0"/>
          <w:sz w:val="24"/>
          <w:highlight w:val="none"/>
        </w:rPr>
        <w:t>日期：    年  月  日</w:t>
      </w:r>
    </w:p>
    <w:p>
      <w:pPr>
        <w:spacing w:line="480" w:lineRule="exact"/>
        <w:jc w:val="center"/>
        <w:rPr>
          <w:rFonts w:asciiTheme="minorEastAsia" w:hAnsiTheme="minorEastAsia" w:eastAsiaTheme="minorEastAsia"/>
          <w:b/>
          <w:bCs/>
          <w:spacing w:val="14"/>
          <w:sz w:val="28"/>
          <w:szCs w:val="28"/>
          <w:highlight w:val="none"/>
        </w:rPr>
      </w:pPr>
      <w:r>
        <w:rPr>
          <w:rFonts w:hint="eastAsia" w:asciiTheme="minorEastAsia" w:hAnsiTheme="minorEastAsia" w:eastAsiaTheme="minorEastAsia"/>
          <w:b/>
          <w:bCs/>
          <w:spacing w:val="14"/>
          <w:sz w:val="28"/>
          <w:szCs w:val="28"/>
          <w:highlight w:val="none"/>
        </w:rPr>
        <w:t>技术规格偏离表（格式）</w:t>
      </w:r>
    </w:p>
    <w:p>
      <w:pPr>
        <w:pStyle w:val="5"/>
        <w:ind w:firstLine="0"/>
        <w:rPr>
          <w:highlight w:val="none"/>
        </w:rPr>
      </w:pPr>
    </w:p>
    <w:tbl>
      <w:tblPr>
        <w:tblStyle w:val="13"/>
        <w:tblW w:w="85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9"/>
        <w:gridCol w:w="1880"/>
        <w:gridCol w:w="2813"/>
        <w:gridCol w:w="2067"/>
        <w:gridCol w:w="1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89" w:type="dxa"/>
            <w:vMerge w:val="restart"/>
            <w:tcBorders>
              <w:top w:val="single" w:color="auto" w:sz="4" w:space="0"/>
              <w:left w:val="single" w:color="auto" w:sz="4" w:space="0"/>
              <w:right w:val="single" w:color="auto" w:sz="4" w:space="0"/>
            </w:tcBorders>
            <w:vAlign w:val="center"/>
          </w:tcPr>
          <w:p>
            <w:pPr>
              <w:widowControl/>
              <w:spacing w:before="100" w:beforeAutospacing="1" w:after="100" w:afterAutospacing="1" w:line="390" w:lineRule="atLeast"/>
              <w:jc w:val="center"/>
              <w:rPr>
                <w:rFonts w:ascii="宋体" w:hAnsi="宋体" w:cs="宋体"/>
                <w:b/>
                <w:kern w:val="0"/>
                <w:szCs w:val="21"/>
                <w:highlight w:val="none"/>
              </w:rPr>
            </w:pPr>
            <w:r>
              <w:rPr>
                <w:rFonts w:hint="eastAsia" w:ascii="宋体" w:hAnsi="宋体" w:cs="宋体"/>
                <w:kern w:val="0"/>
                <w:szCs w:val="21"/>
                <w:highlight w:val="none"/>
              </w:rPr>
              <w:t>序号</w:t>
            </w:r>
          </w:p>
        </w:tc>
        <w:tc>
          <w:tcPr>
            <w:tcW w:w="1880" w:type="dxa"/>
            <w:vMerge w:val="restart"/>
            <w:tcBorders>
              <w:top w:val="single" w:color="auto" w:sz="4" w:space="0"/>
              <w:left w:val="single" w:color="auto" w:sz="4" w:space="0"/>
              <w:right w:val="single" w:color="auto" w:sz="4" w:space="0"/>
            </w:tcBorders>
            <w:vAlign w:val="center"/>
          </w:tcPr>
          <w:p>
            <w:pPr>
              <w:pStyle w:val="22"/>
              <w:snapToGrid w:val="0"/>
              <w:jc w:val="center"/>
              <w:rPr>
                <w:rFonts w:hAnsi="宋体" w:cs="宋体"/>
                <w:b/>
                <w:kern w:val="0"/>
                <w:szCs w:val="21"/>
                <w:highlight w:val="none"/>
              </w:rPr>
            </w:pPr>
            <w:r>
              <w:rPr>
                <w:rStyle w:val="23"/>
                <w:rFonts w:hint="eastAsia" w:hAnsi="宋体"/>
                <w:szCs w:val="21"/>
                <w:highlight w:val="none"/>
              </w:rPr>
              <w:t>采购内容</w:t>
            </w:r>
          </w:p>
        </w:tc>
        <w:tc>
          <w:tcPr>
            <w:tcW w:w="2813" w:type="dxa"/>
            <w:vMerge w:val="restart"/>
            <w:tcBorders>
              <w:top w:val="single" w:color="auto" w:sz="4" w:space="0"/>
              <w:left w:val="single" w:color="auto" w:sz="4" w:space="0"/>
              <w:right w:val="single" w:color="auto" w:sz="4" w:space="0"/>
            </w:tcBorders>
            <w:vAlign w:val="center"/>
          </w:tcPr>
          <w:p>
            <w:pPr>
              <w:pStyle w:val="22"/>
              <w:snapToGrid w:val="0"/>
              <w:jc w:val="center"/>
              <w:rPr>
                <w:rFonts w:hAnsi="宋体" w:cs="宋体"/>
                <w:b/>
                <w:kern w:val="0"/>
                <w:szCs w:val="21"/>
                <w:highlight w:val="none"/>
              </w:rPr>
            </w:pPr>
            <w:r>
              <w:rPr>
                <w:rStyle w:val="23"/>
                <w:rFonts w:hint="eastAsia" w:hAnsi="宋体"/>
                <w:szCs w:val="21"/>
                <w:highlight w:val="none"/>
              </w:rPr>
              <w:t>原技术规范主要条款要求</w:t>
            </w:r>
          </w:p>
        </w:tc>
        <w:tc>
          <w:tcPr>
            <w:tcW w:w="2067" w:type="dxa"/>
            <w:vMerge w:val="restart"/>
            <w:tcBorders>
              <w:top w:val="single" w:color="auto" w:sz="4" w:space="0"/>
              <w:left w:val="single" w:color="auto" w:sz="4" w:space="0"/>
              <w:right w:val="single" w:color="auto" w:sz="4" w:space="0"/>
            </w:tcBorders>
            <w:vAlign w:val="center"/>
          </w:tcPr>
          <w:p>
            <w:pPr>
              <w:pStyle w:val="22"/>
              <w:snapToGrid w:val="0"/>
              <w:jc w:val="center"/>
              <w:rPr>
                <w:rFonts w:hAnsi="宋体" w:cs="宋体"/>
                <w:kern w:val="0"/>
                <w:szCs w:val="21"/>
                <w:highlight w:val="none"/>
              </w:rPr>
            </w:pPr>
            <w:r>
              <w:rPr>
                <w:rStyle w:val="23"/>
                <w:rFonts w:hint="eastAsia" w:hAnsi="宋体"/>
                <w:szCs w:val="21"/>
                <w:highlight w:val="none"/>
              </w:rPr>
              <w:t>响应文件具体响应</w:t>
            </w:r>
          </w:p>
        </w:tc>
        <w:tc>
          <w:tcPr>
            <w:tcW w:w="1105" w:type="dxa"/>
            <w:vMerge w:val="restart"/>
            <w:tcBorders>
              <w:top w:val="single" w:color="auto" w:sz="4" w:space="0"/>
              <w:left w:val="single" w:color="auto" w:sz="4" w:space="0"/>
              <w:right w:val="single" w:color="auto" w:sz="4" w:space="0"/>
            </w:tcBorders>
            <w:vAlign w:val="center"/>
          </w:tcPr>
          <w:p>
            <w:pPr>
              <w:widowControl/>
              <w:spacing w:before="100" w:beforeAutospacing="1" w:after="100" w:afterAutospacing="1" w:line="390" w:lineRule="atLeast"/>
              <w:jc w:val="center"/>
              <w:rPr>
                <w:rFonts w:ascii="宋体" w:hAnsi="宋体" w:cs="宋体"/>
                <w:b/>
                <w:kern w:val="0"/>
                <w:szCs w:val="21"/>
                <w:highlight w:val="none"/>
              </w:rPr>
            </w:pPr>
            <w:r>
              <w:rPr>
                <w:rFonts w:hint="eastAsia" w:ascii="宋体" w:hAnsi="宋体" w:cs="宋体"/>
                <w:kern w:val="0"/>
                <w:szCs w:val="21"/>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jc w:val="center"/>
        </w:trPr>
        <w:tc>
          <w:tcPr>
            <w:tcW w:w="689" w:type="dxa"/>
            <w:vMerge w:val="continue"/>
            <w:tcBorders>
              <w:left w:val="single" w:color="auto" w:sz="4" w:space="0"/>
              <w:bottom w:val="single" w:color="auto" w:sz="4" w:space="0"/>
              <w:right w:val="single" w:color="auto" w:sz="4" w:space="0"/>
            </w:tcBorders>
            <w:vAlign w:val="center"/>
          </w:tcPr>
          <w:p>
            <w:pPr>
              <w:widowControl/>
              <w:spacing w:before="100" w:beforeAutospacing="1" w:after="100" w:afterAutospacing="1" w:line="390" w:lineRule="atLeast"/>
              <w:jc w:val="center"/>
              <w:rPr>
                <w:rFonts w:ascii="宋体" w:hAnsi="宋体" w:cs="宋体"/>
                <w:kern w:val="0"/>
                <w:szCs w:val="21"/>
                <w:highlight w:val="none"/>
              </w:rPr>
            </w:pPr>
          </w:p>
        </w:tc>
        <w:tc>
          <w:tcPr>
            <w:tcW w:w="1880" w:type="dxa"/>
            <w:vMerge w:val="continue"/>
            <w:tcBorders>
              <w:left w:val="single" w:color="auto" w:sz="4" w:space="0"/>
              <w:bottom w:val="single" w:color="auto" w:sz="4" w:space="0"/>
              <w:right w:val="single" w:color="auto" w:sz="4" w:space="0"/>
            </w:tcBorders>
            <w:vAlign w:val="center"/>
          </w:tcPr>
          <w:p>
            <w:pPr>
              <w:widowControl/>
              <w:spacing w:before="100" w:beforeAutospacing="1" w:after="100" w:afterAutospacing="1" w:line="390" w:lineRule="atLeast"/>
              <w:jc w:val="center"/>
              <w:rPr>
                <w:rFonts w:hAnsi="宋体"/>
                <w:highlight w:val="none"/>
              </w:rPr>
            </w:pPr>
          </w:p>
        </w:tc>
        <w:tc>
          <w:tcPr>
            <w:tcW w:w="2813" w:type="dxa"/>
            <w:vMerge w:val="continue"/>
            <w:tcBorders>
              <w:left w:val="single" w:color="auto" w:sz="4" w:space="0"/>
              <w:bottom w:val="single" w:color="auto" w:sz="4" w:space="0"/>
              <w:right w:val="single" w:color="auto" w:sz="4" w:space="0"/>
            </w:tcBorders>
            <w:vAlign w:val="center"/>
          </w:tcPr>
          <w:p>
            <w:pPr>
              <w:widowControl/>
              <w:spacing w:before="100" w:beforeAutospacing="1" w:after="100" w:afterAutospacing="1" w:line="390" w:lineRule="atLeast"/>
              <w:jc w:val="center"/>
              <w:rPr>
                <w:rFonts w:ascii="宋体" w:hAnsi="宋体" w:cs="宋体"/>
                <w:kern w:val="0"/>
                <w:szCs w:val="21"/>
                <w:highlight w:val="none"/>
              </w:rPr>
            </w:pPr>
          </w:p>
        </w:tc>
        <w:tc>
          <w:tcPr>
            <w:tcW w:w="2067" w:type="dxa"/>
            <w:vMerge w:val="continue"/>
            <w:tcBorders>
              <w:left w:val="single" w:color="auto" w:sz="4" w:space="0"/>
              <w:bottom w:val="single" w:color="auto" w:sz="4" w:space="0"/>
              <w:right w:val="single" w:color="auto" w:sz="4" w:space="0"/>
            </w:tcBorders>
          </w:tcPr>
          <w:p>
            <w:pPr>
              <w:widowControl/>
              <w:spacing w:before="100" w:beforeAutospacing="1" w:after="100" w:afterAutospacing="1" w:line="390" w:lineRule="atLeast"/>
              <w:jc w:val="center"/>
              <w:rPr>
                <w:rFonts w:ascii="宋体" w:hAnsi="宋体" w:cs="宋体"/>
                <w:kern w:val="0"/>
                <w:szCs w:val="21"/>
                <w:highlight w:val="none"/>
              </w:rPr>
            </w:pPr>
          </w:p>
        </w:tc>
        <w:tc>
          <w:tcPr>
            <w:tcW w:w="1105" w:type="dxa"/>
            <w:vMerge w:val="continue"/>
            <w:tcBorders>
              <w:left w:val="single" w:color="auto" w:sz="4" w:space="0"/>
              <w:bottom w:val="single" w:color="auto" w:sz="4" w:space="0"/>
              <w:right w:val="single" w:color="auto" w:sz="4" w:space="0"/>
            </w:tcBorders>
            <w:vAlign w:val="center"/>
          </w:tcPr>
          <w:p>
            <w:pPr>
              <w:widowControl/>
              <w:spacing w:before="100" w:beforeAutospacing="1" w:after="100" w:afterAutospacing="1" w:line="390" w:lineRule="atLeast"/>
              <w:jc w:val="cente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689" w:type="dxa"/>
            <w:tcBorders>
              <w:top w:val="single" w:color="auto" w:sz="4" w:space="0"/>
              <w:left w:val="single" w:color="auto" w:sz="4" w:space="0"/>
              <w:bottom w:val="single" w:color="auto" w:sz="4" w:space="0"/>
              <w:right w:val="single" w:color="auto" w:sz="4" w:space="0"/>
            </w:tcBorders>
            <w:vAlign w:val="center"/>
          </w:tcPr>
          <w:p>
            <w:pPr>
              <w:pStyle w:val="22"/>
              <w:snapToGrid w:val="0"/>
              <w:jc w:val="center"/>
              <w:rPr>
                <w:rFonts w:hAnsi="宋体" w:cs="宋体"/>
                <w:kern w:val="0"/>
                <w:szCs w:val="21"/>
                <w:highlight w:val="none"/>
              </w:rPr>
            </w:pPr>
            <w:r>
              <w:rPr>
                <w:rStyle w:val="23"/>
                <w:rFonts w:hAnsi="宋体"/>
                <w:szCs w:val="21"/>
                <w:highlight w:val="none"/>
              </w:rPr>
              <w:t>1</w:t>
            </w:r>
          </w:p>
        </w:tc>
        <w:tc>
          <w:tcPr>
            <w:tcW w:w="188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90" w:lineRule="atLeast"/>
              <w:jc w:val="center"/>
              <w:rPr>
                <w:rFonts w:ascii="宋体" w:hAnsi="宋体" w:cs="宋体"/>
                <w:kern w:val="0"/>
                <w:szCs w:val="21"/>
                <w:highlight w:val="none"/>
              </w:rPr>
            </w:pPr>
          </w:p>
        </w:tc>
        <w:tc>
          <w:tcPr>
            <w:tcW w:w="2813"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90" w:lineRule="atLeast"/>
              <w:jc w:val="center"/>
              <w:rPr>
                <w:rFonts w:ascii="宋体" w:hAnsi="宋体" w:cs="宋体"/>
                <w:kern w:val="0"/>
                <w:szCs w:val="21"/>
                <w:highlight w:val="none"/>
              </w:rPr>
            </w:pPr>
          </w:p>
        </w:tc>
        <w:tc>
          <w:tcPr>
            <w:tcW w:w="2067"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90" w:lineRule="atLeast"/>
              <w:jc w:val="center"/>
              <w:rPr>
                <w:rFonts w:ascii="宋体" w:hAnsi="宋体" w:cs="宋体"/>
                <w:kern w:val="0"/>
                <w:szCs w:val="21"/>
                <w:highlight w:val="none"/>
              </w:rPr>
            </w:pP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90" w:lineRule="atLeast"/>
              <w:jc w:val="cente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689" w:type="dxa"/>
            <w:tcBorders>
              <w:top w:val="single" w:color="auto" w:sz="4" w:space="0"/>
              <w:left w:val="single" w:color="auto" w:sz="4" w:space="0"/>
              <w:bottom w:val="single" w:color="auto" w:sz="4" w:space="0"/>
              <w:right w:val="single" w:color="auto" w:sz="4" w:space="0"/>
            </w:tcBorders>
            <w:vAlign w:val="center"/>
          </w:tcPr>
          <w:p>
            <w:pPr>
              <w:pStyle w:val="22"/>
              <w:snapToGrid w:val="0"/>
              <w:jc w:val="center"/>
              <w:rPr>
                <w:rFonts w:hAnsi="宋体" w:cs="宋体"/>
                <w:kern w:val="0"/>
                <w:szCs w:val="21"/>
                <w:highlight w:val="none"/>
              </w:rPr>
            </w:pPr>
            <w:r>
              <w:rPr>
                <w:rStyle w:val="23"/>
                <w:rFonts w:hAnsi="宋体"/>
                <w:szCs w:val="21"/>
                <w:highlight w:val="none"/>
              </w:rPr>
              <w:t>2</w:t>
            </w:r>
          </w:p>
        </w:tc>
        <w:tc>
          <w:tcPr>
            <w:tcW w:w="188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90" w:lineRule="atLeast"/>
              <w:jc w:val="center"/>
              <w:rPr>
                <w:rFonts w:ascii="宋体" w:hAnsi="宋体" w:cs="宋体"/>
                <w:kern w:val="0"/>
                <w:szCs w:val="21"/>
                <w:highlight w:val="none"/>
              </w:rPr>
            </w:pPr>
          </w:p>
        </w:tc>
        <w:tc>
          <w:tcPr>
            <w:tcW w:w="2813"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90" w:lineRule="atLeast"/>
              <w:jc w:val="center"/>
              <w:rPr>
                <w:rFonts w:ascii="宋体" w:hAnsi="宋体" w:cs="宋体"/>
                <w:kern w:val="0"/>
                <w:szCs w:val="21"/>
                <w:highlight w:val="none"/>
              </w:rPr>
            </w:pPr>
          </w:p>
        </w:tc>
        <w:tc>
          <w:tcPr>
            <w:tcW w:w="2067"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90" w:lineRule="atLeast"/>
              <w:jc w:val="center"/>
              <w:rPr>
                <w:rFonts w:ascii="宋体" w:hAnsi="宋体" w:cs="宋体"/>
                <w:kern w:val="0"/>
                <w:szCs w:val="21"/>
                <w:highlight w:val="none"/>
              </w:rPr>
            </w:pP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90" w:lineRule="atLeast"/>
              <w:jc w:val="cente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689" w:type="dxa"/>
            <w:tcBorders>
              <w:top w:val="single" w:color="auto" w:sz="4" w:space="0"/>
              <w:left w:val="single" w:color="auto" w:sz="4" w:space="0"/>
              <w:bottom w:val="single" w:color="auto" w:sz="4" w:space="0"/>
              <w:right w:val="single" w:color="auto" w:sz="4" w:space="0"/>
            </w:tcBorders>
            <w:vAlign w:val="center"/>
          </w:tcPr>
          <w:p>
            <w:pPr>
              <w:pStyle w:val="22"/>
              <w:snapToGrid w:val="0"/>
              <w:jc w:val="center"/>
              <w:rPr>
                <w:rFonts w:hAnsi="宋体" w:cs="宋体"/>
                <w:kern w:val="0"/>
                <w:szCs w:val="21"/>
                <w:highlight w:val="none"/>
              </w:rPr>
            </w:pPr>
            <w:r>
              <w:rPr>
                <w:rStyle w:val="23"/>
                <w:rFonts w:hAnsi="宋体"/>
                <w:szCs w:val="21"/>
                <w:highlight w:val="none"/>
              </w:rPr>
              <w:t>3</w:t>
            </w:r>
          </w:p>
        </w:tc>
        <w:tc>
          <w:tcPr>
            <w:tcW w:w="188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90" w:lineRule="atLeast"/>
              <w:jc w:val="center"/>
              <w:rPr>
                <w:rFonts w:ascii="宋体" w:hAnsi="宋体" w:cs="宋体"/>
                <w:kern w:val="0"/>
                <w:szCs w:val="21"/>
                <w:highlight w:val="none"/>
              </w:rPr>
            </w:pPr>
          </w:p>
        </w:tc>
        <w:tc>
          <w:tcPr>
            <w:tcW w:w="2813"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90" w:lineRule="atLeast"/>
              <w:jc w:val="center"/>
              <w:rPr>
                <w:rFonts w:ascii="宋体" w:hAnsi="宋体" w:cs="宋体"/>
                <w:kern w:val="0"/>
                <w:szCs w:val="21"/>
                <w:highlight w:val="none"/>
              </w:rPr>
            </w:pPr>
          </w:p>
        </w:tc>
        <w:tc>
          <w:tcPr>
            <w:tcW w:w="2067"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90" w:lineRule="atLeast"/>
              <w:jc w:val="center"/>
              <w:rPr>
                <w:rFonts w:ascii="宋体" w:hAnsi="宋体" w:cs="宋体"/>
                <w:kern w:val="0"/>
                <w:szCs w:val="21"/>
                <w:highlight w:val="none"/>
              </w:rPr>
            </w:pP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90" w:lineRule="atLeast"/>
              <w:jc w:val="cente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689" w:type="dxa"/>
            <w:tcBorders>
              <w:top w:val="single" w:color="auto" w:sz="4" w:space="0"/>
              <w:left w:val="single" w:color="auto" w:sz="4" w:space="0"/>
              <w:bottom w:val="single" w:color="auto" w:sz="4" w:space="0"/>
              <w:right w:val="single" w:color="auto" w:sz="4" w:space="0"/>
            </w:tcBorders>
            <w:vAlign w:val="center"/>
          </w:tcPr>
          <w:p>
            <w:pPr>
              <w:pStyle w:val="22"/>
              <w:snapToGrid w:val="0"/>
              <w:jc w:val="center"/>
              <w:rPr>
                <w:rFonts w:hAnsi="宋体" w:cs="宋体"/>
                <w:kern w:val="0"/>
                <w:szCs w:val="21"/>
                <w:highlight w:val="none"/>
              </w:rPr>
            </w:pPr>
            <w:r>
              <w:rPr>
                <w:rStyle w:val="23"/>
                <w:rFonts w:hAnsi="宋体"/>
                <w:szCs w:val="21"/>
                <w:highlight w:val="none"/>
              </w:rPr>
              <w:t>4</w:t>
            </w:r>
          </w:p>
        </w:tc>
        <w:tc>
          <w:tcPr>
            <w:tcW w:w="188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90" w:lineRule="atLeast"/>
              <w:jc w:val="center"/>
              <w:rPr>
                <w:rFonts w:ascii="宋体" w:hAnsi="宋体" w:cs="宋体"/>
                <w:kern w:val="0"/>
                <w:szCs w:val="21"/>
                <w:highlight w:val="none"/>
              </w:rPr>
            </w:pPr>
          </w:p>
        </w:tc>
        <w:tc>
          <w:tcPr>
            <w:tcW w:w="2813"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90" w:lineRule="atLeast"/>
              <w:jc w:val="center"/>
              <w:rPr>
                <w:rFonts w:ascii="宋体" w:hAnsi="宋体" w:cs="宋体"/>
                <w:kern w:val="0"/>
                <w:szCs w:val="21"/>
                <w:highlight w:val="none"/>
              </w:rPr>
            </w:pPr>
          </w:p>
        </w:tc>
        <w:tc>
          <w:tcPr>
            <w:tcW w:w="2067"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90" w:lineRule="atLeast"/>
              <w:jc w:val="center"/>
              <w:rPr>
                <w:rFonts w:ascii="宋体" w:hAnsi="宋体" w:cs="宋体"/>
                <w:kern w:val="0"/>
                <w:szCs w:val="21"/>
                <w:highlight w:val="none"/>
              </w:rPr>
            </w:pP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90" w:lineRule="atLeast"/>
              <w:jc w:val="cente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689" w:type="dxa"/>
            <w:tcBorders>
              <w:top w:val="single" w:color="auto" w:sz="4" w:space="0"/>
              <w:left w:val="single" w:color="auto" w:sz="4" w:space="0"/>
              <w:bottom w:val="single" w:color="auto" w:sz="4" w:space="0"/>
              <w:right w:val="single" w:color="auto" w:sz="4" w:space="0"/>
            </w:tcBorders>
            <w:vAlign w:val="center"/>
          </w:tcPr>
          <w:p>
            <w:pPr>
              <w:pStyle w:val="22"/>
              <w:snapToGrid w:val="0"/>
              <w:jc w:val="center"/>
              <w:rPr>
                <w:rFonts w:hAnsi="宋体" w:cs="宋体"/>
                <w:kern w:val="0"/>
                <w:szCs w:val="21"/>
                <w:highlight w:val="none"/>
              </w:rPr>
            </w:pPr>
            <w:r>
              <w:rPr>
                <w:rStyle w:val="23"/>
                <w:rFonts w:hAnsi="宋体"/>
                <w:szCs w:val="21"/>
                <w:highlight w:val="none"/>
              </w:rPr>
              <w:t>5</w:t>
            </w:r>
          </w:p>
        </w:tc>
        <w:tc>
          <w:tcPr>
            <w:tcW w:w="188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90" w:lineRule="atLeast"/>
              <w:jc w:val="center"/>
              <w:rPr>
                <w:rFonts w:ascii="宋体" w:hAnsi="宋体" w:cs="宋体"/>
                <w:kern w:val="0"/>
                <w:szCs w:val="21"/>
                <w:highlight w:val="none"/>
              </w:rPr>
            </w:pPr>
          </w:p>
        </w:tc>
        <w:tc>
          <w:tcPr>
            <w:tcW w:w="2813"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90" w:lineRule="atLeast"/>
              <w:jc w:val="center"/>
              <w:rPr>
                <w:rFonts w:ascii="宋体" w:hAnsi="宋体" w:cs="宋体"/>
                <w:kern w:val="0"/>
                <w:szCs w:val="21"/>
                <w:highlight w:val="none"/>
              </w:rPr>
            </w:pPr>
          </w:p>
        </w:tc>
        <w:tc>
          <w:tcPr>
            <w:tcW w:w="2067"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90" w:lineRule="atLeast"/>
              <w:jc w:val="center"/>
              <w:rPr>
                <w:rFonts w:ascii="宋体" w:hAnsi="宋体" w:cs="宋体"/>
                <w:kern w:val="0"/>
                <w:szCs w:val="21"/>
                <w:highlight w:val="none"/>
              </w:rPr>
            </w:pP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90" w:lineRule="atLeast"/>
              <w:jc w:val="cente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689" w:type="dxa"/>
            <w:tcBorders>
              <w:top w:val="single" w:color="auto" w:sz="4" w:space="0"/>
              <w:left w:val="single" w:color="auto" w:sz="4" w:space="0"/>
              <w:bottom w:val="single" w:color="auto" w:sz="4" w:space="0"/>
              <w:right w:val="single" w:color="auto" w:sz="4" w:space="0"/>
            </w:tcBorders>
            <w:vAlign w:val="center"/>
          </w:tcPr>
          <w:p>
            <w:pPr>
              <w:pStyle w:val="22"/>
              <w:snapToGrid w:val="0"/>
              <w:jc w:val="center"/>
              <w:rPr>
                <w:rFonts w:hAnsi="宋体" w:cs="宋体"/>
                <w:kern w:val="0"/>
                <w:szCs w:val="21"/>
                <w:highlight w:val="none"/>
              </w:rPr>
            </w:pPr>
            <w:r>
              <w:rPr>
                <w:rStyle w:val="23"/>
                <w:rFonts w:hint="eastAsia" w:hAnsi="宋体"/>
                <w:szCs w:val="21"/>
                <w:highlight w:val="none"/>
              </w:rPr>
              <w:t>…</w:t>
            </w:r>
          </w:p>
        </w:tc>
        <w:tc>
          <w:tcPr>
            <w:tcW w:w="188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90" w:lineRule="atLeast"/>
              <w:jc w:val="center"/>
              <w:rPr>
                <w:rFonts w:ascii="宋体" w:hAnsi="宋体" w:cs="宋体"/>
                <w:kern w:val="0"/>
                <w:szCs w:val="21"/>
                <w:highlight w:val="none"/>
              </w:rPr>
            </w:pPr>
          </w:p>
        </w:tc>
        <w:tc>
          <w:tcPr>
            <w:tcW w:w="2813"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90" w:lineRule="atLeast"/>
              <w:jc w:val="center"/>
              <w:rPr>
                <w:rFonts w:ascii="宋体" w:hAnsi="宋体" w:cs="宋体"/>
                <w:kern w:val="0"/>
                <w:szCs w:val="21"/>
                <w:highlight w:val="none"/>
              </w:rPr>
            </w:pPr>
          </w:p>
        </w:tc>
        <w:tc>
          <w:tcPr>
            <w:tcW w:w="2067"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90" w:lineRule="atLeast"/>
              <w:jc w:val="center"/>
              <w:rPr>
                <w:rFonts w:ascii="宋体" w:hAnsi="宋体" w:cs="宋体"/>
                <w:kern w:val="0"/>
                <w:szCs w:val="21"/>
                <w:highlight w:val="none"/>
              </w:rPr>
            </w:pP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90" w:lineRule="atLeast"/>
              <w:jc w:val="center"/>
              <w:rPr>
                <w:rFonts w:ascii="宋体" w:hAnsi="宋体" w:cs="宋体"/>
                <w:kern w:val="0"/>
                <w:szCs w:val="21"/>
                <w:highlight w:val="none"/>
              </w:rPr>
            </w:pPr>
          </w:p>
        </w:tc>
      </w:tr>
    </w:tbl>
    <w:p>
      <w:pPr>
        <w:rPr>
          <w:highlight w:val="none"/>
        </w:rPr>
      </w:pPr>
    </w:p>
    <w:p>
      <w:pPr>
        <w:rPr>
          <w:highlight w:val="none"/>
        </w:rPr>
      </w:pPr>
    </w:p>
    <w:p>
      <w:pPr>
        <w:rPr>
          <w:highlight w:val="none"/>
        </w:rPr>
      </w:pPr>
    </w:p>
    <w:p>
      <w:pPr>
        <w:rPr>
          <w:highlight w:val="none"/>
        </w:rPr>
      </w:pPr>
    </w:p>
    <w:p>
      <w:pPr>
        <w:ind w:firstLine="3685" w:firstLineChars="1755"/>
        <w:rPr>
          <w:highlight w:val="none"/>
          <w:u w:val="single"/>
        </w:rPr>
      </w:pPr>
      <w:r>
        <w:rPr>
          <w:rFonts w:hint="eastAsia"/>
          <w:highlight w:val="none"/>
        </w:rPr>
        <w:t>供应商名称（加盖公章）：</w:t>
      </w:r>
    </w:p>
    <w:p>
      <w:pPr>
        <w:ind w:firstLine="4498" w:firstLineChars="2142"/>
        <w:rPr>
          <w:highlight w:val="none"/>
        </w:rPr>
      </w:pPr>
    </w:p>
    <w:p>
      <w:pPr>
        <w:ind w:firstLine="3685" w:firstLineChars="1755"/>
        <w:rPr>
          <w:highlight w:val="none"/>
          <w:u w:val="single"/>
        </w:rPr>
      </w:pPr>
      <w:r>
        <w:rPr>
          <w:rFonts w:hint="eastAsia"/>
          <w:highlight w:val="none"/>
        </w:rPr>
        <w:t>法定代表人（负责人）或委托代理人（签字或签章）：</w:t>
      </w:r>
    </w:p>
    <w:p>
      <w:pPr>
        <w:rPr>
          <w:highlight w:val="none"/>
          <w:u w:val="single"/>
        </w:rPr>
      </w:pPr>
    </w:p>
    <w:p>
      <w:pPr>
        <w:rPr>
          <w:highlight w:val="none"/>
          <w:u w:val="single"/>
        </w:rPr>
      </w:pPr>
    </w:p>
    <w:p>
      <w:pPr>
        <w:rPr>
          <w:highlight w:val="none"/>
        </w:rPr>
      </w:pPr>
    </w:p>
    <w:p>
      <w:pPr>
        <w:spacing w:line="360" w:lineRule="auto"/>
        <w:ind w:left="424" w:hanging="424" w:hangingChars="202"/>
        <w:rPr>
          <w:rFonts w:asciiTheme="minorEastAsia" w:hAnsiTheme="minorEastAsia" w:eastAsiaTheme="minorEastAsia"/>
          <w:highlight w:val="none"/>
        </w:rPr>
      </w:pPr>
      <w:r>
        <w:rPr>
          <w:rFonts w:hint="eastAsia" w:asciiTheme="minorEastAsia" w:hAnsiTheme="minorEastAsia" w:eastAsiaTheme="minorEastAsia"/>
          <w:highlight w:val="none"/>
        </w:rPr>
        <w:t>注：1、</w:t>
      </w:r>
      <w:r>
        <w:rPr>
          <w:rFonts w:hint="eastAsia"/>
          <w:highlight w:val="none"/>
          <w:lang w:val="en-GB"/>
        </w:rPr>
        <w:t>请按照“第三章项目需求”技术要求填写，</w:t>
      </w:r>
      <w:r>
        <w:rPr>
          <w:rFonts w:hint="eastAsia" w:asciiTheme="minorEastAsia" w:hAnsiTheme="minorEastAsia" w:eastAsiaTheme="minorEastAsia"/>
          <w:highlight w:val="none"/>
        </w:rPr>
        <w:t>此表可根据需要延伸，详细写明参数。</w:t>
      </w:r>
    </w:p>
    <w:p>
      <w:pPr>
        <w:spacing w:line="360" w:lineRule="auto"/>
        <w:ind w:left="424" w:hanging="424" w:hangingChars="202"/>
        <w:rPr>
          <w:rFonts w:asciiTheme="minorEastAsia" w:hAnsiTheme="minorEastAsia" w:eastAsiaTheme="minorEastAsia"/>
          <w:highlight w:val="none"/>
        </w:rPr>
      </w:pPr>
      <w:r>
        <w:rPr>
          <w:rFonts w:hint="eastAsia" w:asciiTheme="minorEastAsia" w:hAnsiTheme="minorEastAsia" w:eastAsiaTheme="minorEastAsia"/>
          <w:highlight w:val="none"/>
        </w:rPr>
        <w:t>2、供应商必须如实填写不得留空，否则因虚假应标作谈判无效处理。</w:t>
      </w:r>
    </w:p>
    <w:p>
      <w:pPr>
        <w:spacing w:line="360" w:lineRule="auto"/>
        <w:ind w:left="424" w:hanging="424" w:hangingChars="202"/>
        <w:rPr>
          <w:rFonts w:asciiTheme="minorEastAsia" w:hAnsiTheme="minorEastAsia" w:eastAsiaTheme="minorEastAsia"/>
          <w:highlight w:val="none"/>
        </w:rPr>
      </w:pPr>
      <w:r>
        <w:rPr>
          <w:rFonts w:hint="eastAsia" w:asciiTheme="minorEastAsia" w:hAnsiTheme="minorEastAsia" w:eastAsiaTheme="minorEastAsia"/>
          <w:highlight w:val="none"/>
        </w:rPr>
        <w:t>3、附针对本项目所竞标货物的主要技术要求、参数及性能说明的资料图片，当竞标参数与厂家提供的产品参数、检测内容不一致时，以厂家提供的原件为准（此项如有请提供）。</w:t>
      </w:r>
    </w:p>
    <w:p>
      <w:pPr>
        <w:pStyle w:val="8"/>
        <w:spacing w:line="600" w:lineRule="exact"/>
        <w:jc w:val="center"/>
        <w:rPr>
          <w:rFonts w:asciiTheme="minorEastAsia" w:hAnsiTheme="minorEastAsia" w:eastAsiaTheme="minorEastAsia"/>
          <w:highlight w:val="none"/>
        </w:rPr>
      </w:pPr>
    </w:p>
    <w:p>
      <w:pPr>
        <w:pStyle w:val="8"/>
        <w:spacing w:line="600" w:lineRule="exact"/>
        <w:jc w:val="center"/>
        <w:rPr>
          <w:rFonts w:asciiTheme="minorEastAsia" w:hAnsiTheme="minorEastAsia" w:eastAsiaTheme="minorEastAsia"/>
          <w:highlight w:val="none"/>
        </w:rPr>
      </w:pPr>
    </w:p>
    <w:p>
      <w:pPr>
        <w:pStyle w:val="8"/>
        <w:spacing w:line="600" w:lineRule="exact"/>
        <w:jc w:val="center"/>
        <w:rPr>
          <w:rFonts w:asciiTheme="minorEastAsia" w:hAnsiTheme="minorEastAsia" w:eastAsiaTheme="minorEastAsia"/>
          <w:highlight w:val="none"/>
        </w:rPr>
      </w:pPr>
    </w:p>
    <w:p>
      <w:pPr>
        <w:pStyle w:val="8"/>
        <w:spacing w:line="600" w:lineRule="exact"/>
        <w:jc w:val="center"/>
        <w:rPr>
          <w:rFonts w:asciiTheme="minorEastAsia" w:hAnsiTheme="minorEastAsia" w:eastAsiaTheme="minorEastAsia"/>
          <w:highlight w:val="none"/>
        </w:rPr>
      </w:pPr>
    </w:p>
    <w:p>
      <w:pPr>
        <w:pStyle w:val="8"/>
        <w:spacing w:line="600" w:lineRule="exact"/>
        <w:jc w:val="center"/>
        <w:rPr>
          <w:rFonts w:asciiTheme="minorEastAsia" w:hAnsiTheme="minorEastAsia" w:eastAsiaTheme="minorEastAsia"/>
          <w:highlight w:val="none"/>
        </w:rPr>
      </w:pPr>
    </w:p>
    <w:p>
      <w:pPr>
        <w:pStyle w:val="8"/>
        <w:spacing w:line="600" w:lineRule="exact"/>
        <w:jc w:val="center"/>
        <w:rPr>
          <w:rFonts w:asciiTheme="minorEastAsia" w:hAnsiTheme="minorEastAsia" w:eastAsiaTheme="minorEastAsia"/>
          <w:highlight w:val="none"/>
        </w:rPr>
      </w:pPr>
    </w:p>
    <w:p>
      <w:pPr>
        <w:pStyle w:val="8"/>
        <w:spacing w:line="600" w:lineRule="exact"/>
        <w:jc w:val="center"/>
        <w:rPr>
          <w:rFonts w:asciiTheme="minorEastAsia" w:hAnsiTheme="minorEastAsia" w:eastAsiaTheme="minorEastAsia"/>
          <w:highlight w:val="none"/>
        </w:rPr>
      </w:pPr>
    </w:p>
    <w:p>
      <w:pPr>
        <w:pStyle w:val="8"/>
        <w:spacing w:line="600" w:lineRule="exact"/>
        <w:jc w:val="center"/>
        <w:rPr>
          <w:b/>
          <w:bCs/>
          <w:sz w:val="28"/>
          <w:szCs w:val="28"/>
          <w:highlight w:val="none"/>
        </w:rPr>
      </w:pPr>
      <w:r>
        <w:rPr>
          <w:rFonts w:hint="eastAsia"/>
          <w:b/>
          <w:bCs/>
          <w:sz w:val="28"/>
          <w:szCs w:val="28"/>
          <w:highlight w:val="none"/>
        </w:rPr>
        <w:t>商务条款偏离表（格式）</w:t>
      </w:r>
    </w:p>
    <w:p>
      <w:pPr>
        <w:pStyle w:val="8"/>
        <w:ind w:firstLine="420"/>
        <w:rPr>
          <w:b/>
          <w:bCs/>
          <w:sz w:val="28"/>
          <w:szCs w:val="28"/>
          <w:highlight w:val="none"/>
        </w:rPr>
      </w:pPr>
    </w:p>
    <w:tbl>
      <w:tblPr>
        <w:tblStyle w:val="13"/>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4"/>
        <w:gridCol w:w="4227"/>
        <w:gridCol w:w="2386"/>
        <w:gridCol w:w="1187"/>
        <w:gridCol w:w="1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424" w:type="dxa"/>
            <w:tcBorders>
              <w:top w:val="single" w:color="auto" w:sz="4" w:space="0"/>
              <w:left w:val="single" w:color="auto" w:sz="4" w:space="0"/>
              <w:bottom w:val="single" w:color="auto" w:sz="4" w:space="0"/>
              <w:right w:val="single" w:color="auto" w:sz="4" w:space="0"/>
            </w:tcBorders>
            <w:vAlign w:val="center"/>
          </w:tcPr>
          <w:p>
            <w:pPr>
              <w:pStyle w:val="8"/>
              <w:jc w:val="center"/>
              <w:rPr>
                <w:b/>
                <w:szCs w:val="21"/>
                <w:highlight w:val="none"/>
              </w:rPr>
            </w:pPr>
            <w:r>
              <w:rPr>
                <w:rFonts w:hint="eastAsia"/>
                <w:b/>
                <w:szCs w:val="21"/>
                <w:highlight w:val="none"/>
              </w:rPr>
              <w:t>序号</w:t>
            </w:r>
          </w:p>
        </w:tc>
        <w:tc>
          <w:tcPr>
            <w:tcW w:w="4227" w:type="dxa"/>
            <w:tcBorders>
              <w:top w:val="single" w:color="auto" w:sz="4" w:space="0"/>
              <w:left w:val="single" w:color="auto" w:sz="4" w:space="0"/>
              <w:bottom w:val="single" w:color="auto" w:sz="4" w:space="0"/>
              <w:right w:val="single" w:color="auto" w:sz="4" w:space="0"/>
            </w:tcBorders>
            <w:vAlign w:val="center"/>
          </w:tcPr>
          <w:p>
            <w:pPr>
              <w:pStyle w:val="8"/>
              <w:jc w:val="center"/>
              <w:rPr>
                <w:b/>
                <w:szCs w:val="21"/>
                <w:highlight w:val="none"/>
              </w:rPr>
            </w:pPr>
            <w:r>
              <w:rPr>
                <w:rFonts w:hint="eastAsia"/>
                <w:b/>
                <w:szCs w:val="21"/>
                <w:highlight w:val="none"/>
              </w:rPr>
              <w:t>商务条款要求</w:t>
            </w:r>
          </w:p>
        </w:tc>
        <w:tc>
          <w:tcPr>
            <w:tcW w:w="2386" w:type="dxa"/>
            <w:tcBorders>
              <w:top w:val="single" w:color="auto" w:sz="4" w:space="0"/>
              <w:left w:val="single" w:color="auto" w:sz="4" w:space="0"/>
              <w:bottom w:val="single" w:color="auto" w:sz="4" w:space="0"/>
              <w:right w:val="single" w:color="auto" w:sz="4" w:space="0"/>
            </w:tcBorders>
            <w:vAlign w:val="center"/>
          </w:tcPr>
          <w:p>
            <w:pPr>
              <w:pStyle w:val="8"/>
              <w:jc w:val="center"/>
              <w:rPr>
                <w:b/>
                <w:bCs/>
                <w:szCs w:val="21"/>
                <w:highlight w:val="none"/>
              </w:rPr>
            </w:pPr>
            <w:r>
              <w:rPr>
                <w:rFonts w:hint="eastAsia" w:hAnsi="宋体" w:cs="宋体"/>
                <w:b/>
                <w:bCs/>
                <w:sz w:val="24"/>
                <w:szCs w:val="24"/>
                <w:highlight w:val="none"/>
              </w:rPr>
              <w:t>响应文件具体响应</w:t>
            </w:r>
          </w:p>
        </w:tc>
        <w:tc>
          <w:tcPr>
            <w:tcW w:w="1187" w:type="dxa"/>
            <w:tcBorders>
              <w:top w:val="single" w:color="auto" w:sz="4" w:space="0"/>
              <w:left w:val="single" w:color="auto" w:sz="4" w:space="0"/>
              <w:bottom w:val="single" w:color="auto" w:sz="4" w:space="0"/>
              <w:right w:val="single" w:color="auto" w:sz="4" w:space="0"/>
            </w:tcBorders>
            <w:vAlign w:val="center"/>
          </w:tcPr>
          <w:p>
            <w:pPr>
              <w:pStyle w:val="8"/>
              <w:jc w:val="center"/>
              <w:rPr>
                <w:b/>
                <w:bCs/>
                <w:szCs w:val="21"/>
                <w:highlight w:val="none"/>
              </w:rPr>
            </w:pPr>
            <w:r>
              <w:rPr>
                <w:rFonts w:hint="eastAsia"/>
                <w:b/>
                <w:bCs/>
                <w:szCs w:val="21"/>
                <w:highlight w:val="none"/>
              </w:rPr>
              <w:t>是否响应</w:t>
            </w:r>
          </w:p>
        </w:tc>
        <w:tc>
          <w:tcPr>
            <w:tcW w:w="1665" w:type="dxa"/>
            <w:tcBorders>
              <w:top w:val="single" w:color="auto" w:sz="4" w:space="0"/>
              <w:left w:val="single" w:color="auto" w:sz="4" w:space="0"/>
              <w:bottom w:val="single" w:color="auto" w:sz="4" w:space="0"/>
              <w:right w:val="single" w:color="auto" w:sz="4" w:space="0"/>
            </w:tcBorders>
            <w:vAlign w:val="center"/>
          </w:tcPr>
          <w:p>
            <w:pPr>
              <w:pStyle w:val="8"/>
              <w:jc w:val="center"/>
              <w:rPr>
                <w:b/>
                <w:szCs w:val="21"/>
                <w:highlight w:val="none"/>
              </w:rPr>
            </w:pPr>
            <w:r>
              <w:rPr>
                <w:rFonts w:hint="eastAsia"/>
                <w:b/>
                <w:szCs w:val="21"/>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424" w:type="dxa"/>
            <w:tcBorders>
              <w:top w:val="single" w:color="auto" w:sz="4" w:space="0"/>
              <w:left w:val="single" w:color="auto" w:sz="4" w:space="0"/>
              <w:bottom w:val="single" w:color="auto" w:sz="4" w:space="0"/>
              <w:right w:val="single" w:color="auto" w:sz="4" w:space="0"/>
            </w:tcBorders>
            <w:vAlign w:val="center"/>
          </w:tcPr>
          <w:p>
            <w:pPr>
              <w:pStyle w:val="8"/>
              <w:jc w:val="center"/>
              <w:rPr>
                <w:szCs w:val="21"/>
                <w:highlight w:val="none"/>
              </w:rPr>
            </w:pPr>
            <w:r>
              <w:rPr>
                <w:szCs w:val="21"/>
                <w:highlight w:val="none"/>
              </w:rPr>
              <w:t>1</w:t>
            </w:r>
          </w:p>
        </w:tc>
        <w:tc>
          <w:tcPr>
            <w:tcW w:w="4227" w:type="dxa"/>
            <w:tcBorders>
              <w:top w:val="single" w:color="auto" w:sz="4" w:space="0"/>
              <w:left w:val="single" w:color="auto" w:sz="4" w:space="0"/>
              <w:bottom w:val="single" w:color="auto" w:sz="4" w:space="0"/>
              <w:right w:val="single" w:color="auto" w:sz="4" w:space="0"/>
            </w:tcBorders>
            <w:vAlign w:val="center"/>
          </w:tcPr>
          <w:p>
            <w:pPr>
              <w:pStyle w:val="8"/>
              <w:snapToGrid w:val="0"/>
              <w:jc w:val="center"/>
              <w:rPr>
                <w:szCs w:val="21"/>
                <w:highlight w:val="none"/>
              </w:rPr>
            </w:pPr>
            <w:r>
              <w:rPr>
                <w:rFonts w:hint="eastAsia" w:hAnsi="宋体" w:cs="宋体"/>
                <w:sz w:val="24"/>
                <w:szCs w:val="24"/>
                <w:highlight w:val="none"/>
              </w:rPr>
              <w:t>供货时间</w:t>
            </w:r>
          </w:p>
        </w:tc>
        <w:tc>
          <w:tcPr>
            <w:tcW w:w="2386" w:type="dxa"/>
            <w:tcBorders>
              <w:top w:val="single" w:color="auto" w:sz="4" w:space="0"/>
              <w:left w:val="single" w:color="auto" w:sz="4" w:space="0"/>
              <w:bottom w:val="single" w:color="auto" w:sz="4" w:space="0"/>
              <w:right w:val="single" w:color="auto" w:sz="4" w:space="0"/>
            </w:tcBorders>
            <w:vAlign w:val="center"/>
          </w:tcPr>
          <w:p>
            <w:pPr>
              <w:pStyle w:val="8"/>
              <w:snapToGrid w:val="0"/>
              <w:jc w:val="center"/>
              <w:rPr>
                <w:rFonts w:hAnsi="宋体" w:cs="宋体"/>
                <w:sz w:val="24"/>
                <w:szCs w:val="24"/>
                <w:highlight w:val="none"/>
              </w:rPr>
            </w:pPr>
          </w:p>
        </w:tc>
        <w:tc>
          <w:tcPr>
            <w:tcW w:w="1187" w:type="dxa"/>
            <w:tcBorders>
              <w:top w:val="single" w:color="auto" w:sz="4" w:space="0"/>
              <w:left w:val="single" w:color="auto" w:sz="4" w:space="0"/>
              <w:bottom w:val="single" w:color="auto" w:sz="4" w:space="0"/>
              <w:right w:val="single" w:color="auto" w:sz="4" w:space="0"/>
            </w:tcBorders>
            <w:vAlign w:val="center"/>
          </w:tcPr>
          <w:p>
            <w:pPr>
              <w:pStyle w:val="8"/>
              <w:rPr>
                <w:szCs w:val="21"/>
                <w:highlight w:val="none"/>
              </w:rPr>
            </w:pPr>
          </w:p>
        </w:tc>
        <w:tc>
          <w:tcPr>
            <w:tcW w:w="1665" w:type="dxa"/>
            <w:tcBorders>
              <w:top w:val="single" w:color="auto" w:sz="4" w:space="0"/>
              <w:left w:val="single" w:color="auto" w:sz="4" w:space="0"/>
              <w:bottom w:val="single" w:color="auto" w:sz="4" w:space="0"/>
              <w:right w:val="single" w:color="auto" w:sz="4" w:space="0"/>
            </w:tcBorders>
            <w:vAlign w:val="center"/>
          </w:tcPr>
          <w:p>
            <w:pPr>
              <w:pStyle w:val="8"/>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424" w:type="dxa"/>
            <w:tcBorders>
              <w:top w:val="single" w:color="auto" w:sz="4" w:space="0"/>
              <w:left w:val="single" w:color="auto" w:sz="4" w:space="0"/>
              <w:bottom w:val="single" w:color="auto" w:sz="4" w:space="0"/>
              <w:right w:val="single" w:color="auto" w:sz="4" w:space="0"/>
            </w:tcBorders>
            <w:vAlign w:val="center"/>
          </w:tcPr>
          <w:p>
            <w:pPr>
              <w:pStyle w:val="8"/>
              <w:jc w:val="center"/>
              <w:rPr>
                <w:szCs w:val="21"/>
                <w:highlight w:val="none"/>
              </w:rPr>
            </w:pPr>
            <w:r>
              <w:rPr>
                <w:rFonts w:hint="eastAsia"/>
                <w:szCs w:val="21"/>
                <w:highlight w:val="none"/>
              </w:rPr>
              <w:t>2</w:t>
            </w:r>
          </w:p>
        </w:tc>
        <w:tc>
          <w:tcPr>
            <w:tcW w:w="4227" w:type="dxa"/>
            <w:tcBorders>
              <w:top w:val="single" w:color="auto" w:sz="4" w:space="0"/>
              <w:left w:val="single" w:color="auto" w:sz="4" w:space="0"/>
              <w:bottom w:val="single" w:color="auto" w:sz="4" w:space="0"/>
              <w:right w:val="single" w:color="auto" w:sz="4" w:space="0"/>
            </w:tcBorders>
            <w:vAlign w:val="center"/>
          </w:tcPr>
          <w:p>
            <w:pPr>
              <w:pStyle w:val="8"/>
              <w:snapToGrid w:val="0"/>
              <w:jc w:val="center"/>
              <w:rPr>
                <w:szCs w:val="21"/>
                <w:highlight w:val="none"/>
              </w:rPr>
            </w:pPr>
            <w:r>
              <w:rPr>
                <w:rFonts w:hint="eastAsia"/>
                <w:szCs w:val="21"/>
                <w:highlight w:val="none"/>
              </w:rPr>
              <w:t>交货地点</w:t>
            </w:r>
          </w:p>
        </w:tc>
        <w:tc>
          <w:tcPr>
            <w:tcW w:w="2386" w:type="dxa"/>
            <w:tcBorders>
              <w:top w:val="single" w:color="auto" w:sz="4" w:space="0"/>
              <w:left w:val="single" w:color="auto" w:sz="4" w:space="0"/>
              <w:bottom w:val="single" w:color="auto" w:sz="4" w:space="0"/>
              <w:right w:val="single" w:color="auto" w:sz="4" w:space="0"/>
            </w:tcBorders>
            <w:vAlign w:val="center"/>
          </w:tcPr>
          <w:p>
            <w:pPr>
              <w:pStyle w:val="8"/>
              <w:snapToGrid w:val="0"/>
              <w:jc w:val="center"/>
              <w:rPr>
                <w:rFonts w:hAnsi="宋体" w:cs="宋体"/>
                <w:sz w:val="24"/>
                <w:szCs w:val="24"/>
                <w:highlight w:val="none"/>
              </w:rPr>
            </w:pPr>
          </w:p>
        </w:tc>
        <w:tc>
          <w:tcPr>
            <w:tcW w:w="1187" w:type="dxa"/>
            <w:tcBorders>
              <w:top w:val="single" w:color="auto" w:sz="4" w:space="0"/>
              <w:left w:val="single" w:color="auto" w:sz="4" w:space="0"/>
              <w:bottom w:val="single" w:color="auto" w:sz="4" w:space="0"/>
              <w:right w:val="single" w:color="auto" w:sz="4" w:space="0"/>
            </w:tcBorders>
            <w:vAlign w:val="center"/>
          </w:tcPr>
          <w:p>
            <w:pPr>
              <w:pStyle w:val="8"/>
              <w:rPr>
                <w:szCs w:val="21"/>
                <w:highlight w:val="none"/>
              </w:rPr>
            </w:pPr>
          </w:p>
        </w:tc>
        <w:tc>
          <w:tcPr>
            <w:tcW w:w="1665" w:type="dxa"/>
            <w:tcBorders>
              <w:top w:val="single" w:color="auto" w:sz="4" w:space="0"/>
              <w:left w:val="single" w:color="auto" w:sz="4" w:space="0"/>
              <w:bottom w:val="single" w:color="auto" w:sz="4" w:space="0"/>
              <w:right w:val="single" w:color="auto" w:sz="4" w:space="0"/>
            </w:tcBorders>
            <w:vAlign w:val="center"/>
          </w:tcPr>
          <w:p>
            <w:pPr>
              <w:pStyle w:val="8"/>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424" w:type="dxa"/>
            <w:tcBorders>
              <w:top w:val="single" w:color="auto" w:sz="4" w:space="0"/>
              <w:left w:val="single" w:color="auto" w:sz="4" w:space="0"/>
              <w:bottom w:val="single" w:color="auto" w:sz="4" w:space="0"/>
              <w:right w:val="single" w:color="auto" w:sz="4" w:space="0"/>
            </w:tcBorders>
            <w:vAlign w:val="center"/>
          </w:tcPr>
          <w:p>
            <w:pPr>
              <w:pStyle w:val="8"/>
              <w:jc w:val="center"/>
              <w:rPr>
                <w:szCs w:val="21"/>
                <w:highlight w:val="none"/>
              </w:rPr>
            </w:pPr>
            <w:r>
              <w:rPr>
                <w:rFonts w:hint="eastAsia"/>
                <w:szCs w:val="21"/>
                <w:highlight w:val="none"/>
              </w:rPr>
              <w:t>3</w:t>
            </w:r>
          </w:p>
        </w:tc>
        <w:tc>
          <w:tcPr>
            <w:tcW w:w="4227" w:type="dxa"/>
            <w:tcBorders>
              <w:top w:val="single" w:color="auto" w:sz="4" w:space="0"/>
              <w:left w:val="single" w:color="auto" w:sz="4" w:space="0"/>
              <w:bottom w:val="single" w:color="auto" w:sz="4" w:space="0"/>
              <w:right w:val="single" w:color="auto" w:sz="4" w:space="0"/>
            </w:tcBorders>
            <w:vAlign w:val="center"/>
          </w:tcPr>
          <w:p>
            <w:pPr>
              <w:pStyle w:val="8"/>
              <w:snapToGrid w:val="0"/>
              <w:ind w:left="-105" w:leftChars="-50" w:right="-105" w:rightChars="-50"/>
              <w:jc w:val="center"/>
              <w:rPr>
                <w:szCs w:val="21"/>
                <w:highlight w:val="none"/>
              </w:rPr>
            </w:pPr>
            <w:r>
              <w:rPr>
                <w:rFonts w:hint="eastAsia"/>
                <w:szCs w:val="21"/>
                <w:highlight w:val="none"/>
              </w:rPr>
              <w:t>付款方式</w:t>
            </w:r>
          </w:p>
        </w:tc>
        <w:tc>
          <w:tcPr>
            <w:tcW w:w="2386" w:type="dxa"/>
            <w:tcBorders>
              <w:top w:val="single" w:color="auto" w:sz="4" w:space="0"/>
              <w:left w:val="single" w:color="auto" w:sz="4" w:space="0"/>
              <w:bottom w:val="single" w:color="auto" w:sz="4" w:space="0"/>
              <w:right w:val="single" w:color="auto" w:sz="4" w:space="0"/>
            </w:tcBorders>
            <w:vAlign w:val="center"/>
          </w:tcPr>
          <w:p>
            <w:pPr>
              <w:pStyle w:val="8"/>
              <w:snapToGrid w:val="0"/>
              <w:ind w:left="-105" w:leftChars="-50" w:right="-105" w:rightChars="-50"/>
              <w:jc w:val="center"/>
              <w:rPr>
                <w:rFonts w:hAnsi="宋体" w:cs="宋体"/>
                <w:sz w:val="24"/>
                <w:szCs w:val="24"/>
                <w:highlight w:val="none"/>
              </w:rPr>
            </w:pPr>
          </w:p>
        </w:tc>
        <w:tc>
          <w:tcPr>
            <w:tcW w:w="1187" w:type="dxa"/>
            <w:tcBorders>
              <w:top w:val="single" w:color="auto" w:sz="4" w:space="0"/>
              <w:left w:val="single" w:color="auto" w:sz="4" w:space="0"/>
              <w:bottom w:val="single" w:color="auto" w:sz="4" w:space="0"/>
              <w:right w:val="single" w:color="auto" w:sz="4" w:space="0"/>
            </w:tcBorders>
            <w:vAlign w:val="center"/>
          </w:tcPr>
          <w:p>
            <w:pPr>
              <w:pStyle w:val="8"/>
              <w:rPr>
                <w:szCs w:val="21"/>
                <w:highlight w:val="none"/>
              </w:rPr>
            </w:pPr>
          </w:p>
        </w:tc>
        <w:tc>
          <w:tcPr>
            <w:tcW w:w="1665" w:type="dxa"/>
            <w:tcBorders>
              <w:top w:val="single" w:color="auto" w:sz="4" w:space="0"/>
              <w:left w:val="single" w:color="auto" w:sz="4" w:space="0"/>
              <w:bottom w:val="single" w:color="auto" w:sz="4" w:space="0"/>
              <w:right w:val="single" w:color="auto" w:sz="4" w:space="0"/>
            </w:tcBorders>
            <w:vAlign w:val="center"/>
          </w:tcPr>
          <w:p>
            <w:pPr>
              <w:pStyle w:val="8"/>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trPr>
        <w:tc>
          <w:tcPr>
            <w:tcW w:w="424" w:type="dxa"/>
            <w:tcBorders>
              <w:top w:val="single" w:color="auto" w:sz="4" w:space="0"/>
              <w:left w:val="single" w:color="auto" w:sz="4" w:space="0"/>
              <w:bottom w:val="single" w:color="auto" w:sz="4" w:space="0"/>
              <w:right w:val="single" w:color="auto" w:sz="4" w:space="0"/>
            </w:tcBorders>
            <w:vAlign w:val="center"/>
          </w:tcPr>
          <w:p>
            <w:pPr>
              <w:pStyle w:val="8"/>
              <w:jc w:val="center"/>
              <w:rPr>
                <w:szCs w:val="21"/>
                <w:highlight w:val="none"/>
              </w:rPr>
            </w:pPr>
            <w:r>
              <w:rPr>
                <w:rFonts w:hint="eastAsia"/>
                <w:szCs w:val="21"/>
                <w:highlight w:val="none"/>
              </w:rPr>
              <w:t>4</w:t>
            </w:r>
          </w:p>
        </w:tc>
        <w:tc>
          <w:tcPr>
            <w:tcW w:w="4227" w:type="dxa"/>
            <w:tcBorders>
              <w:top w:val="single" w:color="auto" w:sz="4" w:space="0"/>
              <w:left w:val="single" w:color="auto" w:sz="4" w:space="0"/>
              <w:bottom w:val="single" w:color="auto" w:sz="4" w:space="0"/>
              <w:right w:val="single" w:color="auto" w:sz="4" w:space="0"/>
            </w:tcBorders>
            <w:vAlign w:val="center"/>
          </w:tcPr>
          <w:p>
            <w:pPr>
              <w:pStyle w:val="8"/>
              <w:snapToGrid w:val="0"/>
              <w:jc w:val="center"/>
              <w:rPr>
                <w:szCs w:val="21"/>
                <w:highlight w:val="none"/>
              </w:rPr>
            </w:pPr>
            <w:r>
              <w:rPr>
                <w:rFonts w:hint="eastAsia" w:hAnsi="宋体" w:cs="宋体"/>
                <w:sz w:val="24"/>
                <w:szCs w:val="24"/>
                <w:highlight w:val="none"/>
              </w:rPr>
              <w:t>订单处理方式</w:t>
            </w:r>
          </w:p>
        </w:tc>
        <w:tc>
          <w:tcPr>
            <w:tcW w:w="2386" w:type="dxa"/>
            <w:tcBorders>
              <w:top w:val="single" w:color="auto" w:sz="4" w:space="0"/>
              <w:left w:val="single" w:color="auto" w:sz="4" w:space="0"/>
              <w:bottom w:val="single" w:color="auto" w:sz="4" w:space="0"/>
              <w:right w:val="single" w:color="auto" w:sz="4" w:space="0"/>
            </w:tcBorders>
            <w:vAlign w:val="center"/>
          </w:tcPr>
          <w:p>
            <w:pPr>
              <w:pStyle w:val="8"/>
              <w:snapToGrid w:val="0"/>
              <w:jc w:val="center"/>
              <w:rPr>
                <w:rFonts w:hAnsi="宋体" w:cs="宋体"/>
                <w:sz w:val="24"/>
                <w:szCs w:val="24"/>
                <w:highlight w:val="none"/>
              </w:rPr>
            </w:pPr>
          </w:p>
        </w:tc>
        <w:tc>
          <w:tcPr>
            <w:tcW w:w="1187" w:type="dxa"/>
            <w:tcBorders>
              <w:top w:val="single" w:color="auto" w:sz="4" w:space="0"/>
              <w:left w:val="single" w:color="auto" w:sz="4" w:space="0"/>
              <w:bottom w:val="single" w:color="auto" w:sz="4" w:space="0"/>
              <w:right w:val="single" w:color="auto" w:sz="4" w:space="0"/>
            </w:tcBorders>
            <w:vAlign w:val="center"/>
          </w:tcPr>
          <w:p>
            <w:pPr>
              <w:pStyle w:val="8"/>
              <w:rPr>
                <w:szCs w:val="21"/>
                <w:highlight w:val="none"/>
              </w:rPr>
            </w:pPr>
          </w:p>
        </w:tc>
        <w:tc>
          <w:tcPr>
            <w:tcW w:w="1665" w:type="dxa"/>
            <w:tcBorders>
              <w:top w:val="single" w:color="auto" w:sz="4" w:space="0"/>
              <w:left w:val="single" w:color="auto" w:sz="4" w:space="0"/>
              <w:bottom w:val="single" w:color="auto" w:sz="4" w:space="0"/>
              <w:right w:val="single" w:color="auto" w:sz="4" w:space="0"/>
            </w:tcBorders>
            <w:vAlign w:val="center"/>
          </w:tcPr>
          <w:p>
            <w:pPr>
              <w:pStyle w:val="8"/>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424" w:type="dxa"/>
            <w:tcBorders>
              <w:top w:val="single" w:color="auto" w:sz="4" w:space="0"/>
              <w:left w:val="single" w:color="auto" w:sz="4" w:space="0"/>
              <w:bottom w:val="single" w:color="auto" w:sz="4" w:space="0"/>
              <w:right w:val="single" w:color="auto" w:sz="4" w:space="0"/>
            </w:tcBorders>
            <w:vAlign w:val="center"/>
          </w:tcPr>
          <w:p>
            <w:pPr>
              <w:pStyle w:val="8"/>
              <w:jc w:val="center"/>
              <w:rPr>
                <w:szCs w:val="21"/>
                <w:highlight w:val="none"/>
              </w:rPr>
            </w:pPr>
            <w:r>
              <w:rPr>
                <w:rFonts w:hint="eastAsia"/>
                <w:szCs w:val="21"/>
                <w:highlight w:val="none"/>
              </w:rPr>
              <w:t>5</w:t>
            </w:r>
          </w:p>
        </w:tc>
        <w:tc>
          <w:tcPr>
            <w:tcW w:w="4227" w:type="dxa"/>
            <w:tcBorders>
              <w:top w:val="single" w:color="auto" w:sz="4" w:space="0"/>
              <w:left w:val="single" w:color="auto" w:sz="4" w:space="0"/>
              <w:bottom w:val="single" w:color="auto" w:sz="4" w:space="0"/>
              <w:right w:val="single" w:color="auto" w:sz="4" w:space="0"/>
            </w:tcBorders>
            <w:vAlign w:val="center"/>
          </w:tcPr>
          <w:p>
            <w:pPr>
              <w:pStyle w:val="8"/>
              <w:snapToGrid w:val="0"/>
              <w:jc w:val="center"/>
              <w:rPr>
                <w:szCs w:val="21"/>
                <w:highlight w:val="none"/>
              </w:rPr>
            </w:pPr>
            <w:r>
              <w:rPr>
                <w:rFonts w:hint="eastAsia" w:hAnsi="宋体" w:cs="宋体"/>
                <w:sz w:val="24"/>
                <w:szCs w:val="24"/>
                <w:highlight w:val="none"/>
              </w:rPr>
              <w:t>履约保证金</w:t>
            </w:r>
          </w:p>
        </w:tc>
        <w:tc>
          <w:tcPr>
            <w:tcW w:w="2386" w:type="dxa"/>
            <w:tcBorders>
              <w:top w:val="single" w:color="auto" w:sz="4" w:space="0"/>
              <w:left w:val="single" w:color="auto" w:sz="4" w:space="0"/>
              <w:bottom w:val="single" w:color="auto" w:sz="4" w:space="0"/>
              <w:right w:val="single" w:color="auto" w:sz="4" w:space="0"/>
            </w:tcBorders>
            <w:vAlign w:val="center"/>
          </w:tcPr>
          <w:p>
            <w:pPr>
              <w:pStyle w:val="8"/>
              <w:snapToGrid w:val="0"/>
              <w:jc w:val="center"/>
              <w:rPr>
                <w:rFonts w:hAnsi="宋体" w:cs="宋体"/>
                <w:sz w:val="24"/>
                <w:szCs w:val="24"/>
                <w:highlight w:val="none"/>
              </w:rPr>
            </w:pPr>
          </w:p>
        </w:tc>
        <w:tc>
          <w:tcPr>
            <w:tcW w:w="1187" w:type="dxa"/>
            <w:tcBorders>
              <w:top w:val="single" w:color="auto" w:sz="4" w:space="0"/>
              <w:left w:val="single" w:color="auto" w:sz="4" w:space="0"/>
              <w:bottom w:val="single" w:color="auto" w:sz="4" w:space="0"/>
              <w:right w:val="single" w:color="auto" w:sz="4" w:space="0"/>
            </w:tcBorders>
            <w:vAlign w:val="center"/>
          </w:tcPr>
          <w:p>
            <w:pPr>
              <w:pStyle w:val="8"/>
              <w:rPr>
                <w:szCs w:val="21"/>
                <w:highlight w:val="none"/>
              </w:rPr>
            </w:pPr>
          </w:p>
        </w:tc>
        <w:tc>
          <w:tcPr>
            <w:tcW w:w="1665" w:type="dxa"/>
            <w:tcBorders>
              <w:top w:val="single" w:color="auto" w:sz="4" w:space="0"/>
              <w:left w:val="single" w:color="auto" w:sz="4" w:space="0"/>
              <w:bottom w:val="single" w:color="auto" w:sz="4" w:space="0"/>
              <w:right w:val="single" w:color="auto" w:sz="4" w:space="0"/>
            </w:tcBorders>
            <w:vAlign w:val="center"/>
          </w:tcPr>
          <w:p>
            <w:pPr>
              <w:pStyle w:val="8"/>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1" w:hRule="atLeast"/>
        </w:trPr>
        <w:tc>
          <w:tcPr>
            <w:tcW w:w="424" w:type="dxa"/>
            <w:tcBorders>
              <w:top w:val="single" w:color="auto" w:sz="4" w:space="0"/>
              <w:left w:val="single" w:color="auto" w:sz="4" w:space="0"/>
              <w:bottom w:val="single" w:color="auto" w:sz="4" w:space="0"/>
              <w:right w:val="single" w:color="auto" w:sz="4" w:space="0"/>
            </w:tcBorders>
            <w:vAlign w:val="center"/>
          </w:tcPr>
          <w:p>
            <w:pPr>
              <w:pStyle w:val="8"/>
              <w:jc w:val="center"/>
              <w:rPr>
                <w:szCs w:val="21"/>
                <w:highlight w:val="none"/>
              </w:rPr>
            </w:pPr>
            <w:r>
              <w:rPr>
                <w:rFonts w:hint="eastAsia"/>
                <w:szCs w:val="21"/>
                <w:highlight w:val="none"/>
              </w:rPr>
              <w:t>6</w:t>
            </w:r>
          </w:p>
        </w:tc>
        <w:tc>
          <w:tcPr>
            <w:tcW w:w="4227" w:type="dxa"/>
            <w:tcBorders>
              <w:top w:val="single" w:color="auto" w:sz="4" w:space="0"/>
              <w:left w:val="single" w:color="auto" w:sz="4" w:space="0"/>
              <w:bottom w:val="single" w:color="auto" w:sz="4" w:space="0"/>
              <w:right w:val="single" w:color="auto" w:sz="4" w:space="0"/>
            </w:tcBorders>
            <w:vAlign w:val="center"/>
          </w:tcPr>
          <w:p>
            <w:pPr>
              <w:pStyle w:val="8"/>
              <w:snapToGrid w:val="0"/>
              <w:jc w:val="center"/>
              <w:rPr>
                <w:szCs w:val="21"/>
                <w:highlight w:val="none"/>
              </w:rPr>
            </w:pPr>
            <w:r>
              <w:rPr>
                <w:rFonts w:hint="eastAsia" w:hAnsi="宋体" w:cs="宋体"/>
                <w:sz w:val="24"/>
                <w:szCs w:val="24"/>
                <w:highlight w:val="none"/>
              </w:rPr>
              <w:t>违约责任</w:t>
            </w:r>
          </w:p>
        </w:tc>
        <w:tc>
          <w:tcPr>
            <w:tcW w:w="2386" w:type="dxa"/>
            <w:tcBorders>
              <w:top w:val="single" w:color="auto" w:sz="4" w:space="0"/>
              <w:left w:val="single" w:color="auto" w:sz="4" w:space="0"/>
              <w:bottom w:val="single" w:color="auto" w:sz="4" w:space="0"/>
              <w:right w:val="single" w:color="auto" w:sz="4" w:space="0"/>
            </w:tcBorders>
            <w:vAlign w:val="center"/>
          </w:tcPr>
          <w:p>
            <w:pPr>
              <w:pStyle w:val="8"/>
              <w:snapToGrid w:val="0"/>
              <w:jc w:val="center"/>
              <w:rPr>
                <w:rFonts w:hAnsi="宋体" w:cs="宋体"/>
                <w:sz w:val="24"/>
                <w:szCs w:val="24"/>
                <w:highlight w:val="none"/>
              </w:rPr>
            </w:pPr>
          </w:p>
        </w:tc>
        <w:tc>
          <w:tcPr>
            <w:tcW w:w="1187" w:type="dxa"/>
            <w:tcBorders>
              <w:top w:val="single" w:color="auto" w:sz="4" w:space="0"/>
              <w:left w:val="single" w:color="auto" w:sz="4" w:space="0"/>
              <w:bottom w:val="single" w:color="auto" w:sz="4" w:space="0"/>
              <w:right w:val="single" w:color="auto" w:sz="4" w:space="0"/>
            </w:tcBorders>
            <w:vAlign w:val="center"/>
          </w:tcPr>
          <w:p>
            <w:pPr>
              <w:pStyle w:val="8"/>
              <w:rPr>
                <w:szCs w:val="21"/>
                <w:highlight w:val="none"/>
              </w:rPr>
            </w:pPr>
          </w:p>
        </w:tc>
        <w:tc>
          <w:tcPr>
            <w:tcW w:w="1665" w:type="dxa"/>
            <w:tcBorders>
              <w:top w:val="single" w:color="auto" w:sz="4" w:space="0"/>
              <w:left w:val="single" w:color="auto" w:sz="4" w:space="0"/>
              <w:bottom w:val="single" w:color="auto" w:sz="4" w:space="0"/>
              <w:right w:val="single" w:color="auto" w:sz="4" w:space="0"/>
            </w:tcBorders>
            <w:vAlign w:val="center"/>
          </w:tcPr>
          <w:p>
            <w:pPr>
              <w:pStyle w:val="8"/>
              <w:jc w:val="center"/>
              <w:rPr>
                <w:szCs w:val="21"/>
                <w:highlight w:val="none"/>
              </w:rPr>
            </w:pPr>
          </w:p>
        </w:tc>
      </w:tr>
    </w:tbl>
    <w:p>
      <w:pPr>
        <w:pStyle w:val="8"/>
        <w:spacing w:line="360" w:lineRule="auto"/>
        <w:rPr>
          <w:szCs w:val="21"/>
          <w:highlight w:val="none"/>
        </w:rPr>
      </w:pPr>
    </w:p>
    <w:p>
      <w:pPr>
        <w:pStyle w:val="8"/>
        <w:spacing w:line="360" w:lineRule="auto"/>
        <w:rPr>
          <w:szCs w:val="21"/>
          <w:highlight w:val="none"/>
        </w:rPr>
      </w:pPr>
    </w:p>
    <w:p>
      <w:pPr>
        <w:pStyle w:val="8"/>
        <w:spacing w:line="360" w:lineRule="auto"/>
        <w:rPr>
          <w:szCs w:val="21"/>
          <w:highlight w:val="none"/>
        </w:rPr>
      </w:pPr>
    </w:p>
    <w:p>
      <w:pPr>
        <w:pStyle w:val="8"/>
        <w:spacing w:line="360" w:lineRule="auto"/>
        <w:rPr>
          <w:szCs w:val="21"/>
          <w:highlight w:val="none"/>
        </w:rPr>
      </w:pPr>
    </w:p>
    <w:p>
      <w:pPr>
        <w:pStyle w:val="8"/>
        <w:spacing w:line="360" w:lineRule="auto"/>
        <w:rPr>
          <w:szCs w:val="21"/>
          <w:highlight w:val="none"/>
        </w:rPr>
      </w:pPr>
    </w:p>
    <w:p>
      <w:pPr>
        <w:pStyle w:val="8"/>
        <w:spacing w:line="360" w:lineRule="auto"/>
        <w:rPr>
          <w:szCs w:val="21"/>
          <w:highlight w:val="none"/>
          <w:u w:val="single"/>
        </w:rPr>
      </w:pPr>
      <w:r>
        <w:rPr>
          <w:rFonts w:hint="eastAsia"/>
          <w:szCs w:val="21"/>
          <w:highlight w:val="none"/>
        </w:rPr>
        <w:t>供应商（盖单位公章）：</w:t>
      </w:r>
    </w:p>
    <w:p>
      <w:pPr>
        <w:pStyle w:val="8"/>
        <w:spacing w:line="360" w:lineRule="auto"/>
        <w:rPr>
          <w:szCs w:val="21"/>
          <w:highlight w:val="none"/>
          <w:u w:val="single"/>
        </w:rPr>
      </w:pPr>
      <w:r>
        <w:rPr>
          <w:rFonts w:hint="eastAsia"/>
          <w:szCs w:val="21"/>
          <w:highlight w:val="none"/>
        </w:rPr>
        <w:t>法定代表人（负责人）或其委托代理人（签字或签章）：</w:t>
      </w:r>
    </w:p>
    <w:p>
      <w:pPr>
        <w:spacing w:line="360" w:lineRule="auto"/>
        <w:rPr>
          <w:highlight w:val="none"/>
          <w:u w:val="single"/>
        </w:rPr>
      </w:pPr>
      <w:bookmarkStart w:id="29" w:name="_Toc263847726"/>
      <w:bookmarkStart w:id="30" w:name="_Toc316459124"/>
      <w:r>
        <w:rPr>
          <w:rFonts w:hint="eastAsia"/>
          <w:highlight w:val="none"/>
        </w:rPr>
        <w:t>日期：</w:t>
      </w:r>
      <w:bookmarkEnd w:id="29"/>
      <w:bookmarkEnd w:id="30"/>
    </w:p>
    <w:p>
      <w:pPr>
        <w:spacing w:line="320" w:lineRule="exact"/>
        <w:ind w:left="944" w:hanging="944" w:hangingChars="448"/>
        <w:rPr>
          <w:b/>
          <w:bCs/>
          <w:highlight w:val="none"/>
        </w:rPr>
      </w:pPr>
    </w:p>
    <w:p>
      <w:pPr>
        <w:spacing w:line="320" w:lineRule="exact"/>
        <w:ind w:left="944" w:hanging="944" w:hangingChars="448"/>
        <w:rPr>
          <w:b/>
          <w:bCs/>
          <w:highlight w:val="none"/>
        </w:rPr>
      </w:pPr>
      <w:r>
        <w:rPr>
          <w:rFonts w:hint="eastAsia"/>
          <w:b/>
          <w:bCs/>
          <w:highlight w:val="none"/>
        </w:rPr>
        <w:t>说明：</w:t>
      </w:r>
    </w:p>
    <w:p>
      <w:pPr>
        <w:pStyle w:val="8"/>
        <w:spacing w:line="320" w:lineRule="exact"/>
        <w:ind w:firstLine="420" w:firstLineChars="200"/>
        <w:jc w:val="left"/>
        <w:rPr>
          <w:highlight w:val="none"/>
          <w:lang w:val="en-GB"/>
        </w:rPr>
      </w:pPr>
      <w:r>
        <w:rPr>
          <w:rFonts w:hint="eastAsia"/>
          <w:highlight w:val="none"/>
          <w:lang w:val="en-GB"/>
        </w:rPr>
        <w:t>请按照“第三章项目需求”商务要求填写，如供应商完全响应，则请在“是否响应”栏内打“√”，空白或打“×”视为偏离，请在</w:t>
      </w:r>
      <w:r>
        <w:rPr>
          <w:rFonts w:hint="eastAsia"/>
          <w:highlight w:val="none"/>
        </w:rPr>
        <w:t>“偏离说明”</w:t>
      </w:r>
      <w:r>
        <w:rPr>
          <w:rFonts w:hint="eastAsia"/>
          <w:highlight w:val="none"/>
          <w:lang w:val="en-GB"/>
        </w:rPr>
        <w:t>栏内扼要说明偏离情况。</w:t>
      </w:r>
    </w:p>
    <w:p>
      <w:pPr>
        <w:pStyle w:val="8"/>
        <w:spacing w:before="240" w:line="500" w:lineRule="atLeast"/>
        <w:rPr>
          <w:b/>
          <w:sz w:val="30"/>
          <w:highlight w:val="none"/>
          <w:lang w:val="en-GB"/>
        </w:rPr>
        <w:sectPr>
          <w:pgSz w:w="11906" w:h="16838"/>
          <w:pgMar w:top="1134" w:right="964" w:bottom="851" w:left="1134" w:header="720" w:footer="720" w:gutter="0"/>
          <w:cols w:space="720" w:num="1"/>
          <w:titlePg/>
          <w:docGrid w:linePitch="312" w:charSpace="0"/>
        </w:sectPr>
      </w:pPr>
    </w:p>
    <w:p>
      <w:pPr>
        <w:pStyle w:val="8"/>
        <w:rPr>
          <w:b/>
          <w:sz w:val="32"/>
          <w:highlight w:val="none"/>
        </w:rPr>
      </w:pPr>
    </w:p>
    <w:p>
      <w:pPr>
        <w:jc w:val="center"/>
        <w:rPr>
          <w:rFonts w:ascii="宋体" w:hAnsi="宋体" w:cs="宋体"/>
          <w:sz w:val="44"/>
          <w:szCs w:val="44"/>
          <w:highlight w:val="none"/>
        </w:rPr>
      </w:pPr>
      <w:r>
        <w:rPr>
          <w:rFonts w:hint="eastAsia" w:ascii="宋体" w:hAnsi="宋体" w:cs="宋体"/>
          <w:sz w:val="44"/>
          <w:szCs w:val="44"/>
          <w:highlight w:val="none"/>
        </w:rPr>
        <w:t>中小企业声明函（货物）</w:t>
      </w:r>
    </w:p>
    <w:p>
      <w:pPr>
        <w:spacing w:before="2" w:line="500" w:lineRule="exact"/>
        <w:rPr>
          <w:rFonts w:ascii="宋体" w:hAnsi="宋体" w:cs="宋体"/>
          <w:b/>
          <w:bCs/>
          <w:sz w:val="27"/>
          <w:szCs w:val="27"/>
          <w:highlight w:val="none"/>
        </w:rPr>
      </w:pPr>
    </w:p>
    <w:p>
      <w:pPr>
        <w:spacing w:line="360" w:lineRule="auto"/>
        <w:ind w:left="-426" w:leftChars="-203" w:right="142" w:firstLine="480" w:firstLineChars="200"/>
        <w:contextualSpacing/>
        <w:rPr>
          <w:rFonts w:ascii="宋体" w:hAnsi="宋体" w:cs="宋体"/>
          <w:kern w:val="24"/>
          <w:sz w:val="24"/>
          <w:highlight w:val="none"/>
        </w:rPr>
      </w:pPr>
      <w:r>
        <w:rPr>
          <w:rFonts w:hint="eastAsia" w:ascii="宋体" w:hAnsi="宋体" w:cs="宋体"/>
          <w:kern w:val="24"/>
          <w:sz w:val="24"/>
          <w:highlight w:val="none"/>
        </w:rPr>
        <w:t>本公司（联合体）郑重声明，根据《政府采购促进中小企业发展管理办法》（财库﹝2020﹞46号）的规定，本公司（联合体）参加</w:t>
      </w:r>
      <w:r>
        <w:rPr>
          <w:rFonts w:hint="eastAsia" w:ascii="宋体" w:hAnsi="宋体" w:cs="宋体"/>
          <w:kern w:val="24"/>
          <w:sz w:val="24"/>
          <w:highlight w:val="none"/>
          <w:u w:val="single"/>
        </w:rPr>
        <w:t>（单位名称）</w:t>
      </w:r>
      <w:r>
        <w:rPr>
          <w:rFonts w:hint="eastAsia" w:ascii="宋体" w:hAnsi="宋体" w:cs="宋体"/>
          <w:kern w:val="24"/>
          <w:sz w:val="24"/>
          <w:highlight w:val="none"/>
        </w:rPr>
        <w:t>的</w:t>
      </w:r>
      <w:r>
        <w:rPr>
          <w:rFonts w:hint="eastAsia" w:ascii="宋体" w:hAnsi="宋体" w:cs="宋体"/>
          <w:kern w:val="24"/>
          <w:sz w:val="24"/>
          <w:highlight w:val="none"/>
          <w:u w:val="single"/>
        </w:rPr>
        <w:t>（项目名称）</w:t>
      </w:r>
      <w:r>
        <w:rPr>
          <w:rFonts w:hint="eastAsia" w:ascii="宋体" w:hAnsi="宋体" w:cs="宋体"/>
          <w:kern w:val="24"/>
          <w:sz w:val="24"/>
          <w:highlight w:val="none"/>
        </w:rPr>
        <w:t>采购活动，提供的货物全部由符合政策要求的中小企业制造。相关企业（含联合体中的中小企业、签订分包意向协议的中小企业）的具体情况如下：</w:t>
      </w:r>
    </w:p>
    <w:p>
      <w:pPr>
        <w:tabs>
          <w:tab w:val="left" w:pos="1384"/>
          <w:tab w:val="left" w:pos="4562"/>
          <w:tab w:val="left" w:pos="6803"/>
        </w:tabs>
        <w:spacing w:line="360" w:lineRule="auto"/>
        <w:ind w:left="-426" w:right="-58" w:firstLine="655"/>
        <w:contextualSpacing/>
        <w:rPr>
          <w:rFonts w:ascii="宋体" w:hAnsi="宋体" w:cs="宋体"/>
          <w:kern w:val="24"/>
          <w:sz w:val="24"/>
          <w:highlight w:val="none"/>
        </w:rPr>
      </w:pPr>
      <w:r>
        <w:rPr>
          <w:rFonts w:hint="eastAsia" w:ascii="宋体" w:hAnsi="宋体" w:cs="宋体"/>
          <w:kern w:val="24"/>
          <w:sz w:val="24"/>
          <w:highlight w:val="none"/>
        </w:rPr>
        <w:t>1.</w:t>
      </w:r>
      <w:r>
        <w:rPr>
          <w:rFonts w:hint="eastAsia" w:ascii="宋体" w:hAnsi="宋体" w:cs="宋体"/>
          <w:kern w:val="24"/>
          <w:sz w:val="24"/>
          <w:highlight w:val="none"/>
          <w:u w:val="single"/>
        </w:rPr>
        <w:t>（标的名称）</w:t>
      </w:r>
      <w:r>
        <w:rPr>
          <w:rFonts w:hint="eastAsia" w:ascii="宋体" w:hAnsi="宋体" w:cs="宋体"/>
          <w:kern w:val="24"/>
          <w:sz w:val="24"/>
          <w:highlight w:val="none"/>
        </w:rPr>
        <w:t>，属于</w:t>
      </w:r>
      <w:r>
        <w:rPr>
          <w:rFonts w:hint="eastAsia" w:ascii="宋体" w:hAnsi="宋体" w:cs="宋体"/>
          <w:kern w:val="24"/>
          <w:sz w:val="24"/>
          <w:highlight w:val="none"/>
          <w:u w:val="single"/>
        </w:rPr>
        <w:t>（采购文件中明确的所属行业）</w:t>
      </w:r>
      <w:r>
        <w:rPr>
          <w:rFonts w:hint="eastAsia" w:ascii="宋体" w:hAnsi="宋体" w:cs="宋体"/>
          <w:kern w:val="24"/>
          <w:sz w:val="24"/>
          <w:highlight w:val="none"/>
        </w:rPr>
        <w:t>行业；制造商为</w:t>
      </w:r>
      <w:r>
        <w:rPr>
          <w:rFonts w:hint="eastAsia" w:ascii="宋体" w:hAnsi="宋体" w:cs="宋体"/>
          <w:kern w:val="24"/>
          <w:sz w:val="24"/>
          <w:highlight w:val="none"/>
          <w:u w:val="single"/>
        </w:rPr>
        <w:t>（企业名称）</w:t>
      </w:r>
      <w:r>
        <w:rPr>
          <w:rFonts w:hint="eastAsia" w:ascii="宋体" w:hAnsi="宋体" w:cs="宋体"/>
          <w:kern w:val="24"/>
          <w:sz w:val="24"/>
          <w:highlight w:val="none"/>
        </w:rPr>
        <w:t>，从业人员</w:t>
      </w:r>
      <w:r>
        <w:rPr>
          <w:rFonts w:hint="eastAsia" w:ascii="宋体" w:hAnsi="宋体" w:cs="宋体"/>
          <w:kern w:val="24"/>
          <w:sz w:val="24"/>
          <w:highlight w:val="none"/>
          <w:u w:val="single"/>
        </w:rPr>
        <w:t xml:space="preserve">      </w:t>
      </w:r>
      <w:r>
        <w:rPr>
          <w:rFonts w:hint="eastAsia" w:ascii="宋体" w:hAnsi="宋体" w:cs="宋体"/>
          <w:kern w:val="24"/>
          <w:sz w:val="24"/>
          <w:highlight w:val="none"/>
        </w:rPr>
        <w:t>人，营业收入为</w:t>
      </w:r>
      <w:r>
        <w:rPr>
          <w:rFonts w:hint="eastAsia" w:ascii="宋体" w:hAnsi="宋体" w:cs="宋体"/>
          <w:kern w:val="24"/>
          <w:sz w:val="24"/>
          <w:highlight w:val="none"/>
          <w:u w:val="single"/>
        </w:rPr>
        <w:t xml:space="preserve">      </w:t>
      </w:r>
      <w:r>
        <w:rPr>
          <w:rFonts w:hint="eastAsia" w:ascii="宋体" w:hAnsi="宋体" w:cs="宋体"/>
          <w:kern w:val="24"/>
          <w:sz w:val="24"/>
          <w:highlight w:val="none"/>
        </w:rPr>
        <w:t>万元，资产总额为</w:t>
      </w:r>
      <w:r>
        <w:rPr>
          <w:rFonts w:hint="eastAsia" w:ascii="宋体" w:hAnsi="宋体" w:cs="宋体"/>
          <w:kern w:val="24"/>
          <w:sz w:val="24"/>
          <w:highlight w:val="none"/>
          <w:u w:val="single"/>
        </w:rPr>
        <w:t xml:space="preserve">      </w:t>
      </w:r>
      <w:r>
        <w:rPr>
          <w:rFonts w:hint="eastAsia" w:ascii="宋体" w:hAnsi="宋体" w:cs="宋体"/>
          <w:kern w:val="24"/>
          <w:sz w:val="24"/>
          <w:highlight w:val="none"/>
        </w:rPr>
        <w:t>万元，属于</w:t>
      </w:r>
      <w:r>
        <w:rPr>
          <w:rFonts w:hint="eastAsia" w:ascii="宋体" w:hAnsi="宋体" w:cs="宋体"/>
          <w:kern w:val="24"/>
          <w:sz w:val="24"/>
          <w:highlight w:val="none"/>
          <w:u w:val="single"/>
        </w:rPr>
        <w:t>（中型企业、小型企业、微型企业）</w:t>
      </w:r>
      <w:r>
        <w:rPr>
          <w:rFonts w:hint="eastAsia" w:ascii="宋体" w:hAnsi="宋体" w:cs="宋体"/>
          <w:kern w:val="24"/>
          <w:sz w:val="24"/>
          <w:highlight w:val="none"/>
        </w:rPr>
        <w:t>；</w:t>
      </w:r>
    </w:p>
    <w:p>
      <w:pPr>
        <w:tabs>
          <w:tab w:val="left" w:pos="1065"/>
          <w:tab w:val="left" w:pos="6477"/>
        </w:tabs>
        <w:spacing w:line="360" w:lineRule="auto"/>
        <w:ind w:left="-426" w:right="-58" w:firstLine="655"/>
        <w:contextualSpacing/>
        <w:rPr>
          <w:rFonts w:ascii="宋体" w:hAnsi="宋体" w:cs="宋体"/>
          <w:kern w:val="24"/>
          <w:sz w:val="24"/>
          <w:highlight w:val="none"/>
        </w:rPr>
      </w:pPr>
      <w:r>
        <w:rPr>
          <w:rFonts w:hint="eastAsia" w:ascii="宋体" w:hAnsi="宋体" w:cs="宋体"/>
          <w:kern w:val="24"/>
          <w:sz w:val="24"/>
          <w:highlight w:val="none"/>
        </w:rPr>
        <w:t>2.</w:t>
      </w:r>
      <w:r>
        <w:rPr>
          <w:rFonts w:hint="eastAsia" w:ascii="宋体" w:hAnsi="宋体" w:cs="宋体"/>
          <w:kern w:val="24"/>
          <w:sz w:val="24"/>
          <w:highlight w:val="none"/>
          <w:u w:val="single"/>
        </w:rPr>
        <w:t>（标的名称）</w:t>
      </w:r>
      <w:r>
        <w:rPr>
          <w:rFonts w:hint="eastAsia" w:ascii="宋体" w:hAnsi="宋体" w:cs="宋体"/>
          <w:kern w:val="24"/>
          <w:sz w:val="24"/>
          <w:highlight w:val="none"/>
        </w:rPr>
        <w:t>，属于</w:t>
      </w:r>
      <w:r>
        <w:rPr>
          <w:rFonts w:hint="eastAsia" w:ascii="宋体" w:hAnsi="宋体" w:cs="宋体"/>
          <w:kern w:val="24"/>
          <w:sz w:val="24"/>
          <w:highlight w:val="none"/>
          <w:u w:val="single"/>
        </w:rPr>
        <w:t>（采购文件中明确的所属行业）</w:t>
      </w:r>
      <w:r>
        <w:rPr>
          <w:rFonts w:hint="eastAsia" w:ascii="宋体" w:hAnsi="宋体" w:cs="宋体"/>
          <w:kern w:val="24"/>
          <w:sz w:val="24"/>
          <w:highlight w:val="none"/>
        </w:rPr>
        <w:t>行业；制造商为</w:t>
      </w:r>
      <w:r>
        <w:rPr>
          <w:rFonts w:hint="eastAsia" w:ascii="宋体" w:hAnsi="宋体" w:cs="宋体"/>
          <w:kern w:val="24"/>
          <w:sz w:val="24"/>
          <w:highlight w:val="none"/>
          <w:u w:val="single"/>
        </w:rPr>
        <w:t>（企业名称）</w:t>
      </w:r>
      <w:r>
        <w:rPr>
          <w:rFonts w:hint="eastAsia" w:ascii="宋体" w:hAnsi="宋体" w:cs="宋体"/>
          <w:kern w:val="24"/>
          <w:sz w:val="24"/>
          <w:highlight w:val="none"/>
        </w:rPr>
        <w:t>，从业人员</w:t>
      </w:r>
      <w:r>
        <w:rPr>
          <w:rFonts w:hint="eastAsia" w:ascii="宋体" w:hAnsi="宋体" w:cs="宋体"/>
          <w:kern w:val="24"/>
          <w:sz w:val="24"/>
          <w:highlight w:val="none"/>
          <w:u w:val="single"/>
        </w:rPr>
        <w:t xml:space="preserve">      </w:t>
      </w:r>
      <w:r>
        <w:rPr>
          <w:rFonts w:hint="eastAsia" w:ascii="宋体" w:hAnsi="宋体" w:cs="宋体"/>
          <w:kern w:val="24"/>
          <w:sz w:val="24"/>
          <w:highlight w:val="none"/>
        </w:rPr>
        <w:t>人，营业收入为</w:t>
      </w:r>
      <w:r>
        <w:rPr>
          <w:rFonts w:hint="eastAsia" w:ascii="宋体" w:hAnsi="宋体" w:cs="宋体"/>
          <w:kern w:val="24"/>
          <w:sz w:val="24"/>
          <w:highlight w:val="none"/>
          <w:u w:val="single"/>
        </w:rPr>
        <w:t xml:space="preserve">      </w:t>
      </w:r>
      <w:r>
        <w:rPr>
          <w:rFonts w:hint="eastAsia" w:ascii="宋体" w:hAnsi="宋体" w:cs="宋体"/>
          <w:kern w:val="24"/>
          <w:sz w:val="24"/>
          <w:highlight w:val="none"/>
        </w:rPr>
        <w:t>万元，资产总额为</w:t>
      </w:r>
      <w:r>
        <w:rPr>
          <w:rFonts w:hint="eastAsia" w:ascii="宋体" w:hAnsi="宋体" w:cs="宋体"/>
          <w:kern w:val="24"/>
          <w:sz w:val="24"/>
          <w:highlight w:val="none"/>
          <w:u w:val="single"/>
        </w:rPr>
        <w:t xml:space="preserve">      </w:t>
      </w:r>
      <w:r>
        <w:rPr>
          <w:rFonts w:hint="eastAsia" w:ascii="宋体" w:hAnsi="宋体" w:cs="宋体"/>
          <w:kern w:val="24"/>
          <w:sz w:val="24"/>
          <w:highlight w:val="none"/>
        </w:rPr>
        <w:t>万元，属于</w:t>
      </w:r>
      <w:r>
        <w:rPr>
          <w:rFonts w:hint="eastAsia" w:ascii="宋体" w:hAnsi="宋体" w:cs="宋体"/>
          <w:kern w:val="24"/>
          <w:sz w:val="24"/>
          <w:highlight w:val="none"/>
          <w:u w:val="single"/>
        </w:rPr>
        <w:t>（中型企业、小型企业、微型企业）</w:t>
      </w:r>
      <w:r>
        <w:rPr>
          <w:rFonts w:hint="eastAsia" w:ascii="宋体" w:hAnsi="宋体" w:cs="宋体"/>
          <w:kern w:val="24"/>
          <w:sz w:val="24"/>
          <w:highlight w:val="none"/>
        </w:rPr>
        <w:t>；</w:t>
      </w:r>
    </w:p>
    <w:p>
      <w:pPr>
        <w:spacing w:line="360" w:lineRule="auto"/>
        <w:ind w:left="142" w:right="142"/>
        <w:contextualSpacing/>
        <w:rPr>
          <w:rFonts w:ascii="宋体" w:hAnsi="宋体" w:cs="宋体"/>
          <w:kern w:val="24"/>
          <w:sz w:val="24"/>
          <w:highlight w:val="none"/>
        </w:rPr>
      </w:pPr>
      <w:r>
        <w:rPr>
          <w:rFonts w:hint="eastAsia" w:ascii="宋体" w:hAnsi="宋体" w:cs="宋体"/>
          <w:kern w:val="24"/>
          <w:sz w:val="24"/>
          <w:highlight w:val="none"/>
        </w:rPr>
        <w:t xml:space="preserve">…… </w:t>
      </w:r>
    </w:p>
    <w:p>
      <w:pPr>
        <w:spacing w:line="360" w:lineRule="auto"/>
        <w:ind w:left="-405" w:leftChars="-193" w:right="142" w:firstLine="453" w:firstLineChars="189"/>
        <w:contextualSpacing/>
        <w:rPr>
          <w:rFonts w:ascii="宋体" w:hAnsi="宋体" w:cs="宋体"/>
          <w:kern w:val="24"/>
          <w:sz w:val="24"/>
          <w:highlight w:val="none"/>
        </w:rPr>
      </w:pPr>
      <w:r>
        <w:rPr>
          <w:rFonts w:hint="eastAsia" w:ascii="宋体" w:hAnsi="宋体" w:cs="宋体"/>
          <w:kern w:val="24"/>
          <w:sz w:val="24"/>
          <w:highlight w:val="none"/>
        </w:rPr>
        <w:t>以上企业，不属于大企业的分支机构，不存在控股股东为大企业的情形，也不存在与大企业的负责人为同一人的情形。</w:t>
      </w:r>
    </w:p>
    <w:p>
      <w:pPr>
        <w:spacing w:line="360" w:lineRule="auto"/>
        <w:ind w:left="-426" w:right="142" w:firstLine="567"/>
        <w:contextualSpacing/>
        <w:rPr>
          <w:rFonts w:ascii="宋体" w:hAnsi="宋体" w:cs="宋体"/>
          <w:kern w:val="24"/>
          <w:sz w:val="24"/>
          <w:highlight w:val="none"/>
        </w:rPr>
      </w:pPr>
      <w:r>
        <w:rPr>
          <w:rFonts w:hint="eastAsia" w:ascii="宋体" w:hAnsi="宋体" w:cs="宋体"/>
          <w:kern w:val="24"/>
          <w:sz w:val="24"/>
          <w:highlight w:val="none"/>
        </w:rPr>
        <w:t>本企业对上述声明内容的真实性负责。如有虚假，将依法承担相应责任。</w:t>
      </w:r>
    </w:p>
    <w:p>
      <w:pPr>
        <w:spacing w:line="360" w:lineRule="auto"/>
        <w:ind w:left="3960" w:right="1808"/>
        <w:contextualSpacing/>
        <w:rPr>
          <w:rFonts w:ascii="宋体" w:hAnsi="宋体" w:cs="宋体"/>
          <w:kern w:val="24"/>
          <w:sz w:val="24"/>
          <w:highlight w:val="none"/>
        </w:rPr>
      </w:pPr>
    </w:p>
    <w:p>
      <w:pPr>
        <w:spacing w:line="360" w:lineRule="auto"/>
        <w:ind w:left="3960" w:right="1808"/>
        <w:contextualSpacing/>
        <w:rPr>
          <w:rFonts w:ascii="宋体" w:hAnsi="宋体" w:cs="宋体"/>
          <w:kern w:val="24"/>
          <w:sz w:val="24"/>
          <w:highlight w:val="none"/>
        </w:rPr>
      </w:pPr>
      <w:r>
        <w:rPr>
          <w:rFonts w:hint="eastAsia" w:ascii="宋体" w:hAnsi="宋体" w:cs="宋体"/>
          <w:kern w:val="24"/>
          <w:sz w:val="24"/>
          <w:highlight w:val="none"/>
        </w:rPr>
        <w:t xml:space="preserve">企业名称（电子签章）： </w:t>
      </w:r>
    </w:p>
    <w:p>
      <w:pPr>
        <w:spacing w:line="360" w:lineRule="auto"/>
        <w:ind w:left="3960" w:right="1808"/>
        <w:contextualSpacing/>
        <w:rPr>
          <w:rFonts w:ascii="宋体" w:hAnsi="宋体" w:cs="宋体"/>
          <w:kern w:val="24"/>
          <w:sz w:val="24"/>
          <w:highlight w:val="none"/>
        </w:rPr>
      </w:pPr>
      <w:r>
        <w:rPr>
          <w:rFonts w:hint="eastAsia" w:ascii="宋体" w:hAnsi="宋体" w:cs="宋体"/>
          <w:kern w:val="24"/>
          <w:sz w:val="24"/>
          <w:highlight w:val="none"/>
        </w:rPr>
        <w:t>日 期：</w:t>
      </w:r>
    </w:p>
    <w:p>
      <w:pPr>
        <w:spacing w:line="360" w:lineRule="auto"/>
        <w:ind w:left="3960" w:right="1808"/>
        <w:contextualSpacing/>
        <w:rPr>
          <w:rFonts w:ascii="宋体" w:hAnsi="宋体" w:cs="宋体"/>
          <w:kern w:val="24"/>
          <w:sz w:val="24"/>
          <w:highlight w:val="none"/>
        </w:rPr>
      </w:pPr>
    </w:p>
    <w:p>
      <w:pPr>
        <w:spacing w:line="360" w:lineRule="auto"/>
        <w:ind w:left="3960" w:right="1808"/>
        <w:contextualSpacing/>
        <w:rPr>
          <w:rFonts w:ascii="宋体" w:hAnsi="宋体" w:cs="宋体"/>
          <w:kern w:val="24"/>
          <w:sz w:val="24"/>
          <w:highlight w:val="none"/>
        </w:rPr>
      </w:pPr>
    </w:p>
    <w:p>
      <w:pPr>
        <w:spacing w:line="360" w:lineRule="auto"/>
        <w:ind w:left="-426" w:right="142" w:firstLine="567"/>
        <w:contextualSpacing/>
        <w:rPr>
          <w:rFonts w:ascii="宋体" w:hAnsi="宋体" w:cs="宋体"/>
          <w:kern w:val="24"/>
          <w:sz w:val="24"/>
          <w:highlight w:val="none"/>
        </w:rPr>
      </w:pPr>
      <w:r>
        <w:rPr>
          <w:rFonts w:hint="eastAsia" w:ascii="宋体" w:hAnsi="宋体" w:cs="宋体"/>
          <w:kern w:val="24"/>
          <w:sz w:val="24"/>
          <w:highlight w:val="none"/>
        </w:rPr>
        <w:t>注：享受《政府采购促进中小企业发展管理办法》（财库〔2020〕46号）规定的中小企业扶持政策的，采购人、采购代理机构应当随中标结果公开中标供应商的《中小企业声明函》。从业人员、营业收入、资产总额填报上一年度数据，无上一年度数据的新成立企业可不填报。</w:t>
      </w:r>
    </w:p>
    <w:p>
      <w:pPr>
        <w:pStyle w:val="8"/>
        <w:jc w:val="center"/>
        <w:rPr>
          <w:b/>
          <w:sz w:val="32"/>
          <w:highlight w:val="none"/>
        </w:rPr>
      </w:pPr>
    </w:p>
    <w:p>
      <w:pPr>
        <w:pStyle w:val="8"/>
        <w:jc w:val="center"/>
        <w:rPr>
          <w:b/>
          <w:sz w:val="32"/>
          <w:highlight w:val="none"/>
        </w:rPr>
      </w:pPr>
    </w:p>
    <w:p>
      <w:pPr>
        <w:pStyle w:val="8"/>
        <w:jc w:val="center"/>
        <w:rPr>
          <w:rStyle w:val="18"/>
          <w:sz w:val="36"/>
          <w:szCs w:val="36"/>
          <w:highlight w:val="none"/>
        </w:rPr>
        <w:sectPr>
          <w:pgSz w:w="11906" w:h="16838"/>
          <w:pgMar w:top="1560" w:right="964" w:bottom="851" w:left="1134" w:header="720" w:footer="720" w:gutter="0"/>
          <w:cols w:space="720" w:num="1"/>
          <w:titlePg/>
          <w:docGrid w:linePitch="312" w:charSpace="0"/>
        </w:sectPr>
      </w:pPr>
      <w:r>
        <w:rPr>
          <w:rFonts w:hint="eastAsia" w:ascii="隶书" w:eastAsia="隶书"/>
          <w:b/>
          <w:bCs/>
          <w:sz w:val="44"/>
          <w:highlight w:val="none"/>
        </w:rPr>
        <w:br w:type="page"/>
      </w:r>
    </w:p>
    <w:p>
      <w:pPr>
        <w:spacing w:line="588" w:lineRule="exact"/>
        <w:jc w:val="center"/>
        <w:rPr>
          <w:rFonts w:asciiTheme="minorEastAsia" w:hAnsiTheme="minorEastAsia" w:eastAsiaTheme="minorEastAsia"/>
          <w:b/>
          <w:spacing w:val="6"/>
          <w:sz w:val="28"/>
          <w:szCs w:val="28"/>
          <w:highlight w:val="none"/>
        </w:rPr>
      </w:pPr>
      <w:r>
        <w:rPr>
          <w:rFonts w:hint="eastAsia" w:asciiTheme="minorEastAsia" w:hAnsiTheme="minorEastAsia" w:eastAsiaTheme="minorEastAsia"/>
          <w:b/>
          <w:spacing w:val="6"/>
          <w:sz w:val="28"/>
          <w:szCs w:val="28"/>
          <w:highlight w:val="none"/>
        </w:rPr>
        <w:t>残疾人福利性单位声明函（格式，残疾人福利性单位适用）</w:t>
      </w:r>
    </w:p>
    <w:p>
      <w:pPr>
        <w:spacing w:line="588" w:lineRule="exact"/>
        <w:jc w:val="center"/>
        <w:rPr>
          <w:rFonts w:asciiTheme="minorEastAsia" w:hAnsiTheme="minorEastAsia" w:eastAsiaTheme="minorEastAsia"/>
          <w:b/>
          <w:spacing w:val="6"/>
          <w:sz w:val="28"/>
          <w:szCs w:val="28"/>
          <w:highlight w:val="none"/>
        </w:rPr>
      </w:pPr>
    </w:p>
    <w:p>
      <w:pPr>
        <w:spacing w:line="588" w:lineRule="exact"/>
        <w:ind w:firstLine="444" w:firstLineChars="200"/>
        <w:rPr>
          <w:rFonts w:asciiTheme="minorEastAsia" w:hAnsiTheme="minorEastAsia" w:eastAsiaTheme="minorEastAsia"/>
          <w:spacing w:val="6"/>
          <w:szCs w:val="21"/>
          <w:highlight w:val="none"/>
        </w:rPr>
      </w:pPr>
      <w:r>
        <w:rPr>
          <w:rFonts w:hint="eastAsia" w:asciiTheme="minorEastAsia" w:hAnsiTheme="minorEastAsia" w:eastAsiaTheme="minorEastAsia"/>
          <w:spacing w:val="6"/>
          <w:szCs w:val="21"/>
          <w:highlight w:val="none"/>
        </w:rPr>
        <w:t>本单位郑重声明，根据《财政部 民政部 中国残疾人联合会关于促进残疾人就业政府采购政策的通知》（财库</w:t>
      </w:r>
      <w:r>
        <w:rPr>
          <w:rFonts w:hint="eastAsia" w:asciiTheme="minorEastAsia" w:hAnsiTheme="minorEastAsia" w:eastAsiaTheme="minorEastAsia"/>
          <w:szCs w:val="21"/>
          <w:highlight w:val="none"/>
        </w:rPr>
        <w:t>〔2017〕 141</w:t>
      </w:r>
      <w:r>
        <w:rPr>
          <w:rFonts w:hint="eastAsia" w:asciiTheme="minorEastAsia" w:hAnsiTheme="minorEastAsia" w:eastAsiaTheme="minorEastAsia"/>
          <w:spacing w:val="6"/>
          <w:szCs w:val="21"/>
          <w:highlight w:val="none"/>
        </w:rPr>
        <w:t>号）的规定，本单位为符合条件的残疾人福利性单位，且本单位参加</w:t>
      </w:r>
      <w:r>
        <w:rPr>
          <w:rFonts w:hint="eastAsia" w:asciiTheme="minorEastAsia" w:hAnsiTheme="minorEastAsia" w:eastAsiaTheme="minorEastAsia"/>
          <w:spacing w:val="6"/>
          <w:szCs w:val="21"/>
          <w:highlight w:val="none"/>
          <w:u w:val="single"/>
        </w:rPr>
        <w:t>______</w:t>
      </w:r>
      <w:r>
        <w:rPr>
          <w:rFonts w:hint="eastAsia" w:asciiTheme="minorEastAsia" w:hAnsiTheme="minorEastAsia" w:eastAsiaTheme="minorEastAsia"/>
          <w:spacing w:val="6"/>
          <w:szCs w:val="21"/>
          <w:highlight w:val="none"/>
        </w:rPr>
        <w:t>单位的</w:t>
      </w:r>
      <w:r>
        <w:rPr>
          <w:rFonts w:hint="eastAsia" w:asciiTheme="minorEastAsia" w:hAnsiTheme="minorEastAsia" w:eastAsiaTheme="minorEastAsia"/>
          <w:spacing w:val="6"/>
          <w:szCs w:val="21"/>
          <w:highlight w:val="none"/>
          <w:u w:val="single"/>
        </w:rPr>
        <w:t>______</w:t>
      </w:r>
      <w:r>
        <w:rPr>
          <w:rFonts w:hint="eastAsia" w:asciiTheme="minorEastAsia" w:hAnsiTheme="minorEastAsia" w:eastAsiaTheme="minorEastAsia"/>
          <w:spacing w:val="6"/>
          <w:szCs w:val="21"/>
          <w:highlight w:val="none"/>
        </w:rPr>
        <w:t>项目采购活动提供本单位制造的货物（由本单位承担工程/提供服务），或者提供其他残疾人福利性单位制造的货物（不包括使用非残疾人福利性单位注册商标的货物）。</w:t>
      </w:r>
    </w:p>
    <w:p>
      <w:pPr>
        <w:spacing w:line="588" w:lineRule="exact"/>
        <w:ind w:firstLine="444" w:firstLineChars="200"/>
        <w:rPr>
          <w:rFonts w:asciiTheme="minorEastAsia" w:hAnsiTheme="minorEastAsia" w:eastAsiaTheme="minorEastAsia"/>
          <w:spacing w:val="6"/>
          <w:szCs w:val="21"/>
          <w:highlight w:val="none"/>
        </w:rPr>
      </w:pPr>
      <w:r>
        <w:rPr>
          <w:rFonts w:hint="eastAsia" w:asciiTheme="minorEastAsia" w:hAnsiTheme="minorEastAsia" w:eastAsiaTheme="minorEastAsia"/>
          <w:spacing w:val="6"/>
          <w:szCs w:val="21"/>
          <w:highlight w:val="none"/>
        </w:rPr>
        <w:t>本单位对上述声明的真实性负责。如有虚假，将依法承担相应责任。</w:t>
      </w:r>
    </w:p>
    <w:p>
      <w:pPr>
        <w:spacing w:line="588" w:lineRule="exact"/>
        <w:ind w:firstLine="444" w:firstLineChars="200"/>
        <w:rPr>
          <w:rFonts w:asciiTheme="minorEastAsia" w:hAnsiTheme="minorEastAsia" w:eastAsiaTheme="minorEastAsia"/>
          <w:spacing w:val="6"/>
          <w:szCs w:val="21"/>
          <w:highlight w:val="none"/>
        </w:rPr>
      </w:pPr>
    </w:p>
    <w:p>
      <w:pPr>
        <w:spacing w:line="588" w:lineRule="exact"/>
        <w:ind w:firstLine="444" w:firstLineChars="200"/>
        <w:rPr>
          <w:rFonts w:asciiTheme="minorEastAsia" w:hAnsiTheme="minorEastAsia" w:eastAsiaTheme="minorEastAsia"/>
          <w:spacing w:val="6"/>
          <w:szCs w:val="21"/>
          <w:highlight w:val="none"/>
        </w:rPr>
      </w:pPr>
    </w:p>
    <w:p>
      <w:pPr>
        <w:tabs>
          <w:tab w:val="left" w:pos="4860"/>
        </w:tabs>
        <w:spacing w:line="588" w:lineRule="exact"/>
        <w:ind w:right="1560" w:firstLine="4819" w:firstLineChars="2171"/>
        <w:jc w:val="left"/>
        <w:rPr>
          <w:rFonts w:asciiTheme="minorEastAsia" w:hAnsiTheme="minorEastAsia" w:eastAsiaTheme="minorEastAsia"/>
          <w:spacing w:val="6"/>
          <w:szCs w:val="21"/>
          <w:highlight w:val="none"/>
        </w:rPr>
      </w:pPr>
      <w:r>
        <w:rPr>
          <w:rFonts w:hint="eastAsia" w:asciiTheme="minorEastAsia" w:hAnsiTheme="minorEastAsia" w:eastAsiaTheme="minorEastAsia"/>
          <w:spacing w:val="6"/>
          <w:szCs w:val="21"/>
          <w:highlight w:val="none"/>
        </w:rPr>
        <w:t>单位名称（盖章）：</w:t>
      </w:r>
    </w:p>
    <w:p>
      <w:pPr>
        <w:pStyle w:val="8"/>
        <w:ind w:firstLine="4819" w:firstLineChars="2171"/>
        <w:rPr>
          <w:rFonts w:asciiTheme="minorEastAsia" w:hAnsiTheme="minorEastAsia" w:eastAsiaTheme="minorEastAsia"/>
          <w:spacing w:val="6"/>
          <w:szCs w:val="21"/>
          <w:highlight w:val="none"/>
        </w:rPr>
      </w:pPr>
      <w:r>
        <w:rPr>
          <w:rFonts w:hint="eastAsia" w:asciiTheme="minorEastAsia" w:hAnsiTheme="minorEastAsia" w:eastAsiaTheme="minorEastAsia"/>
          <w:spacing w:val="6"/>
          <w:szCs w:val="21"/>
          <w:highlight w:val="none"/>
        </w:rPr>
        <w:t>日  期：</w:t>
      </w:r>
    </w:p>
    <w:p>
      <w:pPr>
        <w:pStyle w:val="8"/>
        <w:ind w:firstLine="4819" w:firstLineChars="2171"/>
        <w:rPr>
          <w:rFonts w:asciiTheme="minorEastAsia" w:hAnsiTheme="minorEastAsia" w:eastAsiaTheme="minorEastAsia"/>
          <w:spacing w:val="6"/>
          <w:szCs w:val="21"/>
          <w:highlight w:val="none"/>
        </w:rPr>
      </w:pPr>
    </w:p>
    <w:p>
      <w:pPr>
        <w:pStyle w:val="8"/>
        <w:ind w:firstLine="4819" w:firstLineChars="2171"/>
        <w:rPr>
          <w:rFonts w:asciiTheme="minorEastAsia" w:hAnsiTheme="minorEastAsia" w:eastAsiaTheme="minorEastAsia"/>
          <w:spacing w:val="6"/>
          <w:szCs w:val="21"/>
          <w:highlight w:val="none"/>
        </w:rPr>
      </w:pPr>
    </w:p>
    <w:p>
      <w:pPr>
        <w:pStyle w:val="8"/>
        <w:ind w:firstLine="4819" w:firstLineChars="2171"/>
        <w:rPr>
          <w:rFonts w:asciiTheme="minorEastAsia" w:hAnsiTheme="minorEastAsia" w:eastAsiaTheme="minorEastAsia"/>
          <w:spacing w:val="6"/>
          <w:szCs w:val="21"/>
          <w:highlight w:val="none"/>
        </w:rPr>
      </w:pPr>
    </w:p>
    <w:p>
      <w:pPr>
        <w:spacing w:line="360" w:lineRule="auto"/>
        <w:ind w:firstLine="420" w:firstLineChars="200"/>
        <w:jc w:val="left"/>
        <w:rPr>
          <w:rFonts w:ascii="宋体" w:hAnsi="宋体"/>
          <w:szCs w:val="21"/>
          <w:highlight w:val="none"/>
        </w:rPr>
      </w:pPr>
      <w:r>
        <w:rPr>
          <w:rFonts w:hint="eastAsia" w:ascii="宋体" w:hAnsi="宋体"/>
          <w:szCs w:val="21"/>
          <w:highlight w:val="none"/>
        </w:rPr>
        <w:t>备注：1、请供应商根据自己的真实情况出具本声明函，供应商不属于残疾人福利性单位的，不用提供。</w:t>
      </w:r>
    </w:p>
    <w:p>
      <w:pPr>
        <w:pStyle w:val="8"/>
        <w:rPr>
          <w:rFonts w:asciiTheme="minorEastAsia" w:hAnsiTheme="minorEastAsia" w:eastAsiaTheme="minorEastAsia"/>
          <w:spacing w:val="6"/>
          <w:szCs w:val="21"/>
          <w:highlight w:val="none"/>
        </w:rPr>
      </w:pPr>
      <w:r>
        <w:rPr>
          <w:rFonts w:hint="eastAsia" w:hAnsi="宋体"/>
          <w:szCs w:val="21"/>
          <w:highlight w:val="none"/>
        </w:rPr>
        <w:t xml:space="preserve">          2、供应商应对此声明函的真实性负责。</w:t>
      </w:r>
    </w:p>
    <w:p>
      <w:pPr>
        <w:pStyle w:val="8"/>
        <w:ind w:firstLine="6538" w:firstLineChars="2171"/>
        <w:rPr>
          <w:rStyle w:val="18"/>
          <w:sz w:val="30"/>
          <w:szCs w:val="30"/>
          <w:highlight w:val="none"/>
        </w:rPr>
      </w:pPr>
    </w:p>
    <w:p>
      <w:pPr>
        <w:pStyle w:val="8"/>
        <w:jc w:val="left"/>
        <w:outlineLvl w:val="0"/>
        <w:rPr>
          <w:rStyle w:val="18"/>
          <w:sz w:val="30"/>
          <w:szCs w:val="30"/>
          <w:highlight w:val="none"/>
        </w:rPr>
        <w:sectPr>
          <w:pgSz w:w="11906" w:h="16838"/>
          <w:pgMar w:top="1560" w:right="964" w:bottom="851" w:left="1134" w:header="720" w:footer="720" w:gutter="0"/>
          <w:cols w:space="720" w:num="1"/>
          <w:titlePg/>
          <w:docGrid w:linePitch="312" w:charSpace="0"/>
        </w:sectPr>
      </w:pPr>
    </w:p>
    <w:p>
      <w:pPr>
        <w:pStyle w:val="8"/>
        <w:jc w:val="center"/>
        <w:outlineLvl w:val="0"/>
        <w:rPr>
          <w:b/>
          <w:bCs/>
          <w:sz w:val="36"/>
          <w:szCs w:val="36"/>
          <w:highlight w:val="none"/>
        </w:rPr>
      </w:pPr>
      <w:bookmarkStart w:id="31" w:name="_Toc1429"/>
      <w:r>
        <w:rPr>
          <w:rStyle w:val="18"/>
          <w:rFonts w:hint="eastAsia"/>
          <w:sz w:val="36"/>
          <w:szCs w:val="36"/>
          <w:highlight w:val="none"/>
        </w:rPr>
        <w:t>第六章 成交评审方法</w:t>
      </w:r>
      <w:bookmarkEnd w:id="31"/>
    </w:p>
    <w:p>
      <w:pPr>
        <w:pStyle w:val="8"/>
        <w:spacing w:line="380" w:lineRule="exact"/>
        <w:rPr>
          <w:rFonts w:hAnsi="宋体"/>
          <w:b/>
          <w:bCs/>
          <w:szCs w:val="21"/>
          <w:highlight w:val="none"/>
        </w:rPr>
      </w:pPr>
      <w:r>
        <w:rPr>
          <w:rFonts w:hint="eastAsia" w:hAnsi="宋体"/>
          <w:b/>
          <w:bCs/>
          <w:szCs w:val="21"/>
          <w:highlight w:val="none"/>
        </w:rPr>
        <w:t>一、评审原则</w:t>
      </w:r>
    </w:p>
    <w:p>
      <w:pPr>
        <w:pStyle w:val="8"/>
        <w:spacing w:line="380" w:lineRule="exact"/>
        <w:ind w:firstLine="420" w:firstLineChars="200"/>
        <w:rPr>
          <w:rFonts w:hAnsi="宋体"/>
          <w:bCs/>
          <w:szCs w:val="21"/>
          <w:highlight w:val="none"/>
        </w:rPr>
      </w:pPr>
      <w:r>
        <w:rPr>
          <w:rFonts w:hint="eastAsia" w:hAnsi="宋体"/>
          <w:bCs/>
          <w:szCs w:val="21"/>
          <w:highlight w:val="none"/>
        </w:rPr>
        <w:t>（一） 谈判小组构成：采购人代表1人，评审专家2人，</w:t>
      </w:r>
      <w:r>
        <w:rPr>
          <w:rFonts w:hint="eastAsia" w:hAnsi="宋体"/>
          <w:spacing w:val="-1"/>
          <w:highlight w:val="none"/>
        </w:rPr>
        <w:t>评</w:t>
      </w:r>
      <w:r>
        <w:rPr>
          <w:rFonts w:hint="eastAsia" w:hAnsi="宋体"/>
          <w:spacing w:val="2"/>
          <w:highlight w:val="none"/>
        </w:rPr>
        <w:t>审</w:t>
      </w:r>
      <w:r>
        <w:rPr>
          <w:rFonts w:hint="eastAsia" w:hAnsi="宋体"/>
          <w:spacing w:val="-1"/>
          <w:highlight w:val="none"/>
        </w:rPr>
        <w:t>专</w:t>
      </w:r>
      <w:r>
        <w:rPr>
          <w:rFonts w:hint="eastAsia" w:hAnsi="宋体"/>
          <w:spacing w:val="2"/>
          <w:highlight w:val="none"/>
        </w:rPr>
        <w:t>家</w:t>
      </w:r>
      <w:r>
        <w:rPr>
          <w:rFonts w:hint="eastAsia" w:hAnsi="宋体"/>
          <w:spacing w:val="-1"/>
          <w:highlight w:val="none"/>
        </w:rPr>
        <w:t>确</w:t>
      </w:r>
      <w:r>
        <w:rPr>
          <w:rFonts w:hint="eastAsia" w:hAnsi="宋体"/>
          <w:spacing w:val="2"/>
          <w:highlight w:val="none"/>
        </w:rPr>
        <w:t>定</w:t>
      </w:r>
      <w:r>
        <w:rPr>
          <w:rFonts w:hint="eastAsia" w:hAnsi="宋体"/>
          <w:spacing w:val="-1"/>
          <w:highlight w:val="none"/>
        </w:rPr>
        <w:t>方</w:t>
      </w:r>
      <w:r>
        <w:rPr>
          <w:rFonts w:hint="eastAsia" w:hAnsi="宋体"/>
          <w:spacing w:val="2"/>
          <w:highlight w:val="none"/>
        </w:rPr>
        <w:t>式</w:t>
      </w:r>
      <w:r>
        <w:rPr>
          <w:rFonts w:hint="eastAsia" w:hAnsi="宋体"/>
          <w:spacing w:val="-1"/>
          <w:highlight w:val="none"/>
        </w:rPr>
        <w:t>：在广西政府采购云平台</w:t>
      </w:r>
      <w:r>
        <w:rPr>
          <w:rFonts w:hint="eastAsia" w:hAnsi="宋体"/>
          <w:spacing w:val="2"/>
          <w:highlight w:val="none"/>
        </w:rPr>
        <w:t>随</w:t>
      </w:r>
      <w:r>
        <w:rPr>
          <w:rFonts w:hint="eastAsia" w:hAnsi="宋体"/>
          <w:spacing w:val="-1"/>
          <w:highlight w:val="none"/>
        </w:rPr>
        <w:t>机</w:t>
      </w:r>
      <w:r>
        <w:rPr>
          <w:rFonts w:hint="eastAsia" w:hAnsi="宋体"/>
          <w:spacing w:val="2"/>
          <w:highlight w:val="none"/>
        </w:rPr>
        <w:t>抽</w:t>
      </w:r>
      <w:r>
        <w:rPr>
          <w:rFonts w:hint="eastAsia" w:hAnsi="宋体"/>
          <w:spacing w:val="-1"/>
          <w:highlight w:val="none"/>
        </w:rPr>
        <w:t>取</w:t>
      </w:r>
      <w:r>
        <w:rPr>
          <w:rFonts w:hint="eastAsia" w:hAnsi="宋体"/>
          <w:highlight w:val="none"/>
        </w:rPr>
        <w:t>。</w:t>
      </w:r>
    </w:p>
    <w:p>
      <w:pPr>
        <w:pStyle w:val="8"/>
        <w:spacing w:line="380" w:lineRule="exact"/>
        <w:ind w:firstLine="420" w:firstLineChars="200"/>
        <w:rPr>
          <w:rFonts w:hAnsi="宋体"/>
          <w:bCs/>
          <w:szCs w:val="21"/>
          <w:highlight w:val="none"/>
        </w:rPr>
      </w:pPr>
      <w:r>
        <w:rPr>
          <w:rFonts w:hint="eastAsia" w:hAnsi="宋体"/>
          <w:bCs/>
          <w:szCs w:val="21"/>
          <w:highlight w:val="none"/>
        </w:rPr>
        <w:t>（二）评定依据：以采购文件和竞争性谈判响应文件为评定依据。</w:t>
      </w:r>
    </w:p>
    <w:p>
      <w:pPr>
        <w:pStyle w:val="8"/>
        <w:spacing w:line="380" w:lineRule="exact"/>
        <w:ind w:firstLine="420" w:firstLineChars="200"/>
        <w:rPr>
          <w:rFonts w:hAnsi="宋体"/>
          <w:bCs/>
          <w:szCs w:val="21"/>
          <w:highlight w:val="none"/>
        </w:rPr>
      </w:pPr>
      <w:r>
        <w:rPr>
          <w:rFonts w:hint="eastAsia" w:hAnsi="宋体"/>
          <w:bCs/>
          <w:szCs w:val="21"/>
          <w:highlight w:val="none"/>
        </w:rPr>
        <w:t>（三）评定方法：最低评标价法。</w:t>
      </w:r>
    </w:p>
    <w:p>
      <w:pPr>
        <w:pStyle w:val="8"/>
        <w:spacing w:line="380" w:lineRule="exact"/>
        <w:rPr>
          <w:rFonts w:hAnsi="宋体"/>
          <w:b/>
          <w:bCs/>
          <w:szCs w:val="21"/>
          <w:highlight w:val="none"/>
        </w:rPr>
      </w:pPr>
      <w:r>
        <w:rPr>
          <w:rFonts w:hint="eastAsia" w:hAnsi="宋体"/>
          <w:b/>
          <w:bCs/>
          <w:szCs w:val="21"/>
          <w:highlight w:val="none"/>
        </w:rPr>
        <w:t>二、评审方法</w:t>
      </w:r>
    </w:p>
    <w:p>
      <w:pPr>
        <w:spacing w:line="400" w:lineRule="atLeast"/>
        <w:ind w:firstLine="420" w:firstLineChars="200"/>
        <w:rPr>
          <w:rFonts w:ascii="宋体" w:hAnsi="宋体" w:cs="宋体"/>
          <w:bCs/>
          <w:kern w:val="0"/>
          <w:szCs w:val="21"/>
          <w:highlight w:val="none"/>
        </w:rPr>
      </w:pPr>
      <w:r>
        <w:rPr>
          <w:rFonts w:hint="eastAsia" w:ascii="宋体" w:hAnsi="宋体" w:cs="宋体"/>
          <w:bCs/>
          <w:kern w:val="0"/>
          <w:szCs w:val="21"/>
          <w:highlight w:val="none"/>
        </w:rPr>
        <w:t>（1）评标价为响应单位的竞标报价进行政策性扣除后的价格，评标价只是作为评标时使用。最终成交供应商的成交金额＝竞标报价。</w:t>
      </w:r>
    </w:p>
    <w:p>
      <w:pPr>
        <w:pStyle w:val="8"/>
        <w:spacing w:line="380" w:lineRule="exact"/>
        <w:ind w:firstLine="420" w:firstLineChars="200"/>
        <w:rPr>
          <w:rFonts w:hAnsi="宋体" w:cs="宋体"/>
          <w:highlight w:val="none"/>
        </w:rPr>
      </w:pPr>
      <w:r>
        <w:rPr>
          <w:rFonts w:hint="eastAsia" w:hAnsi="宋体" w:cs="宋体"/>
          <w:bCs/>
          <w:highlight w:val="none"/>
        </w:rPr>
        <w:t>（2）按照《关于印发〈政府采购促进中小企业发展管理办法〉的通知》（财库〔2020〕46号）、《广西壮族自治区财政厅关于进一步发挥政府采购政策功能促进企业发展的通知》（桂财采〔2022〕30号）），供应商认定为小型和微型企业的（以响应文件提供的符合规定的有关证明材料为准），对投（竞）标价给予20%的扣除（工程项目为5%），扣除后的价格为评标报价，即货物或服务项目评标报价=最终投标竞标报价×（1-20%），工程项目评标报价=最终投标竞标报价×（1-5%）。</w:t>
      </w:r>
    </w:p>
    <w:p>
      <w:pPr>
        <w:pStyle w:val="8"/>
        <w:spacing w:line="380" w:lineRule="exact"/>
        <w:ind w:firstLine="420" w:firstLineChars="200"/>
        <w:rPr>
          <w:rFonts w:hAnsi="宋体" w:cs="宋体"/>
          <w:bCs/>
          <w:highlight w:val="none"/>
        </w:rPr>
      </w:pPr>
      <w:r>
        <w:rPr>
          <w:rFonts w:hint="eastAsia" w:hAnsi="宋体" w:cs="宋体"/>
          <w:bCs/>
          <w:highlight w:val="none"/>
        </w:rPr>
        <w:t>（3）根据《财政部、司法部关于政府采购支持监狱企业发展有关问题的通知》（财库〔2014〕68号）及《关于我区政府采购支持监狱企业发展有关问题的通知》（桂财采〔2015〕24号）、《关于促进残疾人就业政府采购政策的通知》（财库〔2017〕141号）的要求，监狱企业、残疾人福利性单位视同小型、微型企业，其投标竞标报价评标时给予前述扣除（已经享受小微企业价格折扣的，不再重复扣除）。</w:t>
      </w:r>
    </w:p>
    <w:p>
      <w:pPr>
        <w:pStyle w:val="8"/>
        <w:spacing w:line="380" w:lineRule="exact"/>
        <w:ind w:firstLine="420" w:firstLineChars="200"/>
        <w:rPr>
          <w:rFonts w:hAnsi="宋体" w:cs="宋体"/>
          <w:bCs/>
          <w:highlight w:val="none"/>
        </w:rPr>
      </w:pPr>
      <w:r>
        <w:rPr>
          <w:rFonts w:hint="eastAsia" w:hAnsi="宋体" w:cs="宋体"/>
          <w:bCs/>
          <w:highlight w:val="none"/>
        </w:rPr>
        <w:t>（4）接受大中型企业与小微企业组成联合体或者允许大中型企业向一家或者多家小微企业分包的采购项目，对于联合协议或者分包意向协议约定小微企业的合同份额占到合同总金额30%以上的，对联合体或者大中型企业的报价给予6%（工程项目为2%）的扣除，用扣除后的价格参加评审。</w:t>
      </w:r>
    </w:p>
    <w:p>
      <w:pPr>
        <w:spacing w:line="400" w:lineRule="atLeast"/>
        <w:ind w:firstLine="420" w:firstLineChars="200"/>
        <w:rPr>
          <w:rFonts w:ascii="宋体" w:hAnsi="宋体" w:cs="宋体"/>
          <w:bCs/>
          <w:kern w:val="0"/>
          <w:szCs w:val="21"/>
          <w:highlight w:val="none"/>
        </w:rPr>
      </w:pPr>
      <w:r>
        <w:rPr>
          <w:rFonts w:hint="eastAsia" w:ascii="宋体" w:hAnsi="宋体" w:cs="宋体"/>
          <w:bCs/>
          <w:kern w:val="0"/>
          <w:szCs w:val="21"/>
          <w:highlight w:val="none"/>
        </w:rPr>
        <w:t>（5）政策性扣除计算方法。</w:t>
      </w:r>
    </w:p>
    <w:p>
      <w:pPr>
        <w:pStyle w:val="8"/>
        <w:tabs>
          <w:tab w:val="center" w:pos="4904"/>
        </w:tabs>
        <w:spacing w:line="380" w:lineRule="exact"/>
        <w:ind w:firstLine="420" w:firstLineChars="200"/>
        <w:rPr>
          <w:rFonts w:hAnsi="宋体" w:cs="宋体"/>
          <w:bCs/>
          <w:highlight w:val="none"/>
        </w:rPr>
      </w:pPr>
      <w:r>
        <w:rPr>
          <w:rFonts w:hint="eastAsia" w:hAnsi="宋体" w:cs="宋体"/>
          <w:bCs/>
          <w:highlight w:val="none"/>
        </w:rPr>
        <w:t>谈判供应商被评定为监狱企业或残疾人福利性单位或小型和微型企业且其所投产品为小型和微型企业产品的，该谈判供应商的谈判报价给予20%的扣除，扣除后的价格为谈判报价，即谈判报价=谈判报价×（1-20%）；大中型企业和其他自然人、法人或者其他组织与小型、微型企业组成联合体竞标，且联合体协议中约定小型、微型企业的协议合同金额占到联合体协议合同总金额30%以上的，联合体谈判价给予6%的扣除，扣除后的价格为竞标价，即竞标报价=竞标报价×（1-6%）；除上述情况外，竞标报价=竞标报价。</w:t>
      </w:r>
    </w:p>
    <w:p>
      <w:pPr>
        <w:pStyle w:val="8"/>
        <w:tabs>
          <w:tab w:val="center" w:pos="4904"/>
        </w:tabs>
        <w:spacing w:line="380" w:lineRule="exact"/>
        <w:ind w:firstLine="420" w:firstLineChars="200"/>
        <w:rPr>
          <w:bCs/>
          <w:szCs w:val="21"/>
          <w:highlight w:val="none"/>
        </w:rPr>
      </w:pPr>
      <w:r>
        <w:rPr>
          <w:rFonts w:hint="eastAsia"/>
          <w:bCs/>
          <w:szCs w:val="21"/>
          <w:highlight w:val="none"/>
        </w:rPr>
        <w:t>（6）谈判小组将以采购文件、竞争性谈判响应文件为评定依据，当竞标产品性能和服务有负偏离，（按项目需求说明中的第4、5条规定），视作未对采购文件做出实质性响应。</w:t>
      </w:r>
    </w:p>
    <w:p>
      <w:pPr>
        <w:pStyle w:val="8"/>
        <w:tabs>
          <w:tab w:val="center" w:pos="4904"/>
        </w:tabs>
        <w:spacing w:line="380" w:lineRule="exact"/>
        <w:ind w:firstLine="420" w:firstLineChars="200"/>
        <w:rPr>
          <w:bCs/>
          <w:szCs w:val="21"/>
          <w:highlight w:val="none"/>
        </w:rPr>
      </w:pPr>
      <w:r>
        <w:rPr>
          <w:rFonts w:hint="eastAsia"/>
          <w:bCs/>
          <w:szCs w:val="21"/>
          <w:highlight w:val="none"/>
        </w:rPr>
        <w:t>（7）在全部满足采购文件实质性要求前提下，依据统一的价格要素评定最低报价，以提出最低评审价的谈判供应商作为成交供应商。</w:t>
      </w:r>
    </w:p>
    <w:p>
      <w:pPr>
        <w:pStyle w:val="8"/>
        <w:tabs>
          <w:tab w:val="center" w:pos="4904"/>
        </w:tabs>
        <w:spacing w:line="380" w:lineRule="exact"/>
        <w:rPr>
          <w:rFonts w:hAnsi="宋体"/>
          <w:bCs/>
          <w:szCs w:val="21"/>
          <w:highlight w:val="none"/>
        </w:rPr>
      </w:pPr>
      <w:r>
        <w:rPr>
          <w:rFonts w:hint="eastAsia"/>
          <w:b/>
          <w:szCs w:val="21"/>
          <w:highlight w:val="none"/>
        </w:rPr>
        <w:t>三、成交候选供应商推荐原则</w:t>
      </w:r>
      <w:r>
        <w:rPr>
          <w:b/>
          <w:szCs w:val="21"/>
          <w:highlight w:val="none"/>
        </w:rPr>
        <w:tab/>
      </w:r>
    </w:p>
    <w:p>
      <w:pPr>
        <w:pStyle w:val="8"/>
        <w:spacing w:line="380" w:lineRule="exact"/>
        <w:ind w:firstLine="420" w:firstLineChars="200"/>
        <w:rPr>
          <w:szCs w:val="21"/>
          <w:highlight w:val="none"/>
        </w:rPr>
      </w:pPr>
      <w:r>
        <w:rPr>
          <w:rFonts w:hint="eastAsia" w:hAnsi="宋体" w:cs="宋体"/>
          <w:kern w:val="0"/>
          <w:szCs w:val="21"/>
          <w:highlight w:val="none"/>
        </w:rPr>
        <w:t>谈判小组从质量和服务均能满足谈判文件全部实质性响应要求的供应商中，按照评审报价（最后报价及享受政府采购政策的优惠扣除）由低到高的顺序推荐2名成交候选供应商，</w:t>
      </w:r>
      <w:r>
        <w:rPr>
          <w:rFonts w:hint="eastAsia" w:hAnsi="宋体" w:cs="宋体"/>
          <w:szCs w:val="21"/>
          <w:highlight w:val="none"/>
        </w:rPr>
        <w:t>评审价格相同的，按最后报价由低到高顺序排序；当评审价格且最后报价相同的，</w:t>
      </w:r>
      <w:r>
        <w:rPr>
          <w:rFonts w:hint="eastAsia"/>
          <w:szCs w:val="21"/>
          <w:highlight w:val="none"/>
        </w:rPr>
        <w:t>则依次按技术指标高优先、售后服务优先原则排序。</w:t>
      </w:r>
    </w:p>
    <w:p>
      <w:pPr>
        <w:pStyle w:val="8"/>
        <w:spacing w:line="400" w:lineRule="exact"/>
        <w:rPr>
          <w:rFonts w:hAnsi="宋体"/>
          <w:b/>
          <w:bCs/>
          <w:sz w:val="28"/>
          <w:szCs w:val="28"/>
          <w:highlight w:val="none"/>
        </w:rPr>
        <w:sectPr>
          <w:pgSz w:w="11906" w:h="16838"/>
          <w:pgMar w:top="1560" w:right="964" w:bottom="851" w:left="1134" w:header="720" w:footer="720" w:gutter="0"/>
          <w:cols w:space="720" w:num="1"/>
          <w:titlePg/>
          <w:docGrid w:linePitch="312" w:charSpace="0"/>
        </w:sectPr>
      </w:pPr>
    </w:p>
    <w:p>
      <w:pPr>
        <w:widowControl/>
        <w:jc w:val="left"/>
        <w:rPr>
          <w:rFonts w:cs="仿宋" w:asciiTheme="minorEastAsia" w:hAnsiTheme="minorEastAsia" w:eastAsiaTheme="minorEastAsia"/>
          <w:b/>
          <w:bCs/>
          <w:kern w:val="0"/>
          <w:sz w:val="30"/>
          <w:szCs w:val="30"/>
          <w:highlight w:val="none"/>
        </w:rPr>
      </w:pPr>
      <w:r>
        <w:rPr>
          <w:rFonts w:hint="eastAsia" w:cs="仿宋" w:asciiTheme="minorEastAsia" w:hAnsiTheme="minorEastAsia" w:eastAsiaTheme="minorEastAsia"/>
          <w:b/>
          <w:bCs/>
          <w:kern w:val="0"/>
          <w:sz w:val="30"/>
          <w:szCs w:val="30"/>
          <w:highlight w:val="none"/>
        </w:rPr>
        <w:t>附件：</w:t>
      </w:r>
    </w:p>
    <w:p>
      <w:pPr>
        <w:ind w:right="-197" w:rightChars="-94"/>
        <w:jc w:val="center"/>
        <w:rPr>
          <w:rFonts w:ascii="宋体" w:hAnsi="宋体" w:cs="仿宋_GB2312"/>
          <w:b/>
          <w:sz w:val="32"/>
          <w:szCs w:val="28"/>
          <w:highlight w:val="none"/>
        </w:rPr>
      </w:pPr>
      <w:r>
        <w:rPr>
          <w:rFonts w:hint="eastAsia" w:ascii="宋体" w:hAnsi="宋体" w:cs="仿宋_GB2312"/>
          <w:b/>
          <w:sz w:val="32"/>
          <w:szCs w:val="28"/>
          <w:highlight w:val="none"/>
        </w:rPr>
        <w:t>梧州学院采购项目合同履约验收书</w:t>
      </w:r>
    </w:p>
    <w:p>
      <w:pPr>
        <w:tabs>
          <w:tab w:val="left" w:pos="2565"/>
        </w:tabs>
        <w:snapToGrid w:val="0"/>
        <w:ind w:left="-424" w:leftChars="-202" w:right="-340" w:rightChars="-162" w:firstLine="480" w:firstLineChars="200"/>
        <w:rPr>
          <w:rFonts w:ascii="宋体" w:hAnsi="宋体" w:cs="仿宋_GB2312"/>
          <w:sz w:val="24"/>
          <w:highlight w:val="none"/>
        </w:rPr>
      </w:pPr>
      <w:r>
        <w:rPr>
          <w:rFonts w:hint="eastAsia" w:ascii="宋体" w:hAnsi="宋体" w:cs="仿宋_GB2312"/>
          <w:sz w:val="24"/>
          <w:highlight w:val="none"/>
        </w:rPr>
        <w:t>根据采购项目（</w:t>
      </w:r>
      <w:r>
        <w:rPr>
          <w:rFonts w:ascii="宋体" w:hAnsi="宋体" w:cs="仿宋_GB2312"/>
          <w:sz w:val="24"/>
          <w:highlight w:val="none"/>
          <w:u w:val="single"/>
        </w:rPr>
        <w:t xml:space="preserve">合同编号：                          </w:t>
      </w:r>
      <w:r>
        <w:rPr>
          <w:rFonts w:hint="eastAsia" w:ascii="宋体" w:hAnsi="宋体" w:cs="仿宋_GB2312"/>
          <w:sz w:val="24"/>
          <w:highlight w:val="none"/>
        </w:rPr>
        <w:t>）的约定，我单位对</w:t>
      </w:r>
      <w:r>
        <w:rPr>
          <w:rFonts w:hint="eastAsia" w:ascii="宋体" w:hAnsi="宋体" w:cs="仿宋_GB2312"/>
          <w:sz w:val="24"/>
          <w:highlight w:val="none"/>
          <w:u w:val="single"/>
        </w:rPr>
        <w:t xml:space="preserve"> </w:t>
      </w:r>
      <w:r>
        <w:rPr>
          <w:rFonts w:hint="eastAsia" w:ascii="宋体" w:hAnsi="宋体" w:cs="Arial"/>
          <w:sz w:val="24"/>
          <w:highlight w:val="none"/>
          <w:u w:val="single"/>
        </w:rPr>
        <w:t xml:space="preserve">GXZC2024-J1-003885-GXHCxxxxxx </w:t>
      </w:r>
      <w:r>
        <w:rPr>
          <w:rFonts w:hint="eastAsia" w:ascii="宋体" w:hAnsi="宋体" w:cs="仿宋_GB2312"/>
          <w:sz w:val="24"/>
          <w:highlight w:val="none"/>
        </w:rPr>
        <w:t>采购项目成交（或成交）供应商</w:t>
      </w:r>
      <w:r>
        <w:rPr>
          <w:rFonts w:hint="eastAsia" w:ascii="宋体" w:hAnsi="宋体" w:cs="仿宋_GB2312"/>
          <w:sz w:val="24"/>
          <w:highlight w:val="none"/>
          <w:u w:val="single"/>
        </w:rPr>
        <w:t xml:space="preserve"> </w:t>
      </w:r>
      <w:r>
        <w:rPr>
          <w:rFonts w:ascii="宋体" w:hAnsi="宋体" w:cs="仿宋_GB2312"/>
          <w:sz w:val="24"/>
          <w:highlight w:val="none"/>
          <w:u w:val="single"/>
        </w:rPr>
        <w:t xml:space="preserve">                            </w:t>
      </w:r>
      <w:r>
        <w:rPr>
          <w:rFonts w:hint="eastAsia" w:ascii="宋体" w:hAnsi="宋体" w:cs="仿宋_GB2312"/>
          <w:sz w:val="24"/>
          <w:highlight w:val="none"/>
          <w:u w:val="single"/>
        </w:rPr>
        <w:t xml:space="preserve"> </w:t>
      </w:r>
      <w:r>
        <w:rPr>
          <w:rFonts w:hint="eastAsia" w:ascii="宋体" w:hAnsi="宋体" w:cs="仿宋_GB2312"/>
          <w:sz w:val="24"/>
          <w:highlight w:val="none"/>
        </w:rPr>
        <w:t>提供的货物（或工程、服务）进行了验收，验收情况如下：</w:t>
      </w:r>
    </w:p>
    <w:tbl>
      <w:tblPr>
        <w:tblStyle w:val="1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916"/>
        <w:gridCol w:w="2193"/>
        <w:gridCol w:w="1692"/>
        <w:gridCol w:w="1764"/>
        <w:gridCol w:w="495"/>
        <w:gridCol w:w="365"/>
        <w:gridCol w:w="1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931" w:type="pct"/>
            <w:gridSpan w:val="3"/>
            <w:vAlign w:val="center"/>
          </w:tcPr>
          <w:p>
            <w:pPr>
              <w:ind w:left="136" w:leftChars="65"/>
              <w:jc w:val="center"/>
              <w:rPr>
                <w:rFonts w:ascii="宋体" w:hAnsi="宋体" w:cs="仿宋_GB2312"/>
                <w:sz w:val="24"/>
                <w:highlight w:val="none"/>
              </w:rPr>
            </w:pPr>
            <w:r>
              <w:rPr>
                <w:rFonts w:hint="eastAsia" w:ascii="宋体" w:hAnsi="宋体" w:cs="仿宋_GB2312"/>
                <w:sz w:val="24"/>
                <w:highlight w:val="none"/>
              </w:rPr>
              <w:t>验收方式：</w:t>
            </w:r>
          </w:p>
        </w:tc>
        <w:tc>
          <w:tcPr>
            <w:tcW w:w="3069" w:type="pct"/>
            <w:gridSpan w:val="5"/>
            <w:vAlign w:val="center"/>
          </w:tcPr>
          <w:p>
            <w:pPr>
              <w:jc w:val="center"/>
              <w:rPr>
                <w:rFonts w:ascii="宋体" w:hAnsi="宋体" w:cs="仿宋_GB2312"/>
                <w:sz w:val="24"/>
                <w:highlight w:val="none"/>
              </w:rPr>
            </w:pPr>
            <w:r>
              <w:rPr>
                <w:rFonts w:hint="eastAsia" w:ascii="宋体" w:hAnsi="宋体" w:cs="仿宋_GB2312"/>
                <w:sz w:val="24"/>
                <w:highlight w:val="none"/>
              </w:rPr>
              <w:sym w:font="Wingdings 2" w:char="00A3"/>
            </w:r>
            <w:r>
              <w:rPr>
                <w:rFonts w:hint="eastAsia" w:ascii="宋体" w:hAnsi="宋体" w:cs="仿宋_GB2312"/>
                <w:sz w:val="24"/>
                <w:highlight w:val="none"/>
              </w:rPr>
              <w:t xml:space="preserve">自行验收       </w:t>
            </w:r>
            <w:r>
              <w:rPr>
                <w:rFonts w:ascii="宋体" w:hAnsi="宋体" w:cs="仿宋_GB2312"/>
                <w:sz w:val="24"/>
                <w:highlight w:val="none"/>
              </w:rPr>
              <w:fldChar w:fldCharType="begin"/>
            </w:r>
            <w:r>
              <w:rPr>
                <w:rFonts w:ascii="宋体" w:hAnsi="宋体" w:cs="仿宋_GB2312"/>
                <w:sz w:val="24"/>
                <w:highlight w:val="none"/>
              </w:rPr>
              <w:instrText xml:space="preserve"> </w:instrText>
            </w:r>
            <w:r>
              <w:rPr>
                <w:rFonts w:hint="eastAsia" w:ascii="宋体" w:hAnsi="宋体" w:cs="仿宋_GB2312"/>
                <w:sz w:val="24"/>
                <w:highlight w:val="none"/>
              </w:rPr>
              <w:instrText xml:space="preserve">eq \o\ac(□)</w:instrText>
            </w:r>
            <w:r>
              <w:rPr>
                <w:rFonts w:ascii="宋体" w:hAnsi="宋体" w:cs="仿宋_GB2312"/>
                <w:sz w:val="24"/>
                <w:highlight w:val="none"/>
              </w:rPr>
              <w:fldChar w:fldCharType="end"/>
            </w:r>
            <w:r>
              <w:rPr>
                <w:rFonts w:hint="eastAsia" w:ascii="宋体" w:hAnsi="宋体" w:cs="仿宋_GB2312"/>
                <w:sz w:val="24"/>
                <w:highlight w:val="none"/>
              </w:rPr>
              <w:t>委托验收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0" w:type="pct"/>
            <w:vAlign w:val="center"/>
          </w:tcPr>
          <w:p>
            <w:pPr>
              <w:jc w:val="center"/>
              <w:rPr>
                <w:rFonts w:ascii="宋体" w:hAnsi="宋体" w:cs="仿宋_GB2312"/>
                <w:sz w:val="24"/>
                <w:highlight w:val="none"/>
              </w:rPr>
            </w:pPr>
            <w:r>
              <w:rPr>
                <w:rFonts w:hint="eastAsia" w:ascii="宋体" w:hAnsi="宋体" w:cs="仿宋_GB2312"/>
                <w:sz w:val="24"/>
                <w:highlight w:val="none"/>
              </w:rPr>
              <w:t>序号</w:t>
            </w:r>
          </w:p>
        </w:tc>
        <w:tc>
          <w:tcPr>
            <w:tcW w:w="1551" w:type="pct"/>
            <w:gridSpan w:val="2"/>
            <w:vAlign w:val="center"/>
          </w:tcPr>
          <w:p>
            <w:pPr>
              <w:jc w:val="center"/>
              <w:rPr>
                <w:rFonts w:ascii="宋体" w:hAnsi="宋体" w:cs="仿宋_GB2312"/>
                <w:sz w:val="24"/>
                <w:highlight w:val="none"/>
              </w:rPr>
            </w:pPr>
            <w:r>
              <w:rPr>
                <w:rFonts w:hint="eastAsia" w:ascii="宋体" w:hAnsi="宋体" w:cs="仿宋_GB2312"/>
                <w:sz w:val="24"/>
                <w:highlight w:val="none"/>
              </w:rPr>
              <w:t>名称</w:t>
            </w:r>
          </w:p>
        </w:tc>
        <w:tc>
          <w:tcPr>
            <w:tcW w:w="1724" w:type="pct"/>
            <w:gridSpan w:val="2"/>
            <w:vAlign w:val="center"/>
          </w:tcPr>
          <w:p>
            <w:pPr>
              <w:jc w:val="center"/>
              <w:rPr>
                <w:rFonts w:ascii="宋体" w:hAnsi="宋体" w:cs="仿宋_GB2312"/>
                <w:sz w:val="24"/>
                <w:highlight w:val="none"/>
              </w:rPr>
            </w:pPr>
            <w:r>
              <w:rPr>
                <w:rFonts w:hint="eastAsia" w:ascii="宋体" w:hAnsi="宋体" w:cs="仿宋_GB2312"/>
                <w:sz w:val="24"/>
                <w:highlight w:val="none"/>
              </w:rPr>
              <w:t>货物型号规格、标准及配置等（或工程、服务内容、标准）</w:t>
            </w:r>
          </w:p>
        </w:tc>
        <w:tc>
          <w:tcPr>
            <w:tcW w:w="429" w:type="pct"/>
            <w:gridSpan w:val="2"/>
            <w:vAlign w:val="center"/>
          </w:tcPr>
          <w:p>
            <w:pPr>
              <w:jc w:val="center"/>
              <w:rPr>
                <w:rFonts w:ascii="宋体" w:hAnsi="宋体" w:cs="仿宋_GB2312"/>
                <w:sz w:val="24"/>
                <w:highlight w:val="none"/>
              </w:rPr>
            </w:pPr>
            <w:r>
              <w:rPr>
                <w:rFonts w:hint="eastAsia" w:ascii="宋体" w:hAnsi="宋体" w:cs="仿宋_GB2312"/>
                <w:sz w:val="24"/>
                <w:highlight w:val="none"/>
              </w:rPr>
              <w:t>数量</w:t>
            </w:r>
          </w:p>
        </w:tc>
        <w:tc>
          <w:tcPr>
            <w:tcW w:w="916" w:type="pct"/>
            <w:vAlign w:val="center"/>
          </w:tcPr>
          <w:p>
            <w:pPr>
              <w:jc w:val="center"/>
              <w:rPr>
                <w:rFonts w:ascii="宋体" w:hAnsi="宋体" w:cs="仿宋_GB2312"/>
                <w:sz w:val="24"/>
                <w:highlight w:val="none"/>
              </w:rPr>
            </w:pPr>
            <w:r>
              <w:rPr>
                <w:rFonts w:hint="eastAsia" w:ascii="宋体" w:hAnsi="宋体" w:cs="仿宋_GB2312"/>
                <w:sz w:val="24"/>
                <w:highlight w:val="none"/>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0" w:type="pct"/>
            <w:vAlign w:val="center"/>
          </w:tcPr>
          <w:p>
            <w:pPr>
              <w:jc w:val="center"/>
              <w:rPr>
                <w:rFonts w:ascii="宋体" w:hAnsi="宋体" w:cs="仿宋_GB2312"/>
                <w:sz w:val="24"/>
                <w:highlight w:val="none"/>
              </w:rPr>
            </w:pPr>
            <w:r>
              <w:rPr>
                <w:rFonts w:hint="eastAsia" w:ascii="宋体" w:hAnsi="宋体" w:cs="仿宋_GB2312"/>
                <w:sz w:val="24"/>
                <w:highlight w:val="none"/>
              </w:rPr>
              <w:t>1</w:t>
            </w:r>
          </w:p>
        </w:tc>
        <w:tc>
          <w:tcPr>
            <w:tcW w:w="1551" w:type="pct"/>
            <w:gridSpan w:val="2"/>
            <w:vAlign w:val="center"/>
          </w:tcPr>
          <w:p>
            <w:pPr>
              <w:jc w:val="left"/>
              <w:rPr>
                <w:rFonts w:ascii="宋体" w:hAnsi="宋体" w:cs="仿宋_GB2312"/>
                <w:sz w:val="24"/>
                <w:highlight w:val="none"/>
              </w:rPr>
            </w:pPr>
          </w:p>
        </w:tc>
        <w:tc>
          <w:tcPr>
            <w:tcW w:w="1724" w:type="pct"/>
            <w:gridSpan w:val="2"/>
            <w:vAlign w:val="center"/>
          </w:tcPr>
          <w:p>
            <w:pPr>
              <w:jc w:val="left"/>
              <w:rPr>
                <w:rFonts w:ascii="宋体" w:hAnsi="宋体" w:cs="仿宋_GB2312"/>
                <w:sz w:val="24"/>
                <w:highlight w:val="none"/>
              </w:rPr>
            </w:pPr>
          </w:p>
        </w:tc>
        <w:tc>
          <w:tcPr>
            <w:tcW w:w="429" w:type="pct"/>
            <w:gridSpan w:val="2"/>
            <w:vAlign w:val="center"/>
          </w:tcPr>
          <w:p>
            <w:pPr>
              <w:jc w:val="center"/>
              <w:rPr>
                <w:rFonts w:ascii="宋体" w:hAnsi="宋体" w:cs="仿宋_GB2312"/>
                <w:sz w:val="24"/>
                <w:highlight w:val="none"/>
              </w:rPr>
            </w:pPr>
          </w:p>
        </w:tc>
        <w:tc>
          <w:tcPr>
            <w:tcW w:w="916" w:type="pct"/>
            <w:vAlign w:val="center"/>
          </w:tcPr>
          <w:p>
            <w:pPr>
              <w:jc w:val="center"/>
              <w:rPr>
                <w:rFonts w:ascii="宋体" w:hAnsi="宋体"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8"/>
            <w:vAlign w:val="center"/>
          </w:tcPr>
          <w:p>
            <w:pPr>
              <w:widowControl/>
              <w:spacing w:line="360" w:lineRule="auto"/>
              <w:jc w:val="center"/>
              <w:textAlignment w:val="center"/>
              <w:rPr>
                <w:rFonts w:ascii="宋体" w:hAnsi="宋体" w:cs="宋体"/>
                <w:kern w:val="0"/>
                <w:sz w:val="24"/>
                <w:highlight w:val="none"/>
              </w:rPr>
            </w:pPr>
            <w:r>
              <w:rPr>
                <w:rFonts w:hint="eastAsia" w:ascii="仿宋_GB2312" w:hAnsi="仿宋_GB2312" w:eastAsia="仿宋_GB2312" w:cs="仿宋_GB2312"/>
                <w:b/>
                <w:sz w:val="24"/>
                <w:szCs w:val="22"/>
                <w:highlight w:val="none"/>
              </w:rPr>
              <w:t xml:space="preserve">                                                 </w:t>
            </w:r>
            <w:r>
              <w:rPr>
                <w:rFonts w:hint="eastAsia" w:ascii="仿宋_GB2312" w:hAnsi="仿宋_GB2312" w:eastAsia="仿宋_GB2312" w:cs="仿宋_GB2312"/>
                <w:sz w:val="24"/>
                <w:szCs w:val="22"/>
                <w:highlight w:val="none"/>
              </w:rPr>
              <w:t xml:space="preserve">  </w:t>
            </w:r>
            <w:r>
              <w:rPr>
                <w:rFonts w:ascii="仿宋_GB2312" w:hAnsi="仿宋_GB2312" w:eastAsia="仿宋_GB2312" w:cs="仿宋_GB2312"/>
                <w:sz w:val="24"/>
                <w:szCs w:val="22"/>
                <w:highlight w:val="none"/>
              </w:rPr>
              <w:t xml:space="preserve">   </w:t>
            </w:r>
            <w:r>
              <w:rPr>
                <w:rFonts w:hint="eastAsia" w:ascii="仿宋_GB2312" w:hAnsi="仿宋_GB2312" w:eastAsia="仿宋_GB2312" w:cs="仿宋_GB2312"/>
                <w:sz w:val="24"/>
                <w:szCs w:val="22"/>
                <w:highlight w:val="none"/>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837" w:type="pct"/>
            <w:gridSpan w:val="2"/>
            <w:vAlign w:val="center"/>
          </w:tcPr>
          <w:p>
            <w:pPr>
              <w:jc w:val="center"/>
              <w:rPr>
                <w:rFonts w:ascii="宋体" w:hAnsi="宋体" w:cs="仿宋_GB2312"/>
                <w:sz w:val="24"/>
                <w:highlight w:val="none"/>
              </w:rPr>
            </w:pPr>
            <w:r>
              <w:rPr>
                <w:rFonts w:hint="eastAsia" w:ascii="宋体" w:hAnsi="宋体" w:cs="仿宋_GB2312"/>
                <w:sz w:val="24"/>
                <w:highlight w:val="none"/>
              </w:rPr>
              <w:t>实际供货日期</w:t>
            </w:r>
          </w:p>
        </w:tc>
        <w:tc>
          <w:tcPr>
            <w:tcW w:w="1938" w:type="pct"/>
            <w:gridSpan w:val="2"/>
            <w:vAlign w:val="center"/>
          </w:tcPr>
          <w:p>
            <w:pPr>
              <w:jc w:val="left"/>
              <w:rPr>
                <w:rFonts w:ascii="宋体" w:hAnsi="宋体" w:cs="仿宋_GB2312"/>
                <w:sz w:val="24"/>
                <w:highlight w:val="none"/>
              </w:rPr>
            </w:pPr>
          </w:p>
        </w:tc>
        <w:tc>
          <w:tcPr>
            <w:tcW w:w="1127" w:type="pct"/>
            <w:gridSpan w:val="2"/>
            <w:vAlign w:val="center"/>
          </w:tcPr>
          <w:p>
            <w:pPr>
              <w:jc w:val="center"/>
              <w:rPr>
                <w:rFonts w:ascii="宋体" w:hAnsi="宋体" w:cs="仿宋_GB2312"/>
                <w:sz w:val="24"/>
                <w:highlight w:val="none"/>
              </w:rPr>
            </w:pPr>
            <w:r>
              <w:rPr>
                <w:rFonts w:hint="eastAsia" w:ascii="宋体" w:hAnsi="宋体" w:cs="仿宋_GB2312"/>
                <w:sz w:val="24"/>
                <w:highlight w:val="none"/>
              </w:rPr>
              <w:t>交货验收日期</w:t>
            </w:r>
          </w:p>
        </w:tc>
        <w:tc>
          <w:tcPr>
            <w:tcW w:w="1098" w:type="pct"/>
            <w:gridSpan w:val="2"/>
            <w:vAlign w:val="center"/>
          </w:tcPr>
          <w:p>
            <w:pPr>
              <w:jc w:val="left"/>
              <w:rPr>
                <w:rFonts w:ascii="宋体" w:hAnsi="宋体"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0" w:hRule="atLeast"/>
          <w:jc w:val="center"/>
        </w:trPr>
        <w:tc>
          <w:tcPr>
            <w:tcW w:w="837" w:type="pct"/>
            <w:gridSpan w:val="2"/>
            <w:vAlign w:val="center"/>
          </w:tcPr>
          <w:p>
            <w:pPr>
              <w:jc w:val="center"/>
              <w:rPr>
                <w:rFonts w:ascii="宋体" w:hAnsi="宋体" w:cs="仿宋_GB2312"/>
                <w:sz w:val="24"/>
                <w:highlight w:val="none"/>
              </w:rPr>
            </w:pPr>
            <w:r>
              <w:rPr>
                <w:rFonts w:hint="eastAsia" w:ascii="宋体" w:hAnsi="宋体" w:cs="仿宋_GB2312"/>
                <w:sz w:val="24"/>
                <w:highlight w:val="none"/>
              </w:rPr>
              <w:t>验收具体内容（如不合格应</w:t>
            </w:r>
            <w:r>
              <w:rPr>
                <w:rFonts w:ascii="宋体" w:hAnsi="宋体" w:cs="仿宋_GB2312"/>
                <w:sz w:val="24"/>
                <w:highlight w:val="none"/>
              </w:rPr>
              <w:t>备注原因</w:t>
            </w:r>
            <w:r>
              <w:rPr>
                <w:rFonts w:hint="eastAsia" w:ascii="宋体" w:hAnsi="宋体" w:cs="仿宋_GB2312"/>
                <w:sz w:val="24"/>
                <w:highlight w:val="none"/>
              </w:rPr>
              <w:t>，</w:t>
            </w:r>
            <w:r>
              <w:rPr>
                <w:rFonts w:ascii="宋体" w:hAnsi="宋体" w:cs="仿宋_GB2312"/>
                <w:sz w:val="24"/>
                <w:highlight w:val="none"/>
              </w:rPr>
              <w:t>如内容较多，可另附页</w:t>
            </w:r>
            <w:r>
              <w:rPr>
                <w:rFonts w:hint="eastAsia" w:ascii="宋体" w:hAnsi="宋体" w:cs="仿宋_GB2312"/>
                <w:sz w:val="24"/>
                <w:highlight w:val="none"/>
              </w:rPr>
              <w:t>）</w:t>
            </w:r>
          </w:p>
        </w:tc>
        <w:tc>
          <w:tcPr>
            <w:tcW w:w="4163" w:type="pct"/>
            <w:gridSpan w:val="6"/>
          </w:tcPr>
          <w:tbl>
            <w:tblPr>
              <w:tblStyle w:val="1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297"/>
              <w:gridCol w:w="992"/>
              <w:gridCol w:w="11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3297" w:type="dxa"/>
                  <w:vAlign w:val="center"/>
                </w:tcPr>
                <w:p>
                  <w:pPr>
                    <w:rPr>
                      <w:rFonts w:ascii="宋体" w:hAnsi="宋体" w:cs="仿宋_GB2312"/>
                      <w:sz w:val="24"/>
                      <w:highlight w:val="none"/>
                    </w:rPr>
                  </w:pPr>
                  <w:r>
                    <w:rPr>
                      <w:rFonts w:hint="eastAsia" w:ascii="宋体" w:hAnsi="宋体" w:cs="仿宋_GB2312"/>
                      <w:sz w:val="24"/>
                      <w:highlight w:val="none"/>
                    </w:rPr>
                    <w:t>履约时间</w:t>
                  </w:r>
                  <w:r>
                    <w:rPr>
                      <w:rFonts w:ascii="宋体" w:hAnsi="宋体" w:cs="仿宋_GB2312"/>
                      <w:sz w:val="24"/>
                      <w:highlight w:val="none"/>
                    </w:rPr>
                    <w:t>与地点</w:t>
                  </w:r>
                </w:p>
              </w:tc>
              <w:tc>
                <w:tcPr>
                  <w:tcW w:w="992" w:type="dxa"/>
                  <w:vAlign w:val="center"/>
                </w:tcPr>
                <w:p>
                  <w:pPr>
                    <w:jc w:val="center"/>
                    <w:rPr>
                      <w:rFonts w:ascii="宋体" w:hAnsi="宋体" w:cs="仿宋_GB2312"/>
                      <w:sz w:val="24"/>
                      <w:highlight w:val="none"/>
                    </w:rPr>
                  </w:pPr>
                  <w:r>
                    <w:rPr>
                      <w:rFonts w:hint="eastAsia" w:ascii="宋体" w:hAnsi="宋体" w:cs="宋体"/>
                      <w:kern w:val="0"/>
                      <w:sz w:val="22"/>
                      <w:highlight w:val="none"/>
                    </w:rPr>
                    <w:t>□合格</w:t>
                  </w:r>
                </w:p>
              </w:tc>
              <w:tc>
                <w:tcPr>
                  <w:tcW w:w="1134" w:type="dxa"/>
                  <w:vAlign w:val="center"/>
                </w:tcPr>
                <w:p>
                  <w:pPr>
                    <w:jc w:val="center"/>
                    <w:rPr>
                      <w:rFonts w:ascii="宋体" w:hAnsi="宋体" w:cs="仿宋_GB2312"/>
                      <w:sz w:val="24"/>
                      <w:highlight w:val="none"/>
                    </w:rPr>
                  </w:pPr>
                  <w:r>
                    <w:rPr>
                      <w:rFonts w:hint="eastAsia" w:ascii="宋体" w:hAnsi="宋体" w:cs="宋体"/>
                      <w:kern w:val="0"/>
                      <w:sz w:val="22"/>
                      <w:highlight w:val="none"/>
                    </w:rPr>
                    <w:t>□不合格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3297" w:type="dxa"/>
                  <w:vAlign w:val="center"/>
                </w:tcPr>
                <w:p>
                  <w:pPr>
                    <w:rPr>
                      <w:rFonts w:ascii="宋体" w:hAnsi="宋体" w:cs="仿宋_GB2312"/>
                      <w:sz w:val="24"/>
                      <w:highlight w:val="none"/>
                    </w:rPr>
                  </w:pPr>
                  <w:r>
                    <w:rPr>
                      <w:rFonts w:hint="eastAsia" w:ascii="宋体" w:hAnsi="宋体" w:cs="仿宋_GB2312"/>
                      <w:sz w:val="24"/>
                      <w:highlight w:val="none"/>
                    </w:rPr>
                    <w:t>货物</w:t>
                  </w:r>
                  <w:r>
                    <w:rPr>
                      <w:rFonts w:ascii="宋体" w:hAnsi="宋体" w:cs="仿宋_GB2312"/>
                      <w:sz w:val="24"/>
                      <w:highlight w:val="none"/>
                    </w:rPr>
                    <w:t>、</w:t>
                  </w:r>
                  <w:r>
                    <w:rPr>
                      <w:rFonts w:hint="eastAsia" w:ascii="宋体" w:hAnsi="宋体" w:cs="仿宋_GB2312"/>
                      <w:sz w:val="24"/>
                      <w:highlight w:val="none"/>
                    </w:rPr>
                    <w:t>服务需求响应</w:t>
                  </w:r>
                  <w:r>
                    <w:rPr>
                      <w:rFonts w:ascii="宋体" w:hAnsi="宋体" w:cs="仿宋_GB2312"/>
                      <w:sz w:val="24"/>
                      <w:highlight w:val="none"/>
                    </w:rPr>
                    <w:t>程度</w:t>
                  </w:r>
                  <w:r>
                    <w:rPr>
                      <w:rFonts w:hint="eastAsia" w:ascii="宋体" w:hAnsi="宋体" w:cs="仿宋_GB2312"/>
                      <w:sz w:val="24"/>
                      <w:highlight w:val="none"/>
                    </w:rPr>
                    <w:t>（品牌</w:t>
                  </w:r>
                  <w:r>
                    <w:rPr>
                      <w:rFonts w:ascii="宋体" w:hAnsi="宋体" w:cs="仿宋_GB2312"/>
                      <w:sz w:val="24"/>
                      <w:highlight w:val="none"/>
                    </w:rPr>
                    <w:t>、型号、配置等</w:t>
                  </w:r>
                  <w:r>
                    <w:rPr>
                      <w:rFonts w:hint="eastAsia" w:ascii="宋体" w:hAnsi="宋体" w:cs="仿宋_GB2312"/>
                      <w:sz w:val="24"/>
                      <w:highlight w:val="none"/>
                    </w:rPr>
                    <w:t>）</w:t>
                  </w:r>
                </w:p>
              </w:tc>
              <w:tc>
                <w:tcPr>
                  <w:tcW w:w="992" w:type="dxa"/>
                  <w:vAlign w:val="center"/>
                </w:tcPr>
                <w:p>
                  <w:pPr>
                    <w:jc w:val="center"/>
                    <w:rPr>
                      <w:rFonts w:ascii="宋体" w:hAnsi="宋体" w:cs="仿宋_GB2312"/>
                      <w:sz w:val="24"/>
                      <w:highlight w:val="none"/>
                    </w:rPr>
                  </w:pPr>
                  <w:r>
                    <w:rPr>
                      <w:rFonts w:hint="eastAsia" w:ascii="宋体" w:hAnsi="宋体" w:cs="宋体"/>
                      <w:kern w:val="0"/>
                      <w:sz w:val="22"/>
                      <w:highlight w:val="none"/>
                    </w:rPr>
                    <w:t>□合格</w:t>
                  </w:r>
                </w:p>
              </w:tc>
              <w:tc>
                <w:tcPr>
                  <w:tcW w:w="1134" w:type="dxa"/>
                  <w:vAlign w:val="center"/>
                </w:tcPr>
                <w:p>
                  <w:pPr>
                    <w:jc w:val="center"/>
                    <w:rPr>
                      <w:rFonts w:ascii="宋体" w:hAnsi="宋体" w:cs="仿宋_GB2312"/>
                      <w:sz w:val="24"/>
                      <w:highlight w:val="none"/>
                    </w:rPr>
                  </w:pPr>
                  <w:r>
                    <w:rPr>
                      <w:rFonts w:hint="eastAsia" w:ascii="宋体" w:hAnsi="宋体" w:cs="宋体"/>
                      <w:kern w:val="0"/>
                      <w:sz w:val="22"/>
                      <w:highlight w:val="none"/>
                    </w:rPr>
                    <w:t>□不合格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3297" w:type="dxa"/>
                  <w:vAlign w:val="center"/>
                </w:tcPr>
                <w:p>
                  <w:pPr>
                    <w:rPr>
                      <w:rFonts w:ascii="宋体" w:hAnsi="宋体" w:cs="仿宋_GB2312"/>
                      <w:sz w:val="24"/>
                      <w:highlight w:val="none"/>
                    </w:rPr>
                  </w:pPr>
                  <w:r>
                    <w:rPr>
                      <w:rFonts w:hint="eastAsia" w:ascii="宋体" w:hAnsi="宋体" w:cs="仿宋_GB2312"/>
                      <w:sz w:val="24"/>
                      <w:highlight w:val="none"/>
                    </w:rPr>
                    <w:t>配件</w:t>
                  </w:r>
                  <w:r>
                    <w:rPr>
                      <w:rFonts w:ascii="宋体" w:hAnsi="宋体" w:cs="仿宋_GB2312"/>
                      <w:sz w:val="24"/>
                      <w:highlight w:val="none"/>
                    </w:rPr>
                    <w:t>、附件、材料齐全</w:t>
                  </w:r>
                </w:p>
              </w:tc>
              <w:tc>
                <w:tcPr>
                  <w:tcW w:w="992" w:type="dxa"/>
                  <w:vAlign w:val="center"/>
                </w:tcPr>
                <w:p>
                  <w:pPr>
                    <w:jc w:val="center"/>
                    <w:rPr>
                      <w:rFonts w:ascii="宋体" w:hAnsi="宋体" w:cs="仿宋_GB2312"/>
                      <w:sz w:val="24"/>
                      <w:highlight w:val="none"/>
                    </w:rPr>
                  </w:pPr>
                  <w:r>
                    <w:rPr>
                      <w:rFonts w:hint="eastAsia" w:ascii="宋体" w:hAnsi="宋体" w:cs="宋体"/>
                      <w:kern w:val="0"/>
                      <w:sz w:val="22"/>
                      <w:highlight w:val="none"/>
                    </w:rPr>
                    <w:t>□合格</w:t>
                  </w:r>
                </w:p>
              </w:tc>
              <w:tc>
                <w:tcPr>
                  <w:tcW w:w="1134" w:type="dxa"/>
                  <w:vAlign w:val="center"/>
                </w:tcPr>
                <w:p>
                  <w:pPr>
                    <w:jc w:val="center"/>
                    <w:rPr>
                      <w:rFonts w:ascii="宋体" w:hAnsi="宋体" w:cs="仿宋_GB2312"/>
                      <w:sz w:val="24"/>
                      <w:highlight w:val="none"/>
                    </w:rPr>
                  </w:pPr>
                  <w:r>
                    <w:rPr>
                      <w:rFonts w:hint="eastAsia" w:ascii="宋体" w:hAnsi="宋体" w:cs="宋体"/>
                      <w:kern w:val="0"/>
                      <w:sz w:val="22"/>
                      <w:highlight w:val="none"/>
                    </w:rPr>
                    <w:t>□不合格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3297" w:type="dxa"/>
                  <w:vAlign w:val="center"/>
                </w:tcPr>
                <w:p>
                  <w:pPr>
                    <w:rPr>
                      <w:rFonts w:ascii="宋体" w:hAnsi="宋体" w:cs="仿宋_GB2312"/>
                      <w:sz w:val="24"/>
                      <w:highlight w:val="none"/>
                    </w:rPr>
                  </w:pPr>
                  <w:r>
                    <w:rPr>
                      <w:rFonts w:hint="eastAsia" w:ascii="宋体" w:hAnsi="宋体" w:cs="仿宋_GB2312"/>
                      <w:sz w:val="24"/>
                      <w:highlight w:val="none"/>
                    </w:rPr>
                    <w:t>数量</w:t>
                  </w:r>
                  <w:r>
                    <w:rPr>
                      <w:rFonts w:ascii="宋体" w:hAnsi="宋体" w:cs="仿宋_GB2312"/>
                      <w:sz w:val="24"/>
                      <w:highlight w:val="none"/>
                    </w:rPr>
                    <w:t>、质量、性能、功能</w:t>
                  </w:r>
                  <w:r>
                    <w:rPr>
                      <w:rFonts w:hint="eastAsia" w:ascii="宋体" w:hAnsi="宋体" w:cs="仿宋_GB2312"/>
                      <w:sz w:val="24"/>
                      <w:highlight w:val="none"/>
                    </w:rPr>
                    <w:t>要求</w:t>
                  </w:r>
                </w:p>
              </w:tc>
              <w:tc>
                <w:tcPr>
                  <w:tcW w:w="992" w:type="dxa"/>
                  <w:vAlign w:val="center"/>
                </w:tcPr>
                <w:p>
                  <w:pPr>
                    <w:jc w:val="center"/>
                    <w:rPr>
                      <w:rFonts w:ascii="宋体" w:hAnsi="宋体" w:cs="仿宋_GB2312"/>
                      <w:sz w:val="24"/>
                      <w:highlight w:val="none"/>
                    </w:rPr>
                  </w:pPr>
                  <w:r>
                    <w:rPr>
                      <w:rFonts w:hint="eastAsia" w:ascii="宋体" w:hAnsi="宋体" w:cs="宋体"/>
                      <w:kern w:val="0"/>
                      <w:sz w:val="22"/>
                      <w:highlight w:val="none"/>
                    </w:rPr>
                    <w:t>□合格</w:t>
                  </w:r>
                </w:p>
              </w:tc>
              <w:tc>
                <w:tcPr>
                  <w:tcW w:w="1134" w:type="dxa"/>
                  <w:vAlign w:val="center"/>
                </w:tcPr>
                <w:p>
                  <w:pPr>
                    <w:jc w:val="center"/>
                    <w:rPr>
                      <w:rFonts w:ascii="宋体" w:hAnsi="宋体" w:cs="仿宋_GB2312"/>
                      <w:sz w:val="24"/>
                      <w:highlight w:val="none"/>
                    </w:rPr>
                  </w:pPr>
                  <w:r>
                    <w:rPr>
                      <w:rFonts w:hint="eastAsia" w:ascii="宋体" w:hAnsi="宋体" w:cs="宋体"/>
                      <w:kern w:val="0"/>
                      <w:sz w:val="22"/>
                      <w:highlight w:val="none"/>
                    </w:rPr>
                    <w:t>□不合格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3297" w:type="dxa"/>
                  <w:vAlign w:val="center"/>
                </w:tcPr>
                <w:p>
                  <w:pPr>
                    <w:rPr>
                      <w:rFonts w:ascii="宋体" w:hAnsi="宋体" w:cs="仿宋_GB2312"/>
                      <w:sz w:val="24"/>
                      <w:highlight w:val="none"/>
                    </w:rPr>
                  </w:pPr>
                  <w:r>
                    <w:rPr>
                      <w:rFonts w:hint="eastAsia" w:ascii="宋体" w:hAnsi="宋体" w:cs="仿宋_GB2312"/>
                      <w:sz w:val="24"/>
                      <w:highlight w:val="none"/>
                    </w:rPr>
                    <w:t>相关</w:t>
                  </w:r>
                  <w:r>
                    <w:rPr>
                      <w:rFonts w:ascii="宋体" w:hAnsi="宋体" w:cs="仿宋_GB2312"/>
                      <w:sz w:val="24"/>
                      <w:highlight w:val="none"/>
                    </w:rPr>
                    <w:t>质量</w:t>
                  </w:r>
                  <w:r>
                    <w:rPr>
                      <w:rFonts w:hint="eastAsia" w:ascii="宋体" w:hAnsi="宋体" w:cs="仿宋_GB2312"/>
                      <w:sz w:val="24"/>
                      <w:highlight w:val="none"/>
                    </w:rPr>
                    <w:t>保证</w:t>
                  </w:r>
                  <w:r>
                    <w:rPr>
                      <w:rFonts w:ascii="宋体" w:hAnsi="宋体" w:cs="仿宋_GB2312"/>
                      <w:sz w:val="24"/>
                      <w:highlight w:val="none"/>
                    </w:rPr>
                    <w:t>证明</w:t>
                  </w:r>
                  <w:r>
                    <w:rPr>
                      <w:rFonts w:hint="eastAsia" w:ascii="宋体" w:hAnsi="宋体" w:cs="仿宋_GB2312"/>
                      <w:sz w:val="24"/>
                      <w:highlight w:val="none"/>
                    </w:rPr>
                    <w:t>材料</w:t>
                  </w:r>
                </w:p>
              </w:tc>
              <w:tc>
                <w:tcPr>
                  <w:tcW w:w="992" w:type="dxa"/>
                  <w:vAlign w:val="center"/>
                </w:tcPr>
                <w:p>
                  <w:pPr>
                    <w:jc w:val="center"/>
                    <w:rPr>
                      <w:rFonts w:ascii="宋体" w:hAnsi="宋体" w:cs="仿宋_GB2312"/>
                      <w:sz w:val="24"/>
                      <w:highlight w:val="none"/>
                    </w:rPr>
                  </w:pPr>
                  <w:r>
                    <w:rPr>
                      <w:rFonts w:hint="eastAsia" w:ascii="宋体" w:hAnsi="宋体" w:cs="宋体"/>
                      <w:kern w:val="0"/>
                      <w:sz w:val="22"/>
                      <w:highlight w:val="none"/>
                    </w:rPr>
                    <w:t>□合格</w:t>
                  </w:r>
                </w:p>
              </w:tc>
              <w:tc>
                <w:tcPr>
                  <w:tcW w:w="1134" w:type="dxa"/>
                  <w:vAlign w:val="center"/>
                </w:tcPr>
                <w:p>
                  <w:pPr>
                    <w:jc w:val="center"/>
                    <w:rPr>
                      <w:rFonts w:ascii="宋体" w:hAnsi="宋体" w:cs="仿宋_GB2312"/>
                      <w:sz w:val="24"/>
                      <w:highlight w:val="none"/>
                    </w:rPr>
                  </w:pPr>
                  <w:r>
                    <w:rPr>
                      <w:rFonts w:hint="eastAsia" w:ascii="宋体" w:hAnsi="宋体" w:cs="宋体"/>
                      <w:kern w:val="0"/>
                      <w:sz w:val="22"/>
                      <w:highlight w:val="none"/>
                    </w:rPr>
                    <w:t>□不合格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3297" w:type="dxa"/>
                  <w:vAlign w:val="center"/>
                </w:tcPr>
                <w:p>
                  <w:pPr>
                    <w:rPr>
                      <w:rFonts w:ascii="宋体" w:hAnsi="宋体" w:cs="仿宋_GB2312"/>
                      <w:sz w:val="24"/>
                      <w:highlight w:val="none"/>
                    </w:rPr>
                  </w:pPr>
                  <w:r>
                    <w:rPr>
                      <w:rFonts w:hint="eastAsia" w:ascii="宋体" w:hAnsi="宋体" w:cs="仿宋_GB2312"/>
                      <w:sz w:val="24"/>
                      <w:highlight w:val="none"/>
                    </w:rPr>
                    <w:t>安装</w:t>
                  </w:r>
                  <w:r>
                    <w:rPr>
                      <w:rFonts w:ascii="宋体" w:hAnsi="宋体" w:cs="仿宋_GB2312"/>
                      <w:sz w:val="24"/>
                      <w:highlight w:val="none"/>
                    </w:rPr>
                    <w:t>、调试过程</w:t>
                  </w:r>
                  <w:r>
                    <w:rPr>
                      <w:rFonts w:hint="eastAsia" w:ascii="宋体" w:hAnsi="宋体" w:cs="仿宋_GB2312"/>
                      <w:sz w:val="24"/>
                      <w:highlight w:val="none"/>
                    </w:rPr>
                    <w:t>合规性</w:t>
                  </w:r>
                </w:p>
              </w:tc>
              <w:tc>
                <w:tcPr>
                  <w:tcW w:w="992" w:type="dxa"/>
                  <w:vAlign w:val="center"/>
                </w:tcPr>
                <w:p>
                  <w:pPr>
                    <w:jc w:val="center"/>
                    <w:rPr>
                      <w:rFonts w:ascii="宋体" w:hAnsi="宋体" w:cs="仿宋_GB2312"/>
                      <w:sz w:val="24"/>
                      <w:highlight w:val="none"/>
                    </w:rPr>
                  </w:pPr>
                  <w:r>
                    <w:rPr>
                      <w:rFonts w:hint="eastAsia" w:ascii="宋体" w:hAnsi="宋体" w:cs="宋体"/>
                      <w:kern w:val="0"/>
                      <w:sz w:val="22"/>
                      <w:highlight w:val="none"/>
                    </w:rPr>
                    <w:t>□合格</w:t>
                  </w:r>
                </w:p>
              </w:tc>
              <w:tc>
                <w:tcPr>
                  <w:tcW w:w="1134" w:type="dxa"/>
                  <w:vAlign w:val="center"/>
                </w:tcPr>
                <w:p>
                  <w:pPr>
                    <w:jc w:val="center"/>
                    <w:rPr>
                      <w:rFonts w:ascii="宋体" w:hAnsi="宋体" w:cs="仿宋_GB2312"/>
                      <w:sz w:val="24"/>
                      <w:highlight w:val="none"/>
                    </w:rPr>
                  </w:pPr>
                  <w:r>
                    <w:rPr>
                      <w:rFonts w:hint="eastAsia" w:ascii="宋体" w:hAnsi="宋体" w:cs="宋体"/>
                      <w:kern w:val="0"/>
                      <w:sz w:val="22"/>
                      <w:highlight w:val="none"/>
                    </w:rPr>
                    <w:t>□不合格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3297" w:type="dxa"/>
                  <w:vAlign w:val="center"/>
                </w:tcPr>
                <w:p>
                  <w:pPr>
                    <w:rPr>
                      <w:rFonts w:ascii="宋体" w:hAnsi="宋体" w:cs="仿宋_GB2312"/>
                      <w:sz w:val="24"/>
                      <w:highlight w:val="none"/>
                    </w:rPr>
                  </w:pPr>
                  <w:r>
                    <w:rPr>
                      <w:rFonts w:hint="eastAsia" w:ascii="宋体" w:hAnsi="宋体" w:cs="仿宋_GB2312"/>
                      <w:sz w:val="24"/>
                      <w:highlight w:val="none"/>
                    </w:rPr>
                    <w:t>售后</w:t>
                  </w:r>
                  <w:r>
                    <w:rPr>
                      <w:rFonts w:ascii="宋体" w:hAnsi="宋体" w:cs="仿宋_GB2312"/>
                      <w:sz w:val="24"/>
                      <w:highlight w:val="none"/>
                    </w:rPr>
                    <w:t>服务</w:t>
                  </w:r>
                  <w:r>
                    <w:rPr>
                      <w:rFonts w:hint="eastAsia" w:ascii="宋体" w:hAnsi="宋体" w:cs="仿宋_GB2312"/>
                      <w:sz w:val="24"/>
                      <w:highlight w:val="none"/>
                    </w:rPr>
                    <w:t>承诺</w:t>
                  </w:r>
                </w:p>
              </w:tc>
              <w:tc>
                <w:tcPr>
                  <w:tcW w:w="992" w:type="dxa"/>
                  <w:vAlign w:val="center"/>
                </w:tcPr>
                <w:p>
                  <w:pPr>
                    <w:jc w:val="center"/>
                    <w:rPr>
                      <w:rFonts w:ascii="宋体" w:hAnsi="宋体" w:cs="仿宋_GB2312"/>
                      <w:sz w:val="24"/>
                      <w:highlight w:val="none"/>
                    </w:rPr>
                  </w:pPr>
                  <w:r>
                    <w:rPr>
                      <w:rFonts w:hint="eastAsia" w:ascii="宋体" w:hAnsi="宋体" w:cs="宋体"/>
                      <w:kern w:val="0"/>
                      <w:sz w:val="22"/>
                      <w:highlight w:val="none"/>
                    </w:rPr>
                    <w:t>□合格</w:t>
                  </w:r>
                </w:p>
              </w:tc>
              <w:tc>
                <w:tcPr>
                  <w:tcW w:w="1134" w:type="dxa"/>
                  <w:vAlign w:val="center"/>
                </w:tcPr>
                <w:p>
                  <w:pPr>
                    <w:jc w:val="center"/>
                    <w:rPr>
                      <w:rFonts w:ascii="宋体" w:hAnsi="宋体" w:cs="仿宋_GB2312"/>
                      <w:sz w:val="24"/>
                      <w:highlight w:val="none"/>
                    </w:rPr>
                  </w:pPr>
                  <w:r>
                    <w:rPr>
                      <w:rFonts w:hint="eastAsia" w:ascii="宋体" w:hAnsi="宋体" w:cs="宋体"/>
                      <w:kern w:val="0"/>
                      <w:sz w:val="22"/>
                      <w:highlight w:val="none"/>
                    </w:rPr>
                    <w:t>□不合格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3297" w:type="dxa"/>
                  <w:vAlign w:val="center"/>
                </w:tcPr>
                <w:p>
                  <w:pPr>
                    <w:rPr>
                      <w:rFonts w:ascii="宋体" w:hAnsi="宋体" w:cs="仿宋_GB2312"/>
                      <w:sz w:val="24"/>
                      <w:highlight w:val="none"/>
                    </w:rPr>
                  </w:pPr>
                  <w:r>
                    <w:rPr>
                      <w:rFonts w:hint="eastAsia" w:ascii="宋体" w:hAnsi="宋体" w:cs="仿宋_GB2312"/>
                      <w:sz w:val="24"/>
                      <w:highlight w:val="none"/>
                    </w:rPr>
                    <w:t>其他</w:t>
                  </w:r>
                  <w:r>
                    <w:rPr>
                      <w:rFonts w:ascii="宋体" w:hAnsi="宋体" w:cs="仿宋_GB2312"/>
                      <w:sz w:val="24"/>
                      <w:highlight w:val="none"/>
                    </w:rPr>
                    <w:t>：</w:t>
                  </w:r>
                </w:p>
              </w:tc>
              <w:tc>
                <w:tcPr>
                  <w:tcW w:w="992" w:type="dxa"/>
                  <w:vAlign w:val="center"/>
                </w:tcPr>
                <w:p>
                  <w:pPr>
                    <w:jc w:val="center"/>
                    <w:rPr>
                      <w:rFonts w:ascii="宋体" w:hAnsi="宋体" w:cs="仿宋_GB2312"/>
                      <w:sz w:val="24"/>
                      <w:highlight w:val="none"/>
                    </w:rPr>
                  </w:pPr>
                  <w:r>
                    <w:rPr>
                      <w:rFonts w:hint="eastAsia" w:ascii="宋体" w:hAnsi="宋体" w:cs="宋体"/>
                      <w:kern w:val="0"/>
                      <w:sz w:val="22"/>
                      <w:highlight w:val="none"/>
                    </w:rPr>
                    <w:t>□合格</w:t>
                  </w:r>
                </w:p>
              </w:tc>
              <w:tc>
                <w:tcPr>
                  <w:tcW w:w="1134" w:type="dxa"/>
                  <w:vAlign w:val="center"/>
                </w:tcPr>
                <w:p>
                  <w:pPr>
                    <w:jc w:val="center"/>
                    <w:rPr>
                      <w:rFonts w:ascii="宋体" w:hAnsi="宋体" w:cs="仿宋_GB2312"/>
                      <w:sz w:val="24"/>
                      <w:highlight w:val="none"/>
                    </w:rPr>
                  </w:pPr>
                  <w:r>
                    <w:rPr>
                      <w:rFonts w:hint="eastAsia" w:ascii="宋体" w:hAnsi="宋体" w:cs="宋体"/>
                      <w:kern w:val="0"/>
                      <w:sz w:val="22"/>
                      <w:highlight w:val="none"/>
                    </w:rPr>
                    <w:t>□不合格</w:t>
                  </w:r>
                </w:p>
              </w:tc>
            </w:tr>
          </w:tbl>
          <w:p>
            <w:pPr>
              <w:ind w:firstLine="120" w:firstLineChars="50"/>
              <w:jc w:val="left"/>
              <w:rPr>
                <w:rFonts w:ascii="宋体" w:hAnsi="宋体"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837" w:type="pct"/>
            <w:gridSpan w:val="2"/>
            <w:vMerge w:val="restart"/>
            <w:vAlign w:val="center"/>
          </w:tcPr>
          <w:p>
            <w:pPr>
              <w:spacing w:line="360" w:lineRule="auto"/>
              <w:jc w:val="center"/>
              <w:rPr>
                <w:rFonts w:ascii="宋体" w:hAnsi="宋体" w:cs="仿宋_GB2312"/>
                <w:sz w:val="24"/>
                <w:highlight w:val="none"/>
              </w:rPr>
            </w:pPr>
            <w:r>
              <w:rPr>
                <w:rFonts w:hint="eastAsia" w:ascii="宋体" w:hAnsi="宋体" w:cs="仿宋_GB2312"/>
                <w:sz w:val="24"/>
                <w:highlight w:val="none"/>
              </w:rPr>
              <w:t>验收小组意见</w:t>
            </w:r>
          </w:p>
        </w:tc>
        <w:tc>
          <w:tcPr>
            <w:tcW w:w="4163" w:type="pct"/>
            <w:gridSpan w:val="6"/>
          </w:tcPr>
          <w:p>
            <w:pPr>
              <w:spacing w:line="360" w:lineRule="auto"/>
              <w:rPr>
                <w:rFonts w:ascii="宋体" w:hAnsi="宋体" w:cs="仿宋_GB2312"/>
                <w:sz w:val="24"/>
                <w:highlight w:val="none"/>
              </w:rPr>
            </w:pPr>
            <w:r>
              <w:rPr>
                <w:rFonts w:hint="eastAsia" w:ascii="宋体" w:hAnsi="宋体" w:cs="仿宋_GB2312"/>
                <w:sz w:val="24"/>
                <w:highlight w:val="none"/>
              </w:rPr>
              <w:t>验收结论性意见：</w:t>
            </w:r>
          </w:p>
          <w:p>
            <w:pPr>
              <w:spacing w:line="360" w:lineRule="auto"/>
              <w:rPr>
                <w:rFonts w:ascii="宋体" w:hAnsi="宋体"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7" w:type="pct"/>
            <w:gridSpan w:val="2"/>
            <w:vMerge w:val="continue"/>
          </w:tcPr>
          <w:p>
            <w:pPr>
              <w:spacing w:line="360" w:lineRule="auto"/>
              <w:rPr>
                <w:rFonts w:ascii="宋体" w:hAnsi="宋体" w:cs="仿宋_GB2312"/>
                <w:sz w:val="24"/>
                <w:highlight w:val="none"/>
              </w:rPr>
            </w:pPr>
          </w:p>
        </w:tc>
        <w:tc>
          <w:tcPr>
            <w:tcW w:w="4163" w:type="pct"/>
            <w:gridSpan w:val="6"/>
          </w:tcPr>
          <w:p>
            <w:pPr>
              <w:spacing w:line="360" w:lineRule="auto"/>
              <w:rPr>
                <w:rFonts w:ascii="宋体" w:hAnsi="宋体" w:cs="仿宋_GB2312"/>
                <w:sz w:val="24"/>
                <w:highlight w:val="none"/>
              </w:rPr>
            </w:pPr>
            <w:r>
              <w:rPr>
                <w:rFonts w:hint="eastAsia" w:ascii="宋体" w:hAnsi="宋体" w:cs="仿宋_GB2312"/>
                <w:sz w:val="24"/>
                <w:highlight w:val="none"/>
              </w:rPr>
              <w:t>有异议的意见和说明理由：</w:t>
            </w:r>
          </w:p>
          <w:p>
            <w:pPr>
              <w:spacing w:line="360" w:lineRule="auto"/>
              <w:rPr>
                <w:rFonts w:ascii="宋体" w:hAnsi="宋体"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5000" w:type="pct"/>
            <w:gridSpan w:val="8"/>
            <w:vAlign w:val="center"/>
          </w:tcPr>
          <w:p>
            <w:pPr>
              <w:rPr>
                <w:rFonts w:ascii="宋体" w:hAnsi="宋体" w:cs="仿宋_GB2312"/>
                <w:sz w:val="24"/>
                <w:highlight w:val="none"/>
              </w:rPr>
            </w:pPr>
            <w:r>
              <w:rPr>
                <w:rFonts w:hint="eastAsia" w:ascii="宋体" w:hAnsi="宋体" w:cs="仿宋_GB2312"/>
                <w:sz w:val="24"/>
                <w:highlight w:val="none"/>
              </w:rPr>
              <w:t>验收小组成员签字：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jc w:val="center"/>
        </w:trPr>
        <w:tc>
          <w:tcPr>
            <w:tcW w:w="5000" w:type="pct"/>
            <w:gridSpan w:val="8"/>
            <w:vAlign w:val="center"/>
          </w:tcPr>
          <w:p>
            <w:pPr>
              <w:rPr>
                <w:rFonts w:ascii="宋体" w:hAnsi="宋体" w:cs="仿宋_GB2312"/>
                <w:sz w:val="24"/>
                <w:highlight w:val="none"/>
              </w:rPr>
            </w:pPr>
            <w:r>
              <w:rPr>
                <w:rFonts w:hint="eastAsia" w:ascii="宋体" w:hAnsi="宋体" w:cs="仿宋_GB2312"/>
                <w:sz w:val="24"/>
                <w:highlight w:val="none"/>
              </w:rPr>
              <w:t>监督人员或其他相关人员签字：</w:t>
            </w:r>
          </w:p>
          <w:p>
            <w:pPr>
              <w:rPr>
                <w:rFonts w:ascii="宋体" w:hAnsi="宋体" w:cs="仿宋_GB2312"/>
                <w:sz w:val="24"/>
                <w:highlight w:val="none"/>
              </w:rPr>
            </w:pPr>
            <w:r>
              <w:rPr>
                <w:rFonts w:hint="eastAsia" w:ascii="宋体" w:hAnsi="宋体" w:cs="仿宋_GB2312"/>
                <w:sz w:val="24"/>
                <w:highlight w:val="none"/>
              </w:rPr>
              <w:t>或受邀机构的意见（盖章）：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2" w:hRule="atLeast"/>
          <w:jc w:val="center"/>
        </w:trPr>
        <w:tc>
          <w:tcPr>
            <w:tcW w:w="5000" w:type="pct"/>
            <w:gridSpan w:val="8"/>
            <w:vAlign w:val="center"/>
          </w:tcPr>
          <w:p>
            <w:pPr>
              <w:rPr>
                <w:rFonts w:ascii="宋体" w:hAnsi="宋体" w:cs="仿宋_GB2312"/>
                <w:sz w:val="24"/>
                <w:highlight w:val="none"/>
              </w:rPr>
            </w:pPr>
            <w:r>
              <w:rPr>
                <w:rFonts w:hint="eastAsia" w:ascii="宋体" w:hAnsi="宋体" w:cs="仿宋_GB2312"/>
                <w:sz w:val="24"/>
                <w:highlight w:val="none"/>
              </w:rPr>
              <w:t xml:space="preserve">成交或者成交供应商负责人签字或盖章：           </w:t>
            </w:r>
          </w:p>
          <w:p>
            <w:pPr>
              <w:rPr>
                <w:rFonts w:ascii="宋体" w:hAnsi="宋体" w:cs="仿宋_GB2312"/>
                <w:sz w:val="24"/>
                <w:highlight w:val="none"/>
              </w:rPr>
            </w:pPr>
            <w:r>
              <w:rPr>
                <w:rFonts w:hint="eastAsia" w:ascii="宋体" w:hAnsi="宋体" w:cs="仿宋_GB2312"/>
                <w:sz w:val="24"/>
                <w:highlight w:val="none"/>
              </w:rPr>
              <w:t xml:space="preserve">联系人：      </w:t>
            </w:r>
            <w:r>
              <w:rPr>
                <w:rFonts w:ascii="宋体" w:hAnsi="宋体" w:cs="仿宋_GB2312"/>
                <w:sz w:val="24"/>
                <w:highlight w:val="none"/>
              </w:rPr>
              <w:t xml:space="preserve">            </w:t>
            </w:r>
            <w:r>
              <w:rPr>
                <w:rFonts w:hint="eastAsia" w:ascii="宋体" w:hAnsi="宋体" w:cs="仿宋_GB2312"/>
                <w:sz w:val="24"/>
                <w:highlight w:val="none"/>
              </w:rPr>
              <w:t xml:space="preserve">   </w:t>
            </w:r>
          </w:p>
          <w:p>
            <w:pPr>
              <w:rPr>
                <w:rFonts w:ascii="宋体" w:hAnsi="宋体" w:cs="仿宋_GB2312"/>
                <w:sz w:val="24"/>
                <w:highlight w:val="none"/>
              </w:rPr>
            </w:pPr>
            <w:r>
              <w:rPr>
                <w:rFonts w:hint="eastAsia" w:ascii="宋体" w:hAnsi="宋体" w:cs="仿宋_GB2312"/>
                <w:sz w:val="24"/>
                <w:highlight w:val="none"/>
              </w:rPr>
              <w:t xml:space="preserve">联系电话：                年 </w:t>
            </w:r>
            <w:r>
              <w:rPr>
                <w:rFonts w:ascii="宋体" w:hAnsi="宋体" w:cs="仿宋_GB2312"/>
                <w:sz w:val="24"/>
                <w:highlight w:val="none"/>
              </w:rPr>
              <w:t xml:space="preserve"> </w:t>
            </w:r>
            <w:r>
              <w:rPr>
                <w:rFonts w:hint="eastAsia" w:ascii="宋体" w:hAnsi="宋体" w:cs="仿宋_GB2312"/>
                <w:sz w:val="24"/>
                <w:highlight w:val="none"/>
              </w:rPr>
              <w:t xml:space="preserve">月  日   </w:t>
            </w:r>
          </w:p>
          <w:p>
            <w:pPr>
              <w:rPr>
                <w:rFonts w:ascii="宋体" w:hAnsi="宋体" w:cs="仿宋_GB2312"/>
                <w:sz w:val="24"/>
                <w:highlight w:val="none"/>
              </w:rPr>
            </w:pPr>
          </w:p>
          <w:p>
            <w:pPr>
              <w:rPr>
                <w:rFonts w:ascii="宋体" w:hAnsi="宋体" w:cs="仿宋_GB2312"/>
                <w:sz w:val="24"/>
                <w:highlight w:val="none"/>
              </w:rPr>
            </w:pPr>
            <w:r>
              <w:rPr>
                <w:rFonts w:hint="eastAsia" w:ascii="宋体" w:hAnsi="宋体" w:cs="仿宋_GB2312"/>
                <w:sz w:val="24"/>
                <w:highlight w:val="none"/>
              </w:rPr>
              <w:t xml:space="preserve">受托机构的意见（盖章）：              </w:t>
            </w:r>
            <w:r>
              <w:rPr>
                <w:rFonts w:ascii="宋体" w:hAnsi="宋体" w:cs="仿宋_GB2312"/>
                <w:sz w:val="24"/>
                <w:highlight w:val="none"/>
              </w:rPr>
              <w:t xml:space="preserve">     </w:t>
            </w:r>
            <w:r>
              <w:rPr>
                <w:rFonts w:hint="eastAsia" w:ascii="宋体" w:hAnsi="宋体" w:cs="仿宋_GB2312"/>
                <w:sz w:val="24"/>
                <w:highlight w:val="none"/>
              </w:rPr>
              <w:t>采购人的意见（盖章）：</w:t>
            </w:r>
          </w:p>
          <w:p>
            <w:pPr>
              <w:rPr>
                <w:rFonts w:ascii="宋体" w:hAnsi="宋体" w:cs="仿宋_GB2312"/>
                <w:sz w:val="24"/>
                <w:highlight w:val="none"/>
              </w:rPr>
            </w:pPr>
            <w:r>
              <w:rPr>
                <w:rFonts w:hint="eastAsia" w:ascii="宋体" w:hAnsi="宋体" w:cs="仿宋_GB2312"/>
                <w:sz w:val="24"/>
                <w:highlight w:val="none"/>
              </w:rPr>
              <w:t xml:space="preserve">联系人：     </w:t>
            </w:r>
            <w:r>
              <w:rPr>
                <w:rFonts w:ascii="宋体" w:hAnsi="宋体" w:cs="仿宋_GB2312"/>
                <w:sz w:val="24"/>
                <w:highlight w:val="none"/>
              </w:rPr>
              <w:t xml:space="preserve">                             </w:t>
            </w:r>
            <w:r>
              <w:rPr>
                <w:rFonts w:hint="eastAsia" w:ascii="宋体" w:hAnsi="宋体" w:cs="仿宋_GB2312"/>
                <w:sz w:val="24"/>
                <w:highlight w:val="none"/>
              </w:rPr>
              <w:t xml:space="preserve">联系人：     </w:t>
            </w:r>
          </w:p>
          <w:p>
            <w:pPr>
              <w:rPr>
                <w:rFonts w:ascii="宋体" w:hAnsi="宋体" w:cs="仿宋_GB2312"/>
                <w:sz w:val="24"/>
                <w:highlight w:val="none"/>
              </w:rPr>
            </w:pPr>
            <w:r>
              <w:rPr>
                <w:rFonts w:hint="eastAsia" w:ascii="宋体" w:hAnsi="宋体" w:cs="仿宋_GB2312"/>
                <w:sz w:val="24"/>
                <w:highlight w:val="none"/>
              </w:rPr>
              <w:t xml:space="preserve">联系电话：     </w:t>
            </w:r>
            <w:r>
              <w:rPr>
                <w:rFonts w:ascii="宋体" w:hAnsi="宋体" w:cs="仿宋_GB2312"/>
                <w:sz w:val="24"/>
                <w:highlight w:val="none"/>
              </w:rPr>
              <w:t xml:space="preserve">  </w:t>
            </w:r>
            <w:r>
              <w:rPr>
                <w:rFonts w:hint="eastAsia" w:ascii="宋体" w:hAnsi="宋体" w:cs="仿宋_GB2312"/>
                <w:sz w:val="24"/>
                <w:highlight w:val="none"/>
              </w:rPr>
              <w:t xml:space="preserve"> </w:t>
            </w:r>
            <w:r>
              <w:rPr>
                <w:rFonts w:ascii="宋体" w:hAnsi="宋体" w:cs="仿宋_GB2312"/>
                <w:sz w:val="24"/>
                <w:highlight w:val="none"/>
              </w:rPr>
              <w:t xml:space="preserve">        </w:t>
            </w:r>
            <w:r>
              <w:rPr>
                <w:rFonts w:hint="eastAsia" w:ascii="宋体" w:hAnsi="宋体" w:cs="仿宋_GB2312"/>
                <w:sz w:val="24"/>
                <w:highlight w:val="none"/>
              </w:rPr>
              <w:t xml:space="preserve">年 </w:t>
            </w:r>
            <w:r>
              <w:rPr>
                <w:rFonts w:ascii="宋体" w:hAnsi="宋体" w:cs="仿宋_GB2312"/>
                <w:sz w:val="24"/>
                <w:highlight w:val="none"/>
              </w:rPr>
              <w:t xml:space="preserve"> </w:t>
            </w:r>
            <w:r>
              <w:rPr>
                <w:rFonts w:hint="eastAsia" w:ascii="宋体" w:hAnsi="宋体" w:cs="仿宋_GB2312"/>
                <w:sz w:val="24"/>
                <w:highlight w:val="none"/>
              </w:rPr>
              <w:t xml:space="preserve">月  日  </w:t>
            </w:r>
            <w:r>
              <w:rPr>
                <w:rFonts w:ascii="宋体" w:hAnsi="宋体" w:cs="仿宋_GB2312"/>
                <w:sz w:val="24"/>
                <w:highlight w:val="none"/>
              </w:rPr>
              <w:t xml:space="preserve">    </w:t>
            </w:r>
            <w:r>
              <w:rPr>
                <w:rFonts w:hint="eastAsia" w:ascii="宋体" w:hAnsi="宋体" w:cs="仿宋_GB2312"/>
                <w:sz w:val="24"/>
                <w:highlight w:val="none"/>
              </w:rPr>
              <w:t xml:space="preserve">联系电话：     </w:t>
            </w:r>
            <w:r>
              <w:rPr>
                <w:rFonts w:ascii="宋体" w:hAnsi="宋体" w:cs="仿宋_GB2312"/>
                <w:sz w:val="24"/>
                <w:highlight w:val="none"/>
              </w:rPr>
              <w:t xml:space="preserve">            </w:t>
            </w:r>
            <w:r>
              <w:rPr>
                <w:rFonts w:hint="eastAsia" w:ascii="宋体" w:hAnsi="宋体" w:cs="仿宋_GB2312"/>
                <w:sz w:val="24"/>
                <w:highlight w:val="none"/>
              </w:rPr>
              <w:t xml:space="preserve"> 年 </w:t>
            </w:r>
            <w:r>
              <w:rPr>
                <w:rFonts w:ascii="宋体" w:hAnsi="宋体" w:cs="仿宋_GB2312"/>
                <w:sz w:val="24"/>
                <w:highlight w:val="none"/>
              </w:rPr>
              <w:t xml:space="preserve"> </w:t>
            </w:r>
            <w:r>
              <w:rPr>
                <w:rFonts w:hint="eastAsia" w:ascii="宋体" w:hAnsi="宋体" w:cs="仿宋_GB2312"/>
                <w:sz w:val="24"/>
                <w:highlight w:val="none"/>
              </w:rPr>
              <w:t>月  日</w:t>
            </w:r>
          </w:p>
        </w:tc>
      </w:tr>
    </w:tbl>
    <w:p>
      <w:pPr>
        <w:rPr>
          <w:highlight w:val="none"/>
        </w:rPr>
        <w:sectPr>
          <w:pgSz w:w="11906" w:h="16838"/>
          <w:pgMar w:top="993" w:right="964" w:bottom="851" w:left="1134" w:header="720" w:footer="720" w:gutter="0"/>
          <w:cols w:space="720" w:num="1"/>
          <w:titlePg/>
          <w:docGrid w:linePitch="312" w:charSpace="0"/>
        </w:sectPr>
      </w:pPr>
      <w:r>
        <w:rPr>
          <w:rFonts w:hint="eastAsia" w:ascii="宋体" w:hAnsi="宋体" w:cs="仿宋_GB2312"/>
          <w:sz w:val="24"/>
          <w:highlight w:val="none"/>
        </w:rPr>
        <w:t>本验收表</w:t>
      </w:r>
      <w:r>
        <w:rPr>
          <w:rFonts w:ascii="宋体" w:hAnsi="宋体" w:cs="仿宋_GB2312"/>
          <w:sz w:val="24"/>
          <w:highlight w:val="none"/>
        </w:rPr>
        <w:t>一式四份，采购部门、成交供应商、国资处</w:t>
      </w:r>
      <w:r>
        <w:rPr>
          <w:rFonts w:hint="eastAsia" w:ascii="宋体" w:hAnsi="宋体" w:cs="仿宋_GB2312"/>
          <w:sz w:val="24"/>
          <w:highlight w:val="none"/>
        </w:rPr>
        <w:t>与</w:t>
      </w:r>
      <w:r>
        <w:rPr>
          <w:rFonts w:ascii="宋体" w:hAnsi="宋体" w:cs="仿宋_GB2312"/>
          <w:sz w:val="24"/>
          <w:highlight w:val="none"/>
        </w:rPr>
        <w:t>代理机构各执一份</w:t>
      </w:r>
      <w:r>
        <w:rPr>
          <w:rFonts w:hint="eastAsia" w:ascii="宋体" w:hAnsi="宋体" w:cs="仿宋_GB2312"/>
          <w:sz w:val="24"/>
          <w:highlight w:val="none"/>
        </w:rPr>
        <w:t>。如有专家或</w:t>
      </w:r>
      <w:r>
        <w:rPr>
          <w:rFonts w:ascii="宋体" w:hAnsi="宋体" w:cs="仿宋_GB2312"/>
          <w:sz w:val="24"/>
          <w:highlight w:val="none"/>
        </w:rPr>
        <w:t>第三方机构参与验收，其意见或报告应</w:t>
      </w:r>
      <w:r>
        <w:rPr>
          <w:rFonts w:hint="eastAsia" w:ascii="宋体" w:hAnsi="宋体" w:cs="仿宋_GB2312"/>
          <w:sz w:val="24"/>
          <w:highlight w:val="none"/>
        </w:rPr>
        <w:t>作为附件</w:t>
      </w:r>
      <w:r>
        <w:rPr>
          <w:rFonts w:ascii="宋体" w:hAnsi="宋体" w:cs="仿宋_GB2312"/>
          <w:sz w:val="24"/>
          <w:highlight w:val="none"/>
        </w:rPr>
        <w:t>一并保存。</w:t>
      </w:r>
    </w:p>
    <w:p>
      <w:pPr>
        <w:pStyle w:val="8"/>
        <w:spacing w:line="600" w:lineRule="exact"/>
        <w:rPr>
          <w:highlight w:val="none"/>
        </w:rPr>
      </w:pPr>
    </w:p>
    <w:p>
      <w:pPr>
        <w:rPr>
          <w:highlight w:val="none"/>
        </w:rPr>
      </w:pPr>
    </w:p>
    <w:sectPr>
      <w:pgSz w:w="11906" w:h="16838"/>
      <w:pgMar w:top="1134" w:right="964" w:bottom="851" w:left="1134" w:header="720" w:footer="720"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00" w:usb3="00000000" w:csb0="00040000" w:csb1="00000000"/>
  </w:font>
  <w:font w:name="幼圆">
    <w:panose1 w:val="02010509060101010101"/>
    <w:charset w:val="86"/>
    <w:family w:val="modern"/>
    <w:pitch w:val="default"/>
    <w:sig w:usb0="00000001" w:usb1="080E0000" w:usb2="00000000" w:usb3="00000000" w:csb0="00040000" w:csb1="00000000"/>
  </w:font>
  <w:font w:name="隶书">
    <w:panose1 w:val="0201050906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552908"/>
    </w:sdtPr>
    <w:sdtContent>
      <w:p>
        <w:pPr>
          <w:pStyle w:val="3"/>
          <w:jc w:val="center"/>
        </w:pPr>
        <w:r>
          <w:fldChar w:fldCharType="begin"/>
        </w:r>
        <w:r>
          <w:instrText xml:space="preserve"> PAGE   \* MERGEFORMAT </w:instrText>
        </w:r>
        <w:r>
          <w:fldChar w:fldCharType="separate"/>
        </w:r>
        <w:r>
          <w:rPr>
            <w:lang w:val="zh-CN"/>
          </w:rPr>
          <w:t>1</w:t>
        </w:r>
        <w: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16"/>
      </w:rPr>
    </w:pPr>
    <w:r>
      <w:fldChar w:fldCharType="begin"/>
    </w:r>
    <w:r>
      <w:rPr>
        <w:rStyle w:val="16"/>
      </w:rPr>
      <w:instrText xml:space="preserve">PAGE  </w:instrText>
    </w:r>
    <w:r>
      <w:fldChar w:fldCharType="separate"/>
    </w:r>
    <w:r>
      <w:rPr>
        <w:rStyle w:val="16"/>
      </w:rPr>
      <w:t>0</w:t>
    </w:r>
    <w: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71688"/>
    </w:sdtPr>
    <w:sdtContent>
      <w:p>
        <w:pPr>
          <w:pStyle w:val="3"/>
          <w:jc w:val="center"/>
        </w:pPr>
        <w:r>
          <w:fldChar w:fldCharType="begin"/>
        </w:r>
        <w:r>
          <w:instrText xml:space="preserve"> PAGE   \* MERGEFORMAT </w:instrText>
        </w:r>
        <w:r>
          <w:fldChar w:fldCharType="separate"/>
        </w:r>
        <w:r>
          <w:rPr>
            <w:lang w:val="zh-CN"/>
          </w:rPr>
          <w:t>14</w:t>
        </w:r>
        <w:r>
          <w:fldChar w:fldCharType="end"/>
        </w:r>
      </w:p>
    </w:sdtContent>
  </w:sdt>
  <w:p>
    <w:pPr>
      <w:pStyle w:val="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71690"/>
    </w:sdtPr>
    <w:sdtContent>
      <w:p>
        <w:pPr>
          <w:pStyle w:val="3"/>
          <w:jc w:val="center"/>
        </w:pPr>
        <w:r>
          <w:fldChar w:fldCharType="begin"/>
        </w:r>
        <w:r>
          <w:instrText xml:space="preserve"> PAGE   \* MERGEFORMAT </w:instrText>
        </w:r>
        <w:r>
          <w:fldChar w:fldCharType="separate"/>
        </w:r>
        <w:r>
          <w:rPr>
            <w:lang w:val="zh-CN"/>
          </w:rPr>
          <w:t>4</w:t>
        </w:r>
        <w:r>
          <w:fldChar w:fldCharType="end"/>
        </w:r>
      </w:p>
    </w:sdtContent>
  </w:sdt>
  <w:p>
    <w:pPr>
      <w:pStyle w:val="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280394"/>
    </w:sdtPr>
    <w:sdtContent>
      <w:p>
        <w:pPr>
          <w:pStyle w:val="3"/>
          <w:jc w:val="center"/>
        </w:pPr>
        <w:r>
          <w:fldChar w:fldCharType="begin"/>
        </w:r>
        <w:r>
          <w:instrText xml:space="preserve"> PAGE   \* MERGEFORMAT </w:instrText>
        </w:r>
        <w:r>
          <w:fldChar w:fldCharType="separate"/>
        </w:r>
        <w:r>
          <w:rPr>
            <w:lang w:val="zh-CN"/>
          </w:rPr>
          <w:t>16</w:t>
        </w:r>
        <w:r>
          <w:fldChar w:fldCharType="end"/>
        </w:r>
      </w:p>
    </w:sdtContent>
  </w:sdt>
  <w:p>
    <w:pPr>
      <w:pStyle w:val="3"/>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61B53C9"/>
    <w:multiLevelType w:val="singleLevel"/>
    <w:tmpl w:val="E61B53C9"/>
    <w:lvl w:ilvl="0" w:tentative="0">
      <w:start w:val="2"/>
      <w:numFmt w:val="decimal"/>
      <w:suff w:val="nothing"/>
      <w:lvlText w:val="%1、"/>
      <w:lvlJc w:val="left"/>
    </w:lvl>
  </w:abstractNum>
  <w:abstractNum w:abstractNumId="1">
    <w:nsid w:val="30BC2D16"/>
    <w:multiLevelType w:val="singleLevel"/>
    <w:tmpl w:val="30BC2D16"/>
    <w:lvl w:ilvl="0" w:tentative="0">
      <w:start w:val="1"/>
      <w:numFmt w:val="chineseCounting"/>
      <w:suff w:val="space"/>
      <w:lvlText w:val="第%1章"/>
      <w:lvlJc w:val="left"/>
      <w:rPr>
        <w:rFonts w:hint="eastAsia"/>
      </w:rPr>
    </w:lvl>
  </w:abstractNum>
  <w:abstractNum w:abstractNumId="2">
    <w:nsid w:val="4AB31978"/>
    <w:multiLevelType w:val="singleLevel"/>
    <w:tmpl w:val="4AB31978"/>
    <w:lvl w:ilvl="0" w:tentative="0">
      <w:start w:val="17"/>
      <w:numFmt w:val="decimal"/>
      <w:suff w:val="space"/>
      <w:lvlText w:val="%1."/>
      <w:lvlJc w:val="left"/>
    </w:lvl>
  </w:abstractNum>
  <w:abstractNum w:abstractNumId="3">
    <w:nsid w:val="4B640ECB"/>
    <w:multiLevelType w:val="singleLevel"/>
    <w:tmpl w:val="4B640ECB"/>
    <w:lvl w:ilvl="0" w:tentative="0">
      <w:start w:val="1"/>
      <w:numFmt w:val="decimal"/>
      <w:suff w:val="nothing"/>
      <w:lvlText w:val="（%1）"/>
      <w:lvlJc w:val="left"/>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NhZmI2OGRiN2I1NzFhZjNmZTc2Y2M2YTAwZGM2ZDMifQ=="/>
  </w:docVars>
  <w:rsids>
    <w:rsidRoot w:val="00A06D69"/>
    <w:rsid w:val="004A7F2E"/>
    <w:rsid w:val="00A06D69"/>
    <w:rsid w:val="00A2532E"/>
    <w:rsid w:val="00C10449"/>
    <w:rsid w:val="00FA3F09"/>
    <w:rsid w:val="0251774A"/>
    <w:rsid w:val="04693492"/>
    <w:rsid w:val="0D4F0D1F"/>
    <w:rsid w:val="12F6207A"/>
    <w:rsid w:val="142E6BDF"/>
    <w:rsid w:val="1EB74A52"/>
    <w:rsid w:val="21DD4CCD"/>
    <w:rsid w:val="2B6D0EA0"/>
    <w:rsid w:val="2FAC1208"/>
    <w:rsid w:val="395F72B0"/>
    <w:rsid w:val="41FB398C"/>
    <w:rsid w:val="4E3E695B"/>
    <w:rsid w:val="500443D0"/>
    <w:rsid w:val="61D9099A"/>
    <w:rsid w:val="68414228"/>
    <w:rsid w:val="6AB54152"/>
    <w:rsid w:val="6B9721C9"/>
    <w:rsid w:val="6E2862F6"/>
    <w:rsid w:val="6E563714"/>
    <w:rsid w:val="76276049"/>
    <w:rsid w:val="77EB5041"/>
    <w:rsid w:val="7A7766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18"/>
    <w:qFormat/>
    <w:uiPriority w:val="0"/>
    <w:pPr>
      <w:keepNext/>
      <w:keepLines/>
      <w:spacing w:before="100" w:after="90" w:line="576" w:lineRule="auto"/>
      <w:jc w:val="center"/>
      <w:outlineLvl w:val="0"/>
    </w:pPr>
    <w:rPr>
      <w:b/>
      <w:bCs/>
      <w:kern w:val="44"/>
      <w:sz w:val="44"/>
      <w:szCs w:val="44"/>
    </w:rPr>
  </w:style>
  <w:style w:type="paragraph" w:styleId="5">
    <w:name w:val="heading 4"/>
    <w:basedOn w:val="1"/>
    <w:next w:val="1"/>
    <w:qFormat/>
    <w:uiPriority w:val="0"/>
    <w:pPr>
      <w:ind w:firstLine="680"/>
      <w:outlineLvl w:val="3"/>
    </w:pPr>
    <w:rPr>
      <w:rFonts w:ascii="宋体"/>
      <w:sz w:val="28"/>
      <w:szCs w:val="20"/>
    </w:rPr>
  </w:style>
  <w:style w:type="paragraph" w:styleId="6">
    <w:name w:val="heading 5"/>
    <w:basedOn w:val="1"/>
    <w:next w:val="1"/>
    <w:qFormat/>
    <w:uiPriority w:val="0"/>
    <w:pPr>
      <w:spacing w:before="120"/>
      <w:ind w:firstLine="540"/>
      <w:outlineLvl w:val="4"/>
    </w:pPr>
    <w:rPr>
      <w:rFonts w:ascii="宋体"/>
      <w:b/>
      <w:sz w:val="28"/>
      <w:szCs w:val="20"/>
    </w:rPr>
  </w:style>
  <w:style w:type="character" w:default="1" w:styleId="15">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footer"/>
    <w:basedOn w:val="1"/>
    <w:qFormat/>
    <w:uiPriority w:val="99"/>
    <w:pPr>
      <w:tabs>
        <w:tab w:val="center" w:pos="4153"/>
        <w:tab w:val="right" w:pos="8306"/>
      </w:tabs>
      <w:snapToGrid w:val="0"/>
      <w:jc w:val="left"/>
    </w:pPr>
    <w:rPr>
      <w:rFonts w:ascii="宋体" w:hAnsi="Courier New"/>
      <w:sz w:val="18"/>
      <w:szCs w:val="20"/>
    </w:rPr>
  </w:style>
  <w:style w:type="paragraph" w:styleId="7">
    <w:name w:val="annotation text"/>
    <w:basedOn w:val="1"/>
    <w:qFormat/>
    <w:uiPriority w:val="0"/>
    <w:pPr>
      <w:jc w:val="left"/>
    </w:pPr>
  </w:style>
  <w:style w:type="paragraph" w:styleId="8">
    <w:name w:val="Plain Text"/>
    <w:basedOn w:val="1"/>
    <w:qFormat/>
    <w:uiPriority w:val="0"/>
    <w:rPr>
      <w:rFonts w:ascii="宋体" w:hAnsi="Courier New"/>
      <w:szCs w:val="20"/>
    </w:rPr>
  </w:style>
  <w:style w:type="paragraph" w:styleId="9">
    <w:name w:val="Balloon Text"/>
    <w:basedOn w:val="1"/>
    <w:link w:val="24"/>
    <w:qFormat/>
    <w:uiPriority w:val="0"/>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39"/>
  </w:style>
  <w:style w:type="paragraph" w:styleId="12">
    <w:name w:val="Normal (Web)"/>
    <w:basedOn w:val="1"/>
    <w:qFormat/>
    <w:uiPriority w:val="99"/>
    <w:pPr>
      <w:widowControl/>
      <w:spacing w:before="100" w:beforeAutospacing="1" w:after="100" w:afterAutospacing="1"/>
      <w:jc w:val="left"/>
    </w:pPr>
    <w:rPr>
      <w:rFonts w:ascii="宋体" w:hAnsi="宋体"/>
      <w:color w:val="000000"/>
      <w:kern w:val="0"/>
      <w:sz w:val="24"/>
    </w:rPr>
  </w:style>
  <w:style w:type="table" w:styleId="14">
    <w:name w:val="Table Grid"/>
    <w:basedOn w:val="1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page number"/>
    <w:basedOn w:val="15"/>
    <w:qFormat/>
    <w:uiPriority w:val="0"/>
  </w:style>
  <w:style w:type="character" w:styleId="17">
    <w:name w:val="Hyperlink"/>
    <w:qFormat/>
    <w:uiPriority w:val="99"/>
    <w:rPr>
      <w:rFonts w:ascii="Tahoma" w:hAnsi="Tahoma"/>
      <w:color w:val="0000FF"/>
      <w:sz w:val="24"/>
      <w:szCs w:val="20"/>
      <w:u w:val="single"/>
    </w:rPr>
  </w:style>
  <w:style w:type="character" w:customStyle="1" w:styleId="18">
    <w:name w:val="标题 1 Char"/>
    <w:link w:val="4"/>
    <w:qFormat/>
    <w:uiPriority w:val="0"/>
    <w:rPr>
      <w:b/>
      <w:bCs/>
      <w:kern w:val="44"/>
      <w:sz w:val="44"/>
      <w:szCs w:val="44"/>
    </w:rPr>
  </w:style>
  <w:style w:type="paragraph" w:styleId="19">
    <w:name w:val="List Paragraph"/>
    <w:basedOn w:val="1"/>
    <w:unhideWhenUsed/>
    <w:qFormat/>
    <w:uiPriority w:val="34"/>
    <w:pPr>
      <w:ind w:firstLine="420" w:firstLineChars="200"/>
    </w:pPr>
  </w:style>
  <w:style w:type="paragraph" w:customStyle="1" w:styleId="20">
    <w:name w:val="_Style 1"/>
    <w:qFormat/>
    <w:uiPriority w:val="0"/>
    <w:pPr>
      <w:widowControl w:val="0"/>
      <w:ind w:firstLine="200" w:firstLineChars="200"/>
      <w:jc w:val="both"/>
    </w:pPr>
    <w:rPr>
      <w:rFonts w:ascii="Times New Roman" w:hAnsi="Times New Roman" w:eastAsia="仿宋_GB2312" w:cs="Times New Roman"/>
      <w:kern w:val="2"/>
      <w:sz w:val="24"/>
      <w:szCs w:val="24"/>
      <w:lang w:val="en-US" w:eastAsia="zh-CN" w:bidi="ar-SA"/>
    </w:rPr>
  </w:style>
  <w:style w:type="table" w:customStyle="1" w:styleId="21">
    <w:name w:val="网格型1"/>
    <w:basedOn w:val="13"/>
    <w:qFormat/>
    <w:uiPriority w:val="59"/>
    <w:rPr>
      <w:rFonts w:ascii="Calibri" w:hAnsi="Calibri"/>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22">
    <w:name w:val="PlainText"/>
    <w:basedOn w:val="1"/>
    <w:qFormat/>
    <w:uiPriority w:val="99"/>
    <w:pPr>
      <w:widowControl/>
      <w:textAlignment w:val="baseline"/>
    </w:pPr>
    <w:rPr>
      <w:rFonts w:ascii="宋体" w:hAnsi="Courier New"/>
      <w:szCs w:val="20"/>
    </w:rPr>
  </w:style>
  <w:style w:type="character" w:customStyle="1" w:styleId="23">
    <w:name w:val="NormalCharacter"/>
    <w:qFormat/>
    <w:uiPriority w:val="0"/>
  </w:style>
  <w:style w:type="character" w:customStyle="1" w:styleId="24">
    <w:name w:val="批注框文本 Char"/>
    <w:basedOn w:val="15"/>
    <w:link w:val="9"/>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46</Pages>
  <Words>27720</Words>
  <Characters>29472</Characters>
  <Lines>37</Lines>
  <Paragraphs>64</Paragraphs>
  <TotalTime>135</TotalTime>
  <ScaleCrop>false</ScaleCrop>
  <LinksUpToDate>false</LinksUpToDate>
  <CharactersWithSpaces>30487</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2024-05-29T00:36:00Z</dcterms:created>
  <dc:creator>Administrator</dc:creator>
  <cp:lastModifiedBy>hope</cp:lastModifiedBy>
  <dcterms:modified xsi:type="dcterms:W3CDTF">2024-06-11T02:59:48Z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83EF9B9279864B84824D094E874CED3E_13</vt:lpwstr>
  </property>
</Properties>
</file>