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0124D">
      <w:pPr>
        <w:snapToGrid w:val="0"/>
        <w:spacing w:before="120" w:beforeLines="50" w:line="360" w:lineRule="auto"/>
        <w:jc w:val="center"/>
        <w:rPr>
          <w:rFonts w:hint="eastAsia" w:ascii="宋体" w:hAnsi="宋体" w:cs="宋体"/>
          <w:b/>
          <w:bCs/>
          <w:color w:val="auto"/>
          <w:sz w:val="72"/>
          <w:szCs w:val="72"/>
          <w:highlight w:val="none"/>
        </w:rPr>
      </w:pPr>
    </w:p>
    <w:p w14:paraId="16795DCC">
      <w:pPr>
        <w:snapToGrid w:val="0"/>
        <w:spacing w:before="120" w:beforeLines="50" w:line="360" w:lineRule="auto"/>
        <w:jc w:val="center"/>
        <w:rPr>
          <w:rFonts w:hint="eastAsia" w:ascii="宋体" w:hAnsi="宋体" w:cs="宋体"/>
          <w:color w:val="auto"/>
          <w:sz w:val="72"/>
          <w:szCs w:val="72"/>
          <w:highlight w:val="none"/>
        </w:rPr>
      </w:pPr>
      <w:r>
        <w:rPr>
          <w:rFonts w:hint="eastAsia" w:ascii="宋体" w:hAnsi="宋体" w:cs="宋体"/>
          <w:b/>
          <w:bCs/>
          <w:color w:val="auto"/>
          <w:sz w:val="72"/>
          <w:szCs w:val="72"/>
          <w:highlight w:val="none"/>
        </w:rPr>
        <w:drawing>
          <wp:inline distT="0" distB="0" distL="114300" distR="114300">
            <wp:extent cx="1931035" cy="1931035"/>
            <wp:effectExtent l="0" t="0" r="12065" b="1206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3"/>
                    <a:stretch>
                      <a:fillRect/>
                    </a:stretch>
                  </pic:blipFill>
                  <pic:spPr>
                    <a:xfrm>
                      <a:off x="0" y="0"/>
                      <a:ext cx="1931035" cy="1931035"/>
                    </a:xfrm>
                    <a:prstGeom prst="rect">
                      <a:avLst/>
                    </a:prstGeom>
                    <a:noFill/>
                    <a:ln>
                      <a:noFill/>
                    </a:ln>
                  </pic:spPr>
                </pic:pic>
              </a:graphicData>
            </a:graphic>
          </wp:inline>
        </w:drawing>
      </w:r>
    </w:p>
    <w:p w14:paraId="5CAD0372">
      <w:pPr>
        <w:snapToGrid w:val="0"/>
        <w:spacing w:before="120" w:beforeLines="50" w:line="360" w:lineRule="auto"/>
        <w:jc w:val="center"/>
        <w:rPr>
          <w:rFonts w:hint="eastAsia" w:ascii="宋体" w:hAnsi="宋体" w:cs="宋体"/>
          <w:b/>
          <w:bCs/>
          <w:color w:val="auto"/>
          <w:sz w:val="44"/>
          <w:szCs w:val="44"/>
          <w:highlight w:val="none"/>
        </w:rPr>
      </w:pPr>
      <w:r>
        <w:rPr>
          <w:rFonts w:hint="eastAsia" w:ascii="宋体" w:hAnsi="宋体" w:cs="宋体"/>
          <w:b/>
          <w:bCs/>
          <w:color w:val="auto"/>
          <w:sz w:val="72"/>
          <w:szCs w:val="72"/>
          <w:highlight w:val="none"/>
        </w:rPr>
        <w:t>竞争性谈判文件</w:t>
      </w:r>
    </w:p>
    <w:p w14:paraId="4A63153E">
      <w:pPr>
        <w:spacing w:before="240" w:beforeLines="100" w:after="120" w:afterLines="50" w:line="360" w:lineRule="auto"/>
        <w:jc w:val="center"/>
        <w:rPr>
          <w:rFonts w:hint="eastAsia" w:ascii="宋体" w:hAnsi="宋体" w:cs="宋体"/>
          <w:color w:val="auto"/>
          <w:szCs w:val="21"/>
          <w:highlight w:val="none"/>
        </w:rPr>
      </w:pPr>
      <w:r>
        <w:rPr>
          <w:rFonts w:hint="eastAsia" w:ascii="宋体" w:hAnsi="宋体" w:cs="宋体"/>
          <w:color w:val="auto"/>
          <w:sz w:val="24"/>
          <w:highlight w:val="none"/>
        </w:rPr>
        <w:t>（全流程电子化评标）</w:t>
      </w:r>
    </w:p>
    <w:p w14:paraId="185EEF40">
      <w:pPr>
        <w:spacing w:line="360" w:lineRule="auto"/>
        <w:rPr>
          <w:rFonts w:hint="eastAsia" w:ascii="宋体" w:hAnsi="宋体" w:cs="宋体"/>
          <w:b/>
          <w:color w:val="auto"/>
          <w:sz w:val="32"/>
          <w:szCs w:val="32"/>
          <w:highlight w:val="none"/>
        </w:rPr>
      </w:pPr>
    </w:p>
    <w:p w14:paraId="08DC7FFD">
      <w:pPr>
        <w:spacing w:line="360" w:lineRule="auto"/>
        <w:jc w:val="center"/>
        <w:rPr>
          <w:rFonts w:hint="eastAsia" w:ascii="宋体" w:hAnsi="宋体" w:cs="宋体"/>
          <w:b/>
          <w:color w:val="auto"/>
          <w:sz w:val="32"/>
          <w:szCs w:val="32"/>
          <w:highlight w:val="none"/>
        </w:rPr>
      </w:pPr>
    </w:p>
    <w:p w14:paraId="2B7C8C45">
      <w:pPr>
        <w:snapToGrid w:val="0"/>
        <w:spacing w:line="360" w:lineRule="auto"/>
        <w:ind w:left="1506" w:hanging="1506" w:hangingChars="500"/>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项目名称：</w:t>
      </w:r>
      <w:r>
        <w:rPr>
          <w:rFonts w:hint="eastAsia" w:ascii="宋体" w:hAnsi="宋体" w:cs="宋体"/>
          <w:b/>
          <w:bCs/>
          <w:color w:val="auto"/>
          <w:kern w:val="0"/>
          <w:sz w:val="30"/>
          <w:szCs w:val="30"/>
          <w:highlight w:val="none"/>
          <w:lang w:eastAsia="zh-CN"/>
        </w:rPr>
        <w:t>梧州学院图书馆空调工程（重）</w:t>
      </w:r>
    </w:p>
    <w:p w14:paraId="26E22C4D">
      <w:pPr>
        <w:snapToGrid w:val="0"/>
        <w:spacing w:line="360" w:lineRule="auto"/>
        <w:ind w:left="1506" w:hanging="1506" w:hangingChars="500"/>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项目编号：</w:t>
      </w:r>
      <w:r>
        <w:rPr>
          <w:rFonts w:hint="eastAsia" w:ascii="宋体" w:hAnsi="宋体" w:cs="宋体"/>
          <w:b/>
          <w:bCs/>
          <w:color w:val="auto"/>
          <w:kern w:val="0"/>
          <w:sz w:val="30"/>
          <w:szCs w:val="30"/>
          <w:highlight w:val="none"/>
          <w:lang w:eastAsia="zh-CN"/>
        </w:rPr>
        <w:t>GXZC2025-J2-003764-GXSL</w:t>
      </w:r>
    </w:p>
    <w:p w14:paraId="72387EE9">
      <w:pPr>
        <w:snapToGrid w:val="0"/>
        <w:spacing w:line="360" w:lineRule="auto"/>
        <w:ind w:left="1506" w:hanging="1506" w:hangingChars="500"/>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采购人：梧州学院</w:t>
      </w:r>
    </w:p>
    <w:p w14:paraId="2C2AB60C">
      <w:pPr>
        <w:snapToGrid w:val="0"/>
        <w:spacing w:line="360" w:lineRule="auto"/>
        <w:ind w:left="1506" w:hanging="1506" w:hangingChars="500"/>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采购代理机构：广西盛兰达项目管理咨询有限公司</w:t>
      </w:r>
    </w:p>
    <w:p w14:paraId="0B7F009E">
      <w:pPr>
        <w:spacing w:line="360" w:lineRule="auto"/>
        <w:jc w:val="center"/>
        <w:rPr>
          <w:rFonts w:hint="eastAsia" w:ascii="宋体" w:hAnsi="宋体" w:cs="宋体"/>
          <w:b/>
          <w:color w:val="auto"/>
          <w:sz w:val="32"/>
          <w:szCs w:val="32"/>
          <w:highlight w:val="none"/>
        </w:rPr>
      </w:pPr>
    </w:p>
    <w:p w14:paraId="702D7893">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2025年</w:t>
      </w:r>
      <w:r>
        <w:rPr>
          <w:rFonts w:hint="eastAsia" w:ascii="宋体" w:hAnsi="宋体" w:cs="宋体"/>
          <w:b/>
          <w:color w:val="auto"/>
          <w:sz w:val="32"/>
          <w:szCs w:val="32"/>
          <w:highlight w:val="none"/>
          <w:lang w:val="en-US" w:eastAsia="zh-CN"/>
        </w:rPr>
        <w:t>12</w:t>
      </w:r>
      <w:r>
        <w:rPr>
          <w:rFonts w:hint="eastAsia" w:ascii="宋体" w:hAnsi="宋体" w:cs="宋体"/>
          <w:b/>
          <w:color w:val="auto"/>
          <w:sz w:val="32"/>
          <w:szCs w:val="32"/>
          <w:highlight w:val="none"/>
        </w:rPr>
        <w:t>月</w:t>
      </w:r>
    </w:p>
    <w:p w14:paraId="07BF167D">
      <w:pPr>
        <w:spacing w:line="360" w:lineRule="auto"/>
        <w:rPr>
          <w:rFonts w:hint="eastAsia" w:ascii="宋体" w:hAnsi="宋体" w:cs="宋体"/>
          <w:b/>
          <w:color w:val="auto"/>
          <w:sz w:val="32"/>
          <w:szCs w:val="32"/>
          <w:highlight w:val="none"/>
        </w:rPr>
        <w:sectPr>
          <w:headerReference r:id="rId4" w:type="first"/>
          <w:footerReference r:id="rId6" w:type="first"/>
          <w:headerReference r:id="rId3" w:type="default"/>
          <w:footerReference r:id="rId5" w:type="default"/>
          <w:pgSz w:w="11911" w:h="16838"/>
          <w:pgMar w:top="1338" w:right="1502" w:bottom="850" w:left="1678" w:header="1077" w:footer="720" w:gutter="0"/>
          <w:pgNumType w:start="1"/>
          <w:cols w:space="720" w:num="1"/>
          <w:docGrid w:linePitch="312" w:charSpace="0"/>
        </w:sectPr>
      </w:pPr>
    </w:p>
    <w:p w14:paraId="083FE254">
      <w:pPr>
        <w:spacing w:line="360" w:lineRule="auto"/>
        <w:rPr>
          <w:rFonts w:hint="eastAsia" w:ascii="宋体" w:hAnsi="宋体" w:cs="宋体"/>
          <w:b/>
          <w:color w:val="auto"/>
          <w:sz w:val="32"/>
          <w:szCs w:val="32"/>
          <w:highlight w:val="none"/>
        </w:rPr>
      </w:pPr>
    </w:p>
    <w:p w14:paraId="449FADF5">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目   录</w:t>
      </w:r>
    </w:p>
    <w:p w14:paraId="343D9D80">
      <w:pPr>
        <w:pStyle w:val="26"/>
        <w:tabs>
          <w:tab w:val="right" w:leader="dot" w:pos="8731"/>
        </w:tabs>
        <w:spacing w:line="360" w:lineRule="auto"/>
        <w:rPr>
          <w:rFonts w:hint="eastAsia" w:ascii="宋体" w:hAnsi="宋体" w:cs="宋体"/>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TOC \o "1-3" \h \z \u </w:instrText>
      </w:r>
      <w:r>
        <w:rPr>
          <w:rFonts w:hint="eastAsia" w:ascii="宋体" w:hAnsi="宋体" w:cs="宋体"/>
          <w:b/>
          <w:color w:val="auto"/>
          <w:sz w:val="24"/>
          <w:highlight w:val="none"/>
        </w:rPr>
        <w:fldChar w:fldCharType="separate"/>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_Toc30362 </w:instrText>
      </w:r>
      <w:r>
        <w:rPr>
          <w:rFonts w:hint="eastAsia" w:ascii="宋体" w:hAnsi="宋体" w:cs="宋体"/>
          <w:color w:val="auto"/>
          <w:sz w:val="24"/>
          <w:highlight w:val="none"/>
        </w:rPr>
        <w:fldChar w:fldCharType="separate"/>
      </w:r>
      <w:r>
        <w:rPr>
          <w:rFonts w:hint="eastAsia" w:ascii="宋体" w:hAnsi="宋体" w:cs="宋体"/>
          <w:bCs/>
          <w:color w:val="auto"/>
          <w:sz w:val="24"/>
          <w:highlight w:val="none"/>
        </w:rPr>
        <w:t>第一章 竞争性谈判公告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_Toc30362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65E1197">
      <w:pPr>
        <w:pStyle w:val="26"/>
        <w:tabs>
          <w:tab w:val="right" w:leader="dot" w:pos="8731"/>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_Toc27190 </w:instrText>
      </w:r>
      <w:r>
        <w:rPr>
          <w:rFonts w:hint="eastAsia" w:ascii="宋体" w:hAnsi="宋体" w:cs="宋体"/>
          <w:color w:val="auto"/>
          <w:sz w:val="24"/>
          <w:highlight w:val="none"/>
        </w:rPr>
        <w:fldChar w:fldCharType="separate"/>
      </w:r>
      <w:r>
        <w:rPr>
          <w:rFonts w:hint="eastAsia" w:ascii="宋体" w:hAnsi="宋体" w:cs="宋体"/>
          <w:bCs/>
          <w:color w:val="auto"/>
          <w:sz w:val="24"/>
          <w:highlight w:val="none"/>
        </w:rPr>
        <w:t>第二章 采购需求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_Toc27190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B487DB1">
      <w:pPr>
        <w:pStyle w:val="26"/>
        <w:tabs>
          <w:tab w:val="right" w:leader="dot" w:pos="8731"/>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_Toc25610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第三章 工程量清单</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_Toc25610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7E68B00">
      <w:pPr>
        <w:pStyle w:val="26"/>
        <w:tabs>
          <w:tab w:val="right" w:leader="dot" w:pos="8731"/>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_Toc27659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第四章 图纸</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_Toc27659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A3B6584">
      <w:pPr>
        <w:pStyle w:val="26"/>
        <w:tabs>
          <w:tab w:val="right" w:leader="dot" w:pos="8731"/>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_Toc22846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第五章 供应商须知</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_Toc22846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4D4AD28">
      <w:pPr>
        <w:pStyle w:val="29"/>
        <w:tabs>
          <w:tab w:val="right" w:leader="dot" w:pos="8731"/>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_Toc4337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第一节 供应商须知前附表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_Toc4337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359D1B7">
      <w:pPr>
        <w:pStyle w:val="29"/>
        <w:tabs>
          <w:tab w:val="right" w:leader="dot" w:pos="8731"/>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_Toc32549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第二节 供应商须知正文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_Toc32549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53C6FAF">
      <w:pPr>
        <w:pStyle w:val="19"/>
        <w:tabs>
          <w:tab w:val="right" w:leader="dot" w:pos="8731"/>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_Toc31503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一、总则</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_Toc31503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8ECC731">
      <w:pPr>
        <w:pStyle w:val="19"/>
        <w:tabs>
          <w:tab w:val="right" w:leader="dot" w:pos="8731"/>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_Toc24694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二、谈判文件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_Toc24694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EB44B6E">
      <w:pPr>
        <w:pStyle w:val="19"/>
        <w:tabs>
          <w:tab w:val="right" w:leader="dot" w:pos="8731"/>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_Toc24255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三、响应文件的编制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_Toc24255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CE6A505">
      <w:pPr>
        <w:pStyle w:val="19"/>
        <w:tabs>
          <w:tab w:val="right" w:leader="dot" w:pos="8731"/>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_Toc27286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四、评审及谈判</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_Toc27286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619C7BB">
      <w:pPr>
        <w:pStyle w:val="19"/>
        <w:tabs>
          <w:tab w:val="right" w:leader="dot" w:pos="8731"/>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_Toc15462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五、成交及合同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_Toc15462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4047041">
      <w:pPr>
        <w:pStyle w:val="19"/>
        <w:tabs>
          <w:tab w:val="right" w:leader="dot" w:pos="8731"/>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_Toc2727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六、验收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_Toc2727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CA059FF">
      <w:pPr>
        <w:pStyle w:val="19"/>
        <w:tabs>
          <w:tab w:val="right" w:leader="dot" w:pos="8731"/>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_Toc10691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七、其他事项</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_Toc10691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74E948F">
      <w:pPr>
        <w:pStyle w:val="26"/>
        <w:tabs>
          <w:tab w:val="right" w:leader="dot" w:pos="8731"/>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_Toc28676 </w:instrText>
      </w:r>
      <w:r>
        <w:rPr>
          <w:rFonts w:hint="eastAsia" w:ascii="宋体" w:hAnsi="宋体" w:cs="宋体"/>
          <w:color w:val="auto"/>
          <w:sz w:val="24"/>
          <w:highlight w:val="none"/>
        </w:rPr>
        <w:fldChar w:fldCharType="separate"/>
      </w:r>
      <w:r>
        <w:rPr>
          <w:rFonts w:hint="eastAsia" w:ascii="宋体" w:hAnsi="宋体" w:cs="宋体"/>
          <w:bCs/>
          <w:color w:val="auto"/>
          <w:sz w:val="24"/>
          <w:highlight w:val="none"/>
        </w:rPr>
        <w:t>第六章 评审程序、评审方法和成交标准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_Toc28676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11F376B">
      <w:pPr>
        <w:pStyle w:val="29"/>
        <w:tabs>
          <w:tab w:val="right" w:leader="dot" w:pos="8731"/>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_Toc12020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第一节 评审程序和评审方法</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_Toc12020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6EFBA08">
      <w:pPr>
        <w:pStyle w:val="29"/>
        <w:tabs>
          <w:tab w:val="right" w:leader="dot" w:pos="8731"/>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_Toc1980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第二节 评审原则</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_Toc1980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250846C">
      <w:pPr>
        <w:pStyle w:val="29"/>
        <w:tabs>
          <w:tab w:val="right" w:leader="dot" w:pos="8731"/>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_Toc7309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第三节 评标报告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_Toc7309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229743E">
      <w:pPr>
        <w:pStyle w:val="29"/>
        <w:tabs>
          <w:tab w:val="right" w:leader="dot" w:pos="8731"/>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_Toc8394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第四节 评审过程的保密与录像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_Toc8394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E82B162">
      <w:pPr>
        <w:pStyle w:val="26"/>
        <w:tabs>
          <w:tab w:val="right" w:leader="dot" w:pos="8731"/>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_Toc11120 </w:instrText>
      </w:r>
      <w:r>
        <w:rPr>
          <w:rFonts w:hint="eastAsia" w:ascii="宋体" w:hAnsi="宋体" w:cs="宋体"/>
          <w:color w:val="auto"/>
          <w:sz w:val="24"/>
          <w:highlight w:val="none"/>
        </w:rPr>
        <w:fldChar w:fldCharType="separate"/>
      </w:r>
      <w:r>
        <w:rPr>
          <w:rFonts w:hint="eastAsia" w:ascii="宋体" w:hAnsi="宋体" w:cs="宋体"/>
          <w:bCs/>
          <w:color w:val="auto"/>
          <w:sz w:val="24"/>
          <w:highlight w:val="none"/>
        </w:rPr>
        <w:t>第七章 响应文件格式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_Toc11120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90D5CB0">
      <w:pPr>
        <w:pStyle w:val="29"/>
        <w:tabs>
          <w:tab w:val="right" w:leader="dot" w:pos="8731"/>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_Toc26393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第一节 封面格式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_Toc26393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0FD2785">
      <w:pPr>
        <w:pStyle w:val="29"/>
        <w:tabs>
          <w:tab w:val="right" w:leader="dot" w:pos="8731"/>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_Toc31809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第二节 资格证明文件格式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_Toc31809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944E0A7">
      <w:pPr>
        <w:pStyle w:val="29"/>
        <w:tabs>
          <w:tab w:val="right" w:leader="dot" w:pos="8731"/>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_Toc5011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第三节 商务技术文件格式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_Toc5011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7286A34">
      <w:pPr>
        <w:pStyle w:val="29"/>
        <w:tabs>
          <w:tab w:val="right" w:leader="dot" w:pos="8731"/>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_Toc31664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第四节 报价文件格式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_Toc31664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5FADDA8">
      <w:pPr>
        <w:pStyle w:val="26"/>
        <w:tabs>
          <w:tab w:val="right" w:leader="dot" w:pos="8731"/>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_Toc25040 </w:instrText>
      </w:r>
      <w:r>
        <w:rPr>
          <w:rFonts w:hint="eastAsia" w:ascii="宋体" w:hAnsi="宋体" w:cs="宋体"/>
          <w:color w:val="auto"/>
          <w:sz w:val="24"/>
          <w:highlight w:val="none"/>
        </w:rPr>
        <w:fldChar w:fldCharType="separate"/>
      </w:r>
      <w:r>
        <w:rPr>
          <w:rFonts w:hint="eastAsia" w:ascii="宋体" w:hAnsi="宋体" w:cs="宋体"/>
          <w:bCs/>
          <w:color w:val="auto"/>
          <w:sz w:val="24"/>
          <w:highlight w:val="none"/>
        </w:rPr>
        <w:t>第八章 合同文</w:t>
      </w:r>
      <w:bookmarkStart w:id="0" w:name="_Hlt214954018"/>
      <w:bookmarkStart w:id="1" w:name="_Hlt214954017"/>
      <w:r>
        <w:rPr>
          <w:rFonts w:hint="eastAsia" w:ascii="宋体" w:hAnsi="宋体" w:cs="宋体"/>
          <w:bCs/>
          <w:color w:val="auto"/>
          <w:sz w:val="24"/>
          <w:highlight w:val="none"/>
        </w:rPr>
        <w:t>本</w:t>
      </w:r>
      <w:bookmarkEnd w:id="0"/>
      <w:bookmarkEnd w:id="1"/>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_Toc25040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9F0EBE4">
      <w:pPr>
        <w:pStyle w:val="26"/>
        <w:tabs>
          <w:tab w:val="right" w:leader="dot" w:pos="8731"/>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_Toc6645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第九章 质疑、投诉材料格式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_Toc6645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101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9B01230">
      <w:pPr>
        <w:pStyle w:val="29"/>
        <w:spacing w:line="360" w:lineRule="auto"/>
        <w:rPr>
          <w:rFonts w:hint="eastAsia" w:ascii="宋体" w:hAnsi="宋体" w:cs="宋体"/>
          <w:b/>
          <w:color w:val="auto"/>
          <w:sz w:val="24"/>
          <w:highlight w:val="none"/>
        </w:rPr>
      </w:pPr>
      <w:r>
        <w:rPr>
          <w:rFonts w:hint="eastAsia" w:ascii="宋体" w:hAnsi="宋体" w:cs="宋体"/>
          <w:color w:val="auto"/>
          <w:sz w:val="24"/>
          <w:highlight w:val="none"/>
        </w:rPr>
        <w:fldChar w:fldCharType="end"/>
      </w:r>
    </w:p>
    <w:p w14:paraId="7246FEAF">
      <w:pPr>
        <w:spacing w:line="400" w:lineRule="exact"/>
        <w:rPr>
          <w:rFonts w:hint="eastAsia" w:ascii="宋体" w:hAnsi="宋体" w:cs="宋体"/>
          <w:b/>
          <w:color w:val="auto"/>
          <w:sz w:val="24"/>
          <w:highlight w:val="none"/>
        </w:rPr>
        <w:sectPr>
          <w:footerReference r:id="rId7" w:type="default"/>
          <w:pgSz w:w="11911" w:h="16838"/>
          <w:pgMar w:top="1338" w:right="1502" w:bottom="850" w:left="1678" w:header="1077" w:footer="720" w:gutter="0"/>
          <w:pgNumType w:start="1"/>
          <w:cols w:space="720" w:num="1"/>
          <w:docGrid w:linePitch="312" w:charSpace="0"/>
        </w:sectPr>
      </w:pPr>
    </w:p>
    <w:p w14:paraId="168A171A">
      <w:pPr>
        <w:pStyle w:val="3"/>
        <w:spacing w:before="0" w:after="0" w:line="360" w:lineRule="auto"/>
        <w:jc w:val="center"/>
        <w:rPr>
          <w:rFonts w:hint="eastAsia" w:ascii="宋体" w:hAnsi="宋体" w:cs="宋体"/>
          <w:color w:val="auto"/>
          <w:highlight w:val="none"/>
        </w:rPr>
      </w:pPr>
      <w:bookmarkStart w:id="2" w:name="_Toc30362"/>
      <w:r>
        <w:rPr>
          <w:rFonts w:hint="eastAsia" w:ascii="宋体" w:hAnsi="宋体" w:cs="宋体"/>
          <w:color w:val="auto"/>
          <w:sz w:val="32"/>
          <w:szCs w:val="32"/>
          <w:highlight w:val="none"/>
        </w:rPr>
        <w:t>第一章 竞争性谈判公告</w:t>
      </w:r>
      <w:bookmarkEnd w:id="2"/>
      <w:bookmarkStart w:id="3" w:name="_Toc28359089"/>
      <w:bookmarkStart w:id="4" w:name="_Toc35393798"/>
      <w:bookmarkStart w:id="5" w:name="_Toc44229878"/>
      <w:bookmarkStart w:id="6" w:name="_Toc28359012"/>
      <w:bookmarkStart w:id="7" w:name="_Toc35393629"/>
      <w:bookmarkStart w:id="8" w:name="_Toc35393623"/>
      <w:bookmarkStart w:id="9" w:name="_Toc28359081"/>
      <w:bookmarkStart w:id="10" w:name="_Toc35393792"/>
      <w:bookmarkStart w:id="11" w:name="_Toc28359004"/>
    </w:p>
    <w:tbl>
      <w:tblPr>
        <w:tblStyle w:val="35"/>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3"/>
      </w:tblGrid>
      <w:tr w14:paraId="2CFD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3" w:type="dxa"/>
            <w:noWrap w:val="0"/>
            <w:vAlign w:val="top"/>
          </w:tcPr>
          <w:p w14:paraId="5506F1B0">
            <w:pPr>
              <w:spacing w:line="480" w:lineRule="exact"/>
              <w:rPr>
                <w:rFonts w:hint="eastAsia" w:ascii="宋体" w:hAnsi="宋体" w:cs="宋体"/>
                <w:color w:val="auto"/>
                <w:sz w:val="24"/>
                <w:highlight w:val="none"/>
              </w:rPr>
            </w:pPr>
            <w:r>
              <w:rPr>
                <w:rFonts w:hint="eastAsia" w:ascii="宋体" w:hAnsi="宋体" w:cs="宋体"/>
                <w:color w:val="auto"/>
                <w:sz w:val="24"/>
                <w:highlight w:val="none"/>
              </w:rPr>
              <w:t>项目概况</w:t>
            </w:r>
          </w:p>
          <w:p w14:paraId="3CF8CE9D">
            <w:pPr>
              <w:wordWrap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eastAsia="zh-CN"/>
              </w:rPr>
              <w:t>梧州学院图书馆空调工程（重）</w:t>
            </w:r>
            <w:r>
              <w:rPr>
                <w:rFonts w:hint="eastAsia" w:ascii="宋体" w:hAnsi="宋体" w:cs="宋体"/>
                <w:color w:val="auto"/>
                <w:sz w:val="24"/>
                <w:highlight w:val="none"/>
              </w:rPr>
              <w:t>的潜在供应商应在</w:t>
            </w:r>
            <w:r>
              <w:rPr>
                <w:rFonts w:hint="eastAsia" w:ascii="宋体" w:hAnsi="宋体" w:cs="宋体"/>
                <w:color w:val="auto"/>
                <w:sz w:val="24"/>
                <w:highlight w:val="none"/>
                <w:u w:val="single"/>
              </w:rPr>
              <w:t>广西政府采购云平台（https://www.gcy.zfcg.gxzf.gov.cn）</w:t>
            </w:r>
            <w:r>
              <w:rPr>
                <w:rFonts w:hint="eastAsia" w:ascii="宋体" w:hAnsi="宋体" w:cs="宋体"/>
                <w:color w:val="auto"/>
                <w:sz w:val="24"/>
                <w:highlight w:val="none"/>
              </w:rPr>
              <w:t>获取（下载）竞争性谈判文件，并于</w:t>
            </w:r>
            <w:r>
              <w:rPr>
                <w:rFonts w:hint="eastAsia" w:ascii="宋体" w:hAnsi="宋体" w:cs="宋体"/>
                <w:color w:val="auto"/>
                <w:sz w:val="24"/>
                <w:highlight w:val="none"/>
                <w:u w:val="single"/>
                <w:lang w:eastAsia="zh-CN"/>
              </w:rPr>
              <w:t>2025年12月10日</w:t>
            </w:r>
            <w:r>
              <w:rPr>
                <w:rFonts w:hint="eastAsia" w:ascii="宋体" w:hAnsi="宋体" w:cs="宋体"/>
                <w:color w:val="auto"/>
                <w:sz w:val="24"/>
                <w:highlight w:val="none"/>
                <w:u w:val="single"/>
              </w:rPr>
              <w:t>9时00分</w:t>
            </w:r>
            <w:r>
              <w:rPr>
                <w:rFonts w:hint="eastAsia" w:ascii="宋体" w:hAnsi="宋体" w:cs="宋体"/>
                <w:color w:val="auto"/>
                <w:sz w:val="24"/>
                <w:highlight w:val="none"/>
              </w:rPr>
              <w:t>（北京时间）前提交响应文件。</w:t>
            </w:r>
          </w:p>
        </w:tc>
      </w:tr>
    </w:tbl>
    <w:p w14:paraId="4F2DEEC4">
      <w:pPr>
        <w:rPr>
          <w:rFonts w:hint="eastAsia" w:ascii="宋体" w:hAnsi="宋体" w:cs="宋体"/>
          <w:color w:val="auto"/>
          <w:sz w:val="24"/>
          <w:highlight w:val="none"/>
        </w:rPr>
      </w:pPr>
    </w:p>
    <w:p w14:paraId="59910FA8">
      <w:pPr>
        <w:keepNext w:val="0"/>
        <w:keepLines w:val="0"/>
        <w:pageBreakBefore w:val="0"/>
        <w:widowControl w:val="0"/>
        <w:kinsoku/>
        <w:overflowPunct/>
        <w:topLinePunct w:val="0"/>
        <w:autoSpaceDE/>
        <w:autoSpaceDN/>
        <w:bidi w:val="0"/>
        <w:adjustRightInd/>
        <w:spacing w:line="360" w:lineRule="auto"/>
        <w:textAlignment w:val="auto"/>
        <w:rPr>
          <w:rFonts w:hint="eastAsia" w:ascii="宋体" w:hAnsi="宋体" w:cs="宋体"/>
          <w:b/>
          <w:color w:val="auto"/>
          <w:sz w:val="24"/>
          <w:highlight w:val="none"/>
        </w:rPr>
      </w:pPr>
      <w:r>
        <w:rPr>
          <w:rFonts w:hint="eastAsia" w:ascii="宋体" w:hAnsi="宋体" w:cs="宋体"/>
          <w:b/>
          <w:color w:val="auto"/>
          <w:sz w:val="24"/>
          <w:highlight w:val="none"/>
        </w:rPr>
        <w:t>一、项目基本情况</w:t>
      </w:r>
      <w:bookmarkEnd w:id="3"/>
      <w:bookmarkEnd w:id="4"/>
      <w:bookmarkEnd w:id="5"/>
      <w:bookmarkEnd w:id="6"/>
      <w:bookmarkEnd w:id="7"/>
    </w:p>
    <w:p w14:paraId="46CE7751">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1.项目编号：</w:t>
      </w:r>
      <w:r>
        <w:rPr>
          <w:rFonts w:hint="eastAsia" w:ascii="宋体" w:hAnsi="宋体" w:cs="宋体"/>
          <w:color w:val="auto"/>
          <w:sz w:val="24"/>
          <w:highlight w:val="none"/>
          <w:lang w:eastAsia="zh-CN"/>
        </w:rPr>
        <w:t>GXZC2025-J2-003764-GXSL</w:t>
      </w:r>
    </w:p>
    <w:p w14:paraId="5D1A7395">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梧州学院图书馆空调工程（重）</w:t>
      </w:r>
    </w:p>
    <w:p w14:paraId="2EA589CE">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3.预算金额：1047557.00元</w:t>
      </w:r>
    </w:p>
    <w:p w14:paraId="26399412">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4.最高限价：1047557.00元</w:t>
      </w:r>
    </w:p>
    <w:p w14:paraId="02BFD696">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5.采购需求：</w:t>
      </w:r>
      <w:bookmarkStart w:id="517" w:name="_GoBack"/>
      <w:bookmarkEnd w:id="517"/>
      <w:r>
        <w:rPr>
          <w:rFonts w:hint="eastAsia" w:ascii="宋体" w:hAnsi="宋体" w:cs="宋体"/>
          <w:color w:val="auto"/>
          <w:sz w:val="24"/>
          <w:highlight w:val="none"/>
          <w:lang w:eastAsia="zh-CN"/>
        </w:rPr>
        <w:t>梧州学院图书馆空调工程包括电气改造、空调改造及拆除工程，主要内容为：多联机的采购、安装、敷设线缆及配管等，具体施工内容详见招标工程量清单</w:t>
      </w:r>
      <w:r>
        <w:rPr>
          <w:rFonts w:hint="eastAsia" w:ascii="宋体" w:hAnsi="宋体" w:cs="宋体"/>
          <w:color w:val="auto"/>
          <w:sz w:val="24"/>
          <w:highlight w:val="none"/>
        </w:rPr>
        <w:t>。</w:t>
      </w:r>
    </w:p>
    <w:p w14:paraId="1E2C5C54">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u w:val="single"/>
        </w:rPr>
      </w:pPr>
      <w:bookmarkStart w:id="12" w:name="_Toc28359090"/>
      <w:bookmarkStart w:id="13" w:name="_Toc28359013"/>
      <w:bookmarkStart w:id="14" w:name="_Toc44229879"/>
      <w:bookmarkStart w:id="15" w:name="_Toc35393630"/>
      <w:bookmarkStart w:id="16" w:name="_Toc35393799"/>
      <w:r>
        <w:rPr>
          <w:rFonts w:hint="eastAsia" w:ascii="宋体" w:hAnsi="宋体" w:cs="宋体"/>
          <w:color w:val="auto"/>
          <w:sz w:val="24"/>
          <w:highlight w:val="none"/>
        </w:rPr>
        <w:t>6.合同履行期限：25个日历天。</w:t>
      </w:r>
    </w:p>
    <w:p w14:paraId="1AC7BE35">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7.本项目是否接受联合体：</w:t>
      </w:r>
      <w:r>
        <w:rPr>
          <w:rFonts w:hint="eastAsia" w:ascii="宋体" w:hAnsi="宋体" w:cs="宋体"/>
          <w:color w:val="auto"/>
          <w:sz w:val="24"/>
          <w:highlight w:val="none"/>
        </w:rPr>
        <w:sym w:font="Wingdings 2" w:char="00A3"/>
      </w:r>
      <w:r>
        <w:rPr>
          <w:rFonts w:hint="eastAsia" w:ascii="宋体" w:hAnsi="宋体" w:cs="宋体"/>
          <w:color w:val="auto"/>
          <w:sz w:val="24"/>
          <w:highlight w:val="none"/>
        </w:rPr>
        <w:t>是，</w:t>
      </w:r>
      <w:r>
        <w:rPr>
          <w:rFonts w:hint="eastAsia" w:ascii="宋体" w:hAnsi="宋体" w:cs="宋体"/>
          <w:color w:val="auto"/>
          <w:sz w:val="22"/>
          <w:szCs w:val="22"/>
          <w:highlight w:val="none"/>
        </w:rPr>
        <w:t>☑</w:t>
      </w:r>
      <w:r>
        <w:rPr>
          <w:rFonts w:hint="eastAsia" w:ascii="宋体" w:hAnsi="宋体" w:cs="宋体"/>
          <w:color w:val="auto"/>
          <w:sz w:val="24"/>
          <w:highlight w:val="none"/>
        </w:rPr>
        <w:t>否。</w:t>
      </w:r>
    </w:p>
    <w:p w14:paraId="27E28FBB">
      <w:pPr>
        <w:keepNext w:val="0"/>
        <w:keepLines w:val="0"/>
        <w:pageBreakBefore w:val="0"/>
        <w:widowControl w:val="0"/>
        <w:kinsoku/>
        <w:wordWrap w:val="0"/>
        <w:overflowPunct/>
        <w:topLinePunct w:val="0"/>
        <w:autoSpaceDE/>
        <w:autoSpaceDN/>
        <w:bidi w:val="0"/>
        <w:adjustRightInd/>
        <w:spacing w:line="360" w:lineRule="auto"/>
        <w:textAlignment w:val="auto"/>
        <w:rPr>
          <w:rFonts w:hint="eastAsia" w:ascii="宋体" w:hAnsi="宋体" w:cs="宋体"/>
          <w:bCs/>
          <w:color w:val="auto"/>
          <w:sz w:val="24"/>
          <w:highlight w:val="none"/>
        </w:rPr>
      </w:pPr>
      <w:r>
        <w:rPr>
          <w:rFonts w:hint="eastAsia" w:ascii="宋体" w:hAnsi="宋体" w:cs="宋体"/>
          <w:b/>
          <w:color w:val="auto"/>
          <w:kern w:val="44"/>
          <w:sz w:val="24"/>
          <w:highlight w:val="none"/>
        </w:rPr>
        <w:t>二、供应商的资格条件</w:t>
      </w:r>
      <w:bookmarkEnd w:id="12"/>
      <w:bookmarkEnd w:id="13"/>
      <w:bookmarkEnd w:id="14"/>
      <w:bookmarkEnd w:id="15"/>
      <w:bookmarkEnd w:id="16"/>
    </w:p>
    <w:p w14:paraId="6EC3785F">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3FF969BD">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2.落实政府采购政策需满足的资格要求：本项目为专门面向中小企业项目，供应商应为中型企业或小型企业或微型企业或监狱企业或残疾人福利性单位；</w:t>
      </w:r>
    </w:p>
    <w:p w14:paraId="25BFDD68">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3.本项目的特定资格要求：</w:t>
      </w:r>
    </w:p>
    <w:p w14:paraId="652896C5">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（1）供应商具备建筑工程施工总承包三级（含三级）以上或机电工程施工总承包三级（含三级）以上资质，且具有有效的安全生产许可证。</w:t>
      </w:r>
    </w:p>
    <w:p w14:paraId="1888A8BC">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（2）供应商拟派的项目经理具备建筑工程专业二级（含）以上</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机电工程专业二级（含）以上注册建造师执业资格，具备有效的安全生产考核合格证书（B类）。本项目不接受有在建、已中标（成交）未开工或已列为其他项目中标候选人第一名的建造师作为项目经理（符合《广西壮族自治区建筑市场诚信卡管理暂行办法》第十六条第一款及桂建管﹝2016﹞70号、桂建管〔2020〕11号文除外）。</w:t>
      </w:r>
    </w:p>
    <w:p w14:paraId="4D80BA4B">
      <w:pPr>
        <w:keepNext w:val="0"/>
        <w:keepLines w:val="0"/>
        <w:pageBreakBefore w:val="0"/>
        <w:widowControl w:val="0"/>
        <w:kinsoku/>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5D0FE2F">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对在“信用中国”网站（www.creditchina.gov.cn）、中国政府采购网（www.ccgp.gov.cn）被列入失信被执行人名单、重大税收违法失信主体名单、严重失信主体名单、政府采购严重违法失信行为记录名单及其他不符合《中华人民共和国政府采购法》第二十二条规定条件的供应商，不得参与政府采购活动。</w:t>
      </w:r>
    </w:p>
    <w:p w14:paraId="29699213">
      <w:pPr>
        <w:keepNext w:val="0"/>
        <w:keepLines w:val="0"/>
        <w:pageBreakBefore w:val="0"/>
        <w:widowControl w:val="0"/>
        <w:kinsoku/>
        <w:wordWrap w:val="0"/>
        <w:overflowPunct/>
        <w:topLinePunct w:val="0"/>
        <w:autoSpaceDE/>
        <w:autoSpaceDN/>
        <w:bidi w:val="0"/>
        <w:adjustRightInd/>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三、获取竞争性谈判文件</w:t>
      </w:r>
      <w:bookmarkEnd w:id="8"/>
      <w:bookmarkEnd w:id="9"/>
      <w:bookmarkEnd w:id="10"/>
      <w:bookmarkEnd w:id="11"/>
    </w:p>
    <w:p w14:paraId="0AF07FA5">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bookmarkStart w:id="17" w:name="_Toc35393624"/>
      <w:bookmarkStart w:id="18" w:name="_Toc28359082"/>
      <w:bookmarkStart w:id="19" w:name="_Toc35393793"/>
      <w:bookmarkStart w:id="20" w:name="_Toc28359005"/>
      <w:r>
        <w:rPr>
          <w:rFonts w:hint="eastAsia" w:ascii="宋体" w:hAnsi="宋体" w:cs="宋体"/>
          <w:color w:val="auto"/>
          <w:sz w:val="24"/>
          <w:highlight w:val="none"/>
        </w:rPr>
        <w:t>1.时间：自发布公告之日起至2025年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日23:59。</w:t>
      </w:r>
    </w:p>
    <w:p w14:paraId="34161E9F">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s="宋体"/>
          <w:b/>
          <w:bCs/>
          <w:color w:val="auto"/>
          <w:sz w:val="24"/>
          <w:highlight w:val="none"/>
        </w:rPr>
      </w:pPr>
      <w:r>
        <w:rPr>
          <w:rFonts w:hint="eastAsia" w:ascii="宋体" w:hAnsi="宋体" w:cs="宋体"/>
          <w:color w:val="auto"/>
          <w:sz w:val="24"/>
          <w:highlight w:val="none"/>
        </w:rPr>
        <w:t>2.获取方式：网上下载。本项目不发放纸质采购文件，供应商可自行在</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fldChar w:fldCharType="end"/>
      </w:r>
      <w:r>
        <w:rPr>
          <w:rFonts w:hint="eastAsia" w:ascii="宋体" w:hAnsi="宋体" w:cs="宋体"/>
          <w:color w:val="auto"/>
          <w:sz w:val="24"/>
          <w:highlight w:val="none"/>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5BDDDC58">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3.售价：0元。</w:t>
      </w:r>
    </w:p>
    <w:p w14:paraId="1029B192">
      <w:pPr>
        <w:keepNext w:val="0"/>
        <w:keepLines w:val="0"/>
        <w:pageBreakBefore w:val="0"/>
        <w:widowControl w:val="0"/>
        <w:kinsoku/>
        <w:wordWrap w:val="0"/>
        <w:overflowPunct/>
        <w:topLinePunct w:val="0"/>
        <w:autoSpaceDE/>
        <w:autoSpaceDN/>
        <w:bidi w:val="0"/>
        <w:adjustRightInd/>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四、</w:t>
      </w:r>
      <w:bookmarkEnd w:id="17"/>
      <w:bookmarkEnd w:id="18"/>
      <w:bookmarkEnd w:id="19"/>
      <w:bookmarkEnd w:id="20"/>
      <w:r>
        <w:rPr>
          <w:rFonts w:hint="eastAsia" w:ascii="宋体" w:hAnsi="宋体" w:cs="宋体"/>
          <w:b/>
          <w:bCs/>
          <w:color w:val="auto"/>
          <w:sz w:val="24"/>
          <w:highlight w:val="none"/>
        </w:rPr>
        <w:t>响应文件提交</w:t>
      </w:r>
    </w:p>
    <w:p w14:paraId="172139C6">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1.首次响应文件提交截止时间</w:t>
      </w:r>
      <w:r>
        <w:rPr>
          <w:rFonts w:hint="eastAsia" w:ascii="宋体" w:hAnsi="宋体" w:cs="宋体"/>
          <w:bCs/>
          <w:color w:val="auto"/>
          <w:sz w:val="24"/>
          <w:highlight w:val="none"/>
        </w:rPr>
        <w:t>：</w:t>
      </w:r>
      <w:r>
        <w:rPr>
          <w:rFonts w:hint="eastAsia" w:ascii="宋体" w:hAnsi="宋体" w:cs="宋体"/>
          <w:color w:val="auto"/>
          <w:sz w:val="24"/>
          <w:highlight w:val="none"/>
          <w:lang w:eastAsia="zh-CN"/>
        </w:rPr>
        <w:t>2025年12月10日</w:t>
      </w:r>
      <w:r>
        <w:rPr>
          <w:rFonts w:hint="eastAsia" w:ascii="宋体" w:hAnsi="宋体" w:cs="宋体"/>
          <w:color w:val="auto"/>
          <w:sz w:val="24"/>
          <w:highlight w:val="none"/>
        </w:rPr>
        <w:t>9时00分</w:t>
      </w:r>
      <w:r>
        <w:rPr>
          <w:rFonts w:hint="eastAsia" w:ascii="宋体" w:hAnsi="宋体" w:cs="宋体"/>
          <w:bCs/>
          <w:color w:val="auto"/>
          <w:sz w:val="24"/>
          <w:highlight w:val="none"/>
        </w:rPr>
        <w:t>。</w:t>
      </w:r>
    </w:p>
    <w:p w14:paraId="1B7C431B">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2.首次响应文件提交地点：</w:t>
      </w:r>
      <w:r>
        <w:rPr>
          <w:rFonts w:hint="eastAsia" w:ascii="宋体" w:hAnsi="宋体" w:cs="宋体"/>
          <w:bCs/>
          <w:color w:val="auto"/>
          <w:sz w:val="24"/>
          <w:highlight w:val="none"/>
        </w:rPr>
        <w:t>请登录广西政府采购云平台投标客户端投标。</w:t>
      </w:r>
    </w:p>
    <w:p w14:paraId="163B9A50">
      <w:pPr>
        <w:keepNext w:val="0"/>
        <w:keepLines w:val="0"/>
        <w:pageBreakBefore w:val="0"/>
        <w:widowControl w:val="0"/>
        <w:kinsoku/>
        <w:wordWrap w:val="0"/>
        <w:overflowPunct/>
        <w:topLinePunct w:val="0"/>
        <w:autoSpaceDE/>
        <w:autoSpaceDN/>
        <w:bidi w:val="0"/>
        <w:adjustRightInd/>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74C05B8E">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s="宋体"/>
          <w:bCs/>
          <w:color w:val="auto"/>
          <w:sz w:val="24"/>
          <w:highlight w:val="none"/>
          <w:u w:val="single"/>
        </w:rPr>
      </w:pPr>
      <w:r>
        <w:rPr>
          <w:rFonts w:hint="eastAsia" w:ascii="宋体" w:hAnsi="宋体" w:cs="宋体"/>
          <w:color w:val="auto"/>
          <w:sz w:val="24"/>
          <w:highlight w:val="none"/>
        </w:rPr>
        <w:t>1.时间</w:t>
      </w:r>
      <w:r>
        <w:rPr>
          <w:rFonts w:hint="eastAsia" w:ascii="宋体" w:hAnsi="宋体" w:cs="宋体"/>
          <w:bCs/>
          <w:color w:val="auto"/>
          <w:sz w:val="24"/>
          <w:highlight w:val="none"/>
        </w:rPr>
        <w:t>（北京时间）</w:t>
      </w:r>
      <w:r>
        <w:rPr>
          <w:rFonts w:hint="eastAsia" w:ascii="宋体" w:hAnsi="宋体" w:cs="宋体"/>
          <w:color w:val="auto"/>
          <w:sz w:val="24"/>
          <w:highlight w:val="none"/>
        </w:rPr>
        <w:t>：</w:t>
      </w:r>
      <w:r>
        <w:rPr>
          <w:rFonts w:hint="eastAsia" w:ascii="宋体" w:hAnsi="宋体" w:cs="宋体"/>
          <w:color w:val="auto"/>
          <w:sz w:val="24"/>
          <w:highlight w:val="none"/>
          <w:lang w:eastAsia="zh-CN"/>
        </w:rPr>
        <w:t>2025年12月10日</w:t>
      </w:r>
      <w:r>
        <w:rPr>
          <w:rFonts w:hint="eastAsia" w:ascii="宋体" w:hAnsi="宋体" w:cs="宋体"/>
          <w:color w:val="auto"/>
          <w:sz w:val="24"/>
          <w:highlight w:val="none"/>
        </w:rPr>
        <w:t>9时00分后。</w:t>
      </w:r>
    </w:p>
    <w:p w14:paraId="0A6DD48C">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s="宋体"/>
          <w:bCs/>
          <w:color w:val="auto"/>
          <w:sz w:val="24"/>
          <w:highlight w:val="none"/>
          <w:u w:val="single"/>
        </w:rPr>
      </w:pPr>
      <w:r>
        <w:rPr>
          <w:rFonts w:hint="eastAsia" w:ascii="宋体" w:hAnsi="宋体" w:cs="宋体"/>
          <w:color w:val="auto"/>
          <w:sz w:val="24"/>
          <w:highlight w:val="none"/>
        </w:rPr>
        <w:t>2.地点：</w:t>
      </w:r>
      <w:r>
        <w:rPr>
          <w:rFonts w:hint="eastAsia" w:ascii="宋体" w:hAnsi="宋体" w:cs="宋体"/>
          <w:color w:val="auto"/>
          <w:kern w:val="0"/>
          <w:sz w:val="24"/>
          <w:highlight w:val="none"/>
        </w:rPr>
        <w:t>广西政府采购云平台（https://www.gcy.zfcg.gxzf.gov.cn）。</w:t>
      </w:r>
    </w:p>
    <w:p w14:paraId="36C84A84">
      <w:pPr>
        <w:keepNext w:val="0"/>
        <w:keepLines w:val="0"/>
        <w:pageBreakBefore w:val="0"/>
        <w:widowControl w:val="0"/>
        <w:kinsoku/>
        <w:wordWrap w:val="0"/>
        <w:overflowPunct/>
        <w:topLinePunct w:val="0"/>
        <w:autoSpaceDE/>
        <w:autoSpaceDN/>
        <w:bidi w:val="0"/>
        <w:adjustRightInd/>
        <w:spacing w:line="360" w:lineRule="auto"/>
        <w:textAlignment w:val="auto"/>
        <w:rPr>
          <w:rFonts w:hint="eastAsia" w:ascii="宋体" w:hAnsi="宋体" w:cs="宋体"/>
          <w:b/>
          <w:bCs/>
          <w:color w:val="auto"/>
          <w:sz w:val="24"/>
          <w:highlight w:val="none"/>
        </w:rPr>
      </w:pPr>
      <w:bookmarkStart w:id="21" w:name="_Toc35393625"/>
      <w:bookmarkStart w:id="22" w:name="_Toc28359007"/>
      <w:bookmarkStart w:id="23" w:name="_Toc28359084"/>
      <w:bookmarkStart w:id="24" w:name="_Toc35393794"/>
      <w:r>
        <w:rPr>
          <w:rFonts w:hint="eastAsia" w:ascii="宋体" w:hAnsi="宋体" w:cs="宋体"/>
          <w:b/>
          <w:bCs/>
          <w:color w:val="auto"/>
          <w:sz w:val="24"/>
          <w:highlight w:val="none"/>
        </w:rPr>
        <w:t>六、公告期限</w:t>
      </w:r>
      <w:bookmarkEnd w:id="21"/>
      <w:bookmarkEnd w:id="22"/>
      <w:bookmarkEnd w:id="23"/>
      <w:bookmarkEnd w:id="24"/>
    </w:p>
    <w:p w14:paraId="40708C5F">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自本公告发布之日起3个工作日。</w:t>
      </w:r>
    </w:p>
    <w:p w14:paraId="6C722597">
      <w:pPr>
        <w:keepNext w:val="0"/>
        <w:keepLines w:val="0"/>
        <w:pageBreakBefore w:val="0"/>
        <w:widowControl w:val="0"/>
        <w:kinsoku/>
        <w:wordWrap w:val="0"/>
        <w:overflowPunct/>
        <w:topLinePunct w:val="0"/>
        <w:autoSpaceDE/>
        <w:autoSpaceDN/>
        <w:bidi w:val="0"/>
        <w:adjustRightInd/>
        <w:spacing w:line="360" w:lineRule="auto"/>
        <w:textAlignment w:val="auto"/>
        <w:rPr>
          <w:rFonts w:hint="eastAsia" w:ascii="宋体" w:hAnsi="宋体" w:cs="宋体"/>
          <w:b/>
          <w:bCs/>
          <w:color w:val="auto"/>
          <w:sz w:val="24"/>
          <w:highlight w:val="none"/>
        </w:rPr>
      </w:pPr>
      <w:bookmarkStart w:id="25" w:name="_Toc35393795"/>
      <w:bookmarkStart w:id="26" w:name="_Toc35393626"/>
      <w:r>
        <w:rPr>
          <w:rFonts w:hint="eastAsia" w:ascii="宋体" w:hAnsi="宋体" w:cs="宋体"/>
          <w:b/>
          <w:bCs/>
          <w:color w:val="auto"/>
          <w:sz w:val="24"/>
          <w:highlight w:val="none"/>
        </w:rPr>
        <w:t>七、其他补充事宜</w:t>
      </w:r>
      <w:bookmarkEnd w:id="25"/>
      <w:bookmarkEnd w:id="26"/>
    </w:p>
    <w:p w14:paraId="66F98AEF">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1.谈判保证金金额：</w:t>
      </w:r>
      <w:r>
        <w:rPr>
          <w:rFonts w:hint="eastAsia" w:ascii="宋体" w:hAnsi="宋体" w:cs="宋体"/>
          <w:b/>
          <w:bCs/>
          <w:color w:val="auto"/>
          <w:kern w:val="0"/>
          <w:sz w:val="24"/>
          <w:highlight w:val="none"/>
        </w:rPr>
        <w:t>壹万元整（¥10000.00）</w:t>
      </w:r>
      <w:r>
        <w:rPr>
          <w:rFonts w:hint="eastAsia" w:ascii="宋体" w:hAnsi="宋体" w:cs="宋体"/>
          <w:color w:val="auto"/>
          <w:sz w:val="24"/>
          <w:highlight w:val="none"/>
        </w:rPr>
        <w:t>。谈判保证金的交纳方式：银行转账、支票、汇票、本票或者银行、保险机构出具的保函，禁止采用现钞方式。采用银行转账方式的，在首次响应文件提交截止时间前交至采购代理机构指定账户并到账</w:t>
      </w:r>
      <w:r>
        <w:rPr>
          <w:rFonts w:hint="eastAsia" w:ascii="宋体" w:hAnsi="宋体" w:cs="宋体"/>
          <w:b/>
          <w:bCs/>
          <w:color w:val="auto"/>
          <w:sz w:val="24"/>
          <w:highlight w:val="none"/>
        </w:rPr>
        <w:t>（开户名称：广西盛兰达项目管理咨询有限公司，开户银行：中国建设银行股份有限公司梧州龙圩支行，银行账号：45050164866200000090）</w:t>
      </w:r>
      <w:r>
        <w:rPr>
          <w:rFonts w:hint="eastAsia" w:ascii="宋体" w:hAnsi="宋体" w:cs="宋体"/>
          <w:color w:val="auto"/>
          <w:sz w:val="24"/>
          <w:highlight w:val="none"/>
        </w:rPr>
        <w:t>；</w:t>
      </w:r>
      <w:r>
        <w:rPr>
          <w:rFonts w:hint="eastAsia" w:ascii="宋体" w:hAnsi="宋体" w:cs="宋体"/>
          <w:b/>
          <w:color w:val="auto"/>
          <w:sz w:val="24"/>
          <w:highlight w:val="none"/>
        </w:rPr>
        <w:t>采用支票、汇票、本票或者保函等方式的，在首次响应文件提交截止时间前，供应商应当提交单独密封的支票、汇票、本票或者保函原件。否则视为无效谈判保证金。</w:t>
      </w:r>
    </w:p>
    <w:p w14:paraId="720824C0">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w:t>
      </w:r>
      <w:bookmarkStart w:id="27" w:name="_Hlk37429585"/>
      <w:bookmarkStart w:id="28" w:name="_Hlk37429595"/>
      <w:r>
        <w:rPr>
          <w:rFonts w:hint="eastAsia" w:ascii="宋体" w:hAnsi="宋体" w:cs="宋体"/>
          <w:color w:val="auto"/>
          <w:kern w:val="0"/>
          <w:sz w:val="24"/>
          <w:highlight w:val="none"/>
        </w:rPr>
        <w:t>网上查询地址：</w:t>
      </w:r>
      <w:bookmarkEnd w:id="27"/>
      <w:bookmarkEnd w:id="28"/>
      <w:bookmarkStart w:id="29" w:name="_Hlk37429674"/>
      <w:r>
        <w:rPr>
          <w:rFonts w:hint="eastAsia" w:ascii="宋体" w:hAnsi="宋体" w:cs="宋体"/>
          <w:color w:val="auto"/>
          <w:kern w:val="0"/>
          <w:sz w:val="24"/>
          <w:highlight w:val="none"/>
        </w:rPr>
        <w:t>中国政府采购网（www.ccgp.gov.cn）、广西壮族自治区政府采购网（zfcg.gxzf.gov.cn）、梧州学院实验室与设备管理处网站（https://cg.gxuwz.edu.cn/sfw_cms/e?page=cms.index）。</w:t>
      </w:r>
    </w:p>
    <w:p w14:paraId="73F28663">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w:t>
      </w:r>
      <w:r>
        <w:rPr>
          <w:rFonts w:hint="eastAsia" w:ascii="宋体" w:hAnsi="宋体" w:cs="宋体"/>
          <w:color w:val="auto"/>
          <w:kern w:val="0"/>
          <w:sz w:val="24"/>
          <w:highlight w:val="none"/>
        </w:rPr>
        <w:t>本项目需要落实的政府采购政策：</w:t>
      </w:r>
      <w:bookmarkEnd w:id="29"/>
      <w:r>
        <w:rPr>
          <w:rFonts w:hint="eastAsia" w:ascii="宋体" w:hAnsi="宋体" w:cs="宋体"/>
          <w:color w:val="auto"/>
          <w:kern w:val="0"/>
          <w:sz w:val="24"/>
          <w:highlight w:val="none"/>
        </w:rPr>
        <w:t>关于印发《政府采购促进中小企业发展管理办法》的通知（财库〔2020〕46号）、《关于政府采购支持监狱企业发展有关问题的通知》（财库﹝2014﹞68号）、《关于促进残疾人就业政府采购政策的通知》（财库〔2017〕141号）、《广西壮族自治区财政厅关于持续优化政府采购营商环境推动高质量发展的通知》（桂财采〔2024〕55号）、《广西壮族自治区财政厅关于贯彻落实政府采购支持中小企业发展政策的通知》（桂财采〔2022〕31号），在工程采购项目中，对于经主管预算单位统筹后未预留份额专门面向中小企业采购的采购项目，评审时对符合规定的残疾人福利性单位、小型和微型企业承建的工程报价给予5%的扣除。监狱企业视同小型和微型企业，工程由其承建的，在评审时给予相同的价格扣除。残疾人福利性单位属于小型、微型企业的，不重复享受政策。</w:t>
      </w:r>
    </w:p>
    <w:p w14:paraId="6EB97049">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4.在线投标响应（电子投标）说明</w:t>
      </w:r>
    </w:p>
    <w:p w14:paraId="4620B0D1">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谈判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1EE64E1B">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p>
    <w:p w14:paraId="0101D58A">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6EB42471">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注：1）为确保网上操作的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在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1C24065">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（4）供应商需要在具备摄像头及语音功能且互联网网络状况良好的电脑登录广西政府采购云平台远程开标大厅参与本次谈判，否则后果自负。</w:t>
      </w:r>
    </w:p>
    <w:p w14:paraId="1F34924A">
      <w:pPr>
        <w:keepNext w:val="0"/>
        <w:keepLines w:val="0"/>
        <w:pageBreakBefore w:val="0"/>
        <w:widowControl w:val="0"/>
        <w:kinsoku/>
        <w:wordWrap w:val="0"/>
        <w:overflowPunct/>
        <w:topLinePunct w:val="0"/>
        <w:autoSpaceDE/>
        <w:autoSpaceDN/>
        <w:bidi w:val="0"/>
        <w:adjustRightInd/>
        <w:spacing w:line="360" w:lineRule="auto"/>
        <w:ind w:firstLine="482" w:firstLineChars="200"/>
        <w:textAlignment w:val="auto"/>
        <w:rPr>
          <w:rFonts w:hint="eastAsia"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63A1F93B">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1.采购人信息</w:t>
      </w:r>
    </w:p>
    <w:p w14:paraId="1AF45F4E">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名称：梧州学院</w:t>
      </w:r>
    </w:p>
    <w:p w14:paraId="6F01C3C2">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地址：梧州市万秀区富民三路82号 </w:t>
      </w:r>
    </w:p>
    <w:p w14:paraId="2F684320">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项目联系人：李老师</w:t>
      </w:r>
    </w:p>
    <w:p w14:paraId="6472AC30">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联系电话：0774-5835633</w:t>
      </w:r>
    </w:p>
    <w:p w14:paraId="1AF898AB">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34FC8C4B">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名称：广西盛兰达项目管理咨询有限公司</w:t>
      </w:r>
    </w:p>
    <w:p w14:paraId="5104FFEB">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地址：梧州市龙圩区龙城路86-1号怡安花园第1幢三楼2号商场</w:t>
      </w:r>
    </w:p>
    <w:p w14:paraId="2A4C7691">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李言熙、白国华</w:t>
      </w:r>
    </w:p>
    <w:p w14:paraId="45BEE16F">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 xml:space="preserve">联系电话：0774-2728299  </w:t>
      </w:r>
    </w:p>
    <w:p w14:paraId="298AEB7B">
      <w:pPr>
        <w:keepNext w:val="0"/>
        <w:keepLines w:val="0"/>
        <w:pageBreakBefore w:val="0"/>
        <w:widowControl w:val="0"/>
        <w:kinsoku/>
        <w:overflowPunct/>
        <w:topLinePunct w:val="0"/>
        <w:autoSpaceDE/>
        <w:autoSpaceDN/>
        <w:bidi w:val="0"/>
        <w:adjustRightInd/>
        <w:spacing w:line="360" w:lineRule="auto"/>
        <w:jc w:val="right"/>
        <w:textAlignment w:val="auto"/>
        <w:rPr>
          <w:rFonts w:hint="eastAsia" w:ascii="宋体" w:hAnsi="宋体" w:cs="宋体"/>
          <w:color w:val="auto"/>
          <w:sz w:val="24"/>
          <w:highlight w:val="none"/>
        </w:rPr>
      </w:pPr>
      <w:r>
        <w:rPr>
          <w:rFonts w:hint="eastAsia" w:ascii="宋体" w:hAnsi="宋体" w:cs="宋体"/>
          <w:color w:val="auto"/>
          <w:sz w:val="24"/>
          <w:highlight w:val="none"/>
        </w:rPr>
        <w:t>广西盛兰达项目管理咨询有限公司</w:t>
      </w:r>
    </w:p>
    <w:p w14:paraId="5623F868">
      <w:pPr>
        <w:keepNext w:val="0"/>
        <w:keepLines w:val="0"/>
        <w:pageBreakBefore w:val="0"/>
        <w:widowControl w:val="0"/>
        <w:kinsoku/>
        <w:wordWrap w:val="0"/>
        <w:overflowPunct/>
        <w:topLinePunct w:val="0"/>
        <w:autoSpaceDE/>
        <w:autoSpaceDN/>
        <w:bidi w:val="0"/>
        <w:adjustRightInd/>
        <w:spacing w:line="360" w:lineRule="auto"/>
        <w:ind w:firstLine="6840" w:firstLineChars="2850"/>
        <w:jc w:val="right"/>
        <w:textAlignment w:val="auto"/>
        <w:rPr>
          <w:rFonts w:hint="eastAsia" w:ascii="宋体" w:hAnsi="宋体" w:cs="宋体"/>
          <w:color w:val="auto"/>
          <w:sz w:val="24"/>
          <w:highlight w:val="none"/>
        </w:rPr>
      </w:pP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日</w:t>
      </w:r>
    </w:p>
    <w:p w14:paraId="1E1AC27D">
      <w:pPr>
        <w:spacing w:line="360" w:lineRule="auto"/>
        <w:ind w:firstLine="6840" w:firstLineChars="2850"/>
        <w:jc w:val="right"/>
        <w:rPr>
          <w:rFonts w:hint="eastAsia" w:ascii="宋体" w:hAnsi="宋体" w:cs="宋体"/>
          <w:color w:val="auto"/>
          <w:sz w:val="24"/>
          <w:highlight w:val="none"/>
        </w:rPr>
        <w:sectPr>
          <w:footerReference r:id="rId8" w:type="default"/>
          <w:pgSz w:w="11911" w:h="16838"/>
          <w:pgMar w:top="1338" w:right="1502" w:bottom="850" w:left="1678" w:header="1077" w:footer="720" w:gutter="0"/>
          <w:pgNumType w:start="1"/>
          <w:cols w:space="720" w:num="1"/>
        </w:sectPr>
      </w:pPr>
    </w:p>
    <w:p w14:paraId="7F2A1360">
      <w:pPr>
        <w:pStyle w:val="3"/>
        <w:spacing w:before="0" w:after="0" w:line="360" w:lineRule="auto"/>
        <w:jc w:val="center"/>
        <w:rPr>
          <w:rFonts w:hint="eastAsia" w:ascii="宋体" w:hAnsi="宋体" w:cs="宋体"/>
          <w:color w:val="auto"/>
          <w:sz w:val="32"/>
          <w:szCs w:val="32"/>
          <w:highlight w:val="none"/>
        </w:rPr>
      </w:pPr>
      <w:bookmarkStart w:id="30" w:name="_Toc27190"/>
      <w:r>
        <w:rPr>
          <w:rFonts w:hint="eastAsia" w:ascii="宋体" w:hAnsi="宋体" w:cs="宋体"/>
          <w:color w:val="auto"/>
          <w:sz w:val="32"/>
          <w:szCs w:val="32"/>
          <w:highlight w:val="none"/>
        </w:rPr>
        <w:t>第二章 采购需求</w:t>
      </w:r>
      <w:bookmarkEnd w:id="30"/>
    </w:p>
    <w:p w14:paraId="78F712CD">
      <w:pPr>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一、项目合同价格形式</w:t>
      </w:r>
    </w:p>
    <w:p w14:paraId="56F97D8E">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□单价合同  </w:t>
      </w:r>
      <w:r>
        <w:rPr>
          <w:rFonts w:hint="eastAsia" w:ascii="宋体" w:hAnsi="宋体" w:cs="宋体"/>
          <w:color w:val="auto"/>
          <w:sz w:val="24"/>
          <w:highlight w:val="none"/>
        </w:rPr>
        <w:t>☑</w:t>
      </w:r>
      <w:r>
        <w:rPr>
          <w:rFonts w:hint="eastAsia" w:ascii="宋体" w:hAnsi="宋体" w:cs="宋体"/>
          <w:color w:val="auto"/>
          <w:kern w:val="0"/>
          <w:sz w:val="24"/>
          <w:highlight w:val="none"/>
        </w:rPr>
        <w:t>总价合同。</w:t>
      </w:r>
    </w:p>
    <w:p w14:paraId="65DFFEE9">
      <w:pPr>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二、建设内容及规模</w:t>
      </w:r>
    </w:p>
    <w:p w14:paraId="1EEC3FE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（一）工程名称：</w:t>
      </w:r>
      <w:r>
        <w:rPr>
          <w:rFonts w:hint="eastAsia" w:ascii="宋体" w:hAnsi="宋体" w:cs="宋体"/>
          <w:color w:val="auto"/>
          <w:kern w:val="0"/>
          <w:sz w:val="24"/>
          <w:highlight w:val="none"/>
          <w:lang w:eastAsia="zh-CN"/>
        </w:rPr>
        <w:t>梧州学院图书馆空调工程（重）</w:t>
      </w:r>
      <w:r>
        <w:rPr>
          <w:rFonts w:hint="eastAsia" w:ascii="宋体" w:hAnsi="宋体" w:cs="宋体"/>
          <w:color w:val="auto"/>
          <w:kern w:val="0"/>
          <w:sz w:val="24"/>
          <w:highlight w:val="none"/>
        </w:rPr>
        <w:t>。</w:t>
      </w:r>
    </w:p>
    <w:p w14:paraId="1316301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（二）建设单位：梧州学院。</w:t>
      </w:r>
    </w:p>
    <w:p w14:paraId="4D1C43E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（三）建设地点：梧州学院图书馆。</w:t>
      </w:r>
    </w:p>
    <w:p w14:paraId="1D6D9D2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（四）资金来源：财政资金。</w:t>
      </w:r>
    </w:p>
    <w:p w14:paraId="35B4336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（五）工程概况：</w:t>
      </w:r>
      <w:r>
        <w:rPr>
          <w:rFonts w:hint="eastAsia" w:ascii="宋体" w:hAnsi="宋体" w:cs="宋体"/>
          <w:color w:val="auto"/>
          <w:kern w:val="0"/>
          <w:sz w:val="24"/>
          <w:highlight w:val="none"/>
          <w:lang w:eastAsia="zh-CN"/>
        </w:rPr>
        <w:t>梧州学院图书馆空调工程包括电气改造、空调改造及拆除工程，主要内容为：多联机的采购、安装、敷设线缆及配管等，具体施工内容详见招标工程量清单</w:t>
      </w:r>
      <w:r>
        <w:rPr>
          <w:rFonts w:hint="eastAsia" w:ascii="宋体" w:hAnsi="宋体" w:cs="宋体"/>
          <w:color w:val="auto"/>
          <w:kern w:val="0"/>
          <w:sz w:val="24"/>
          <w:highlight w:val="none"/>
        </w:rPr>
        <w:t>。</w:t>
      </w:r>
    </w:p>
    <w:p w14:paraId="65D3F429">
      <w:pPr>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三、项目质量等级</w:t>
      </w:r>
    </w:p>
    <w:p w14:paraId="616B0B8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满足国家现行与本项目相应的施工竣工验收规范之“合格”标准。</w:t>
      </w:r>
    </w:p>
    <w:p w14:paraId="5416284F">
      <w:pPr>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四、合同履行期限</w:t>
      </w:r>
    </w:p>
    <w:p w14:paraId="38EA33D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工期</w:t>
      </w:r>
      <w:r>
        <w:rPr>
          <w:rFonts w:hint="eastAsia" w:ascii="宋体" w:hAnsi="宋体" w:cs="宋体"/>
          <w:color w:val="auto"/>
          <w:sz w:val="24"/>
          <w:highlight w:val="none"/>
        </w:rPr>
        <w:t>25个日历天</w:t>
      </w:r>
      <w:r>
        <w:rPr>
          <w:rFonts w:hint="eastAsia" w:ascii="宋体" w:hAnsi="宋体" w:cs="宋体"/>
          <w:color w:val="auto"/>
          <w:kern w:val="0"/>
          <w:sz w:val="24"/>
          <w:highlight w:val="none"/>
        </w:rPr>
        <w:t>。</w:t>
      </w:r>
    </w:p>
    <w:p w14:paraId="3E6C94A5">
      <w:pPr>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五、付款方式</w:t>
      </w:r>
    </w:p>
    <w:p w14:paraId="4C11AD00">
      <w:pPr>
        <w:spacing w:line="360" w:lineRule="auto"/>
        <w:ind w:firstLine="480" w:firstLineChars="200"/>
        <w:rPr>
          <w:rFonts w:hint="eastAsia" w:ascii="宋体" w:hAnsi="宋体" w:cs="宋体"/>
          <w:b w:val="0"/>
          <w:bCs w:val="0"/>
          <w:color w:val="auto"/>
          <w:kern w:val="0"/>
          <w:sz w:val="24"/>
          <w:highlight w:val="none"/>
        </w:rPr>
      </w:pPr>
      <w:r>
        <w:rPr>
          <w:rFonts w:hint="eastAsia" w:ascii="宋体" w:hAnsi="宋体" w:cs="宋体"/>
          <w:b w:val="0"/>
          <w:bCs w:val="0"/>
          <w:color w:val="auto"/>
          <w:kern w:val="0"/>
          <w:sz w:val="24"/>
          <w:highlight w:val="none"/>
        </w:rPr>
        <w:t>1.预付款支付比例或金额：30%。</w:t>
      </w:r>
    </w:p>
    <w:p w14:paraId="3D0A4A0E">
      <w:pPr>
        <w:spacing w:line="360" w:lineRule="auto"/>
        <w:ind w:firstLine="480" w:firstLineChars="200"/>
        <w:rPr>
          <w:rFonts w:hint="eastAsia" w:ascii="宋体" w:hAnsi="宋体" w:cs="宋体"/>
          <w:b w:val="0"/>
          <w:bCs w:val="0"/>
          <w:color w:val="auto"/>
          <w:kern w:val="0"/>
          <w:sz w:val="24"/>
          <w:highlight w:val="none"/>
        </w:rPr>
      </w:pPr>
      <w:r>
        <w:rPr>
          <w:rFonts w:hint="eastAsia" w:ascii="宋体" w:hAnsi="宋体" w:cs="宋体"/>
          <w:b w:val="0"/>
          <w:bCs w:val="0"/>
          <w:color w:val="auto"/>
          <w:kern w:val="0"/>
          <w:sz w:val="24"/>
          <w:highlight w:val="none"/>
        </w:rPr>
        <w:t>2.预付款支付期限：在合同签订后5个工作日内支付。</w:t>
      </w:r>
    </w:p>
    <w:p w14:paraId="6622DC85">
      <w:pPr>
        <w:spacing w:line="360" w:lineRule="auto"/>
        <w:ind w:firstLine="480" w:firstLineChars="200"/>
        <w:rPr>
          <w:rFonts w:hint="eastAsia" w:ascii="宋体" w:hAnsi="宋体" w:cs="宋体"/>
          <w:b w:val="0"/>
          <w:bCs w:val="0"/>
          <w:color w:val="auto"/>
          <w:kern w:val="0"/>
          <w:sz w:val="24"/>
          <w:highlight w:val="none"/>
        </w:rPr>
      </w:pPr>
      <w:r>
        <w:rPr>
          <w:rFonts w:hint="eastAsia" w:ascii="宋体" w:hAnsi="宋体" w:cs="宋体"/>
          <w:b w:val="0"/>
          <w:bCs w:val="0"/>
          <w:color w:val="auto"/>
          <w:kern w:val="0"/>
          <w:sz w:val="24"/>
          <w:highlight w:val="none"/>
        </w:rPr>
        <w:t>3.工程整体完工后，由承包人按工程相关要求做好竣工资料，工程验收达到合格、并达到投入使用条件，且工程结算经第三方审定后工程款支付至结算总额的97%。</w:t>
      </w:r>
    </w:p>
    <w:p w14:paraId="13FA8410">
      <w:pPr>
        <w:spacing w:line="360" w:lineRule="auto"/>
        <w:ind w:firstLine="480" w:firstLineChars="200"/>
        <w:rPr>
          <w:rFonts w:hint="eastAsia" w:ascii="宋体" w:hAnsi="宋体" w:cs="宋体"/>
          <w:b w:val="0"/>
          <w:bCs w:val="0"/>
          <w:color w:val="auto"/>
          <w:kern w:val="0"/>
          <w:sz w:val="24"/>
          <w:highlight w:val="none"/>
        </w:rPr>
      </w:pPr>
      <w:r>
        <w:rPr>
          <w:rFonts w:hint="eastAsia" w:ascii="宋体" w:hAnsi="宋体" w:cs="宋体"/>
          <w:b w:val="0"/>
          <w:bCs w:val="0"/>
          <w:color w:val="auto"/>
          <w:kern w:val="0"/>
          <w:sz w:val="24"/>
          <w:highlight w:val="none"/>
        </w:rPr>
        <w:t>4.余下结算总额3%的款项作为质量缺陷保证金，2年</w:t>
      </w:r>
      <w:r>
        <w:rPr>
          <w:rFonts w:hint="eastAsia" w:ascii="宋体" w:hAnsi="宋体" w:cs="宋体"/>
          <w:color w:val="auto"/>
          <w:kern w:val="0"/>
          <w:sz w:val="24"/>
          <w:highlight w:val="none"/>
          <w:lang w:val="en-US" w:eastAsia="zh-CN"/>
        </w:rPr>
        <w:t>质量保修期</w:t>
      </w:r>
      <w:r>
        <w:rPr>
          <w:rFonts w:hint="eastAsia" w:ascii="宋体" w:hAnsi="宋体" w:cs="宋体"/>
          <w:b w:val="0"/>
          <w:bCs w:val="0"/>
          <w:color w:val="auto"/>
          <w:kern w:val="0"/>
          <w:sz w:val="24"/>
          <w:highlight w:val="none"/>
        </w:rPr>
        <w:t>满、项目不存在质量问题且承包人不存在任何违约情形之日起30日内付清（无息）。</w:t>
      </w:r>
    </w:p>
    <w:p w14:paraId="08073CF6">
      <w:pPr>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六、安全生产责任保险费</w:t>
      </w:r>
    </w:p>
    <w:p w14:paraId="35859CC2">
      <w:pPr>
        <w:spacing w:line="360" w:lineRule="auto"/>
        <w:ind w:firstLine="480" w:firstLineChars="200"/>
        <w:rPr>
          <w:rFonts w:hint="eastAsia" w:ascii="宋体" w:hAnsi="宋体" w:cs="宋体"/>
          <w:b/>
          <w:bCs/>
          <w:color w:val="auto"/>
          <w:kern w:val="0"/>
          <w:sz w:val="24"/>
          <w:highlight w:val="none"/>
        </w:rPr>
      </w:pPr>
      <w:r>
        <w:rPr>
          <w:rFonts w:hint="eastAsia" w:ascii="宋体" w:hAnsi="宋体" w:cs="宋体"/>
          <w:color w:val="auto"/>
          <w:kern w:val="0"/>
          <w:sz w:val="24"/>
          <w:highlight w:val="none"/>
        </w:rPr>
        <w:t>安全生产责任保险费按分部分项工程费及措施项目费（含单价及总价措施项目费）为计算基数乘以0.2%计入暂估价，工程结算时，由发承包双方根据工程实际情况确认的安全生产责任保险费计入工程造价。</w:t>
      </w:r>
      <w:r>
        <w:rPr>
          <w:rFonts w:hint="eastAsia" w:ascii="宋体" w:hAnsi="宋体" w:cs="宋体"/>
          <w:b/>
          <w:bCs/>
          <w:color w:val="auto"/>
          <w:kern w:val="0"/>
          <w:sz w:val="24"/>
          <w:highlight w:val="none"/>
        </w:rPr>
        <w:t>本项目的安全生产责任保险暂估价为2090.41元。</w:t>
      </w:r>
    </w:p>
    <w:p w14:paraId="54CF6FD1">
      <w:pPr>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 xml:space="preserve">七、所属行业 </w:t>
      </w:r>
    </w:p>
    <w:p w14:paraId="5DC906AD">
      <w:pPr>
        <w:spacing w:line="360" w:lineRule="auto"/>
        <w:ind w:firstLine="480" w:firstLineChars="200"/>
        <w:rPr>
          <w:rFonts w:hint="eastAsia" w:ascii="宋体" w:hAnsi="宋体" w:cs="宋体"/>
          <w:color w:val="auto"/>
          <w:kern w:val="0"/>
          <w:sz w:val="22"/>
          <w:szCs w:val="22"/>
          <w:highlight w:val="none"/>
        </w:rPr>
      </w:pPr>
      <w:r>
        <w:rPr>
          <w:rFonts w:hint="eastAsia" w:ascii="宋体" w:hAnsi="宋体" w:cs="宋体"/>
          <w:color w:val="auto"/>
          <w:kern w:val="0"/>
          <w:sz w:val="24"/>
          <w:highlight w:val="none"/>
        </w:rPr>
        <w:t>依照《中小企业划型标准规定》（工信部联企业〔2011〕300 号）及《国民经济行业分类》（GB/T 4754—2017）的有关规定执行，本项目所属行业为建筑业。</w:t>
      </w:r>
    </w:p>
    <w:p w14:paraId="016697E9">
      <w:pPr>
        <w:pStyle w:val="20"/>
        <w:jc w:val="left"/>
        <w:rPr>
          <w:rFonts w:hint="eastAsia" w:hAnsi="宋体" w:cs="宋体"/>
          <w:b/>
          <w:bCs/>
          <w:color w:val="auto"/>
          <w:sz w:val="28"/>
          <w:szCs w:val="28"/>
          <w:highlight w:val="none"/>
        </w:rPr>
      </w:pPr>
      <w:r>
        <w:rPr>
          <w:rFonts w:hint="eastAsia" w:hAnsi="宋体" w:cs="宋体"/>
          <w:b/>
          <w:bCs/>
          <w:color w:val="auto"/>
          <w:sz w:val="28"/>
          <w:szCs w:val="28"/>
          <w:highlight w:val="none"/>
        </w:rPr>
        <w:t>附件1：</w:t>
      </w:r>
    </w:p>
    <w:p w14:paraId="4370735D">
      <w:pPr>
        <w:spacing w:line="528"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中小微企业划型标准</w:t>
      </w:r>
    </w:p>
    <w:tbl>
      <w:tblPr>
        <w:tblStyle w:val="35"/>
        <w:tblW w:w="0" w:type="auto"/>
        <w:tblInd w:w="-109" w:type="dxa"/>
        <w:tblLayout w:type="fixed"/>
        <w:tblCellMar>
          <w:top w:w="0" w:type="dxa"/>
          <w:left w:w="108" w:type="dxa"/>
          <w:bottom w:w="0" w:type="dxa"/>
          <w:right w:w="108" w:type="dxa"/>
        </w:tblCellMar>
      </w:tblPr>
      <w:tblGrid>
        <w:gridCol w:w="1835"/>
        <w:gridCol w:w="2042"/>
        <w:gridCol w:w="876"/>
        <w:gridCol w:w="1896"/>
        <w:gridCol w:w="1751"/>
        <w:gridCol w:w="1167"/>
      </w:tblGrid>
      <w:tr w14:paraId="602C1FD5">
        <w:tblPrEx>
          <w:tblCellMar>
            <w:top w:w="0" w:type="dxa"/>
            <w:left w:w="108" w:type="dxa"/>
            <w:bottom w:w="0" w:type="dxa"/>
            <w:right w:w="108" w:type="dxa"/>
          </w:tblCellMar>
        </w:tblPrEx>
        <w:trPr>
          <w:trHeight w:val="690" w:hRule="atLeast"/>
        </w:trPr>
        <w:tc>
          <w:tcPr>
            <w:tcW w:w="1835" w:type="dxa"/>
            <w:tcBorders>
              <w:top w:val="single" w:color="auto" w:sz="4" w:space="0"/>
              <w:left w:val="single" w:color="auto" w:sz="4" w:space="0"/>
              <w:bottom w:val="single" w:color="auto" w:sz="4" w:space="0"/>
              <w:right w:val="single" w:color="auto" w:sz="4" w:space="0"/>
            </w:tcBorders>
            <w:noWrap w:val="0"/>
            <w:vAlign w:val="center"/>
          </w:tcPr>
          <w:p w14:paraId="68F974F7">
            <w:pPr>
              <w:widowControl/>
              <w:spacing w:line="340" w:lineRule="exact"/>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2042" w:type="dxa"/>
            <w:tcBorders>
              <w:top w:val="single" w:color="auto" w:sz="4" w:space="0"/>
              <w:left w:val="nil"/>
              <w:bottom w:val="single" w:color="auto" w:sz="4" w:space="0"/>
              <w:right w:val="single" w:color="auto" w:sz="4" w:space="0"/>
            </w:tcBorders>
            <w:noWrap w:val="0"/>
            <w:vAlign w:val="center"/>
          </w:tcPr>
          <w:p w14:paraId="71C2B8E8">
            <w:pPr>
              <w:widowControl/>
              <w:spacing w:line="340" w:lineRule="exact"/>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76" w:type="dxa"/>
            <w:tcBorders>
              <w:top w:val="single" w:color="auto" w:sz="4" w:space="0"/>
              <w:left w:val="nil"/>
              <w:bottom w:val="single" w:color="auto" w:sz="4" w:space="0"/>
              <w:right w:val="single" w:color="auto" w:sz="4" w:space="0"/>
            </w:tcBorders>
            <w:noWrap w:val="0"/>
            <w:vAlign w:val="center"/>
          </w:tcPr>
          <w:p w14:paraId="2CCE977B">
            <w:pPr>
              <w:widowControl/>
              <w:spacing w:line="340" w:lineRule="exact"/>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96" w:type="dxa"/>
            <w:tcBorders>
              <w:top w:val="single" w:color="auto" w:sz="4" w:space="0"/>
              <w:left w:val="nil"/>
              <w:bottom w:val="single" w:color="auto" w:sz="4" w:space="0"/>
              <w:right w:val="single" w:color="auto" w:sz="4" w:space="0"/>
            </w:tcBorders>
            <w:noWrap w:val="0"/>
            <w:vAlign w:val="center"/>
          </w:tcPr>
          <w:p w14:paraId="16A1C91B">
            <w:pPr>
              <w:widowControl/>
              <w:spacing w:line="340" w:lineRule="exact"/>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51" w:type="dxa"/>
            <w:tcBorders>
              <w:top w:val="single" w:color="auto" w:sz="4" w:space="0"/>
              <w:left w:val="nil"/>
              <w:bottom w:val="single" w:color="auto" w:sz="4" w:space="0"/>
              <w:right w:val="single" w:color="auto" w:sz="4" w:space="0"/>
            </w:tcBorders>
            <w:noWrap w:val="0"/>
            <w:vAlign w:val="center"/>
          </w:tcPr>
          <w:p w14:paraId="1F146FC2">
            <w:pPr>
              <w:widowControl/>
              <w:spacing w:line="340" w:lineRule="exact"/>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67" w:type="dxa"/>
            <w:tcBorders>
              <w:top w:val="single" w:color="auto" w:sz="4" w:space="0"/>
              <w:left w:val="nil"/>
              <w:bottom w:val="single" w:color="auto" w:sz="4" w:space="0"/>
              <w:right w:val="single" w:color="auto" w:sz="4" w:space="0"/>
            </w:tcBorders>
            <w:noWrap w:val="0"/>
            <w:vAlign w:val="center"/>
          </w:tcPr>
          <w:p w14:paraId="5CE174F1">
            <w:pPr>
              <w:widowControl/>
              <w:spacing w:line="340" w:lineRule="exact"/>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179DEBF7">
        <w:tblPrEx>
          <w:tblCellMar>
            <w:top w:w="0" w:type="dxa"/>
            <w:left w:w="108" w:type="dxa"/>
            <w:bottom w:w="0" w:type="dxa"/>
            <w:right w:w="108" w:type="dxa"/>
          </w:tblCellMar>
        </w:tblPrEx>
        <w:trPr>
          <w:trHeight w:val="350" w:hRule="atLeast"/>
        </w:trPr>
        <w:tc>
          <w:tcPr>
            <w:tcW w:w="1835" w:type="dxa"/>
            <w:tcBorders>
              <w:top w:val="nil"/>
              <w:left w:val="single" w:color="auto" w:sz="4" w:space="0"/>
              <w:bottom w:val="single" w:color="auto" w:sz="4" w:space="0"/>
              <w:right w:val="single" w:color="auto" w:sz="4" w:space="0"/>
            </w:tcBorders>
            <w:noWrap w:val="0"/>
            <w:vAlign w:val="center"/>
          </w:tcPr>
          <w:p w14:paraId="76C4A5E2">
            <w:pPr>
              <w:widowControl/>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2042" w:type="dxa"/>
            <w:tcBorders>
              <w:top w:val="nil"/>
              <w:left w:val="nil"/>
              <w:bottom w:val="single" w:color="auto" w:sz="4" w:space="0"/>
              <w:right w:val="single" w:color="auto" w:sz="4" w:space="0"/>
            </w:tcBorders>
            <w:noWrap w:val="0"/>
            <w:vAlign w:val="center"/>
          </w:tcPr>
          <w:p w14:paraId="6F114889">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6A9D80C4">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0AF39703">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51" w:type="dxa"/>
            <w:tcBorders>
              <w:top w:val="nil"/>
              <w:left w:val="nil"/>
              <w:bottom w:val="single" w:color="auto" w:sz="4" w:space="0"/>
              <w:right w:val="single" w:color="auto" w:sz="4" w:space="0"/>
            </w:tcBorders>
            <w:noWrap w:val="0"/>
            <w:vAlign w:val="center"/>
          </w:tcPr>
          <w:p w14:paraId="42420392">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1167" w:type="dxa"/>
            <w:tcBorders>
              <w:top w:val="nil"/>
              <w:left w:val="nil"/>
              <w:bottom w:val="single" w:color="auto" w:sz="4" w:space="0"/>
              <w:right w:val="single" w:color="auto" w:sz="4" w:space="0"/>
            </w:tcBorders>
            <w:noWrap w:val="0"/>
            <w:vAlign w:val="center"/>
          </w:tcPr>
          <w:p w14:paraId="2EC8FEDA">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340E836E">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2958A00E">
            <w:pPr>
              <w:widowControl/>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2042" w:type="dxa"/>
            <w:tcBorders>
              <w:top w:val="nil"/>
              <w:left w:val="nil"/>
              <w:bottom w:val="single" w:color="auto" w:sz="4" w:space="0"/>
              <w:right w:val="single" w:color="auto" w:sz="4" w:space="0"/>
            </w:tcBorders>
            <w:noWrap w:val="0"/>
            <w:vAlign w:val="center"/>
          </w:tcPr>
          <w:p w14:paraId="7369EC4A">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740A97EF">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5F6AEA99">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51" w:type="dxa"/>
            <w:tcBorders>
              <w:top w:val="nil"/>
              <w:left w:val="nil"/>
              <w:bottom w:val="single" w:color="auto" w:sz="4" w:space="0"/>
              <w:right w:val="single" w:color="auto" w:sz="4" w:space="0"/>
            </w:tcBorders>
            <w:noWrap w:val="0"/>
            <w:vAlign w:val="center"/>
          </w:tcPr>
          <w:p w14:paraId="7C98537B">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67" w:type="dxa"/>
            <w:tcBorders>
              <w:top w:val="nil"/>
              <w:left w:val="nil"/>
              <w:bottom w:val="single" w:color="auto" w:sz="4" w:space="0"/>
              <w:right w:val="single" w:color="auto" w:sz="4" w:space="0"/>
            </w:tcBorders>
            <w:noWrap w:val="0"/>
            <w:vAlign w:val="center"/>
          </w:tcPr>
          <w:p w14:paraId="210E0470">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BD8DBE3">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1AD60C89">
            <w:pPr>
              <w:widowControl/>
              <w:spacing w:line="340" w:lineRule="exact"/>
              <w:jc w:val="center"/>
              <w:rPr>
                <w:rFonts w:hint="eastAsia" w:ascii="宋体" w:hAnsi="宋体" w:cs="宋体"/>
                <w:b/>
                <w:bCs/>
                <w:color w:val="auto"/>
                <w:kern w:val="0"/>
                <w:szCs w:val="21"/>
                <w:highlight w:val="none"/>
              </w:rPr>
            </w:pPr>
          </w:p>
        </w:tc>
        <w:tc>
          <w:tcPr>
            <w:tcW w:w="2042" w:type="dxa"/>
            <w:tcBorders>
              <w:top w:val="nil"/>
              <w:left w:val="nil"/>
              <w:bottom w:val="single" w:color="auto" w:sz="4" w:space="0"/>
              <w:right w:val="single" w:color="auto" w:sz="4" w:space="0"/>
            </w:tcBorders>
            <w:noWrap w:val="0"/>
            <w:vAlign w:val="center"/>
          </w:tcPr>
          <w:p w14:paraId="7D4BE1FB">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1BF325BC">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65DA65AF">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51" w:type="dxa"/>
            <w:tcBorders>
              <w:top w:val="nil"/>
              <w:left w:val="nil"/>
              <w:bottom w:val="single" w:color="auto" w:sz="4" w:space="0"/>
              <w:right w:val="single" w:color="auto" w:sz="4" w:space="0"/>
            </w:tcBorders>
            <w:noWrap w:val="0"/>
            <w:vAlign w:val="center"/>
          </w:tcPr>
          <w:p w14:paraId="3E0B3288">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167" w:type="dxa"/>
            <w:tcBorders>
              <w:top w:val="nil"/>
              <w:left w:val="nil"/>
              <w:bottom w:val="single" w:color="auto" w:sz="4" w:space="0"/>
              <w:right w:val="single" w:color="auto" w:sz="4" w:space="0"/>
            </w:tcBorders>
            <w:noWrap w:val="0"/>
            <w:vAlign w:val="center"/>
          </w:tcPr>
          <w:p w14:paraId="1C854379">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382EB420">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158432B0">
            <w:pPr>
              <w:widowControl/>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2042" w:type="dxa"/>
            <w:tcBorders>
              <w:top w:val="nil"/>
              <w:left w:val="nil"/>
              <w:bottom w:val="single" w:color="auto" w:sz="4" w:space="0"/>
              <w:right w:val="single" w:color="auto" w:sz="4" w:space="0"/>
            </w:tcBorders>
            <w:noWrap w:val="0"/>
            <w:vAlign w:val="center"/>
          </w:tcPr>
          <w:p w14:paraId="6CA54A56">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57E8D01F">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1D9BB798">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51" w:type="dxa"/>
            <w:tcBorders>
              <w:top w:val="nil"/>
              <w:left w:val="nil"/>
              <w:bottom w:val="single" w:color="auto" w:sz="4" w:space="0"/>
              <w:right w:val="single" w:color="auto" w:sz="4" w:space="0"/>
            </w:tcBorders>
            <w:noWrap w:val="0"/>
            <w:vAlign w:val="center"/>
          </w:tcPr>
          <w:p w14:paraId="4A31BC1E">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167" w:type="dxa"/>
            <w:tcBorders>
              <w:top w:val="nil"/>
              <w:left w:val="nil"/>
              <w:bottom w:val="single" w:color="auto" w:sz="4" w:space="0"/>
              <w:right w:val="single" w:color="auto" w:sz="4" w:space="0"/>
            </w:tcBorders>
            <w:noWrap w:val="0"/>
            <w:vAlign w:val="center"/>
          </w:tcPr>
          <w:p w14:paraId="1FA5371E">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4F19851F">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39C38A00">
            <w:pPr>
              <w:widowControl/>
              <w:spacing w:line="340" w:lineRule="exact"/>
              <w:jc w:val="center"/>
              <w:rPr>
                <w:rFonts w:hint="eastAsia" w:ascii="宋体" w:hAnsi="宋体" w:cs="宋体"/>
                <w:b/>
                <w:bCs/>
                <w:color w:val="auto"/>
                <w:kern w:val="0"/>
                <w:szCs w:val="21"/>
                <w:highlight w:val="none"/>
              </w:rPr>
            </w:pPr>
          </w:p>
        </w:tc>
        <w:tc>
          <w:tcPr>
            <w:tcW w:w="2042" w:type="dxa"/>
            <w:tcBorders>
              <w:top w:val="nil"/>
              <w:left w:val="nil"/>
              <w:bottom w:val="single" w:color="auto" w:sz="4" w:space="0"/>
              <w:right w:val="single" w:color="auto" w:sz="4" w:space="0"/>
            </w:tcBorders>
            <w:noWrap w:val="0"/>
            <w:vAlign w:val="center"/>
          </w:tcPr>
          <w:p w14:paraId="37359FB7">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876" w:type="dxa"/>
            <w:tcBorders>
              <w:top w:val="nil"/>
              <w:left w:val="nil"/>
              <w:bottom w:val="single" w:color="auto" w:sz="4" w:space="0"/>
              <w:right w:val="single" w:color="auto" w:sz="4" w:space="0"/>
            </w:tcBorders>
            <w:noWrap w:val="0"/>
            <w:vAlign w:val="center"/>
          </w:tcPr>
          <w:p w14:paraId="66A063A5">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4CF0F6ED">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51" w:type="dxa"/>
            <w:tcBorders>
              <w:top w:val="nil"/>
              <w:left w:val="nil"/>
              <w:bottom w:val="single" w:color="auto" w:sz="4" w:space="0"/>
              <w:right w:val="single" w:color="auto" w:sz="4" w:space="0"/>
            </w:tcBorders>
            <w:noWrap w:val="0"/>
            <w:vAlign w:val="center"/>
          </w:tcPr>
          <w:p w14:paraId="2549DEE4">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167" w:type="dxa"/>
            <w:tcBorders>
              <w:top w:val="nil"/>
              <w:left w:val="nil"/>
              <w:bottom w:val="single" w:color="auto" w:sz="4" w:space="0"/>
              <w:right w:val="single" w:color="auto" w:sz="4" w:space="0"/>
            </w:tcBorders>
            <w:noWrap w:val="0"/>
            <w:vAlign w:val="center"/>
          </w:tcPr>
          <w:p w14:paraId="6D4229FB">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25C8EB84">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12DDDA2F">
            <w:pPr>
              <w:widowControl/>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2042" w:type="dxa"/>
            <w:tcBorders>
              <w:top w:val="nil"/>
              <w:left w:val="nil"/>
              <w:bottom w:val="single" w:color="auto" w:sz="4" w:space="0"/>
              <w:right w:val="single" w:color="auto" w:sz="4" w:space="0"/>
            </w:tcBorders>
            <w:noWrap w:val="0"/>
            <w:vAlign w:val="center"/>
          </w:tcPr>
          <w:p w14:paraId="1257D214">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2A811294">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7E88F78A">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51" w:type="dxa"/>
            <w:tcBorders>
              <w:top w:val="nil"/>
              <w:left w:val="nil"/>
              <w:bottom w:val="single" w:color="auto" w:sz="4" w:space="0"/>
              <w:right w:val="single" w:color="auto" w:sz="4" w:space="0"/>
            </w:tcBorders>
            <w:noWrap w:val="0"/>
            <w:vAlign w:val="center"/>
          </w:tcPr>
          <w:p w14:paraId="07B8B174">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1167" w:type="dxa"/>
            <w:tcBorders>
              <w:top w:val="nil"/>
              <w:left w:val="nil"/>
              <w:bottom w:val="single" w:color="auto" w:sz="4" w:space="0"/>
              <w:right w:val="single" w:color="auto" w:sz="4" w:space="0"/>
            </w:tcBorders>
            <w:noWrap w:val="0"/>
            <w:vAlign w:val="center"/>
          </w:tcPr>
          <w:p w14:paraId="751ECF3A">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4C955A56">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4DF38823">
            <w:pPr>
              <w:widowControl/>
              <w:spacing w:line="340" w:lineRule="exact"/>
              <w:jc w:val="center"/>
              <w:rPr>
                <w:rFonts w:hint="eastAsia" w:ascii="宋体" w:hAnsi="宋体" w:cs="宋体"/>
                <w:b/>
                <w:bCs/>
                <w:color w:val="auto"/>
                <w:kern w:val="0"/>
                <w:szCs w:val="21"/>
                <w:highlight w:val="none"/>
              </w:rPr>
            </w:pPr>
          </w:p>
        </w:tc>
        <w:tc>
          <w:tcPr>
            <w:tcW w:w="2042" w:type="dxa"/>
            <w:tcBorders>
              <w:top w:val="nil"/>
              <w:left w:val="nil"/>
              <w:bottom w:val="single" w:color="auto" w:sz="4" w:space="0"/>
              <w:right w:val="single" w:color="auto" w:sz="4" w:space="0"/>
            </w:tcBorders>
            <w:noWrap w:val="0"/>
            <w:vAlign w:val="center"/>
          </w:tcPr>
          <w:p w14:paraId="780F2DA7">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1EA80E75">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28977E89">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51" w:type="dxa"/>
            <w:tcBorders>
              <w:top w:val="nil"/>
              <w:left w:val="nil"/>
              <w:bottom w:val="single" w:color="auto" w:sz="4" w:space="0"/>
              <w:right w:val="single" w:color="auto" w:sz="4" w:space="0"/>
            </w:tcBorders>
            <w:noWrap w:val="0"/>
            <w:vAlign w:val="center"/>
          </w:tcPr>
          <w:p w14:paraId="546C5484">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167" w:type="dxa"/>
            <w:tcBorders>
              <w:top w:val="nil"/>
              <w:left w:val="nil"/>
              <w:bottom w:val="single" w:color="auto" w:sz="4" w:space="0"/>
              <w:right w:val="single" w:color="auto" w:sz="4" w:space="0"/>
            </w:tcBorders>
            <w:noWrap w:val="0"/>
            <w:vAlign w:val="center"/>
          </w:tcPr>
          <w:p w14:paraId="38F06222">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23B9B2B9">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7953827F">
            <w:pPr>
              <w:widowControl/>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2042" w:type="dxa"/>
            <w:tcBorders>
              <w:top w:val="nil"/>
              <w:left w:val="nil"/>
              <w:bottom w:val="single" w:color="auto" w:sz="4" w:space="0"/>
              <w:right w:val="single" w:color="auto" w:sz="4" w:space="0"/>
            </w:tcBorders>
            <w:noWrap w:val="0"/>
            <w:vAlign w:val="center"/>
          </w:tcPr>
          <w:p w14:paraId="1557331D">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3FE1F9FE">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3B884366">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51" w:type="dxa"/>
            <w:tcBorders>
              <w:top w:val="nil"/>
              <w:left w:val="nil"/>
              <w:bottom w:val="single" w:color="auto" w:sz="4" w:space="0"/>
              <w:right w:val="single" w:color="auto" w:sz="4" w:space="0"/>
            </w:tcBorders>
            <w:noWrap w:val="0"/>
            <w:vAlign w:val="center"/>
          </w:tcPr>
          <w:p w14:paraId="3554DEC8">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1167" w:type="dxa"/>
            <w:tcBorders>
              <w:top w:val="nil"/>
              <w:left w:val="nil"/>
              <w:bottom w:val="single" w:color="auto" w:sz="4" w:space="0"/>
              <w:right w:val="single" w:color="auto" w:sz="4" w:space="0"/>
            </w:tcBorders>
            <w:noWrap w:val="0"/>
            <w:vAlign w:val="center"/>
          </w:tcPr>
          <w:p w14:paraId="4FFEB333">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6921C01A">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221BC6C6">
            <w:pPr>
              <w:widowControl/>
              <w:spacing w:line="340" w:lineRule="exact"/>
              <w:jc w:val="center"/>
              <w:rPr>
                <w:rFonts w:hint="eastAsia" w:ascii="宋体" w:hAnsi="宋体" w:cs="宋体"/>
                <w:b/>
                <w:bCs/>
                <w:color w:val="auto"/>
                <w:kern w:val="0"/>
                <w:szCs w:val="21"/>
                <w:highlight w:val="none"/>
              </w:rPr>
            </w:pPr>
          </w:p>
        </w:tc>
        <w:tc>
          <w:tcPr>
            <w:tcW w:w="2042" w:type="dxa"/>
            <w:tcBorders>
              <w:top w:val="nil"/>
              <w:left w:val="nil"/>
              <w:bottom w:val="single" w:color="auto" w:sz="4" w:space="0"/>
              <w:right w:val="single" w:color="auto" w:sz="4" w:space="0"/>
            </w:tcBorders>
            <w:noWrap w:val="0"/>
            <w:vAlign w:val="center"/>
          </w:tcPr>
          <w:p w14:paraId="7FFB0CD4">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52912D5B">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14183CA7">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51" w:type="dxa"/>
            <w:tcBorders>
              <w:top w:val="nil"/>
              <w:left w:val="nil"/>
              <w:bottom w:val="single" w:color="auto" w:sz="4" w:space="0"/>
              <w:right w:val="single" w:color="auto" w:sz="4" w:space="0"/>
            </w:tcBorders>
            <w:noWrap w:val="0"/>
            <w:vAlign w:val="center"/>
          </w:tcPr>
          <w:p w14:paraId="432B00F9">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167" w:type="dxa"/>
            <w:tcBorders>
              <w:top w:val="nil"/>
              <w:left w:val="nil"/>
              <w:bottom w:val="single" w:color="auto" w:sz="4" w:space="0"/>
              <w:right w:val="single" w:color="auto" w:sz="4" w:space="0"/>
            </w:tcBorders>
            <w:noWrap w:val="0"/>
            <w:vAlign w:val="center"/>
          </w:tcPr>
          <w:p w14:paraId="1BA12431">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2D4751B">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116684A0">
            <w:pPr>
              <w:widowControl/>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2042" w:type="dxa"/>
            <w:tcBorders>
              <w:top w:val="nil"/>
              <w:left w:val="nil"/>
              <w:bottom w:val="single" w:color="auto" w:sz="4" w:space="0"/>
              <w:right w:val="single" w:color="auto" w:sz="4" w:space="0"/>
            </w:tcBorders>
            <w:noWrap w:val="0"/>
            <w:vAlign w:val="center"/>
          </w:tcPr>
          <w:p w14:paraId="3A372644">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64710422">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75AD56A6">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51" w:type="dxa"/>
            <w:tcBorders>
              <w:top w:val="nil"/>
              <w:left w:val="nil"/>
              <w:bottom w:val="single" w:color="auto" w:sz="4" w:space="0"/>
              <w:right w:val="single" w:color="auto" w:sz="4" w:space="0"/>
            </w:tcBorders>
            <w:noWrap w:val="0"/>
            <w:vAlign w:val="center"/>
          </w:tcPr>
          <w:p w14:paraId="36A9938D">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67" w:type="dxa"/>
            <w:tcBorders>
              <w:top w:val="nil"/>
              <w:left w:val="nil"/>
              <w:bottom w:val="single" w:color="auto" w:sz="4" w:space="0"/>
              <w:right w:val="single" w:color="auto" w:sz="4" w:space="0"/>
            </w:tcBorders>
            <w:noWrap w:val="0"/>
            <w:vAlign w:val="center"/>
          </w:tcPr>
          <w:p w14:paraId="42C70B95">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BC5223B">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6B76B232">
            <w:pPr>
              <w:widowControl/>
              <w:spacing w:line="340" w:lineRule="exact"/>
              <w:jc w:val="center"/>
              <w:rPr>
                <w:rFonts w:hint="eastAsia" w:ascii="宋体" w:hAnsi="宋体" w:cs="宋体"/>
                <w:b/>
                <w:bCs/>
                <w:color w:val="auto"/>
                <w:kern w:val="0"/>
                <w:szCs w:val="21"/>
                <w:highlight w:val="none"/>
              </w:rPr>
            </w:pPr>
          </w:p>
        </w:tc>
        <w:tc>
          <w:tcPr>
            <w:tcW w:w="2042" w:type="dxa"/>
            <w:tcBorders>
              <w:top w:val="nil"/>
              <w:left w:val="nil"/>
              <w:bottom w:val="single" w:color="auto" w:sz="4" w:space="0"/>
              <w:right w:val="single" w:color="auto" w:sz="4" w:space="0"/>
            </w:tcBorders>
            <w:noWrap w:val="0"/>
            <w:vAlign w:val="center"/>
          </w:tcPr>
          <w:p w14:paraId="15196A3D">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3F165C6C">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1AC1650D">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51" w:type="dxa"/>
            <w:tcBorders>
              <w:top w:val="nil"/>
              <w:left w:val="nil"/>
              <w:bottom w:val="single" w:color="auto" w:sz="4" w:space="0"/>
              <w:right w:val="single" w:color="auto" w:sz="4" w:space="0"/>
            </w:tcBorders>
            <w:noWrap w:val="0"/>
            <w:vAlign w:val="center"/>
          </w:tcPr>
          <w:p w14:paraId="79DC1FAE">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167" w:type="dxa"/>
            <w:tcBorders>
              <w:top w:val="nil"/>
              <w:left w:val="nil"/>
              <w:bottom w:val="single" w:color="auto" w:sz="4" w:space="0"/>
              <w:right w:val="single" w:color="auto" w:sz="4" w:space="0"/>
            </w:tcBorders>
            <w:noWrap w:val="0"/>
            <w:vAlign w:val="center"/>
          </w:tcPr>
          <w:p w14:paraId="2E1D8C9D">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37BCB94D">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6D08F1B3">
            <w:pPr>
              <w:widowControl/>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2042" w:type="dxa"/>
            <w:tcBorders>
              <w:top w:val="nil"/>
              <w:left w:val="nil"/>
              <w:bottom w:val="single" w:color="auto" w:sz="4" w:space="0"/>
              <w:right w:val="single" w:color="auto" w:sz="4" w:space="0"/>
            </w:tcBorders>
            <w:noWrap w:val="0"/>
            <w:vAlign w:val="center"/>
          </w:tcPr>
          <w:p w14:paraId="201C7264">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6CD7CD33">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45128C8C">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51" w:type="dxa"/>
            <w:tcBorders>
              <w:top w:val="nil"/>
              <w:left w:val="nil"/>
              <w:bottom w:val="single" w:color="auto" w:sz="4" w:space="0"/>
              <w:right w:val="single" w:color="auto" w:sz="4" w:space="0"/>
            </w:tcBorders>
            <w:noWrap w:val="0"/>
            <w:vAlign w:val="center"/>
          </w:tcPr>
          <w:p w14:paraId="75E5EF4A">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1167" w:type="dxa"/>
            <w:tcBorders>
              <w:top w:val="nil"/>
              <w:left w:val="nil"/>
              <w:bottom w:val="single" w:color="auto" w:sz="4" w:space="0"/>
              <w:right w:val="single" w:color="auto" w:sz="4" w:space="0"/>
            </w:tcBorders>
            <w:noWrap w:val="0"/>
            <w:vAlign w:val="center"/>
          </w:tcPr>
          <w:p w14:paraId="362B8D69">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2E36F2BA">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60444388">
            <w:pPr>
              <w:widowControl/>
              <w:spacing w:line="340" w:lineRule="exact"/>
              <w:jc w:val="center"/>
              <w:rPr>
                <w:rFonts w:hint="eastAsia" w:ascii="宋体" w:hAnsi="宋体" w:cs="宋体"/>
                <w:b/>
                <w:bCs/>
                <w:color w:val="auto"/>
                <w:kern w:val="0"/>
                <w:szCs w:val="21"/>
                <w:highlight w:val="none"/>
              </w:rPr>
            </w:pPr>
          </w:p>
        </w:tc>
        <w:tc>
          <w:tcPr>
            <w:tcW w:w="2042" w:type="dxa"/>
            <w:tcBorders>
              <w:top w:val="nil"/>
              <w:left w:val="nil"/>
              <w:bottom w:val="single" w:color="auto" w:sz="4" w:space="0"/>
              <w:right w:val="single" w:color="auto" w:sz="4" w:space="0"/>
            </w:tcBorders>
            <w:noWrap w:val="0"/>
            <w:vAlign w:val="center"/>
          </w:tcPr>
          <w:p w14:paraId="61980416">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282949BF">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362450B5">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51" w:type="dxa"/>
            <w:tcBorders>
              <w:top w:val="nil"/>
              <w:left w:val="nil"/>
              <w:bottom w:val="single" w:color="auto" w:sz="4" w:space="0"/>
              <w:right w:val="single" w:color="auto" w:sz="4" w:space="0"/>
            </w:tcBorders>
            <w:noWrap w:val="0"/>
            <w:vAlign w:val="center"/>
          </w:tcPr>
          <w:p w14:paraId="55495424">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67" w:type="dxa"/>
            <w:tcBorders>
              <w:top w:val="nil"/>
              <w:left w:val="nil"/>
              <w:bottom w:val="single" w:color="auto" w:sz="4" w:space="0"/>
              <w:right w:val="single" w:color="auto" w:sz="4" w:space="0"/>
            </w:tcBorders>
            <w:noWrap w:val="0"/>
            <w:vAlign w:val="center"/>
          </w:tcPr>
          <w:p w14:paraId="1B340D28">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4AC751F3">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08DB9F27">
            <w:pPr>
              <w:widowControl/>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2042" w:type="dxa"/>
            <w:tcBorders>
              <w:top w:val="nil"/>
              <w:left w:val="nil"/>
              <w:bottom w:val="single" w:color="auto" w:sz="4" w:space="0"/>
              <w:right w:val="single" w:color="auto" w:sz="4" w:space="0"/>
            </w:tcBorders>
            <w:noWrap w:val="0"/>
            <w:vAlign w:val="center"/>
          </w:tcPr>
          <w:p w14:paraId="16824E5D">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3AFDD14C">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7B89B97E">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51" w:type="dxa"/>
            <w:tcBorders>
              <w:top w:val="nil"/>
              <w:left w:val="nil"/>
              <w:bottom w:val="single" w:color="auto" w:sz="4" w:space="0"/>
              <w:right w:val="single" w:color="auto" w:sz="4" w:space="0"/>
            </w:tcBorders>
            <w:noWrap w:val="0"/>
            <w:vAlign w:val="center"/>
          </w:tcPr>
          <w:p w14:paraId="6DCB071C">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67" w:type="dxa"/>
            <w:tcBorders>
              <w:top w:val="nil"/>
              <w:left w:val="nil"/>
              <w:bottom w:val="single" w:color="auto" w:sz="4" w:space="0"/>
              <w:right w:val="single" w:color="auto" w:sz="4" w:space="0"/>
            </w:tcBorders>
            <w:noWrap w:val="0"/>
            <w:vAlign w:val="center"/>
          </w:tcPr>
          <w:p w14:paraId="2449D8BC">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3A1CACDC">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595BBD41">
            <w:pPr>
              <w:widowControl/>
              <w:spacing w:line="340" w:lineRule="exact"/>
              <w:jc w:val="center"/>
              <w:rPr>
                <w:rFonts w:hint="eastAsia" w:ascii="宋体" w:hAnsi="宋体" w:cs="宋体"/>
                <w:b/>
                <w:bCs/>
                <w:color w:val="auto"/>
                <w:kern w:val="0"/>
                <w:szCs w:val="21"/>
                <w:highlight w:val="none"/>
              </w:rPr>
            </w:pPr>
          </w:p>
        </w:tc>
        <w:tc>
          <w:tcPr>
            <w:tcW w:w="2042" w:type="dxa"/>
            <w:tcBorders>
              <w:top w:val="nil"/>
              <w:left w:val="nil"/>
              <w:bottom w:val="single" w:color="auto" w:sz="4" w:space="0"/>
              <w:right w:val="single" w:color="auto" w:sz="4" w:space="0"/>
            </w:tcBorders>
            <w:noWrap w:val="0"/>
            <w:vAlign w:val="center"/>
          </w:tcPr>
          <w:p w14:paraId="3B0F4B86">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4CA57DA1">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48D48C70">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51" w:type="dxa"/>
            <w:tcBorders>
              <w:top w:val="nil"/>
              <w:left w:val="nil"/>
              <w:bottom w:val="single" w:color="auto" w:sz="4" w:space="0"/>
              <w:right w:val="single" w:color="auto" w:sz="4" w:space="0"/>
            </w:tcBorders>
            <w:noWrap w:val="0"/>
            <w:vAlign w:val="center"/>
          </w:tcPr>
          <w:p w14:paraId="74FAD8E2">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67" w:type="dxa"/>
            <w:tcBorders>
              <w:top w:val="nil"/>
              <w:left w:val="nil"/>
              <w:bottom w:val="single" w:color="auto" w:sz="4" w:space="0"/>
              <w:right w:val="single" w:color="auto" w:sz="4" w:space="0"/>
            </w:tcBorders>
            <w:noWrap w:val="0"/>
            <w:vAlign w:val="center"/>
          </w:tcPr>
          <w:p w14:paraId="24410383">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59992DB2">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0D99D899">
            <w:pPr>
              <w:widowControl/>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2042" w:type="dxa"/>
            <w:tcBorders>
              <w:top w:val="nil"/>
              <w:left w:val="nil"/>
              <w:bottom w:val="single" w:color="auto" w:sz="4" w:space="0"/>
              <w:right w:val="single" w:color="auto" w:sz="4" w:space="0"/>
            </w:tcBorders>
            <w:noWrap w:val="0"/>
            <w:vAlign w:val="center"/>
          </w:tcPr>
          <w:p w14:paraId="6CCA6CEB">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01761F6C">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6CC258E2">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51" w:type="dxa"/>
            <w:tcBorders>
              <w:top w:val="nil"/>
              <w:left w:val="nil"/>
              <w:bottom w:val="single" w:color="auto" w:sz="4" w:space="0"/>
              <w:right w:val="single" w:color="auto" w:sz="4" w:space="0"/>
            </w:tcBorders>
            <w:noWrap w:val="0"/>
            <w:vAlign w:val="center"/>
          </w:tcPr>
          <w:p w14:paraId="3B49AE1D">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67" w:type="dxa"/>
            <w:tcBorders>
              <w:top w:val="nil"/>
              <w:left w:val="nil"/>
              <w:bottom w:val="single" w:color="auto" w:sz="4" w:space="0"/>
              <w:right w:val="single" w:color="auto" w:sz="4" w:space="0"/>
            </w:tcBorders>
            <w:noWrap w:val="0"/>
            <w:vAlign w:val="center"/>
          </w:tcPr>
          <w:p w14:paraId="658DC866">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6E895FC8">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66A2C97F">
            <w:pPr>
              <w:widowControl/>
              <w:spacing w:line="340" w:lineRule="exact"/>
              <w:jc w:val="center"/>
              <w:rPr>
                <w:rFonts w:hint="eastAsia" w:ascii="宋体" w:hAnsi="宋体" w:cs="宋体"/>
                <w:b/>
                <w:bCs/>
                <w:color w:val="auto"/>
                <w:kern w:val="0"/>
                <w:szCs w:val="21"/>
                <w:highlight w:val="none"/>
              </w:rPr>
            </w:pPr>
          </w:p>
        </w:tc>
        <w:tc>
          <w:tcPr>
            <w:tcW w:w="2042" w:type="dxa"/>
            <w:tcBorders>
              <w:top w:val="nil"/>
              <w:left w:val="nil"/>
              <w:bottom w:val="single" w:color="auto" w:sz="4" w:space="0"/>
              <w:right w:val="single" w:color="auto" w:sz="4" w:space="0"/>
            </w:tcBorders>
            <w:noWrap w:val="0"/>
            <w:vAlign w:val="center"/>
          </w:tcPr>
          <w:p w14:paraId="00E38B58">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57DC7208">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4D5165F7">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51" w:type="dxa"/>
            <w:tcBorders>
              <w:top w:val="nil"/>
              <w:left w:val="nil"/>
              <w:bottom w:val="single" w:color="auto" w:sz="4" w:space="0"/>
              <w:right w:val="single" w:color="auto" w:sz="4" w:space="0"/>
            </w:tcBorders>
            <w:noWrap w:val="0"/>
            <w:vAlign w:val="center"/>
          </w:tcPr>
          <w:p w14:paraId="18A17AC2">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67" w:type="dxa"/>
            <w:tcBorders>
              <w:top w:val="nil"/>
              <w:left w:val="nil"/>
              <w:bottom w:val="single" w:color="auto" w:sz="4" w:space="0"/>
              <w:right w:val="single" w:color="auto" w:sz="4" w:space="0"/>
            </w:tcBorders>
            <w:noWrap w:val="0"/>
            <w:vAlign w:val="center"/>
          </w:tcPr>
          <w:p w14:paraId="1ADF28DE">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7AF1522">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046BEA89">
            <w:pPr>
              <w:widowControl/>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2042" w:type="dxa"/>
            <w:tcBorders>
              <w:top w:val="nil"/>
              <w:left w:val="nil"/>
              <w:bottom w:val="single" w:color="auto" w:sz="4" w:space="0"/>
              <w:right w:val="single" w:color="auto" w:sz="4" w:space="0"/>
            </w:tcBorders>
            <w:noWrap w:val="0"/>
            <w:vAlign w:val="center"/>
          </w:tcPr>
          <w:p w14:paraId="5FF2ABF7">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23410E4B">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34B563FE">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51" w:type="dxa"/>
            <w:tcBorders>
              <w:top w:val="nil"/>
              <w:left w:val="nil"/>
              <w:bottom w:val="single" w:color="auto" w:sz="4" w:space="0"/>
              <w:right w:val="single" w:color="auto" w:sz="4" w:space="0"/>
            </w:tcBorders>
            <w:noWrap w:val="0"/>
            <w:vAlign w:val="center"/>
          </w:tcPr>
          <w:p w14:paraId="4AA0B8A0">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67" w:type="dxa"/>
            <w:tcBorders>
              <w:top w:val="nil"/>
              <w:left w:val="nil"/>
              <w:bottom w:val="single" w:color="auto" w:sz="4" w:space="0"/>
              <w:right w:val="single" w:color="auto" w:sz="4" w:space="0"/>
            </w:tcBorders>
            <w:noWrap w:val="0"/>
            <w:vAlign w:val="center"/>
          </w:tcPr>
          <w:p w14:paraId="7EDF1DF5">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2F4FBBEB">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501311A5">
            <w:pPr>
              <w:widowControl/>
              <w:spacing w:line="340" w:lineRule="exact"/>
              <w:jc w:val="center"/>
              <w:rPr>
                <w:rFonts w:hint="eastAsia" w:ascii="宋体" w:hAnsi="宋体" w:cs="宋体"/>
                <w:b/>
                <w:bCs/>
                <w:color w:val="auto"/>
                <w:kern w:val="0"/>
                <w:szCs w:val="21"/>
                <w:highlight w:val="none"/>
              </w:rPr>
            </w:pPr>
          </w:p>
        </w:tc>
        <w:tc>
          <w:tcPr>
            <w:tcW w:w="2042" w:type="dxa"/>
            <w:tcBorders>
              <w:top w:val="nil"/>
              <w:left w:val="nil"/>
              <w:bottom w:val="single" w:color="auto" w:sz="4" w:space="0"/>
              <w:right w:val="single" w:color="auto" w:sz="4" w:space="0"/>
            </w:tcBorders>
            <w:noWrap w:val="0"/>
            <w:vAlign w:val="center"/>
          </w:tcPr>
          <w:p w14:paraId="5C6EADBB">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3FD12E1D">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0F252F93">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51" w:type="dxa"/>
            <w:tcBorders>
              <w:top w:val="nil"/>
              <w:left w:val="nil"/>
              <w:bottom w:val="single" w:color="auto" w:sz="4" w:space="0"/>
              <w:right w:val="single" w:color="auto" w:sz="4" w:space="0"/>
            </w:tcBorders>
            <w:noWrap w:val="0"/>
            <w:vAlign w:val="center"/>
          </w:tcPr>
          <w:p w14:paraId="5797CA7F">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67" w:type="dxa"/>
            <w:tcBorders>
              <w:top w:val="nil"/>
              <w:left w:val="nil"/>
              <w:bottom w:val="single" w:color="auto" w:sz="4" w:space="0"/>
              <w:right w:val="single" w:color="auto" w:sz="4" w:space="0"/>
            </w:tcBorders>
            <w:noWrap w:val="0"/>
            <w:vAlign w:val="center"/>
          </w:tcPr>
          <w:p w14:paraId="0181E998">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10AA8A60">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45D856B5">
            <w:pPr>
              <w:widowControl/>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2042" w:type="dxa"/>
            <w:tcBorders>
              <w:top w:val="nil"/>
              <w:left w:val="nil"/>
              <w:bottom w:val="single" w:color="auto" w:sz="4" w:space="0"/>
              <w:right w:val="single" w:color="auto" w:sz="4" w:space="0"/>
            </w:tcBorders>
            <w:noWrap w:val="0"/>
            <w:vAlign w:val="center"/>
          </w:tcPr>
          <w:p w14:paraId="634672BF">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30CDAAEF">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20B98CD4">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51" w:type="dxa"/>
            <w:tcBorders>
              <w:top w:val="nil"/>
              <w:left w:val="nil"/>
              <w:bottom w:val="single" w:color="auto" w:sz="4" w:space="0"/>
              <w:right w:val="single" w:color="auto" w:sz="4" w:space="0"/>
            </w:tcBorders>
            <w:noWrap w:val="0"/>
            <w:vAlign w:val="center"/>
          </w:tcPr>
          <w:p w14:paraId="1C4C1DC5">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67" w:type="dxa"/>
            <w:tcBorders>
              <w:top w:val="nil"/>
              <w:left w:val="nil"/>
              <w:bottom w:val="single" w:color="auto" w:sz="4" w:space="0"/>
              <w:right w:val="single" w:color="auto" w:sz="4" w:space="0"/>
            </w:tcBorders>
            <w:noWrap w:val="0"/>
            <w:vAlign w:val="center"/>
          </w:tcPr>
          <w:p w14:paraId="4B255137">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4ED043AE">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6524DBAD">
            <w:pPr>
              <w:widowControl/>
              <w:spacing w:line="340" w:lineRule="exact"/>
              <w:jc w:val="center"/>
              <w:rPr>
                <w:rFonts w:hint="eastAsia" w:ascii="宋体" w:hAnsi="宋体" w:cs="宋体"/>
                <w:b/>
                <w:bCs/>
                <w:color w:val="auto"/>
                <w:kern w:val="0"/>
                <w:szCs w:val="21"/>
                <w:highlight w:val="none"/>
              </w:rPr>
            </w:pPr>
          </w:p>
        </w:tc>
        <w:tc>
          <w:tcPr>
            <w:tcW w:w="2042" w:type="dxa"/>
            <w:tcBorders>
              <w:top w:val="nil"/>
              <w:left w:val="nil"/>
              <w:bottom w:val="single" w:color="auto" w:sz="4" w:space="0"/>
              <w:right w:val="single" w:color="auto" w:sz="4" w:space="0"/>
            </w:tcBorders>
            <w:noWrap w:val="0"/>
            <w:vAlign w:val="center"/>
          </w:tcPr>
          <w:p w14:paraId="1E682A19">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26E9DBF1">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42760068">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51" w:type="dxa"/>
            <w:tcBorders>
              <w:top w:val="nil"/>
              <w:left w:val="nil"/>
              <w:bottom w:val="single" w:color="auto" w:sz="4" w:space="0"/>
              <w:right w:val="single" w:color="auto" w:sz="4" w:space="0"/>
            </w:tcBorders>
            <w:noWrap w:val="0"/>
            <w:vAlign w:val="center"/>
          </w:tcPr>
          <w:p w14:paraId="0A0B661A">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67" w:type="dxa"/>
            <w:tcBorders>
              <w:top w:val="nil"/>
              <w:left w:val="nil"/>
              <w:bottom w:val="single" w:color="auto" w:sz="4" w:space="0"/>
              <w:right w:val="single" w:color="auto" w:sz="4" w:space="0"/>
            </w:tcBorders>
            <w:noWrap w:val="0"/>
            <w:vAlign w:val="center"/>
          </w:tcPr>
          <w:p w14:paraId="2898DE5D">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0EF9F1AF">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390B5742">
            <w:pPr>
              <w:widowControl/>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2042" w:type="dxa"/>
            <w:tcBorders>
              <w:top w:val="nil"/>
              <w:left w:val="nil"/>
              <w:bottom w:val="single" w:color="auto" w:sz="4" w:space="0"/>
              <w:right w:val="single" w:color="auto" w:sz="4" w:space="0"/>
            </w:tcBorders>
            <w:noWrap w:val="0"/>
            <w:vAlign w:val="center"/>
          </w:tcPr>
          <w:p w14:paraId="69C633A5">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4C5615CE">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35BAE896">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51" w:type="dxa"/>
            <w:tcBorders>
              <w:top w:val="nil"/>
              <w:left w:val="nil"/>
              <w:bottom w:val="single" w:color="auto" w:sz="4" w:space="0"/>
              <w:right w:val="single" w:color="auto" w:sz="4" w:space="0"/>
            </w:tcBorders>
            <w:noWrap w:val="0"/>
            <w:vAlign w:val="center"/>
          </w:tcPr>
          <w:p w14:paraId="7100560C">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67" w:type="dxa"/>
            <w:tcBorders>
              <w:top w:val="nil"/>
              <w:left w:val="nil"/>
              <w:bottom w:val="single" w:color="auto" w:sz="4" w:space="0"/>
              <w:right w:val="single" w:color="auto" w:sz="4" w:space="0"/>
            </w:tcBorders>
            <w:noWrap w:val="0"/>
            <w:vAlign w:val="center"/>
          </w:tcPr>
          <w:p w14:paraId="60131C34">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56276D4F">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4E3C169E">
            <w:pPr>
              <w:widowControl/>
              <w:spacing w:line="340" w:lineRule="exact"/>
              <w:jc w:val="center"/>
              <w:rPr>
                <w:rFonts w:hint="eastAsia" w:ascii="宋体" w:hAnsi="宋体" w:cs="宋体"/>
                <w:b/>
                <w:bCs/>
                <w:color w:val="auto"/>
                <w:kern w:val="0"/>
                <w:szCs w:val="21"/>
                <w:highlight w:val="none"/>
              </w:rPr>
            </w:pPr>
          </w:p>
        </w:tc>
        <w:tc>
          <w:tcPr>
            <w:tcW w:w="2042" w:type="dxa"/>
            <w:tcBorders>
              <w:top w:val="nil"/>
              <w:left w:val="nil"/>
              <w:bottom w:val="single" w:color="auto" w:sz="4" w:space="0"/>
              <w:right w:val="single" w:color="auto" w:sz="4" w:space="0"/>
            </w:tcBorders>
            <w:noWrap w:val="0"/>
            <w:vAlign w:val="center"/>
          </w:tcPr>
          <w:p w14:paraId="72F02561">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07015358">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23484B74">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51" w:type="dxa"/>
            <w:tcBorders>
              <w:top w:val="nil"/>
              <w:left w:val="nil"/>
              <w:bottom w:val="single" w:color="auto" w:sz="4" w:space="0"/>
              <w:right w:val="single" w:color="auto" w:sz="4" w:space="0"/>
            </w:tcBorders>
            <w:noWrap w:val="0"/>
            <w:vAlign w:val="center"/>
          </w:tcPr>
          <w:p w14:paraId="162BF8D2">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167" w:type="dxa"/>
            <w:tcBorders>
              <w:top w:val="nil"/>
              <w:left w:val="nil"/>
              <w:bottom w:val="single" w:color="auto" w:sz="4" w:space="0"/>
              <w:right w:val="single" w:color="auto" w:sz="4" w:space="0"/>
            </w:tcBorders>
            <w:noWrap w:val="0"/>
            <w:vAlign w:val="center"/>
          </w:tcPr>
          <w:p w14:paraId="6CFD1775">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575A5838">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213444C2">
            <w:pPr>
              <w:widowControl/>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2042" w:type="dxa"/>
            <w:tcBorders>
              <w:top w:val="nil"/>
              <w:left w:val="nil"/>
              <w:bottom w:val="single" w:color="auto" w:sz="4" w:space="0"/>
              <w:right w:val="single" w:color="auto" w:sz="4" w:space="0"/>
            </w:tcBorders>
            <w:noWrap w:val="0"/>
            <w:vAlign w:val="center"/>
          </w:tcPr>
          <w:p w14:paraId="28000CE8">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33095816">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5F8899EA">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51" w:type="dxa"/>
            <w:tcBorders>
              <w:top w:val="nil"/>
              <w:left w:val="nil"/>
              <w:bottom w:val="single" w:color="auto" w:sz="4" w:space="0"/>
              <w:right w:val="single" w:color="auto" w:sz="4" w:space="0"/>
            </w:tcBorders>
            <w:noWrap w:val="0"/>
            <w:vAlign w:val="center"/>
          </w:tcPr>
          <w:p w14:paraId="62432E81">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167" w:type="dxa"/>
            <w:tcBorders>
              <w:top w:val="nil"/>
              <w:left w:val="nil"/>
              <w:bottom w:val="single" w:color="auto" w:sz="4" w:space="0"/>
              <w:right w:val="single" w:color="auto" w:sz="4" w:space="0"/>
            </w:tcBorders>
            <w:noWrap w:val="0"/>
            <w:vAlign w:val="center"/>
          </w:tcPr>
          <w:p w14:paraId="18B9F796">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63E7D47F">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642EA988">
            <w:pPr>
              <w:widowControl/>
              <w:spacing w:line="340" w:lineRule="exact"/>
              <w:jc w:val="center"/>
              <w:rPr>
                <w:rFonts w:hint="eastAsia" w:ascii="宋体" w:hAnsi="宋体" w:cs="宋体"/>
                <w:b/>
                <w:bCs/>
                <w:color w:val="auto"/>
                <w:kern w:val="0"/>
                <w:szCs w:val="21"/>
                <w:highlight w:val="none"/>
              </w:rPr>
            </w:pPr>
          </w:p>
        </w:tc>
        <w:tc>
          <w:tcPr>
            <w:tcW w:w="2042" w:type="dxa"/>
            <w:tcBorders>
              <w:top w:val="nil"/>
              <w:left w:val="nil"/>
              <w:bottom w:val="single" w:color="auto" w:sz="4" w:space="0"/>
              <w:right w:val="single" w:color="auto" w:sz="4" w:space="0"/>
            </w:tcBorders>
            <w:noWrap w:val="0"/>
            <w:vAlign w:val="center"/>
          </w:tcPr>
          <w:p w14:paraId="05CC43FB">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876" w:type="dxa"/>
            <w:tcBorders>
              <w:top w:val="nil"/>
              <w:left w:val="nil"/>
              <w:bottom w:val="single" w:color="auto" w:sz="4" w:space="0"/>
              <w:right w:val="single" w:color="auto" w:sz="4" w:space="0"/>
            </w:tcBorders>
            <w:noWrap w:val="0"/>
            <w:vAlign w:val="center"/>
          </w:tcPr>
          <w:p w14:paraId="69C8CEEB">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4232CF5C">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51" w:type="dxa"/>
            <w:tcBorders>
              <w:top w:val="nil"/>
              <w:left w:val="nil"/>
              <w:bottom w:val="single" w:color="auto" w:sz="4" w:space="0"/>
              <w:right w:val="single" w:color="auto" w:sz="4" w:space="0"/>
            </w:tcBorders>
            <w:noWrap w:val="0"/>
            <w:vAlign w:val="center"/>
          </w:tcPr>
          <w:p w14:paraId="65EDB6D2">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167" w:type="dxa"/>
            <w:tcBorders>
              <w:top w:val="nil"/>
              <w:left w:val="nil"/>
              <w:bottom w:val="single" w:color="auto" w:sz="4" w:space="0"/>
              <w:right w:val="single" w:color="auto" w:sz="4" w:space="0"/>
            </w:tcBorders>
            <w:noWrap w:val="0"/>
            <w:vAlign w:val="center"/>
          </w:tcPr>
          <w:p w14:paraId="79D3FB37">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Y＜2000</w:t>
            </w:r>
          </w:p>
        </w:tc>
      </w:tr>
      <w:tr w14:paraId="2AAA4A1A">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4DEE64FB">
            <w:pPr>
              <w:widowControl/>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2042" w:type="dxa"/>
            <w:tcBorders>
              <w:top w:val="nil"/>
              <w:left w:val="nil"/>
              <w:bottom w:val="single" w:color="auto" w:sz="4" w:space="0"/>
              <w:right w:val="single" w:color="auto" w:sz="4" w:space="0"/>
            </w:tcBorders>
            <w:noWrap w:val="0"/>
            <w:vAlign w:val="center"/>
          </w:tcPr>
          <w:p w14:paraId="4E5D5BFC">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27B2E8F1">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42190204">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51" w:type="dxa"/>
            <w:tcBorders>
              <w:top w:val="nil"/>
              <w:left w:val="nil"/>
              <w:bottom w:val="single" w:color="auto" w:sz="4" w:space="0"/>
              <w:right w:val="single" w:color="auto" w:sz="4" w:space="0"/>
            </w:tcBorders>
            <w:noWrap w:val="0"/>
            <w:vAlign w:val="center"/>
          </w:tcPr>
          <w:p w14:paraId="683D3EDB">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167" w:type="dxa"/>
            <w:tcBorders>
              <w:top w:val="nil"/>
              <w:left w:val="nil"/>
              <w:bottom w:val="single" w:color="auto" w:sz="4" w:space="0"/>
              <w:right w:val="single" w:color="auto" w:sz="4" w:space="0"/>
            </w:tcBorders>
            <w:noWrap w:val="0"/>
            <w:vAlign w:val="center"/>
          </w:tcPr>
          <w:p w14:paraId="77753536">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388AF0E6">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7C739448">
            <w:pPr>
              <w:widowControl/>
              <w:spacing w:line="340" w:lineRule="exact"/>
              <w:jc w:val="center"/>
              <w:rPr>
                <w:rFonts w:hint="eastAsia" w:ascii="宋体" w:hAnsi="宋体" w:cs="宋体"/>
                <w:b/>
                <w:bCs/>
                <w:color w:val="auto"/>
                <w:kern w:val="0"/>
                <w:szCs w:val="21"/>
                <w:highlight w:val="none"/>
              </w:rPr>
            </w:pPr>
          </w:p>
        </w:tc>
        <w:tc>
          <w:tcPr>
            <w:tcW w:w="2042" w:type="dxa"/>
            <w:tcBorders>
              <w:top w:val="nil"/>
              <w:left w:val="nil"/>
              <w:bottom w:val="single" w:color="auto" w:sz="4" w:space="0"/>
              <w:right w:val="single" w:color="auto" w:sz="4" w:space="0"/>
            </w:tcBorders>
            <w:noWrap w:val="0"/>
            <w:vAlign w:val="center"/>
          </w:tcPr>
          <w:p w14:paraId="65C6A8E6">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76" w:type="dxa"/>
            <w:tcBorders>
              <w:top w:val="nil"/>
              <w:left w:val="nil"/>
              <w:bottom w:val="single" w:color="auto" w:sz="4" w:space="0"/>
              <w:right w:val="single" w:color="auto" w:sz="4" w:space="0"/>
            </w:tcBorders>
            <w:noWrap w:val="0"/>
            <w:vAlign w:val="center"/>
          </w:tcPr>
          <w:p w14:paraId="1EE5F4BB">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61AD8D2F">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51" w:type="dxa"/>
            <w:tcBorders>
              <w:top w:val="nil"/>
              <w:left w:val="nil"/>
              <w:bottom w:val="single" w:color="auto" w:sz="4" w:space="0"/>
              <w:right w:val="single" w:color="auto" w:sz="4" w:space="0"/>
            </w:tcBorders>
            <w:noWrap w:val="0"/>
            <w:vAlign w:val="center"/>
          </w:tcPr>
          <w:p w14:paraId="089727FB">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167" w:type="dxa"/>
            <w:tcBorders>
              <w:top w:val="nil"/>
              <w:left w:val="nil"/>
              <w:bottom w:val="single" w:color="auto" w:sz="4" w:space="0"/>
              <w:right w:val="single" w:color="auto" w:sz="4" w:space="0"/>
            </w:tcBorders>
            <w:noWrap w:val="0"/>
            <w:vAlign w:val="center"/>
          </w:tcPr>
          <w:p w14:paraId="76EC7162">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13136ABD">
        <w:tblPrEx>
          <w:tblCellMar>
            <w:top w:w="0" w:type="dxa"/>
            <w:left w:w="108" w:type="dxa"/>
            <w:bottom w:w="0" w:type="dxa"/>
            <w:right w:w="108" w:type="dxa"/>
          </w:tblCellMar>
        </w:tblPrEx>
        <w:trPr>
          <w:trHeight w:val="350" w:hRule="atLeast"/>
        </w:trPr>
        <w:tc>
          <w:tcPr>
            <w:tcW w:w="1835" w:type="dxa"/>
            <w:vMerge w:val="restart"/>
            <w:tcBorders>
              <w:top w:val="nil"/>
              <w:left w:val="single" w:color="auto" w:sz="4" w:space="0"/>
              <w:bottom w:val="single" w:color="auto" w:sz="4" w:space="0"/>
              <w:right w:val="single" w:color="auto" w:sz="4" w:space="0"/>
            </w:tcBorders>
            <w:noWrap w:val="0"/>
            <w:vAlign w:val="center"/>
          </w:tcPr>
          <w:p w14:paraId="423A957D">
            <w:pPr>
              <w:widowControl/>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2042" w:type="dxa"/>
            <w:tcBorders>
              <w:top w:val="nil"/>
              <w:left w:val="nil"/>
              <w:bottom w:val="single" w:color="auto" w:sz="4" w:space="0"/>
              <w:right w:val="single" w:color="auto" w:sz="4" w:space="0"/>
            </w:tcBorders>
            <w:noWrap w:val="0"/>
            <w:vAlign w:val="center"/>
          </w:tcPr>
          <w:p w14:paraId="4E8527D7">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569FA4A2">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2965E902">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51" w:type="dxa"/>
            <w:tcBorders>
              <w:top w:val="nil"/>
              <w:left w:val="nil"/>
              <w:bottom w:val="single" w:color="auto" w:sz="4" w:space="0"/>
              <w:right w:val="single" w:color="auto" w:sz="4" w:space="0"/>
            </w:tcBorders>
            <w:noWrap w:val="0"/>
            <w:vAlign w:val="center"/>
          </w:tcPr>
          <w:p w14:paraId="3E3BF053">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67" w:type="dxa"/>
            <w:tcBorders>
              <w:top w:val="nil"/>
              <w:left w:val="nil"/>
              <w:bottom w:val="single" w:color="auto" w:sz="4" w:space="0"/>
              <w:right w:val="single" w:color="auto" w:sz="4" w:space="0"/>
            </w:tcBorders>
            <w:noWrap w:val="0"/>
            <w:vAlign w:val="center"/>
          </w:tcPr>
          <w:p w14:paraId="6D338E90">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7F282179">
        <w:tblPrEx>
          <w:tblCellMar>
            <w:top w:w="0" w:type="dxa"/>
            <w:left w:w="108" w:type="dxa"/>
            <w:bottom w:w="0" w:type="dxa"/>
            <w:right w:w="108" w:type="dxa"/>
          </w:tblCellMar>
        </w:tblPrEx>
        <w:trPr>
          <w:trHeight w:val="350" w:hRule="atLeast"/>
        </w:trPr>
        <w:tc>
          <w:tcPr>
            <w:tcW w:w="1835" w:type="dxa"/>
            <w:vMerge w:val="continue"/>
            <w:tcBorders>
              <w:top w:val="nil"/>
              <w:left w:val="single" w:color="auto" w:sz="4" w:space="0"/>
              <w:bottom w:val="single" w:color="auto" w:sz="4" w:space="0"/>
              <w:right w:val="single" w:color="auto" w:sz="4" w:space="0"/>
            </w:tcBorders>
            <w:noWrap w:val="0"/>
            <w:vAlign w:val="center"/>
          </w:tcPr>
          <w:p w14:paraId="21368255">
            <w:pPr>
              <w:widowControl/>
              <w:spacing w:line="340" w:lineRule="exact"/>
              <w:jc w:val="center"/>
              <w:rPr>
                <w:rFonts w:hint="eastAsia" w:ascii="宋体" w:hAnsi="宋体" w:cs="宋体"/>
                <w:b/>
                <w:bCs/>
                <w:color w:val="auto"/>
                <w:kern w:val="0"/>
                <w:szCs w:val="21"/>
                <w:highlight w:val="none"/>
              </w:rPr>
            </w:pPr>
          </w:p>
        </w:tc>
        <w:tc>
          <w:tcPr>
            <w:tcW w:w="2042" w:type="dxa"/>
            <w:tcBorders>
              <w:top w:val="nil"/>
              <w:left w:val="nil"/>
              <w:bottom w:val="single" w:color="auto" w:sz="4" w:space="0"/>
              <w:right w:val="single" w:color="auto" w:sz="4" w:space="0"/>
            </w:tcBorders>
            <w:noWrap w:val="0"/>
            <w:vAlign w:val="center"/>
          </w:tcPr>
          <w:p w14:paraId="5FC21760">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876" w:type="dxa"/>
            <w:tcBorders>
              <w:top w:val="nil"/>
              <w:left w:val="nil"/>
              <w:bottom w:val="single" w:color="auto" w:sz="4" w:space="0"/>
              <w:right w:val="single" w:color="auto" w:sz="4" w:space="0"/>
            </w:tcBorders>
            <w:noWrap w:val="0"/>
            <w:vAlign w:val="center"/>
          </w:tcPr>
          <w:p w14:paraId="66A0419D">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96" w:type="dxa"/>
            <w:tcBorders>
              <w:top w:val="nil"/>
              <w:left w:val="nil"/>
              <w:bottom w:val="single" w:color="auto" w:sz="4" w:space="0"/>
              <w:right w:val="single" w:color="auto" w:sz="4" w:space="0"/>
            </w:tcBorders>
            <w:noWrap w:val="0"/>
            <w:vAlign w:val="center"/>
          </w:tcPr>
          <w:p w14:paraId="69669B7A">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51" w:type="dxa"/>
            <w:tcBorders>
              <w:top w:val="nil"/>
              <w:left w:val="nil"/>
              <w:bottom w:val="single" w:color="auto" w:sz="4" w:space="0"/>
              <w:right w:val="single" w:color="auto" w:sz="4" w:space="0"/>
            </w:tcBorders>
            <w:noWrap w:val="0"/>
            <w:vAlign w:val="center"/>
          </w:tcPr>
          <w:p w14:paraId="51592215">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167" w:type="dxa"/>
            <w:tcBorders>
              <w:top w:val="nil"/>
              <w:left w:val="nil"/>
              <w:bottom w:val="single" w:color="auto" w:sz="4" w:space="0"/>
              <w:right w:val="single" w:color="auto" w:sz="4" w:space="0"/>
            </w:tcBorders>
            <w:noWrap w:val="0"/>
            <w:vAlign w:val="center"/>
          </w:tcPr>
          <w:p w14:paraId="1BAB34A9">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1B230C61">
        <w:tblPrEx>
          <w:tblCellMar>
            <w:top w:w="0" w:type="dxa"/>
            <w:left w:w="108" w:type="dxa"/>
            <w:bottom w:w="0" w:type="dxa"/>
            <w:right w:w="108" w:type="dxa"/>
          </w:tblCellMar>
        </w:tblPrEx>
        <w:trPr>
          <w:trHeight w:val="480" w:hRule="atLeast"/>
        </w:trPr>
        <w:tc>
          <w:tcPr>
            <w:tcW w:w="1835" w:type="dxa"/>
            <w:tcBorders>
              <w:top w:val="nil"/>
              <w:left w:val="single" w:color="auto" w:sz="4" w:space="0"/>
              <w:bottom w:val="single" w:color="auto" w:sz="4" w:space="0"/>
              <w:right w:val="single" w:color="auto" w:sz="4" w:space="0"/>
            </w:tcBorders>
            <w:noWrap w:val="0"/>
            <w:vAlign w:val="center"/>
          </w:tcPr>
          <w:p w14:paraId="5042BA61">
            <w:pPr>
              <w:widowControl/>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2042" w:type="dxa"/>
            <w:tcBorders>
              <w:top w:val="nil"/>
              <w:left w:val="nil"/>
              <w:bottom w:val="single" w:color="auto" w:sz="4" w:space="0"/>
              <w:right w:val="single" w:color="auto" w:sz="4" w:space="0"/>
            </w:tcBorders>
            <w:noWrap w:val="0"/>
            <w:vAlign w:val="center"/>
          </w:tcPr>
          <w:p w14:paraId="5A415F48">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76" w:type="dxa"/>
            <w:tcBorders>
              <w:top w:val="nil"/>
              <w:left w:val="nil"/>
              <w:bottom w:val="single" w:color="auto" w:sz="4" w:space="0"/>
              <w:right w:val="single" w:color="auto" w:sz="4" w:space="0"/>
            </w:tcBorders>
            <w:noWrap w:val="0"/>
            <w:vAlign w:val="center"/>
          </w:tcPr>
          <w:p w14:paraId="11B84897">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96" w:type="dxa"/>
            <w:tcBorders>
              <w:top w:val="nil"/>
              <w:left w:val="nil"/>
              <w:bottom w:val="single" w:color="auto" w:sz="4" w:space="0"/>
              <w:right w:val="single" w:color="auto" w:sz="4" w:space="0"/>
            </w:tcBorders>
            <w:noWrap w:val="0"/>
            <w:vAlign w:val="center"/>
          </w:tcPr>
          <w:p w14:paraId="156156C0">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51" w:type="dxa"/>
            <w:tcBorders>
              <w:top w:val="nil"/>
              <w:left w:val="nil"/>
              <w:bottom w:val="single" w:color="auto" w:sz="4" w:space="0"/>
              <w:right w:val="single" w:color="auto" w:sz="4" w:space="0"/>
            </w:tcBorders>
            <w:noWrap w:val="0"/>
            <w:vAlign w:val="center"/>
          </w:tcPr>
          <w:p w14:paraId="562B3609">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67" w:type="dxa"/>
            <w:tcBorders>
              <w:top w:val="nil"/>
              <w:left w:val="nil"/>
              <w:bottom w:val="single" w:color="auto" w:sz="4" w:space="0"/>
              <w:right w:val="single" w:color="auto" w:sz="4" w:space="0"/>
            </w:tcBorders>
            <w:noWrap w:val="0"/>
            <w:vAlign w:val="center"/>
          </w:tcPr>
          <w:p w14:paraId="5A319A3D">
            <w:pPr>
              <w:widowControl/>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2E2C9A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14:paraId="34786760">
      <w:pPr>
        <w:rPr>
          <w:rFonts w:hint="eastAsia" w:ascii="宋体" w:hAnsi="宋体" w:cs="宋体"/>
          <w:color w:val="auto"/>
          <w:highlight w:val="none"/>
        </w:rPr>
      </w:pPr>
    </w:p>
    <w:p w14:paraId="27F97F78">
      <w:pPr>
        <w:spacing w:line="528" w:lineRule="exac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附件2：</w:t>
      </w:r>
    </w:p>
    <w:p w14:paraId="6E80D9A1">
      <w:pPr>
        <w:spacing w:line="528"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节能产品政府采购品目清单</w:t>
      </w:r>
    </w:p>
    <w:p w14:paraId="173C62C5">
      <w:pPr>
        <w:rPr>
          <w:rFonts w:hint="eastAsia" w:ascii="宋体" w:hAnsi="宋体" w:cs="宋体"/>
          <w:color w:val="auto"/>
          <w:sz w:val="20"/>
          <w:szCs w:val="20"/>
          <w:highlight w:val="none"/>
        </w:rPr>
      </w:pPr>
    </w:p>
    <w:tbl>
      <w:tblPr>
        <w:tblStyle w:val="35"/>
        <w:tblW w:w="9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65"/>
        <w:gridCol w:w="2166"/>
        <w:gridCol w:w="1599"/>
        <w:gridCol w:w="3570"/>
      </w:tblGrid>
      <w:tr w14:paraId="2318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4CDC07E5">
            <w:pPr>
              <w:jc w:val="center"/>
              <w:rPr>
                <w:rFonts w:hint="eastAsia" w:ascii="宋体" w:hAnsi="宋体" w:cs="宋体"/>
                <w:color w:val="auto"/>
                <w:szCs w:val="21"/>
                <w:highlight w:val="none"/>
              </w:rPr>
            </w:pPr>
            <w:r>
              <w:rPr>
                <w:rFonts w:hint="eastAsia" w:ascii="宋体" w:hAnsi="宋体" w:cs="宋体"/>
                <w:b/>
                <w:color w:val="auto"/>
                <w:szCs w:val="21"/>
                <w:highlight w:val="none"/>
              </w:rPr>
              <w:t>品目序号</w:t>
            </w:r>
          </w:p>
        </w:tc>
        <w:tc>
          <w:tcPr>
            <w:tcW w:w="5430" w:type="dxa"/>
            <w:gridSpan w:val="3"/>
            <w:noWrap w:val="0"/>
            <w:vAlign w:val="center"/>
          </w:tcPr>
          <w:p w14:paraId="492D9D93">
            <w:pPr>
              <w:jc w:val="center"/>
              <w:rPr>
                <w:rFonts w:hint="eastAsia" w:ascii="宋体" w:hAnsi="宋体" w:cs="宋体"/>
                <w:color w:val="auto"/>
                <w:szCs w:val="21"/>
                <w:highlight w:val="none"/>
              </w:rPr>
            </w:pPr>
            <w:r>
              <w:rPr>
                <w:rFonts w:hint="eastAsia" w:ascii="宋体" w:hAnsi="宋体" w:cs="宋体"/>
                <w:b/>
                <w:color w:val="auto"/>
                <w:szCs w:val="21"/>
                <w:highlight w:val="none"/>
              </w:rPr>
              <w:t>名称</w:t>
            </w:r>
          </w:p>
        </w:tc>
        <w:tc>
          <w:tcPr>
            <w:tcW w:w="3570" w:type="dxa"/>
            <w:noWrap w:val="0"/>
            <w:vAlign w:val="center"/>
          </w:tcPr>
          <w:p w14:paraId="0A434FA9">
            <w:pPr>
              <w:jc w:val="center"/>
              <w:rPr>
                <w:rFonts w:hint="eastAsia" w:ascii="宋体" w:hAnsi="宋体" w:cs="宋体"/>
                <w:color w:val="auto"/>
                <w:szCs w:val="21"/>
                <w:highlight w:val="none"/>
              </w:rPr>
            </w:pPr>
            <w:r>
              <w:rPr>
                <w:rFonts w:hint="eastAsia" w:ascii="宋体" w:hAnsi="宋体" w:cs="宋体"/>
                <w:b/>
                <w:color w:val="auto"/>
                <w:szCs w:val="21"/>
                <w:highlight w:val="none"/>
              </w:rPr>
              <w:t>依据的标准</w:t>
            </w:r>
          </w:p>
        </w:tc>
      </w:tr>
      <w:tr w14:paraId="4D0E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restart"/>
            <w:noWrap w:val="0"/>
            <w:vAlign w:val="center"/>
          </w:tcPr>
          <w:p w14:paraId="371A2461">
            <w:pPr>
              <w:jc w:val="center"/>
              <w:rPr>
                <w:rFonts w:hint="eastAsia" w:ascii="宋体" w:hAnsi="宋体" w:cs="宋体"/>
                <w:color w:val="auto"/>
                <w:szCs w:val="21"/>
                <w:highlight w:val="none"/>
                <w:lang w:val="zh-CN" w:bidi="zh-CN"/>
              </w:rPr>
            </w:pPr>
            <w:r>
              <w:rPr>
                <w:rFonts w:hint="eastAsia" w:ascii="宋体" w:hAnsi="宋体" w:cs="宋体"/>
                <w:color w:val="auto"/>
                <w:szCs w:val="21"/>
                <w:highlight w:val="none"/>
                <w:lang w:bidi="zh-CN"/>
              </w:rPr>
              <w:t>1</w:t>
            </w:r>
          </w:p>
        </w:tc>
        <w:tc>
          <w:tcPr>
            <w:tcW w:w="1665" w:type="dxa"/>
            <w:vMerge w:val="restart"/>
            <w:noWrap w:val="0"/>
            <w:vAlign w:val="center"/>
          </w:tcPr>
          <w:p w14:paraId="69D394D9">
            <w:pPr>
              <w:pStyle w:val="89"/>
              <w:spacing w:before="1"/>
              <w:ind w:left="11"/>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A020101计算机设备</w:t>
            </w:r>
          </w:p>
        </w:tc>
        <w:tc>
          <w:tcPr>
            <w:tcW w:w="2166" w:type="dxa"/>
            <w:noWrap w:val="0"/>
            <w:vAlign w:val="center"/>
          </w:tcPr>
          <w:p w14:paraId="421D375D">
            <w:pPr>
              <w:pStyle w:val="89"/>
              <w:spacing w:before="126" w:line="292" w:lineRule="auto"/>
              <w:ind w:left="10" w:right="2"/>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★A02010104 台式计算机</w:t>
            </w:r>
          </w:p>
        </w:tc>
        <w:tc>
          <w:tcPr>
            <w:tcW w:w="1599" w:type="dxa"/>
            <w:noWrap w:val="0"/>
            <w:vAlign w:val="center"/>
          </w:tcPr>
          <w:p w14:paraId="7681E797">
            <w:pPr>
              <w:pStyle w:val="89"/>
              <w:jc w:val="center"/>
              <w:rPr>
                <w:rFonts w:hint="eastAsia" w:ascii="宋体" w:hAnsi="宋体" w:cs="宋体"/>
                <w:color w:val="auto"/>
                <w:kern w:val="2"/>
                <w:sz w:val="21"/>
                <w:szCs w:val="21"/>
                <w:highlight w:val="none"/>
                <w:lang w:val="zh-CN" w:eastAsia="zh-CN" w:bidi="zh-CN"/>
              </w:rPr>
            </w:pPr>
          </w:p>
        </w:tc>
        <w:tc>
          <w:tcPr>
            <w:tcW w:w="3570" w:type="dxa"/>
            <w:noWrap w:val="0"/>
            <w:vAlign w:val="center"/>
          </w:tcPr>
          <w:p w14:paraId="1895172B">
            <w:pPr>
              <w:pStyle w:val="89"/>
              <w:spacing w:line="300" w:lineRule="exact"/>
              <w:ind w:left="9" w:right="3"/>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《微型计算机能效限定值及能效等级》（GB 28380）</w:t>
            </w:r>
          </w:p>
        </w:tc>
      </w:tr>
      <w:tr w14:paraId="0FE4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noWrap w:val="0"/>
            <w:vAlign w:val="center"/>
          </w:tcPr>
          <w:p w14:paraId="7D5FA220">
            <w:pPr>
              <w:jc w:val="center"/>
              <w:rPr>
                <w:rFonts w:hint="eastAsia" w:ascii="宋体" w:hAnsi="宋体" w:cs="宋体"/>
                <w:color w:val="auto"/>
                <w:szCs w:val="21"/>
                <w:highlight w:val="none"/>
                <w:lang w:val="zh-CN" w:bidi="zh-CN"/>
              </w:rPr>
            </w:pPr>
          </w:p>
        </w:tc>
        <w:tc>
          <w:tcPr>
            <w:tcW w:w="1665" w:type="dxa"/>
            <w:vMerge w:val="continue"/>
            <w:noWrap w:val="0"/>
            <w:vAlign w:val="center"/>
          </w:tcPr>
          <w:p w14:paraId="0E1ECA61">
            <w:pPr>
              <w:jc w:val="left"/>
              <w:rPr>
                <w:rFonts w:hint="eastAsia" w:ascii="宋体" w:hAnsi="宋体" w:cs="宋体"/>
                <w:color w:val="auto"/>
                <w:szCs w:val="21"/>
                <w:highlight w:val="none"/>
                <w:lang w:val="zh-CN" w:bidi="zh-CN"/>
              </w:rPr>
            </w:pPr>
          </w:p>
        </w:tc>
        <w:tc>
          <w:tcPr>
            <w:tcW w:w="2166" w:type="dxa"/>
            <w:noWrap w:val="0"/>
            <w:vAlign w:val="center"/>
          </w:tcPr>
          <w:p w14:paraId="5A983D69">
            <w:pPr>
              <w:pStyle w:val="89"/>
              <w:spacing w:before="24" w:line="310" w:lineRule="atLeast"/>
              <w:ind w:left="10" w:right="2"/>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★A02010105 便携式计算机</w:t>
            </w:r>
          </w:p>
        </w:tc>
        <w:tc>
          <w:tcPr>
            <w:tcW w:w="1599" w:type="dxa"/>
            <w:noWrap w:val="0"/>
            <w:vAlign w:val="center"/>
          </w:tcPr>
          <w:p w14:paraId="2E9A82F5">
            <w:pPr>
              <w:pStyle w:val="89"/>
              <w:jc w:val="center"/>
              <w:rPr>
                <w:rFonts w:hint="eastAsia" w:ascii="宋体" w:hAnsi="宋体" w:cs="宋体"/>
                <w:color w:val="auto"/>
                <w:kern w:val="2"/>
                <w:sz w:val="21"/>
                <w:szCs w:val="21"/>
                <w:highlight w:val="none"/>
                <w:lang w:val="zh-CN" w:eastAsia="zh-CN" w:bidi="zh-CN"/>
              </w:rPr>
            </w:pPr>
          </w:p>
        </w:tc>
        <w:tc>
          <w:tcPr>
            <w:tcW w:w="3570" w:type="dxa"/>
            <w:noWrap w:val="0"/>
            <w:vAlign w:val="center"/>
          </w:tcPr>
          <w:p w14:paraId="50BCB869">
            <w:pPr>
              <w:pStyle w:val="89"/>
              <w:spacing w:line="300" w:lineRule="exact"/>
              <w:ind w:left="9" w:right="3"/>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《微型计算机能效限定值及能效等级》（GB 28380）</w:t>
            </w:r>
          </w:p>
        </w:tc>
      </w:tr>
      <w:tr w14:paraId="2E7B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noWrap w:val="0"/>
            <w:vAlign w:val="center"/>
          </w:tcPr>
          <w:p w14:paraId="415194CA">
            <w:pPr>
              <w:jc w:val="center"/>
              <w:rPr>
                <w:rFonts w:hint="eastAsia" w:ascii="宋体" w:hAnsi="宋体" w:cs="宋体"/>
                <w:color w:val="auto"/>
                <w:szCs w:val="21"/>
                <w:highlight w:val="none"/>
                <w:lang w:val="zh-CN" w:bidi="zh-CN"/>
              </w:rPr>
            </w:pPr>
          </w:p>
        </w:tc>
        <w:tc>
          <w:tcPr>
            <w:tcW w:w="1665" w:type="dxa"/>
            <w:vMerge w:val="continue"/>
            <w:noWrap w:val="0"/>
            <w:vAlign w:val="center"/>
          </w:tcPr>
          <w:p w14:paraId="11363CE5">
            <w:pPr>
              <w:jc w:val="left"/>
              <w:rPr>
                <w:rFonts w:hint="eastAsia" w:ascii="宋体" w:hAnsi="宋体" w:cs="宋体"/>
                <w:color w:val="auto"/>
                <w:szCs w:val="21"/>
                <w:highlight w:val="none"/>
                <w:lang w:val="zh-CN" w:bidi="zh-CN"/>
              </w:rPr>
            </w:pPr>
          </w:p>
        </w:tc>
        <w:tc>
          <w:tcPr>
            <w:tcW w:w="2166" w:type="dxa"/>
            <w:noWrap w:val="0"/>
            <w:vAlign w:val="center"/>
          </w:tcPr>
          <w:p w14:paraId="27DD6F02">
            <w:pPr>
              <w:pStyle w:val="89"/>
              <w:spacing w:before="97" w:line="292" w:lineRule="auto"/>
              <w:ind w:left="10" w:right="2"/>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★A02010107 平板式微型计算机</w:t>
            </w:r>
          </w:p>
        </w:tc>
        <w:tc>
          <w:tcPr>
            <w:tcW w:w="1599" w:type="dxa"/>
            <w:noWrap w:val="0"/>
            <w:vAlign w:val="center"/>
          </w:tcPr>
          <w:p w14:paraId="5EAC0E66">
            <w:pPr>
              <w:pStyle w:val="89"/>
              <w:jc w:val="center"/>
              <w:rPr>
                <w:rFonts w:hint="eastAsia" w:ascii="宋体" w:hAnsi="宋体" w:cs="宋体"/>
                <w:color w:val="auto"/>
                <w:kern w:val="2"/>
                <w:sz w:val="21"/>
                <w:szCs w:val="21"/>
                <w:highlight w:val="none"/>
                <w:lang w:val="zh-CN" w:eastAsia="zh-CN" w:bidi="zh-CN"/>
              </w:rPr>
            </w:pPr>
          </w:p>
        </w:tc>
        <w:tc>
          <w:tcPr>
            <w:tcW w:w="3570" w:type="dxa"/>
            <w:noWrap w:val="0"/>
            <w:vAlign w:val="center"/>
          </w:tcPr>
          <w:p w14:paraId="1B605169">
            <w:pPr>
              <w:pStyle w:val="89"/>
              <w:spacing w:line="300" w:lineRule="exact"/>
              <w:ind w:left="9" w:right="3"/>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《微型计算机能效限定值及能效等级》（GB 28380）</w:t>
            </w:r>
          </w:p>
        </w:tc>
      </w:tr>
      <w:tr w14:paraId="474B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restart"/>
            <w:noWrap w:val="0"/>
            <w:vAlign w:val="center"/>
          </w:tcPr>
          <w:p w14:paraId="3BC8E87C">
            <w:pPr>
              <w:jc w:val="center"/>
              <w:rPr>
                <w:rFonts w:hint="eastAsia" w:ascii="宋体" w:hAnsi="宋体" w:cs="宋体"/>
                <w:color w:val="auto"/>
                <w:szCs w:val="21"/>
                <w:highlight w:val="none"/>
                <w:lang w:val="zh-CN" w:bidi="zh-CN"/>
              </w:rPr>
            </w:pPr>
            <w:r>
              <w:rPr>
                <w:rFonts w:hint="eastAsia" w:ascii="宋体" w:hAnsi="宋体" w:cs="宋体"/>
                <w:color w:val="auto"/>
                <w:szCs w:val="21"/>
                <w:highlight w:val="none"/>
                <w:lang w:bidi="zh-CN"/>
              </w:rPr>
              <w:t>2</w:t>
            </w:r>
          </w:p>
        </w:tc>
        <w:tc>
          <w:tcPr>
            <w:tcW w:w="1665" w:type="dxa"/>
            <w:vMerge w:val="restart"/>
            <w:noWrap w:val="0"/>
            <w:vAlign w:val="center"/>
          </w:tcPr>
          <w:p w14:paraId="7DB29548">
            <w:pPr>
              <w:pStyle w:val="89"/>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A020106输入输出设备</w:t>
            </w:r>
          </w:p>
          <w:p w14:paraId="218D5FDE">
            <w:pPr>
              <w:jc w:val="left"/>
              <w:rPr>
                <w:rFonts w:hint="eastAsia" w:ascii="宋体" w:hAnsi="宋体" w:cs="宋体"/>
                <w:color w:val="auto"/>
                <w:szCs w:val="21"/>
                <w:highlight w:val="none"/>
                <w:lang w:val="zh-CN" w:bidi="zh-CN"/>
              </w:rPr>
            </w:pPr>
          </w:p>
        </w:tc>
        <w:tc>
          <w:tcPr>
            <w:tcW w:w="2166" w:type="dxa"/>
            <w:vMerge w:val="restart"/>
            <w:noWrap w:val="0"/>
            <w:vAlign w:val="center"/>
          </w:tcPr>
          <w:p w14:paraId="5706724D">
            <w:pPr>
              <w:pStyle w:val="89"/>
              <w:ind w:left="10"/>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A02010601 打印设备</w:t>
            </w:r>
          </w:p>
        </w:tc>
        <w:tc>
          <w:tcPr>
            <w:tcW w:w="1599" w:type="dxa"/>
            <w:noWrap w:val="0"/>
            <w:vAlign w:val="center"/>
          </w:tcPr>
          <w:p w14:paraId="0B5A5209">
            <w:pPr>
              <w:pStyle w:val="89"/>
              <w:spacing w:before="85"/>
              <w:ind w:left="9"/>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A0201060101喷墨打印机</w:t>
            </w:r>
          </w:p>
        </w:tc>
        <w:tc>
          <w:tcPr>
            <w:tcW w:w="3570" w:type="dxa"/>
            <w:noWrap w:val="0"/>
            <w:vAlign w:val="center"/>
          </w:tcPr>
          <w:p w14:paraId="7C4FD306">
            <w:pPr>
              <w:pStyle w:val="89"/>
              <w:spacing w:line="300" w:lineRule="exact"/>
              <w:ind w:left="9" w:right="5"/>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《复印机、打印机和传真机能效限定值及能效等级》（GB 21521）</w:t>
            </w:r>
          </w:p>
        </w:tc>
      </w:tr>
      <w:tr w14:paraId="0ED2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noWrap w:val="0"/>
            <w:vAlign w:val="center"/>
          </w:tcPr>
          <w:p w14:paraId="427CF9AE">
            <w:pPr>
              <w:jc w:val="center"/>
              <w:rPr>
                <w:rFonts w:hint="eastAsia" w:ascii="宋体" w:hAnsi="宋体" w:cs="宋体"/>
                <w:color w:val="auto"/>
                <w:szCs w:val="21"/>
                <w:highlight w:val="none"/>
                <w:lang w:val="zh-CN" w:bidi="zh-CN"/>
              </w:rPr>
            </w:pPr>
          </w:p>
        </w:tc>
        <w:tc>
          <w:tcPr>
            <w:tcW w:w="1665" w:type="dxa"/>
            <w:vMerge w:val="continue"/>
            <w:noWrap w:val="0"/>
            <w:vAlign w:val="center"/>
          </w:tcPr>
          <w:p w14:paraId="06C5638C">
            <w:pPr>
              <w:jc w:val="left"/>
              <w:rPr>
                <w:rFonts w:hint="eastAsia" w:ascii="宋体" w:hAnsi="宋体" w:cs="宋体"/>
                <w:color w:val="auto"/>
                <w:szCs w:val="21"/>
                <w:highlight w:val="none"/>
                <w:lang w:val="zh-CN" w:bidi="zh-CN"/>
              </w:rPr>
            </w:pPr>
          </w:p>
        </w:tc>
        <w:tc>
          <w:tcPr>
            <w:tcW w:w="2166" w:type="dxa"/>
            <w:vMerge w:val="continue"/>
            <w:noWrap w:val="0"/>
            <w:vAlign w:val="center"/>
          </w:tcPr>
          <w:p w14:paraId="679AA39C">
            <w:pPr>
              <w:rPr>
                <w:rFonts w:hint="eastAsia" w:ascii="宋体" w:hAnsi="宋体" w:cs="宋体"/>
                <w:color w:val="auto"/>
                <w:szCs w:val="21"/>
                <w:highlight w:val="none"/>
                <w:lang w:val="zh-CN" w:bidi="zh-CN"/>
              </w:rPr>
            </w:pPr>
          </w:p>
        </w:tc>
        <w:tc>
          <w:tcPr>
            <w:tcW w:w="1599" w:type="dxa"/>
            <w:noWrap w:val="0"/>
            <w:vAlign w:val="center"/>
          </w:tcPr>
          <w:p w14:paraId="18D27451">
            <w:pPr>
              <w:pStyle w:val="89"/>
              <w:spacing w:before="85"/>
              <w:ind w:left="9"/>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★A0201060102 激光打印机</w:t>
            </w:r>
          </w:p>
        </w:tc>
        <w:tc>
          <w:tcPr>
            <w:tcW w:w="3570" w:type="dxa"/>
            <w:noWrap w:val="0"/>
            <w:vAlign w:val="center"/>
          </w:tcPr>
          <w:p w14:paraId="5FA0DBDD">
            <w:pPr>
              <w:pStyle w:val="89"/>
              <w:spacing w:line="300" w:lineRule="exact"/>
              <w:ind w:left="9" w:right="5"/>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《复印机、打印机和传真机能效限定值及能效等级》（GB 21521）</w:t>
            </w:r>
          </w:p>
        </w:tc>
      </w:tr>
      <w:tr w14:paraId="1735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noWrap w:val="0"/>
            <w:vAlign w:val="center"/>
          </w:tcPr>
          <w:p w14:paraId="679CD34A">
            <w:pPr>
              <w:jc w:val="center"/>
              <w:rPr>
                <w:rFonts w:hint="eastAsia" w:ascii="宋体" w:hAnsi="宋体" w:cs="宋体"/>
                <w:color w:val="auto"/>
                <w:szCs w:val="21"/>
                <w:highlight w:val="none"/>
                <w:lang w:val="zh-CN" w:bidi="zh-CN"/>
              </w:rPr>
            </w:pPr>
          </w:p>
        </w:tc>
        <w:tc>
          <w:tcPr>
            <w:tcW w:w="1665" w:type="dxa"/>
            <w:vMerge w:val="continue"/>
            <w:noWrap w:val="0"/>
            <w:vAlign w:val="center"/>
          </w:tcPr>
          <w:p w14:paraId="1E7D885C">
            <w:pPr>
              <w:jc w:val="left"/>
              <w:rPr>
                <w:rFonts w:hint="eastAsia" w:ascii="宋体" w:hAnsi="宋体" w:cs="宋体"/>
                <w:color w:val="auto"/>
                <w:szCs w:val="21"/>
                <w:highlight w:val="none"/>
                <w:lang w:val="zh-CN" w:bidi="zh-CN"/>
              </w:rPr>
            </w:pPr>
          </w:p>
        </w:tc>
        <w:tc>
          <w:tcPr>
            <w:tcW w:w="2166" w:type="dxa"/>
            <w:vMerge w:val="continue"/>
            <w:noWrap w:val="0"/>
            <w:vAlign w:val="center"/>
          </w:tcPr>
          <w:p w14:paraId="2DFBE0A5">
            <w:pPr>
              <w:rPr>
                <w:rFonts w:hint="eastAsia" w:ascii="宋体" w:hAnsi="宋体" w:cs="宋体"/>
                <w:color w:val="auto"/>
                <w:szCs w:val="21"/>
                <w:highlight w:val="none"/>
                <w:lang w:val="zh-CN" w:bidi="zh-CN"/>
              </w:rPr>
            </w:pPr>
          </w:p>
        </w:tc>
        <w:tc>
          <w:tcPr>
            <w:tcW w:w="1599" w:type="dxa"/>
            <w:noWrap w:val="0"/>
            <w:vAlign w:val="center"/>
          </w:tcPr>
          <w:p w14:paraId="73E04D75">
            <w:pPr>
              <w:pStyle w:val="89"/>
              <w:spacing w:before="85"/>
              <w:ind w:left="9"/>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★A0201060104 针式打印机</w:t>
            </w:r>
          </w:p>
        </w:tc>
        <w:tc>
          <w:tcPr>
            <w:tcW w:w="3570" w:type="dxa"/>
            <w:noWrap w:val="0"/>
            <w:vAlign w:val="center"/>
          </w:tcPr>
          <w:p w14:paraId="6B6349A9">
            <w:pPr>
              <w:pStyle w:val="89"/>
              <w:spacing w:line="300" w:lineRule="exact"/>
              <w:ind w:left="9" w:right="5"/>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《复印机、打印机和传真机能效限定值及能效等级》（GB 21521）</w:t>
            </w:r>
          </w:p>
        </w:tc>
      </w:tr>
      <w:tr w14:paraId="0511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noWrap w:val="0"/>
            <w:vAlign w:val="center"/>
          </w:tcPr>
          <w:p w14:paraId="4683891D">
            <w:pPr>
              <w:jc w:val="center"/>
              <w:rPr>
                <w:rFonts w:hint="eastAsia" w:ascii="宋体" w:hAnsi="宋体" w:cs="宋体"/>
                <w:color w:val="auto"/>
                <w:szCs w:val="21"/>
                <w:highlight w:val="none"/>
                <w:lang w:val="zh-CN" w:bidi="zh-CN"/>
              </w:rPr>
            </w:pPr>
          </w:p>
        </w:tc>
        <w:tc>
          <w:tcPr>
            <w:tcW w:w="1665" w:type="dxa"/>
            <w:vMerge w:val="continue"/>
            <w:noWrap w:val="0"/>
            <w:vAlign w:val="center"/>
          </w:tcPr>
          <w:p w14:paraId="2AE7460E">
            <w:pPr>
              <w:jc w:val="left"/>
              <w:rPr>
                <w:rFonts w:hint="eastAsia" w:ascii="宋体" w:hAnsi="宋体" w:cs="宋体"/>
                <w:color w:val="auto"/>
                <w:szCs w:val="21"/>
                <w:highlight w:val="none"/>
                <w:lang w:val="zh-CN" w:bidi="zh-CN"/>
              </w:rPr>
            </w:pPr>
          </w:p>
        </w:tc>
        <w:tc>
          <w:tcPr>
            <w:tcW w:w="2166" w:type="dxa"/>
            <w:noWrap w:val="0"/>
            <w:vAlign w:val="center"/>
          </w:tcPr>
          <w:p w14:paraId="0BF03015">
            <w:pPr>
              <w:pStyle w:val="89"/>
              <w:spacing w:before="1"/>
              <w:ind w:left="10"/>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A02010604 显示设备</w:t>
            </w:r>
          </w:p>
        </w:tc>
        <w:tc>
          <w:tcPr>
            <w:tcW w:w="1599" w:type="dxa"/>
            <w:noWrap w:val="0"/>
            <w:vAlign w:val="center"/>
          </w:tcPr>
          <w:p w14:paraId="062D2222">
            <w:pPr>
              <w:pStyle w:val="89"/>
              <w:spacing w:before="102"/>
              <w:ind w:left="9"/>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★A0201060401 液晶显示器</w:t>
            </w:r>
          </w:p>
        </w:tc>
        <w:tc>
          <w:tcPr>
            <w:tcW w:w="3570" w:type="dxa"/>
            <w:noWrap w:val="0"/>
            <w:vAlign w:val="center"/>
          </w:tcPr>
          <w:p w14:paraId="4B361B62">
            <w:pPr>
              <w:pStyle w:val="89"/>
              <w:spacing w:line="300" w:lineRule="exact"/>
              <w:ind w:left="9" w:right="3"/>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《计算机显示器能效限定值及能效等级》（GB 21520）</w:t>
            </w:r>
          </w:p>
        </w:tc>
      </w:tr>
      <w:tr w14:paraId="1D2B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noWrap w:val="0"/>
            <w:vAlign w:val="center"/>
          </w:tcPr>
          <w:p w14:paraId="5B55B500">
            <w:pPr>
              <w:jc w:val="center"/>
              <w:rPr>
                <w:rFonts w:hint="eastAsia" w:ascii="宋体" w:hAnsi="宋体" w:cs="宋体"/>
                <w:color w:val="auto"/>
                <w:szCs w:val="21"/>
                <w:highlight w:val="none"/>
                <w:lang w:val="zh-CN" w:bidi="zh-CN"/>
              </w:rPr>
            </w:pPr>
          </w:p>
        </w:tc>
        <w:tc>
          <w:tcPr>
            <w:tcW w:w="1665" w:type="dxa"/>
            <w:vMerge w:val="continue"/>
            <w:noWrap w:val="0"/>
            <w:vAlign w:val="center"/>
          </w:tcPr>
          <w:p w14:paraId="3D5D4B8A">
            <w:pPr>
              <w:jc w:val="left"/>
              <w:rPr>
                <w:rFonts w:hint="eastAsia" w:ascii="宋体" w:hAnsi="宋体" w:cs="宋体"/>
                <w:color w:val="auto"/>
                <w:szCs w:val="21"/>
                <w:highlight w:val="none"/>
                <w:lang w:val="zh-CN" w:bidi="zh-CN"/>
              </w:rPr>
            </w:pPr>
          </w:p>
        </w:tc>
        <w:tc>
          <w:tcPr>
            <w:tcW w:w="2166" w:type="dxa"/>
            <w:noWrap w:val="0"/>
            <w:vAlign w:val="center"/>
          </w:tcPr>
          <w:p w14:paraId="2023AC2D">
            <w:pPr>
              <w:pStyle w:val="89"/>
              <w:spacing w:before="139" w:line="292" w:lineRule="auto"/>
              <w:ind w:left="10" w:right="2"/>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A02010609 图形图像输入设备</w:t>
            </w:r>
          </w:p>
        </w:tc>
        <w:tc>
          <w:tcPr>
            <w:tcW w:w="1599" w:type="dxa"/>
            <w:noWrap w:val="0"/>
            <w:vAlign w:val="center"/>
          </w:tcPr>
          <w:p w14:paraId="350CE034">
            <w:pPr>
              <w:pStyle w:val="89"/>
              <w:ind w:left="9"/>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A0201060901扫描仪</w:t>
            </w:r>
          </w:p>
        </w:tc>
        <w:tc>
          <w:tcPr>
            <w:tcW w:w="3570" w:type="dxa"/>
            <w:noWrap w:val="0"/>
            <w:vAlign w:val="center"/>
          </w:tcPr>
          <w:p w14:paraId="282F209C">
            <w:pPr>
              <w:pStyle w:val="89"/>
              <w:spacing w:line="300" w:lineRule="exact"/>
              <w:ind w:left="9" w:right="5"/>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参照《复印机、打印机和传真机能效限定值及能效等级》（GB 21521）中打印速度为15页/分的针式打印机相关要求</w:t>
            </w:r>
          </w:p>
        </w:tc>
      </w:tr>
      <w:tr w14:paraId="04FD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7BFBFDED">
            <w:pPr>
              <w:pStyle w:val="89"/>
              <w:ind w:left="11"/>
              <w:jc w:val="center"/>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3</w:t>
            </w:r>
          </w:p>
        </w:tc>
        <w:tc>
          <w:tcPr>
            <w:tcW w:w="1665" w:type="dxa"/>
            <w:noWrap w:val="0"/>
            <w:vAlign w:val="center"/>
          </w:tcPr>
          <w:p w14:paraId="46A647AD">
            <w:pPr>
              <w:pStyle w:val="89"/>
              <w:ind w:left="11"/>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A020202投影仪</w:t>
            </w:r>
          </w:p>
        </w:tc>
        <w:tc>
          <w:tcPr>
            <w:tcW w:w="2166" w:type="dxa"/>
            <w:noWrap w:val="0"/>
            <w:vAlign w:val="center"/>
          </w:tcPr>
          <w:p w14:paraId="490070EA">
            <w:pPr>
              <w:pStyle w:val="89"/>
              <w:ind w:left="11"/>
              <w:jc w:val="both"/>
              <w:rPr>
                <w:rFonts w:hint="eastAsia" w:ascii="宋体" w:hAnsi="宋体" w:cs="宋体"/>
                <w:color w:val="auto"/>
                <w:kern w:val="2"/>
                <w:sz w:val="21"/>
                <w:szCs w:val="21"/>
                <w:highlight w:val="none"/>
                <w:lang w:val="zh-CN" w:eastAsia="zh-CN" w:bidi="zh-CN"/>
              </w:rPr>
            </w:pPr>
          </w:p>
        </w:tc>
        <w:tc>
          <w:tcPr>
            <w:tcW w:w="1599" w:type="dxa"/>
            <w:noWrap w:val="0"/>
            <w:vAlign w:val="center"/>
          </w:tcPr>
          <w:p w14:paraId="7FF0B6CF">
            <w:pPr>
              <w:pStyle w:val="89"/>
              <w:ind w:left="11"/>
              <w:jc w:val="both"/>
              <w:rPr>
                <w:rFonts w:hint="eastAsia" w:ascii="宋体" w:hAnsi="宋体" w:cs="宋体"/>
                <w:color w:val="auto"/>
                <w:kern w:val="2"/>
                <w:sz w:val="21"/>
                <w:szCs w:val="21"/>
                <w:highlight w:val="none"/>
                <w:lang w:val="zh-CN" w:eastAsia="zh-CN" w:bidi="zh-CN"/>
              </w:rPr>
            </w:pPr>
          </w:p>
        </w:tc>
        <w:tc>
          <w:tcPr>
            <w:tcW w:w="3570" w:type="dxa"/>
            <w:noWrap w:val="0"/>
            <w:vAlign w:val="center"/>
          </w:tcPr>
          <w:p w14:paraId="5CC3D18C">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《投影机能效限定值及能效等级》（GB 32028）</w:t>
            </w:r>
          </w:p>
        </w:tc>
      </w:tr>
      <w:tr w14:paraId="7D0F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6D16B497">
            <w:pPr>
              <w:pStyle w:val="89"/>
              <w:ind w:left="11"/>
              <w:jc w:val="center"/>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4</w:t>
            </w:r>
          </w:p>
        </w:tc>
        <w:tc>
          <w:tcPr>
            <w:tcW w:w="1665" w:type="dxa"/>
            <w:noWrap w:val="0"/>
            <w:vAlign w:val="center"/>
          </w:tcPr>
          <w:p w14:paraId="71996E21">
            <w:pPr>
              <w:pStyle w:val="89"/>
              <w:ind w:left="11"/>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A020204多功能一体机</w:t>
            </w:r>
          </w:p>
        </w:tc>
        <w:tc>
          <w:tcPr>
            <w:tcW w:w="2166" w:type="dxa"/>
            <w:noWrap w:val="0"/>
            <w:vAlign w:val="center"/>
          </w:tcPr>
          <w:p w14:paraId="4622FEEC">
            <w:pPr>
              <w:pStyle w:val="89"/>
              <w:ind w:left="11"/>
              <w:jc w:val="both"/>
              <w:rPr>
                <w:rFonts w:hint="eastAsia" w:ascii="宋体" w:hAnsi="宋体" w:cs="宋体"/>
                <w:color w:val="auto"/>
                <w:kern w:val="2"/>
                <w:sz w:val="21"/>
                <w:szCs w:val="21"/>
                <w:highlight w:val="none"/>
                <w:lang w:val="zh-CN" w:eastAsia="zh-CN" w:bidi="zh-CN"/>
              </w:rPr>
            </w:pPr>
          </w:p>
        </w:tc>
        <w:tc>
          <w:tcPr>
            <w:tcW w:w="1599" w:type="dxa"/>
            <w:noWrap w:val="0"/>
            <w:vAlign w:val="center"/>
          </w:tcPr>
          <w:p w14:paraId="1A978B70">
            <w:pPr>
              <w:pStyle w:val="89"/>
              <w:ind w:left="11"/>
              <w:jc w:val="both"/>
              <w:rPr>
                <w:rFonts w:hint="eastAsia" w:ascii="宋体" w:hAnsi="宋体" w:cs="宋体"/>
                <w:color w:val="auto"/>
                <w:kern w:val="2"/>
                <w:sz w:val="21"/>
                <w:szCs w:val="21"/>
                <w:highlight w:val="none"/>
                <w:lang w:val="zh-CN" w:eastAsia="zh-CN" w:bidi="zh-CN"/>
              </w:rPr>
            </w:pPr>
          </w:p>
        </w:tc>
        <w:tc>
          <w:tcPr>
            <w:tcW w:w="3570" w:type="dxa"/>
            <w:noWrap w:val="0"/>
            <w:vAlign w:val="center"/>
          </w:tcPr>
          <w:p w14:paraId="406DEFAC">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《复印机、打印机和传真机能效限定值及能效等级》（GB 21521）</w:t>
            </w:r>
          </w:p>
        </w:tc>
      </w:tr>
      <w:tr w14:paraId="078C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4679E1C8">
            <w:pPr>
              <w:pStyle w:val="89"/>
              <w:ind w:left="11"/>
              <w:jc w:val="center"/>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5</w:t>
            </w:r>
          </w:p>
        </w:tc>
        <w:tc>
          <w:tcPr>
            <w:tcW w:w="1665" w:type="dxa"/>
            <w:noWrap w:val="0"/>
            <w:vAlign w:val="center"/>
          </w:tcPr>
          <w:p w14:paraId="6594220E">
            <w:pPr>
              <w:pStyle w:val="89"/>
              <w:ind w:left="11"/>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A020519泵</w:t>
            </w:r>
          </w:p>
        </w:tc>
        <w:tc>
          <w:tcPr>
            <w:tcW w:w="2166" w:type="dxa"/>
            <w:noWrap w:val="0"/>
            <w:vAlign w:val="center"/>
          </w:tcPr>
          <w:p w14:paraId="59F00D2B">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A02051901 离心泵</w:t>
            </w:r>
          </w:p>
        </w:tc>
        <w:tc>
          <w:tcPr>
            <w:tcW w:w="1599" w:type="dxa"/>
            <w:noWrap w:val="0"/>
            <w:vAlign w:val="center"/>
          </w:tcPr>
          <w:p w14:paraId="202EDFE5">
            <w:pPr>
              <w:pStyle w:val="89"/>
              <w:ind w:left="11"/>
              <w:jc w:val="both"/>
              <w:rPr>
                <w:rFonts w:hint="eastAsia" w:ascii="宋体" w:hAnsi="宋体" w:cs="宋体"/>
                <w:color w:val="auto"/>
                <w:kern w:val="2"/>
                <w:sz w:val="21"/>
                <w:szCs w:val="21"/>
                <w:highlight w:val="none"/>
                <w:lang w:val="zh-CN" w:eastAsia="zh-CN" w:bidi="zh-CN"/>
              </w:rPr>
            </w:pPr>
          </w:p>
        </w:tc>
        <w:tc>
          <w:tcPr>
            <w:tcW w:w="3570" w:type="dxa"/>
            <w:noWrap w:val="0"/>
            <w:vAlign w:val="center"/>
          </w:tcPr>
          <w:p w14:paraId="3B8A54B6">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《清水离心泵能效限定值及节能评价值》（GB 19762）</w:t>
            </w:r>
          </w:p>
        </w:tc>
      </w:tr>
      <w:tr w14:paraId="1F43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restart"/>
            <w:noWrap w:val="0"/>
            <w:vAlign w:val="center"/>
          </w:tcPr>
          <w:p w14:paraId="05B01F36">
            <w:pPr>
              <w:pStyle w:val="89"/>
              <w:ind w:left="11"/>
              <w:jc w:val="center"/>
              <w:rPr>
                <w:rFonts w:hint="eastAsia" w:ascii="宋体" w:hAnsi="宋体" w:cs="宋体"/>
                <w:color w:val="auto"/>
                <w:kern w:val="2"/>
                <w:sz w:val="21"/>
                <w:szCs w:val="21"/>
                <w:highlight w:val="none"/>
                <w:lang w:val="zh-CN" w:eastAsia="zh-CN" w:bidi="zh-CN"/>
              </w:rPr>
            </w:pPr>
          </w:p>
          <w:p w14:paraId="47970641">
            <w:pPr>
              <w:pStyle w:val="89"/>
              <w:ind w:left="11"/>
              <w:jc w:val="center"/>
              <w:rPr>
                <w:rFonts w:hint="eastAsia" w:ascii="宋体" w:hAnsi="宋体" w:cs="宋体"/>
                <w:color w:val="auto"/>
                <w:kern w:val="2"/>
                <w:sz w:val="21"/>
                <w:szCs w:val="21"/>
                <w:highlight w:val="none"/>
                <w:lang w:val="zh-CN" w:eastAsia="zh-CN" w:bidi="zh-CN"/>
              </w:rPr>
            </w:pPr>
          </w:p>
          <w:p w14:paraId="1BBC1690">
            <w:pPr>
              <w:pStyle w:val="89"/>
              <w:ind w:left="11"/>
              <w:jc w:val="center"/>
              <w:rPr>
                <w:rFonts w:hint="eastAsia" w:ascii="宋体" w:hAnsi="宋体" w:cs="宋体"/>
                <w:color w:val="auto"/>
                <w:kern w:val="2"/>
                <w:sz w:val="21"/>
                <w:szCs w:val="21"/>
                <w:highlight w:val="none"/>
                <w:lang w:val="zh-CN" w:eastAsia="zh-CN" w:bidi="zh-CN"/>
              </w:rPr>
            </w:pPr>
          </w:p>
          <w:p w14:paraId="6CD0233D">
            <w:pPr>
              <w:pStyle w:val="89"/>
              <w:ind w:left="11"/>
              <w:jc w:val="center"/>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6</w:t>
            </w:r>
          </w:p>
        </w:tc>
        <w:tc>
          <w:tcPr>
            <w:tcW w:w="1665" w:type="dxa"/>
            <w:vMerge w:val="restart"/>
            <w:noWrap w:val="0"/>
            <w:vAlign w:val="center"/>
          </w:tcPr>
          <w:p w14:paraId="59696AA0">
            <w:pPr>
              <w:pStyle w:val="89"/>
              <w:ind w:left="11"/>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A020523 制冷空调设备</w:t>
            </w:r>
          </w:p>
        </w:tc>
        <w:tc>
          <w:tcPr>
            <w:tcW w:w="2166" w:type="dxa"/>
            <w:vMerge w:val="restart"/>
            <w:noWrap w:val="0"/>
            <w:vAlign w:val="center"/>
          </w:tcPr>
          <w:p w14:paraId="033E6429">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★A02052301 制冷压缩机</w:t>
            </w:r>
          </w:p>
        </w:tc>
        <w:tc>
          <w:tcPr>
            <w:tcW w:w="1599" w:type="dxa"/>
            <w:noWrap w:val="0"/>
            <w:vAlign w:val="center"/>
          </w:tcPr>
          <w:p w14:paraId="2B0BF265">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冷水机组</w:t>
            </w:r>
          </w:p>
        </w:tc>
        <w:tc>
          <w:tcPr>
            <w:tcW w:w="3570" w:type="dxa"/>
            <w:noWrap w:val="0"/>
            <w:vAlign w:val="center"/>
          </w:tcPr>
          <w:p w14:paraId="1E14DB1B">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《冷水机组能效限定值及能效等级》（GB 19577），《低环境温度空气源热泵（冷水）机组能效限定值及能效等级》（GB 37480）</w:t>
            </w:r>
          </w:p>
        </w:tc>
      </w:tr>
      <w:tr w14:paraId="7AE4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noWrap w:val="0"/>
            <w:vAlign w:val="center"/>
          </w:tcPr>
          <w:p w14:paraId="416E5EBE">
            <w:pPr>
              <w:jc w:val="center"/>
              <w:rPr>
                <w:rFonts w:hint="eastAsia" w:ascii="宋体" w:hAnsi="宋体" w:cs="宋体"/>
                <w:color w:val="auto"/>
                <w:szCs w:val="21"/>
                <w:highlight w:val="none"/>
                <w:lang w:val="zh-CN" w:bidi="zh-CN"/>
              </w:rPr>
            </w:pPr>
          </w:p>
        </w:tc>
        <w:tc>
          <w:tcPr>
            <w:tcW w:w="1665" w:type="dxa"/>
            <w:vMerge w:val="continue"/>
            <w:noWrap w:val="0"/>
            <w:vAlign w:val="center"/>
          </w:tcPr>
          <w:p w14:paraId="12AEF136">
            <w:pPr>
              <w:jc w:val="left"/>
              <w:rPr>
                <w:rFonts w:hint="eastAsia" w:ascii="宋体" w:hAnsi="宋体" w:cs="宋体"/>
                <w:color w:val="auto"/>
                <w:szCs w:val="21"/>
                <w:highlight w:val="none"/>
                <w:lang w:val="zh-CN" w:bidi="zh-CN"/>
              </w:rPr>
            </w:pPr>
          </w:p>
        </w:tc>
        <w:tc>
          <w:tcPr>
            <w:tcW w:w="2166" w:type="dxa"/>
            <w:vMerge w:val="continue"/>
            <w:noWrap w:val="0"/>
            <w:vAlign w:val="center"/>
          </w:tcPr>
          <w:p w14:paraId="521463C6">
            <w:pPr>
              <w:rPr>
                <w:rFonts w:hint="eastAsia" w:ascii="宋体" w:hAnsi="宋体" w:cs="宋体"/>
                <w:color w:val="auto"/>
                <w:szCs w:val="21"/>
                <w:highlight w:val="none"/>
                <w:lang w:val="zh-CN" w:bidi="zh-CN"/>
              </w:rPr>
            </w:pPr>
          </w:p>
        </w:tc>
        <w:tc>
          <w:tcPr>
            <w:tcW w:w="1599" w:type="dxa"/>
            <w:noWrap w:val="0"/>
            <w:vAlign w:val="center"/>
          </w:tcPr>
          <w:p w14:paraId="5759DF5E">
            <w:pPr>
              <w:pStyle w:val="89"/>
              <w:spacing w:before="1"/>
              <w:ind w:left="9"/>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水源热泵机组</w:t>
            </w:r>
          </w:p>
        </w:tc>
        <w:tc>
          <w:tcPr>
            <w:tcW w:w="3570" w:type="dxa"/>
            <w:noWrap w:val="0"/>
            <w:vAlign w:val="center"/>
          </w:tcPr>
          <w:p w14:paraId="1BAEA857">
            <w:pPr>
              <w:pStyle w:val="89"/>
              <w:spacing w:line="300" w:lineRule="exact"/>
              <w:ind w:left="9" w:right="5"/>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《水（地）源热泵机组能效限定值及能效等级》（GB 30721）</w:t>
            </w:r>
          </w:p>
        </w:tc>
      </w:tr>
      <w:tr w14:paraId="2F31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22BBD9EC">
            <w:pPr>
              <w:pStyle w:val="89"/>
              <w:jc w:val="center"/>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7</w:t>
            </w:r>
          </w:p>
        </w:tc>
        <w:tc>
          <w:tcPr>
            <w:tcW w:w="1665" w:type="dxa"/>
            <w:noWrap w:val="0"/>
            <w:vAlign w:val="center"/>
          </w:tcPr>
          <w:p w14:paraId="73AB2988">
            <w:pPr>
              <w:pStyle w:val="89"/>
              <w:ind w:left="11"/>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A020601电机</w:t>
            </w:r>
          </w:p>
        </w:tc>
        <w:tc>
          <w:tcPr>
            <w:tcW w:w="2166" w:type="dxa"/>
            <w:noWrap w:val="0"/>
            <w:vAlign w:val="center"/>
          </w:tcPr>
          <w:p w14:paraId="4C55E4EC">
            <w:pPr>
              <w:pStyle w:val="89"/>
              <w:ind w:left="11"/>
              <w:jc w:val="both"/>
              <w:rPr>
                <w:rFonts w:hint="eastAsia" w:ascii="宋体" w:hAnsi="宋体" w:cs="宋体"/>
                <w:color w:val="auto"/>
                <w:kern w:val="2"/>
                <w:sz w:val="21"/>
                <w:szCs w:val="21"/>
                <w:highlight w:val="none"/>
                <w:lang w:val="zh-CN" w:eastAsia="zh-CN" w:bidi="zh-CN"/>
              </w:rPr>
            </w:pPr>
          </w:p>
        </w:tc>
        <w:tc>
          <w:tcPr>
            <w:tcW w:w="1599" w:type="dxa"/>
            <w:noWrap w:val="0"/>
            <w:vAlign w:val="center"/>
          </w:tcPr>
          <w:p w14:paraId="7FA86995">
            <w:pPr>
              <w:pStyle w:val="89"/>
              <w:ind w:left="11"/>
              <w:jc w:val="both"/>
              <w:rPr>
                <w:rFonts w:hint="eastAsia" w:ascii="宋体" w:hAnsi="宋体" w:cs="宋体"/>
                <w:color w:val="auto"/>
                <w:kern w:val="2"/>
                <w:sz w:val="21"/>
                <w:szCs w:val="21"/>
                <w:highlight w:val="none"/>
                <w:lang w:val="zh-CN" w:eastAsia="zh-CN" w:bidi="zh-CN"/>
              </w:rPr>
            </w:pPr>
          </w:p>
        </w:tc>
        <w:tc>
          <w:tcPr>
            <w:tcW w:w="3570" w:type="dxa"/>
            <w:noWrap w:val="0"/>
            <w:vAlign w:val="center"/>
          </w:tcPr>
          <w:p w14:paraId="469FA8D2">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《中小型三相异步电动机能效限定值及能效等级》（GB 18613）</w:t>
            </w:r>
          </w:p>
        </w:tc>
      </w:tr>
      <w:tr w14:paraId="7E7D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76FEF3B7">
            <w:pPr>
              <w:pStyle w:val="89"/>
              <w:ind w:left="11"/>
              <w:jc w:val="center"/>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8</w:t>
            </w:r>
          </w:p>
        </w:tc>
        <w:tc>
          <w:tcPr>
            <w:tcW w:w="1665" w:type="dxa"/>
            <w:noWrap w:val="0"/>
            <w:vAlign w:val="center"/>
          </w:tcPr>
          <w:p w14:paraId="3356E4C5">
            <w:pPr>
              <w:pStyle w:val="89"/>
              <w:ind w:left="11"/>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A020602变压器</w:t>
            </w:r>
          </w:p>
        </w:tc>
        <w:tc>
          <w:tcPr>
            <w:tcW w:w="2166" w:type="dxa"/>
            <w:noWrap w:val="0"/>
            <w:vAlign w:val="center"/>
          </w:tcPr>
          <w:p w14:paraId="43193A53">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配电变压器</w:t>
            </w:r>
          </w:p>
        </w:tc>
        <w:tc>
          <w:tcPr>
            <w:tcW w:w="1599" w:type="dxa"/>
            <w:noWrap w:val="0"/>
            <w:vAlign w:val="center"/>
          </w:tcPr>
          <w:p w14:paraId="56E91385">
            <w:pPr>
              <w:pStyle w:val="89"/>
              <w:ind w:left="11"/>
              <w:jc w:val="both"/>
              <w:rPr>
                <w:rFonts w:hint="eastAsia" w:ascii="宋体" w:hAnsi="宋体" w:cs="宋体"/>
                <w:color w:val="auto"/>
                <w:kern w:val="2"/>
                <w:sz w:val="21"/>
                <w:szCs w:val="21"/>
                <w:highlight w:val="none"/>
                <w:lang w:val="zh-CN" w:eastAsia="zh-CN" w:bidi="zh-CN"/>
              </w:rPr>
            </w:pPr>
          </w:p>
        </w:tc>
        <w:tc>
          <w:tcPr>
            <w:tcW w:w="3570" w:type="dxa"/>
            <w:noWrap w:val="0"/>
            <w:vAlign w:val="center"/>
          </w:tcPr>
          <w:p w14:paraId="29B5E260">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《三相配电变压器能效限定值及能效等级》（GB 20052）</w:t>
            </w:r>
          </w:p>
        </w:tc>
      </w:tr>
      <w:tr w14:paraId="3172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14D79D11">
            <w:pPr>
              <w:pStyle w:val="89"/>
              <w:ind w:left="11"/>
              <w:jc w:val="center"/>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9</w:t>
            </w:r>
          </w:p>
        </w:tc>
        <w:tc>
          <w:tcPr>
            <w:tcW w:w="1665" w:type="dxa"/>
            <w:noWrap w:val="0"/>
            <w:vAlign w:val="center"/>
          </w:tcPr>
          <w:p w14:paraId="7E84F838">
            <w:pPr>
              <w:pStyle w:val="89"/>
              <w:ind w:left="11"/>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★A020609 镇流器</w:t>
            </w:r>
          </w:p>
        </w:tc>
        <w:tc>
          <w:tcPr>
            <w:tcW w:w="2166" w:type="dxa"/>
            <w:noWrap w:val="0"/>
            <w:vAlign w:val="center"/>
          </w:tcPr>
          <w:p w14:paraId="7B54B806">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管型荧光灯镇流器</w:t>
            </w:r>
          </w:p>
        </w:tc>
        <w:tc>
          <w:tcPr>
            <w:tcW w:w="1599" w:type="dxa"/>
            <w:noWrap w:val="0"/>
            <w:vAlign w:val="center"/>
          </w:tcPr>
          <w:p w14:paraId="07F512B5">
            <w:pPr>
              <w:pStyle w:val="89"/>
              <w:ind w:left="11"/>
              <w:jc w:val="both"/>
              <w:rPr>
                <w:rFonts w:hint="eastAsia" w:ascii="宋体" w:hAnsi="宋体" w:cs="宋体"/>
                <w:color w:val="auto"/>
                <w:kern w:val="2"/>
                <w:sz w:val="21"/>
                <w:szCs w:val="21"/>
                <w:highlight w:val="none"/>
                <w:lang w:val="zh-CN" w:eastAsia="zh-CN" w:bidi="zh-CN"/>
              </w:rPr>
            </w:pPr>
          </w:p>
        </w:tc>
        <w:tc>
          <w:tcPr>
            <w:tcW w:w="3570" w:type="dxa"/>
            <w:noWrap w:val="0"/>
            <w:vAlign w:val="center"/>
          </w:tcPr>
          <w:p w14:paraId="6180A630">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《管形荧光灯镇流器能效限定值及能效等级》（GB 17896）</w:t>
            </w:r>
          </w:p>
        </w:tc>
      </w:tr>
      <w:tr w14:paraId="74F2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restart"/>
            <w:noWrap w:val="0"/>
            <w:vAlign w:val="center"/>
          </w:tcPr>
          <w:p w14:paraId="3B8DAE76">
            <w:pPr>
              <w:pStyle w:val="89"/>
              <w:ind w:left="11"/>
              <w:jc w:val="center"/>
              <w:rPr>
                <w:rFonts w:hint="eastAsia" w:ascii="宋体" w:hAnsi="宋体" w:cs="宋体"/>
                <w:color w:val="auto"/>
                <w:kern w:val="2"/>
                <w:sz w:val="21"/>
                <w:szCs w:val="21"/>
                <w:highlight w:val="none"/>
                <w:lang w:eastAsia="zh-CN" w:bidi="zh-CN"/>
              </w:rPr>
            </w:pPr>
            <w:r>
              <w:rPr>
                <w:rFonts w:hint="eastAsia" w:ascii="宋体" w:hAnsi="宋体" w:cs="宋体"/>
                <w:color w:val="auto"/>
                <w:kern w:val="2"/>
                <w:sz w:val="21"/>
                <w:szCs w:val="21"/>
                <w:highlight w:val="none"/>
                <w:lang w:eastAsia="zh-CN" w:bidi="zh-CN"/>
              </w:rPr>
              <w:t>10</w:t>
            </w:r>
          </w:p>
        </w:tc>
        <w:tc>
          <w:tcPr>
            <w:tcW w:w="1665" w:type="dxa"/>
            <w:vMerge w:val="restart"/>
            <w:noWrap w:val="0"/>
            <w:vAlign w:val="center"/>
          </w:tcPr>
          <w:p w14:paraId="7AB27B78">
            <w:pPr>
              <w:pStyle w:val="89"/>
              <w:ind w:left="11"/>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A020618生活用电器</w:t>
            </w:r>
          </w:p>
        </w:tc>
        <w:tc>
          <w:tcPr>
            <w:tcW w:w="2166" w:type="dxa"/>
            <w:noWrap w:val="0"/>
            <w:vAlign w:val="center"/>
          </w:tcPr>
          <w:p w14:paraId="5EE6B821">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A0206180101 电冰箱</w:t>
            </w:r>
          </w:p>
        </w:tc>
        <w:tc>
          <w:tcPr>
            <w:tcW w:w="1599" w:type="dxa"/>
            <w:noWrap w:val="0"/>
            <w:vAlign w:val="center"/>
          </w:tcPr>
          <w:p w14:paraId="2D7B0740">
            <w:pPr>
              <w:pStyle w:val="89"/>
              <w:ind w:left="11"/>
              <w:jc w:val="both"/>
              <w:rPr>
                <w:rFonts w:hint="eastAsia" w:ascii="宋体" w:hAnsi="宋体" w:cs="宋体"/>
                <w:color w:val="auto"/>
                <w:kern w:val="2"/>
                <w:sz w:val="21"/>
                <w:szCs w:val="21"/>
                <w:highlight w:val="none"/>
                <w:lang w:val="zh-CN" w:eastAsia="zh-CN" w:bidi="zh-CN"/>
              </w:rPr>
            </w:pPr>
          </w:p>
        </w:tc>
        <w:tc>
          <w:tcPr>
            <w:tcW w:w="3570" w:type="dxa"/>
            <w:noWrap w:val="0"/>
            <w:vAlign w:val="center"/>
          </w:tcPr>
          <w:p w14:paraId="0BEB8B20">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《家用电冰箱耗电量限定值及能效等级》（GB</w:t>
            </w:r>
            <w:r>
              <w:rPr>
                <w:rFonts w:hint="eastAsia" w:ascii="宋体" w:hAnsi="宋体" w:cs="宋体"/>
                <w:color w:val="auto"/>
                <w:kern w:val="2"/>
                <w:sz w:val="21"/>
                <w:szCs w:val="21"/>
                <w:highlight w:val="none"/>
                <w:lang w:eastAsia="zh-CN" w:bidi="zh-CN"/>
              </w:rPr>
              <w:t xml:space="preserve"> </w:t>
            </w:r>
            <w:r>
              <w:rPr>
                <w:rFonts w:hint="eastAsia" w:ascii="宋体" w:hAnsi="宋体" w:cs="宋体"/>
                <w:color w:val="auto"/>
                <w:kern w:val="2"/>
                <w:sz w:val="21"/>
                <w:szCs w:val="21"/>
                <w:highlight w:val="none"/>
                <w:lang w:val="zh-CN" w:eastAsia="zh-CN" w:bidi="zh-CN"/>
              </w:rPr>
              <w:t>12021.2）</w:t>
            </w:r>
          </w:p>
        </w:tc>
      </w:tr>
      <w:tr w14:paraId="589F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noWrap w:val="0"/>
            <w:vAlign w:val="center"/>
          </w:tcPr>
          <w:p w14:paraId="6732DD89">
            <w:pPr>
              <w:pStyle w:val="89"/>
              <w:ind w:left="11"/>
              <w:jc w:val="center"/>
              <w:rPr>
                <w:rFonts w:hint="eastAsia" w:ascii="宋体" w:hAnsi="宋体" w:cs="宋体"/>
                <w:color w:val="auto"/>
                <w:kern w:val="2"/>
                <w:sz w:val="21"/>
                <w:szCs w:val="21"/>
                <w:highlight w:val="none"/>
                <w:lang w:val="zh-CN" w:eastAsia="zh-CN" w:bidi="zh-CN"/>
              </w:rPr>
            </w:pPr>
          </w:p>
        </w:tc>
        <w:tc>
          <w:tcPr>
            <w:tcW w:w="1665" w:type="dxa"/>
            <w:vMerge w:val="continue"/>
            <w:noWrap w:val="0"/>
            <w:vAlign w:val="center"/>
          </w:tcPr>
          <w:p w14:paraId="062D0210">
            <w:pPr>
              <w:pStyle w:val="89"/>
              <w:ind w:left="11"/>
              <w:rPr>
                <w:rFonts w:hint="eastAsia" w:ascii="宋体" w:hAnsi="宋体" w:cs="宋体"/>
                <w:color w:val="auto"/>
                <w:kern w:val="2"/>
                <w:sz w:val="21"/>
                <w:szCs w:val="21"/>
                <w:highlight w:val="none"/>
                <w:lang w:val="zh-CN" w:eastAsia="zh-CN" w:bidi="zh-CN"/>
              </w:rPr>
            </w:pPr>
          </w:p>
        </w:tc>
        <w:tc>
          <w:tcPr>
            <w:tcW w:w="2166" w:type="dxa"/>
            <w:vMerge w:val="restart"/>
            <w:noWrap w:val="0"/>
            <w:vAlign w:val="center"/>
          </w:tcPr>
          <w:p w14:paraId="1D8B7561">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★A0206180203 空调机</w:t>
            </w:r>
          </w:p>
        </w:tc>
        <w:tc>
          <w:tcPr>
            <w:tcW w:w="1599" w:type="dxa"/>
            <w:noWrap w:val="0"/>
            <w:vAlign w:val="center"/>
          </w:tcPr>
          <w:p w14:paraId="67499D40">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房间空气调节器</w:t>
            </w:r>
          </w:p>
        </w:tc>
        <w:tc>
          <w:tcPr>
            <w:tcW w:w="3570" w:type="dxa"/>
            <w:noWrap w:val="0"/>
            <w:vAlign w:val="center"/>
          </w:tcPr>
          <w:p w14:paraId="02D1935A">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《转速可控型房间空气调节器能效限定值及能效等级》（GB 21455-2013），待2019年修订发布后，按《房间空气调节器能效限定值及能效等级》（GB21455-2019）实施。</w:t>
            </w:r>
          </w:p>
        </w:tc>
      </w:tr>
      <w:tr w14:paraId="2F2C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noWrap w:val="0"/>
            <w:vAlign w:val="center"/>
          </w:tcPr>
          <w:p w14:paraId="3D77E34C">
            <w:pPr>
              <w:pStyle w:val="89"/>
              <w:ind w:left="11"/>
              <w:jc w:val="center"/>
              <w:rPr>
                <w:rFonts w:hint="eastAsia" w:ascii="宋体" w:hAnsi="宋体" w:cs="宋体"/>
                <w:color w:val="auto"/>
                <w:kern w:val="2"/>
                <w:sz w:val="21"/>
                <w:szCs w:val="21"/>
                <w:highlight w:val="none"/>
                <w:lang w:val="zh-CN" w:eastAsia="zh-CN" w:bidi="zh-CN"/>
              </w:rPr>
            </w:pPr>
          </w:p>
        </w:tc>
        <w:tc>
          <w:tcPr>
            <w:tcW w:w="1665" w:type="dxa"/>
            <w:vMerge w:val="continue"/>
            <w:noWrap w:val="0"/>
            <w:vAlign w:val="center"/>
          </w:tcPr>
          <w:p w14:paraId="7D33BD1E">
            <w:pPr>
              <w:pStyle w:val="89"/>
              <w:ind w:left="11"/>
              <w:rPr>
                <w:rFonts w:hint="eastAsia" w:ascii="宋体" w:hAnsi="宋体" w:cs="宋体"/>
                <w:color w:val="auto"/>
                <w:kern w:val="2"/>
                <w:sz w:val="21"/>
                <w:szCs w:val="21"/>
                <w:highlight w:val="none"/>
                <w:lang w:val="zh-CN" w:eastAsia="zh-CN" w:bidi="zh-CN"/>
              </w:rPr>
            </w:pPr>
          </w:p>
        </w:tc>
        <w:tc>
          <w:tcPr>
            <w:tcW w:w="2166" w:type="dxa"/>
            <w:vMerge w:val="continue"/>
            <w:noWrap w:val="0"/>
            <w:vAlign w:val="center"/>
          </w:tcPr>
          <w:p w14:paraId="054B0C7D">
            <w:pPr>
              <w:pStyle w:val="89"/>
              <w:ind w:left="11"/>
              <w:jc w:val="both"/>
              <w:rPr>
                <w:rFonts w:hint="eastAsia" w:ascii="宋体" w:hAnsi="宋体" w:cs="宋体"/>
                <w:color w:val="auto"/>
                <w:kern w:val="2"/>
                <w:sz w:val="21"/>
                <w:szCs w:val="21"/>
                <w:highlight w:val="none"/>
                <w:lang w:val="zh-CN" w:eastAsia="zh-CN" w:bidi="zh-CN"/>
              </w:rPr>
            </w:pPr>
          </w:p>
        </w:tc>
        <w:tc>
          <w:tcPr>
            <w:tcW w:w="1599" w:type="dxa"/>
            <w:noWrap w:val="0"/>
            <w:vAlign w:val="center"/>
          </w:tcPr>
          <w:p w14:paraId="735572E5">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多联式空调（热泵）机组（制冷量≤14000W）</w:t>
            </w:r>
          </w:p>
        </w:tc>
        <w:tc>
          <w:tcPr>
            <w:tcW w:w="3570" w:type="dxa"/>
            <w:noWrap w:val="0"/>
            <w:vAlign w:val="center"/>
          </w:tcPr>
          <w:p w14:paraId="184543BD">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《多联式空调（热泵）机组能效限定值及能源效率等级》（GB 21454）</w:t>
            </w:r>
          </w:p>
        </w:tc>
      </w:tr>
      <w:tr w14:paraId="57B4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noWrap w:val="0"/>
            <w:vAlign w:val="center"/>
          </w:tcPr>
          <w:p w14:paraId="138128ED">
            <w:pPr>
              <w:pStyle w:val="89"/>
              <w:ind w:left="11"/>
              <w:jc w:val="center"/>
              <w:rPr>
                <w:rFonts w:hint="eastAsia" w:ascii="宋体" w:hAnsi="宋体" w:cs="宋体"/>
                <w:color w:val="auto"/>
                <w:kern w:val="2"/>
                <w:sz w:val="21"/>
                <w:szCs w:val="21"/>
                <w:highlight w:val="none"/>
                <w:lang w:val="zh-CN" w:eastAsia="zh-CN" w:bidi="zh-CN"/>
              </w:rPr>
            </w:pPr>
          </w:p>
        </w:tc>
        <w:tc>
          <w:tcPr>
            <w:tcW w:w="1665" w:type="dxa"/>
            <w:vMerge w:val="continue"/>
            <w:noWrap w:val="0"/>
            <w:vAlign w:val="center"/>
          </w:tcPr>
          <w:p w14:paraId="5D07EDE2">
            <w:pPr>
              <w:pStyle w:val="89"/>
              <w:ind w:left="11"/>
              <w:rPr>
                <w:rFonts w:hint="eastAsia" w:ascii="宋体" w:hAnsi="宋体" w:cs="宋体"/>
                <w:color w:val="auto"/>
                <w:kern w:val="2"/>
                <w:sz w:val="21"/>
                <w:szCs w:val="21"/>
                <w:highlight w:val="none"/>
                <w:lang w:val="zh-CN" w:eastAsia="zh-CN" w:bidi="zh-CN"/>
              </w:rPr>
            </w:pPr>
          </w:p>
        </w:tc>
        <w:tc>
          <w:tcPr>
            <w:tcW w:w="2166" w:type="dxa"/>
            <w:vMerge w:val="continue"/>
            <w:noWrap w:val="0"/>
            <w:vAlign w:val="center"/>
          </w:tcPr>
          <w:p w14:paraId="7725BC31">
            <w:pPr>
              <w:pStyle w:val="89"/>
              <w:ind w:left="11"/>
              <w:jc w:val="both"/>
              <w:rPr>
                <w:rFonts w:hint="eastAsia" w:ascii="宋体" w:hAnsi="宋体" w:cs="宋体"/>
                <w:color w:val="auto"/>
                <w:kern w:val="2"/>
                <w:sz w:val="21"/>
                <w:szCs w:val="21"/>
                <w:highlight w:val="none"/>
                <w:lang w:val="zh-CN" w:eastAsia="zh-CN" w:bidi="zh-CN"/>
              </w:rPr>
            </w:pPr>
          </w:p>
        </w:tc>
        <w:tc>
          <w:tcPr>
            <w:tcW w:w="1599" w:type="dxa"/>
            <w:noWrap w:val="0"/>
            <w:vAlign w:val="center"/>
          </w:tcPr>
          <w:p w14:paraId="552600CA">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单元式空气调节机（制冷量≤14000W）</w:t>
            </w:r>
          </w:p>
        </w:tc>
        <w:tc>
          <w:tcPr>
            <w:tcW w:w="3570" w:type="dxa"/>
            <w:noWrap w:val="0"/>
            <w:vAlign w:val="center"/>
          </w:tcPr>
          <w:p w14:paraId="50B4F20C">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《单元式空气调节机能效限定值及能源效率等级》（GB 19576）《风管送风式空调机组能效限定值及能效等级》（GB 37479）</w:t>
            </w:r>
          </w:p>
        </w:tc>
      </w:tr>
      <w:tr w14:paraId="52DF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noWrap w:val="0"/>
            <w:vAlign w:val="center"/>
          </w:tcPr>
          <w:p w14:paraId="35A8B6F3">
            <w:pPr>
              <w:pStyle w:val="89"/>
              <w:ind w:left="11"/>
              <w:jc w:val="center"/>
              <w:rPr>
                <w:rFonts w:hint="eastAsia" w:ascii="宋体" w:hAnsi="宋体" w:cs="宋体"/>
                <w:color w:val="auto"/>
                <w:kern w:val="2"/>
                <w:sz w:val="21"/>
                <w:szCs w:val="21"/>
                <w:highlight w:val="none"/>
                <w:lang w:val="zh-CN" w:eastAsia="zh-CN" w:bidi="zh-CN"/>
              </w:rPr>
            </w:pPr>
          </w:p>
        </w:tc>
        <w:tc>
          <w:tcPr>
            <w:tcW w:w="1665" w:type="dxa"/>
            <w:vMerge w:val="continue"/>
            <w:noWrap w:val="0"/>
            <w:vAlign w:val="center"/>
          </w:tcPr>
          <w:p w14:paraId="180E8455">
            <w:pPr>
              <w:pStyle w:val="89"/>
              <w:ind w:left="11"/>
              <w:rPr>
                <w:rFonts w:hint="eastAsia" w:ascii="宋体" w:hAnsi="宋体" w:cs="宋体"/>
                <w:color w:val="auto"/>
                <w:kern w:val="2"/>
                <w:sz w:val="21"/>
                <w:szCs w:val="21"/>
                <w:highlight w:val="none"/>
                <w:lang w:val="zh-CN" w:eastAsia="zh-CN" w:bidi="zh-CN"/>
              </w:rPr>
            </w:pPr>
          </w:p>
        </w:tc>
        <w:tc>
          <w:tcPr>
            <w:tcW w:w="2166" w:type="dxa"/>
            <w:noWrap w:val="0"/>
            <w:vAlign w:val="center"/>
          </w:tcPr>
          <w:p w14:paraId="23C608AD">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A0206180301洗衣机</w:t>
            </w:r>
          </w:p>
        </w:tc>
        <w:tc>
          <w:tcPr>
            <w:tcW w:w="1599" w:type="dxa"/>
            <w:noWrap w:val="0"/>
            <w:vAlign w:val="center"/>
          </w:tcPr>
          <w:p w14:paraId="2252A20E">
            <w:pPr>
              <w:pStyle w:val="89"/>
              <w:ind w:left="11"/>
              <w:jc w:val="both"/>
              <w:rPr>
                <w:rFonts w:hint="eastAsia" w:ascii="宋体" w:hAnsi="宋体" w:cs="宋体"/>
                <w:color w:val="auto"/>
                <w:kern w:val="2"/>
                <w:sz w:val="21"/>
                <w:szCs w:val="21"/>
                <w:highlight w:val="none"/>
                <w:lang w:val="zh-CN" w:eastAsia="zh-CN" w:bidi="zh-CN"/>
              </w:rPr>
            </w:pPr>
          </w:p>
        </w:tc>
        <w:tc>
          <w:tcPr>
            <w:tcW w:w="3570" w:type="dxa"/>
            <w:noWrap w:val="0"/>
            <w:vAlign w:val="center"/>
          </w:tcPr>
          <w:p w14:paraId="665C59BF">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《电动洗衣机能效水效限定值及等级》（GB 12021.4）</w:t>
            </w:r>
          </w:p>
        </w:tc>
      </w:tr>
      <w:tr w14:paraId="1AD5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noWrap w:val="0"/>
            <w:vAlign w:val="center"/>
          </w:tcPr>
          <w:p w14:paraId="502A5CD4">
            <w:pPr>
              <w:pStyle w:val="89"/>
              <w:ind w:left="11"/>
              <w:jc w:val="center"/>
              <w:rPr>
                <w:rFonts w:hint="eastAsia" w:ascii="宋体" w:hAnsi="宋体" w:cs="宋体"/>
                <w:color w:val="auto"/>
                <w:kern w:val="2"/>
                <w:sz w:val="21"/>
                <w:szCs w:val="21"/>
                <w:highlight w:val="none"/>
                <w:lang w:val="zh-CN" w:eastAsia="zh-CN" w:bidi="zh-CN"/>
              </w:rPr>
            </w:pPr>
          </w:p>
        </w:tc>
        <w:tc>
          <w:tcPr>
            <w:tcW w:w="1665" w:type="dxa"/>
            <w:vMerge w:val="continue"/>
            <w:noWrap w:val="0"/>
            <w:vAlign w:val="center"/>
          </w:tcPr>
          <w:p w14:paraId="27C42014">
            <w:pPr>
              <w:pStyle w:val="89"/>
              <w:ind w:left="11"/>
              <w:rPr>
                <w:rFonts w:hint="eastAsia" w:ascii="宋体" w:hAnsi="宋体" w:cs="宋体"/>
                <w:color w:val="auto"/>
                <w:kern w:val="2"/>
                <w:sz w:val="21"/>
                <w:szCs w:val="21"/>
                <w:highlight w:val="none"/>
                <w:lang w:val="zh-CN" w:eastAsia="zh-CN" w:bidi="zh-CN"/>
              </w:rPr>
            </w:pPr>
          </w:p>
        </w:tc>
        <w:tc>
          <w:tcPr>
            <w:tcW w:w="2166" w:type="dxa"/>
            <w:vMerge w:val="restart"/>
            <w:noWrap w:val="0"/>
            <w:vAlign w:val="center"/>
          </w:tcPr>
          <w:p w14:paraId="4F1F330B">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A02061808 热水器</w:t>
            </w:r>
          </w:p>
        </w:tc>
        <w:tc>
          <w:tcPr>
            <w:tcW w:w="1599" w:type="dxa"/>
            <w:noWrap w:val="0"/>
            <w:vAlign w:val="center"/>
          </w:tcPr>
          <w:p w14:paraId="21EC85B9">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★电热水器</w:t>
            </w:r>
          </w:p>
        </w:tc>
        <w:tc>
          <w:tcPr>
            <w:tcW w:w="3570" w:type="dxa"/>
            <w:noWrap w:val="0"/>
            <w:vAlign w:val="center"/>
          </w:tcPr>
          <w:p w14:paraId="2C0BBAAB">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《储水式电热水器能效限定值及能效等级》（GB</w:t>
            </w:r>
            <w:r>
              <w:rPr>
                <w:rFonts w:hint="eastAsia" w:ascii="宋体" w:hAnsi="宋体" w:cs="宋体"/>
                <w:color w:val="auto"/>
                <w:kern w:val="2"/>
                <w:sz w:val="21"/>
                <w:szCs w:val="21"/>
                <w:highlight w:val="none"/>
                <w:lang w:val="zh-CN" w:eastAsia="zh-CN" w:bidi="zh-CN"/>
              </w:rPr>
              <w:tab/>
            </w:r>
            <w:r>
              <w:rPr>
                <w:rFonts w:hint="eastAsia" w:ascii="宋体" w:hAnsi="宋体" w:cs="宋体"/>
                <w:color w:val="auto"/>
                <w:kern w:val="2"/>
                <w:sz w:val="21"/>
                <w:szCs w:val="21"/>
                <w:highlight w:val="none"/>
                <w:lang w:val="zh-CN" w:eastAsia="zh-CN" w:bidi="zh-CN"/>
              </w:rPr>
              <w:t>21519）</w:t>
            </w:r>
          </w:p>
        </w:tc>
      </w:tr>
      <w:tr w14:paraId="1A9C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noWrap w:val="0"/>
            <w:vAlign w:val="center"/>
          </w:tcPr>
          <w:p w14:paraId="77C296A0">
            <w:pPr>
              <w:pStyle w:val="89"/>
              <w:ind w:left="11"/>
              <w:jc w:val="center"/>
              <w:rPr>
                <w:rFonts w:hint="eastAsia" w:ascii="宋体" w:hAnsi="宋体" w:cs="宋体"/>
                <w:color w:val="auto"/>
                <w:kern w:val="2"/>
                <w:sz w:val="21"/>
                <w:szCs w:val="21"/>
                <w:highlight w:val="none"/>
                <w:lang w:val="zh-CN" w:eastAsia="zh-CN" w:bidi="zh-CN"/>
              </w:rPr>
            </w:pPr>
          </w:p>
        </w:tc>
        <w:tc>
          <w:tcPr>
            <w:tcW w:w="1665" w:type="dxa"/>
            <w:vMerge w:val="continue"/>
            <w:noWrap w:val="0"/>
            <w:vAlign w:val="center"/>
          </w:tcPr>
          <w:p w14:paraId="1F433CEE">
            <w:pPr>
              <w:pStyle w:val="89"/>
              <w:ind w:left="11"/>
              <w:rPr>
                <w:rFonts w:hint="eastAsia" w:ascii="宋体" w:hAnsi="宋体" w:cs="宋体"/>
                <w:color w:val="auto"/>
                <w:kern w:val="2"/>
                <w:sz w:val="21"/>
                <w:szCs w:val="21"/>
                <w:highlight w:val="none"/>
                <w:lang w:val="zh-CN" w:eastAsia="zh-CN" w:bidi="zh-CN"/>
              </w:rPr>
            </w:pPr>
          </w:p>
        </w:tc>
        <w:tc>
          <w:tcPr>
            <w:tcW w:w="2166" w:type="dxa"/>
            <w:vMerge w:val="continue"/>
            <w:noWrap w:val="0"/>
            <w:vAlign w:val="center"/>
          </w:tcPr>
          <w:p w14:paraId="4A7BB3B4">
            <w:pPr>
              <w:pStyle w:val="89"/>
              <w:ind w:left="11"/>
              <w:jc w:val="both"/>
              <w:rPr>
                <w:rFonts w:hint="eastAsia" w:ascii="宋体" w:hAnsi="宋体" w:cs="宋体"/>
                <w:color w:val="auto"/>
                <w:kern w:val="2"/>
                <w:sz w:val="21"/>
                <w:szCs w:val="21"/>
                <w:highlight w:val="none"/>
                <w:lang w:val="zh-CN" w:eastAsia="zh-CN" w:bidi="zh-CN"/>
              </w:rPr>
            </w:pPr>
          </w:p>
        </w:tc>
        <w:tc>
          <w:tcPr>
            <w:tcW w:w="1599" w:type="dxa"/>
            <w:noWrap w:val="0"/>
            <w:vAlign w:val="center"/>
          </w:tcPr>
          <w:p w14:paraId="2A68BA46">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燃气热水器</w:t>
            </w:r>
          </w:p>
        </w:tc>
        <w:tc>
          <w:tcPr>
            <w:tcW w:w="3570" w:type="dxa"/>
            <w:noWrap w:val="0"/>
            <w:vAlign w:val="center"/>
          </w:tcPr>
          <w:p w14:paraId="4082C3C5">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《家用燃气快速热水器和燃气采暖热水炉能效限定值及能效等级》（GB 20665）</w:t>
            </w:r>
          </w:p>
        </w:tc>
      </w:tr>
      <w:tr w14:paraId="35E0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noWrap w:val="0"/>
            <w:vAlign w:val="center"/>
          </w:tcPr>
          <w:p w14:paraId="4D4ECD06">
            <w:pPr>
              <w:pStyle w:val="89"/>
              <w:ind w:left="11"/>
              <w:jc w:val="center"/>
              <w:rPr>
                <w:rFonts w:hint="eastAsia" w:ascii="宋体" w:hAnsi="宋体" w:cs="宋体"/>
                <w:color w:val="auto"/>
                <w:kern w:val="2"/>
                <w:sz w:val="21"/>
                <w:szCs w:val="21"/>
                <w:highlight w:val="none"/>
                <w:lang w:val="zh-CN" w:eastAsia="zh-CN" w:bidi="zh-CN"/>
              </w:rPr>
            </w:pPr>
          </w:p>
        </w:tc>
        <w:tc>
          <w:tcPr>
            <w:tcW w:w="1665" w:type="dxa"/>
            <w:vMerge w:val="continue"/>
            <w:noWrap w:val="0"/>
            <w:vAlign w:val="center"/>
          </w:tcPr>
          <w:p w14:paraId="0E65F919">
            <w:pPr>
              <w:pStyle w:val="89"/>
              <w:ind w:left="11"/>
              <w:rPr>
                <w:rFonts w:hint="eastAsia" w:ascii="宋体" w:hAnsi="宋体" w:cs="宋体"/>
                <w:color w:val="auto"/>
                <w:kern w:val="2"/>
                <w:sz w:val="21"/>
                <w:szCs w:val="21"/>
                <w:highlight w:val="none"/>
                <w:lang w:val="zh-CN" w:eastAsia="zh-CN" w:bidi="zh-CN"/>
              </w:rPr>
            </w:pPr>
          </w:p>
        </w:tc>
        <w:tc>
          <w:tcPr>
            <w:tcW w:w="2166" w:type="dxa"/>
            <w:vMerge w:val="continue"/>
            <w:noWrap w:val="0"/>
            <w:vAlign w:val="center"/>
          </w:tcPr>
          <w:p w14:paraId="7FB69B65">
            <w:pPr>
              <w:pStyle w:val="89"/>
              <w:ind w:left="11"/>
              <w:jc w:val="both"/>
              <w:rPr>
                <w:rFonts w:hint="eastAsia" w:ascii="宋体" w:hAnsi="宋体" w:cs="宋体"/>
                <w:color w:val="auto"/>
                <w:kern w:val="2"/>
                <w:sz w:val="21"/>
                <w:szCs w:val="21"/>
                <w:highlight w:val="none"/>
                <w:lang w:val="zh-CN" w:eastAsia="zh-CN" w:bidi="zh-CN"/>
              </w:rPr>
            </w:pPr>
          </w:p>
        </w:tc>
        <w:tc>
          <w:tcPr>
            <w:tcW w:w="1599" w:type="dxa"/>
            <w:noWrap w:val="0"/>
            <w:vAlign w:val="center"/>
          </w:tcPr>
          <w:p w14:paraId="65D01E71">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热泵热水器</w:t>
            </w:r>
          </w:p>
        </w:tc>
        <w:tc>
          <w:tcPr>
            <w:tcW w:w="3570" w:type="dxa"/>
            <w:noWrap w:val="0"/>
            <w:vAlign w:val="center"/>
          </w:tcPr>
          <w:p w14:paraId="1FADA5D4">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《热泵热水机（器）能效限定值及能效等级》（GB 29541）</w:t>
            </w:r>
          </w:p>
        </w:tc>
      </w:tr>
      <w:tr w14:paraId="4090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noWrap w:val="0"/>
            <w:vAlign w:val="center"/>
          </w:tcPr>
          <w:p w14:paraId="22ABA05D">
            <w:pPr>
              <w:pStyle w:val="89"/>
              <w:ind w:left="11"/>
              <w:jc w:val="center"/>
              <w:rPr>
                <w:rFonts w:hint="eastAsia" w:ascii="宋体" w:hAnsi="宋体" w:cs="宋体"/>
                <w:color w:val="auto"/>
                <w:kern w:val="2"/>
                <w:sz w:val="21"/>
                <w:szCs w:val="21"/>
                <w:highlight w:val="none"/>
                <w:lang w:val="zh-CN" w:eastAsia="zh-CN" w:bidi="zh-CN"/>
              </w:rPr>
            </w:pPr>
          </w:p>
        </w:tc>
        <w:tc>
          <w:tcPr>
            <w:tcW w:w="1665" w:type="dxa"/>
            <w:vMerge w:val="continue"/>
            <w:noWrap w:val="0"/>
            <w:vAlign w:val="center"/>
          </w:tcPr>
          <w:p w14:paraId="3C99E71C">
            <w:pPr>
              <w:pStyle w:val="89"/>
              <w:ind w:left="11"/>
              <w:rPr>
                <w:rFonts w:hint="eastAsia" w:ascii="宋体" w:hAnsi="宋体" w:cs="宋体"/>
                <w:color w:val="auto"/>
                <w:kern w:val="2"/>
                <w:sz w:val="21"/>
                <w:szCs w:val="21"/>
                <w:highlight w:val="none"/>
                <w:lang w:val="zh-CN" w:eastAsia="zh-CN" w:bidi="zh-CN"/>
              </w:rPr>
            </w:pPr>
          </w:p>
        </w:tc>
        <w:tc>
          <w:tcPr>
            <w:tcW w:w="2166" w:type="dxa"/>
            <w:vMerge w:val="continue"/>
            <w:noWrap w:val="0"/>
            <w:vAlign w:val="center"/>
          </w:tcPr>
          <w:p w14:paraId="091C34F2">
            <w:pPr>
              <w:pStyle w:val="89"/>
              <w:ind w:left="11"/>
              <w:jc w:val="both"/>
              <w:rPr>
                <w:rFonts w:hint="eastAsia" w:ascii="宋体" w:hAnsi="宋体" w:cs="宋体"/>
                <w:color w:val="auto"/>
                <w:kern w:val="2"/>
                <w:sz w:val="21"/>
                <w:szCs w:val="21"/>
                <w:highlight w:val="none"/>
                <w:lang w:val="zh-CN" w:eastAsia="zh-CN" w:bidi="zh-CN"/>
              </w:rPr>
            </w:pPr>
          </w:p>
        </w:tc>
        <w:tc>
          <w:tcPr>
            <w:tcW w:w="1599" w:type="dxa"/>
            <w:noWrap w:val="0"/>
            <w:vAlign w:val="center"/>
          </w:tcPr>
          <w:p w14:paraId="55C3BE47">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太阳能热水系统</w:t>
            </w:r>
          </w:p>
        </w:tc>
        <w:tc>
          <w:tcPr>
            <w:tcW w:w="3570" w:type="dxa"/>
            <w:noWrap w:val="0"/>
            <w:vAlign w:val="center"/>
          </w:tcPr>
          <w:p w14:paraId="5235017E">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《家用太阳能热水系统能效限定值及能效等级》（GB 26969）</w:t>
            </w:r>
          </w:p>
        </w:tc>
      </w:tr>
      <w:tr w14:paraId="427D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restart"/>
            <w:noWrap w:val="0"/>
            <w:vAlign w:val="center"/>
          </w:tcPr>
          <w:p w14:paraId="4C219DEC">
            <w:pPr>
              <w:pStyle w:val="89"/>
              <w:ind w:left="11"/>
              <w:jc w:val="center"/>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11</w:t>
            </w:r>
          </w:p>
        </w:tc>
        <w:tc>
          <w:tcPr>
            <w:tcW w:w="1665" w:type="dxa"/>
            <w:vMerge w:val="restart"/>
            <w:noWrap w:val="0"/>
            <w:vAlign w:val="center"/>
          </w:tcPr>
          <w:p w14:paraId="03BD36D0">
            <w:pPr>
              <w:pStyle w:val="89"/>
              <w:ind w:left="11"/>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A020619 照明设备</w:t>
            </w:r>
          </w:p>
        </w:tc>
        <w:tc>
          <w:tcPr>
            <w:tcW w:w="2166" w:type="dxa"/>
            <w:noWrap w:val="0"/>
            <w:vAlign w:val="center"/>
          </w:tcPr>
          <w:p w14:paraId="3CF0B893">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 普通照明用双端荧光灯</w:t>
            </w:r>
          </w:p>
        </w:tc>
        <w:tc>
          <w:tcPr>
            <w:tcW w:w="1599" w:type="dxa"/>
            <w:noWrap w:val="0"/>
            <w:vAlign w:val="center"/>
          </w:tcPr>
          <w:p w14:paraId="151A78B3">
            <w:pPr>
              <w:pStyle w:val="89"/>
              <w:ind w:left="11"/>
              <w:jc w:val="both"/>
              <w:rPr>
                <w:rFonts w:hint="eastAsia" w:ascii="宋体" w:hAnsi="宋体" w:cs="宋体"/>
                <w:color w:val="auto"/>
                <w:kern w:val="2"/>
                <w:sz w:val="21"/>
                <w:szCs w:val="21"/>
                <w:highlight w:val="none"/>
                <w:lang w:val="zh-CN" w:eastAsia="zh-CN" w:bidi="zh-CN"/>
              </w:rPr>
            </w:pPr>
          </w:p>
        </w:tc>
        <w:tc>
          <w:tcPr>
            <w:tcW w:w="3570" w:type="dxa"/>
            <w:noWrap w:val="0"/>
            <w:vAlign w:val="center"/>
          </w:tcPr>
          <w:p w14:paraId="547F69F4">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《普通照明用双端荧光灯能效限定值及能效等级》（GB 19043）</w:t>
            </w:r>
          </w:p>
        </w:tc>
      </w:tr>
      <w:tr w14:paraId="6091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noWrap w:val="0"/>
            <w:vAlign w:val="center"/>
          </w:tcPr>
          <w:p w14:paraId="79018FAC">
            <w:pPr>
              <w:pStyle w:val="89"/>
              <w:ind w:left="11"/>
              <w:jc w:val="center"/>
              <w:rPr>
                <w:rFonts w:hint="eastAsia" w:ascii="宋体" w:hAnsi="宋体" w:cs="宋体"/>
                <w:color w:val="auto"/>
                <w:kern w:val="2"/>
                <w:sz w:val="21"/>
                <w:szCs w:val="21"/>
                <w:highlight w:val="none"/>
                <w:lang w:val="zh-CN" w:eastAsia="zh-CN" w:bidi="zh-CN"/>
              </w:rPr>
            </w:pPr>
          </w:p>
        </w:tc>
        <w:tc>
          <w:tcPr>
            <w:tcW w:w="1665" w:type="dxa"/>
            <w:vMerge w:val="continue"/>
            <w:noWrap w:val="0"/>
            <w:vAlign w:val="center"/>
          </w:tcPr>
          <w:p w14:paraId="04E69E8D">
            <w:pPr>
              <w:pStyle w:val="89"/>
              <w:ind w:left="11"/>
              <w:rPr>
                <w:rFonts w:hint="eastAsia" w:ascii="宋体" w:hAnsi="宋体" w:cs="宋体"/>
                <w:color w:val="auto"/>
                <w:kern w:val="2"/>
                <w:sz w:val="21"/>
                <w:szCs w:val="21"/>
                <w:highlight w:val="none"/>
                <w:lang w:val="zh-CN" w:eastAsia="zh-CN" w:bidi="zh-CN"/>
              </w:rPr>
            </w:pPr>
          </w:p>
        </w:tc>
        <w:tc>
          <w:tcPr>
            <w:tcW w:w="2166" w:type="dxa"/>
            <w:noWrap w:val="0"/>
            <w:vAlign w:val="center"/>
          </w:tcPr>
          <w:p w14:paraId="7B18F753">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LED 道路/隧道照明产品</w:t>
            </w:r>
          </w:p>
        </w:tc>
        <w:tc>
          <w:tcPr>
            <w:tcW w:w="1599" w:type="dxa"/>
            <w:noWrap w:val="0"/>
            <w:vAlign w:val="center"/>
          </w:tcPr>
          <w:p w14:paraId="39D2719A">
            <w:pPr>
              <w:pStyle w:val="89"/>
              <w:ind w:left="11"/>
              <w:jc w:val="both"/>
              <w:rPr>
                <w:rFonts w:hint="eastAsia" w:ascii="宋体" w:hAnsi="宋体" w:cs="宋体"/>
                <w:color w:val="auto"/>
                <w:kern w:val="2"/>
                <w:sz w:val="21"/>
                <w:szCs w:val="21"/>
                <w:highlight w:val="none"/>
                <w:lang w:val="zh-CN" w:eastAsia="zh-CN" w:bidi="zh-CN"/>
              </w:rPr>
            </w:pPr>
          </w:p>
        </w:tc>
        <w:tc>
          <w:tcPr>
            <w:tcW w:w="3570" w:type="dxa"/>
            <w:noWrap w:val="0"/>
            <w:vAlign w:val="center"/>
          </w:tcPr>
          <w:p w14:paraId="01A75DB7">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《道路和隧道照明用 LED 灯具能效限定值及能效等级》（GB 37478）</w:t>
            </w:r>
          </w:p>
        </w:tc>
      </w:tr>
      <w:tr w14:paraId="63AB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noWrap w:val="0"/>
            <w:vAlign w:val="center"/>
          </w:tcPr>
          <w:p w14:paraId="1FA7B8B7">
            <w:pPr>
              <w:pStyle w:val="89"/>
              <w:ind w:left="11"/>
              <w:jc w:val="center"/>
              <w:rPr>
                <w:rFonts w:hint="eastAsia" w:ascii="宋体" w:hAnsi="宋体" w:cs="宋体"/>
                <w:color w:val="auto"/>
                <w:kern w:val="2"/>
                <w:sz w:val="21"/>
                <w:szCs w:val="21"/>
                <w:highlight w:val="none"/>
                <w:lang w:val="zh-CN" w:eastAsia="zh-CN" w:bidi="zh-CN"/>
              </w:rPr>
            </w:pPr>
          </w:p>
        </w:tc>
        <w:tc>
          <w:tcPr>
            <w:tcW w:w="1665" w:type="dxa"/>
            <w:vMerge w:val="continue"/>
            <w:noWrap w:val="0"/>
            <w:vAlign w:val="center"/>
          </w:tcPr>
          <w:p w14:paraId="56AAA850">
            <w:pPr>
              <w:pStyle w:val="89"/>
              <w:ind w:left="11"/>
              <w:rPr>
                <w:rFonts w:hint="eastAsia" w:ascii="宋体" w:hAnsi="宋体" w:cs="宋体"/>
                <w:color w:val="auto"/>
                <w:kern w:val="2"/>
                <w:sz w:val="21"/>
                <w:szCs w:val="21"/>
                <w:highlight w:val="none"/>
                <w:lang w:val="zh-CN" w:eastAsia="zh-CN" w:bidi="zh-CN"/>
              </w:rPr>
            </w:pPr>
          </w:p>
        </w:tc>
        <w:tc>
          <w:tcPr>
            <w:tcW w:w="2166" w:type="dxa"/>
            <w:noWrap w:val="0"/>
            <w:vAlign w:val="center"/>
          </w:tcPr>
          <w:p w14:paraId="1B4C9364">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LED 筒灯</w:t>
            </w:r>
          </w:p>
        </w:tc>
        <w:tc>
          <w:tcPr>
            <w:tcW w:w="1599" w:type="dxa"/>
            <w:noWrap w:val="0"/>
            <w:vAlign w:val="center"/>
          </w:tcPr>
          <w:p w14:paraId="243872D6">
            <w:pPr>
              <w:pStyle w:val="89"/>
              <w:ind w:left="11"/>
              <w:jc w:val="both"/>
              <w:rPr>
                <w:rFonts w:hint="eastAsia" w:ascii="宋体" w:hAnsi="宋体" w:cs="宋体"/>
                <w:color w:val="auto"/>
                <w:kern w:val="2"/>
                <w:sz w:val="21"/>
                <w:szCs w:val="21"/>
                <w:highlight w:val="none"/>
                <w:lang w:val="zh-CN" w:eastAsia="zh-CN" w:bidi="zh-CN"/>
              </w:rPr>
            </w:pPr>
          </w:p>
        </w:tc>
        <w:tc>
          <w:tcPr>
            <w:tcW w:w="3570" w:type="dxa"/>
            <w:noWrap w:val="0"/>
            <w:vAlign w:val="center"/>
          </w:tcPr>
          <w:p w14:paraId="522464FE">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《室内照明用 LED 产品能效限定值及能效等级》（GB 30255）</w:t>
            </w:r>
          </w:p>
        </w:tc>
      </w:tr>
      <w:tr w14:paraId="0675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noWrap w:val="0"/>
            <w:vAlign w:val="center"/>
          </w:tcPr>
          <w:p w14:paraId="0A516E4E">
            <w:pPr>
              <w:pStyle w:val="89"/>
              <w:ind w:left="11"/>
              <w:jc w:val="center"/>
              <w:rPr>
                <w:rFonts w:hint="eastAsia" w:ascii="宋体" w:hAnsi="宋体" w:cs="宋体"/>
                <w:color w:val="auto"/>
                <w:kern w:val="2"/>
                <w:sz w:val="21"/>
                <w:szCs w:val="21"/>
                <w:highlight w:val="none"/>
                <w:lang w:val="zh-CN" w:eastAsia="zh-CN" w:bidi="zh-CN"/>
              </w:rPr>
            </w:pPr>
          </w:p>
        </w:tc>
        <w:tc>
          <w:tcPr>
            <w:tcW w:w="1665" w:type="dxa"/>
            <w:vMerge w:val="continue"/>
            <w:noWrap w:val="0"/>
            <w:vAlign w:val="center"/>
          </w:tcPr>
          <w:p w14:paraId="5DA13F75">
            <w:pPr>
              <w:pStyle w:val="89"/>
              <w:ind w:left="11"/>
              <w:rPr>
                <w:rFonts w:hint="eastAsia" w:ascii="宋体" w:hAnsi="宋体" w:cs="宋体"/>
                <w:color w:val="auto"/>
                <w:kern w:val="2"/>
                <w:sz w:val="21"/>
                <w:szCs w:val="21"/>
                <w:highlight w:val="none"/>
                <w:lang w:val="zh-CN" w:eastAsia="zh-CN" w:bidi="zh-CN"/>
              </w:rPr>
            </w:pPr>
          </w:p>
        </w:tc>
        <w:tc>
          <w:tcPr>
            <w:tcW w:w="2166" w:type="dxa"/>
            <w:noWrap w:val="0"/>
            <w:vAlign w:val="center"/>
          </w:tcPr>
          <w:p w14:paraId="719D443B">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普通照明用非定向自镇流 LED 灯</w:t>
            </w:r>
          </w:p>
        </w:tc>
        <w:tc>
          <w:tcPr>
            <w:tcW w:w="1599" w:type="dxa"/>
            <w:noWrap w:val="0"/>
            <w:vAlign w:val="center"/>
          </w:tcPr>
          <w:p w14:paraId="44EE3E6E">
            <w:pPr>
              <w:pStyle w:val="89"/>
              <w:ind w:left="11"/>
              <w:jc w:val="both"/>
              <w:rPr>
                <w:rFonts w:hint="eastAsia" w:ascii="宋体" w:hAnsi="宋体" w:cs="宋体"/>
                <w:color w:val="auto"/>
                <w:kern w:val="2"/>
                <w:sz w:val="21"/>
                <w:szCs w:val="21"/>
                <w:highlight w:val="none"/>
                <w:lang w:val="zh-CN" w:eastAsia="zh-CN" w:bidi="zh-CN"/>
              </w:rPr>
            </w:pPr>
          </w:p>
        </w:tc>
        <w:tc>
          <w:tcPr>
            <w:tcW w:w="3570" w:type="dxa"/>
            <w:noWrap w:val="0"/>
            <w:vAlign w:val="center"/>
          </w:tcPr>
          <w:p w14:paraId="183AB804">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《室内照明用 LED 产品能效限定值及能效等级》（GB 30255）</w:t>
            </w:r>
          </w:p>
        </w:tc>
      </w:tr>
      <w:tr w14:paraId="1E86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77526D57">
            <w:pPr>
              <w:pStyle w:val="89"/>
              <w:ind w:left="11"/>
              <w:jc w:val="center"/>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12</w:t>
            </w:r>
          </w:p>
        </w:tc>
        <w:tc>
          <w:tcPr>
            <w:tcW w:w="1665" w:type="dxa"/>
            <w:noWrap w:val="0"/>
            <w:vAlign w:val="center"/>
          </w:tcPr>
          <w:p w14:paraId="09891D45">
            <w:pPr>
              <w:pStyle w:val="89"/>
              <w:ind w:left="11"/>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★A020910电视设备</w:t>
            </w:r>
          </w:p>
        </w:tc>
        <w:tc>
          <w:tcPr>
            <w:tcW w:w="2166" w:type="dxa"/>
            <w:noWrap w:val="0"/>
            <w:vAlign w:val="center"/>
          </w:tcPr>
          <w:p w14:paraId="717D50FD">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A02091001 普通电视设备（电视机）</w:t>
            </w:r>
          </w:p>
        </w:tc>
        <w:tc>
          <w:tcPr>
            <w:tcW w:w="1599" w:type="dxa"/>
            <w:noWrap w:val="0"/>
            <w:vAlign w:val="center"/>
          </w:tcPr>
          <w:p w14:paraId="2EA6AC74">
            <w:pPr>
              <w:pStyle w:val="89"/>
              <w:ind w:left="11"/>
              <w:jc w:val="both"/>
              <w:rPr>
                <w:rFonts w:hint="eastAsia" w:ascii="宋体" w:hAnsi="宋体" w:cs="宋体"/>
                <w:color w:val="auto"/>
                <w:kern w:val="2"/>
                <w:sz w:val="21"/>
                <w:szCs w:val="21"/>
                <w:highlight w:val="none"/>
                <w:lang w:val="zh-CN" w:eastAsia="zh-CN" w:bidi="zh-CN"/>
              </w:rPr>
            </w:pPr>
          </w:p>
        </w:tc>
        <w:tc>
          <w:tcPr>
            <w:tcW w:w="3570" w:type="dxa"/>
            <w:noWrap w:val="0"/>
            <w:vAlign w:val="center"/>
          </w:tcPr>
          <w:p w14:paraId="5A7DB4B1">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《平板电视能效限定值及能效等级》（GB 24850）</w:t>
            </w:r>
          </w:p>
        </w:tc>
      </w:tr>
      <w:tr w14:paraId="1E64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0907DC3F">
            <w:pPr>
              <w:pStyle w:val="89"/>
              <w:ind w:left="11"/>
              <w:jc w:val="center"/>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13</w:t>
            </w:r>
          </w:p>
        </w:tc>
        <w:tc>
          <w:tcPr>
            <w:tcW w:w="1665" w:type="dxa"/>
            <w:noWrap w:val="0"/>
            <w:vAlign w:val="center"/>
          </w:tcPr>
          <w:p w14:paraId="500663C3">
            <w:pPr>
              <w:pStyle w:val="89"/>
              <w:ind w:left="11"/>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★A020911视频设备</w:t>
            </w:r>
          </w:p>
        </w:tc>
        <w:tc>
          <w:tcPr>
            <w:tcW w:w="2166" w:type="dxa"/>
            <w:noWrap w:val="0"/>
            <w:vAlign w:val="center"/>
          </w:tcPr>
          <w:p w14:paraId="3C0B2736">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A02091107 视频监控设备</w:t>
            </w:r>
          </w:p>
        </w:tc>
        <w:tc>
          <w:tcPr>
            <w:tcW w:w="1599" w:type="dxa"/>
            <w:noWrap w:val="0"/>
            <w:vAlign w:val="center"/>
          </w:tcPr>
          <w:p w14:paraId="5802D94E">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监视器</w:t>
            </w:r>
          </w:p>
        </w:tc>
        <w:tc>
          <w:tcPr>
            <w:tcW w:w="3570" w:type="dxa"/>
            <w:noWrap w:val="0"/>
            <w:vAlign w:val="center"/>
          </w:tcPr>
          <w:p w14:paraId="692E1122">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以射频信号为主要信号输入的监视器应符合《平板电视能效限定值及能效等级》（GB 24850），以数字信号为主要信号输入的监视器应符合《计算机显示器能效限定值及能效等级》（GB 21520）</w:t>
            </w:r>
          </w:p>
        </w:tc>
      </w:tr>
      <w:tr w14:paraId="7BA2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6395D891">
            <w:pPr>
              <w:pStyle w:val="89"/>
              <w:ind w:left="11"/>
              <w:jc w:val="center"/>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14</w:t>
            </w:r>
          </w:p>
        </w:tc>
        <w:tc>
          <w:tcPr>
            <w:tcW w:w="1665" w:type="dxa"/>
            <w:noWrap w:val="0"/>
            <w:vAlign w:val="center"/>
          </w:tcPr>
          <w:p w14:paraId="710445E8">
            <w:pPr>
              <w:pStyle w:val="89"/>
              <w:ind w:left="11"/>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A031210饮食炊事机械</w:t>
            </w:r>
          </w:p>
        </w:tc>
        <w:tc>
          <w:tcPr>
            <w:tcW w:w="2166" w:type="dxa"/>
            <w:noWrap w:val="0"/>
            <w:vAlign w:val="center"/>
          </w:tcPr>
          <w:p w14:paraId="00A5FD06">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商用燃气灶具</w:t>
            </w:r>
          </w:p>
        </w:tc>
        <w:tc>
          <w:tcPr>
            <w:tcW w:w="1599" w:type="dxa"/>
            <w:noWrap w:val="0"/>
            <w:vAlign w:val="center"/>
          </w:tcPr>
          <w:p w14:paraId="02E0B751">
            <w:pPr>
              <w:pStyle w:val="89"/>
              <w:ind w:left="11"/>
              <w:jc w:val="both"/>
              <w:rPr>
                <w:rFonts w:hint="eastAsia" w:ascii="宋体" w:hAnsi="宋体" w:cs="宋体"/>
                <w:color w:val="auto"/>
                <w:kern w:val="2"/>
                <w:sz w:val="21"/>
                <w:szCs w:val="21"/>
                <w:highlight w:val="none"/>
                <w:lang w:val="zh-CN" w:eastAsia="zh-CN" w:bidi="zh-CN"/>
              </w:rPr>
            </w:pPr>
          </w:p>
        </w:tc>
        <w:tc>
          <w:tcPr>
            <w:tcW w:w="3570" w:type="dxa"/>
            <w:noWrap w:val="0"/>
            <w:vAlign w:val="center"/>
          </w:tcPr>
          <w:p w14:paraId="1261E346">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《商用燃气灶具能效限定值及能效等级》（GB 30531）</w:t>
            </w:r>
          </w:p>
        </w:tc>
      </w:tr>
      <w:tr w14:paraId="3CE5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restart"/>
            <w:noWrap w:val="0"/>
            <w:vAlign w:val="center"/>
          </w:tcPr>
          <w:p w14:paraId="2BD7376F">
            <w:pPr>
              <w:pStyle w:val="89"/>
              <w:ind w:left="11"/>
              <w:jc w:val="center"/>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15</w:t>
            </w:r>
          </w:p>
        </w:tc>
        <w:tc>
          <w:tcPr>
            <w:tcW w:w="1665" w:type="dxa"/>
            <w:vMerge w:val="restart"/>
            <w:noWrap w:val="0"/>
            <w:vAlign w:val="center"/>
          </w:tcPr>
          <w:p w14:paraId="4396EF4A">
            <w:pPr>
              <w:pStyle w:val="89"/>
              <w:ind w:left="11"/>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★A060805便器</w:t>
            </w:r>
          </w:p>
        </w:tc>
        <w:tc>
          <w:tcPr>
            <w:tcW w:w="2166" w:type="dxa"/>
            <w:noWrap w:val="0"/>
            <w:vAlign w:val="center"/>
          </w:tcPr>
          <w:p w14:paraId="502FFAC4">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坐便器</w:t>
            </w:r>
          </w:p>
        </w:tc>
        <w:tc>
          <w:tcPr>
            <w:tcW w:w="1599" w:type="dxa"/>
            <w:noWrap w:val="0"/>
            <w:vAlign w:val="center"/>
          </w:tcPr>
          <w:p w14:paraId="3CF41251">
            <w:pPr>
              <w:pStyle w:val="89"/>
              <w:ind w:left="11"/>
              <w:jc w:val="both"/>
              <w:rPr>
                <w:rFonts w:hint="eastAsia" w:ascii="宋体" w:hAnsi="宋体" w:cs="宋体"/>
                <w:color w:val="auto"/>
                <w:kern w:val="2"/>
                <w:sz w:val="21"/>
                <w:szCs w:val="21"/>
                <w:highlight w:val="none"/>
                <w:lang w:val="zh-CN" w:eastAsia="zh-CN" w:bidi="zh-CN"/>
              </w:rPr>
            </w:pPr>
          </w:p>
        </w:tc>
        <w:tc>
          <w:tcPr>
            <w:tcW w:w="3570" w:type="dxa"/>
            <w:noWrap w:val="0"/>
            <w:vAlign w:val="center"/>
          </w:tcPr>
          <w:p w14:paraId="6535E040">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《坐便器水效限定值及水效等级》（GB 25502）</w:t>
            </w:r>
          </w:p>
        </w:tc>
      </w:tr>
      <w:tr w14:paraId="51C9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noWrap w:val="0"/>
            <w:vAlign w:val="center"/>
          </w:tcPr>
          <w:p w14:paraId="18296B9D">
            <w:pPr>
              <w:pStyle w:val="89"/>
              <w:ind w:left="11"/>
              <w:jc w:val="center"/>
              <w:rPr>
                <w:rFonts w:hint="eastAsia" w:ascii="宋体" w:hAnsi="宋体" w:cs="宋体"/>
                <w:color w:val="auto"/>
                <w:kern w:val="2"/>
                <w:sz w:val="21"/>
                <w:szCs w:val="21"/>
                <w:highlight w:val="none"/>
                <w:lang w:val="zh-CN" w:eastAsia="zh-CN" w:bidi="zh-CN"/>
              </w:rPr>
            </w:pPr>
          </w:p>
        </w:tc>
        <w:tc>
          <w:tcPr>
            <w:tcW w:w="1665" w:type="dxa"/>
            <w:vMerge w:val="continue"/>
            <w:noWrap w:val="0"/>
            <w:vAlign w:val="center"/>
          </w:tcPr>
          <w:p w14:paraId="44A3A1F1">
            <w:pPr>
              <w:pStyle w:val="89"/>
              <w:ind w:left="11"/>
              <w:rPr>
                <w:rFonts w:hint="eastAsia" w:ascii="宋体" w:hAnsi="宋体" w:cs="宋体"/>
                <w:color w:val="auto"/>
                <w:kern w:val="2"/>
                <w:sz w:val="21"/>
                <w:szCs w:val="21"/>
                <w:highlight w:val="none"/>
                <w:lang w:val="zh-CN" w:eastAsia="zh-CN" w:bidi="zh-CN"/>
              </w:rPr>
            </w:pPr>
          </w:p>
        </w:tc>
        <w:tc>
          <w:tcPr>
            <w:tcW w:w="2166" w:type="dxa"/>
            <w:noWrap w:val="0"/>
            <w:vAlign w:val="center"/>
          </w:tcPr>
          <w:p w14:paraId="7975109E">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蹲便器</w:t>
            </w:r>
          </w:p>
        </w:tc>
        <w:tc>
          <w:tcPr>
            <w:tcW w:w="1599" w:type="dxa"/>
            <w:noWrap w:val="0"/>
            <w:vAlign w:val="center"/>
          </w:tcPr>
          <w:p w14:paraId="13408C5A">
            <w:pPr>
              <w:pStyle w:val="89"/>
              <w:ind w:left="11"/>
              <w:jc w:val="both"/>
              <w:rPr>
                <w:rFonts w:hint="eastAsia" w:ascii="宋体" w:hAnsi="宋体" w:cs="宋体"/>
                <w:color w:val="auto"/>
                <w:kern w:val="2"/>
                <w:sz w:val="21"/>
                <w:szCs w:val="21"/>
                <w:highlight w:val="none"/>
                <w:lang w:val="zh-CN" w:eastAsia="zh-CN" w:bidi="zh-CN"/>
              </w:rPr>
            </w:pPr>
          </w:p>
        </w:tc>
        <w:tc>
          <w:tcPr>
            <w:tcW w:w="3570" w:type="dxa"/>
            <w:noWrap w:val="0"/>
            <w:vAlign w:val="center"/>
          </w:tcPr>
          <w:p w14:paraId="08F9F593">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《蹲便器用水效率限定值及用水效率等级》（GB 30717）</w:t>
            </w:r>
          </w:p>
        </w:tc>
      </w:tr>
      <w:tr w14:paraId="0321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noWrap w:val="0"/>
            <w:vAlign w:val="center"/>
          </w:tcPr>
          <w:p w14:paraId="13F42C98">
            <w:pPr>
              <w:pStyle w:val="89"/>
              <w:ind w:left="11"/>
              <w:jc w:val="center"/>
              <w:rPr>
                <w:rFonts w:hint="eastAsia" w:ascii="宋体" w:hAnsi="宋体" w:cs="宋体"/>
                <w:color w:val="auto"/>
                <w:kern w:val="2"/>
                <w:sz w:val="21"/>
                <w:szCs w:val="21"/>
                <w:highlight w:val="none"/>
                <w:lang w:val="zh-CN" w:eastAsia="zh-CN" w:bidi="zh-CN"/>
              </w:rPr>
            </w:pPr>
          </w:p>
        </w:tc>
        <w:tc>
          <w:tcPr>
            <w:tcW w:w="1665" w:type="dxa"/>
            <w:vMerge w:val="continue"/>
            <w:noWrap w:val="0"/>
            <w:vAlign w:val="center"/>
          </w:tcPr>
          <w:p w14:paraId="3043E17F">
            <w:pPr>
              <w:pStyle w:val="89"/>
              <w:ind w:left="11"/>
              <w:rPr>
                <w:rFonts w:hint="eastAsia" w:ascii="宋体" w:hAnsi="宋体" w:cs="宋体"/>
                <w:color w:val="auto"/>
                <w:kern w:val="2"/>
                <w:sz w:val="21"/>
                <w:szCs w:val="21"/>
                <w:highlight w:val="none"/>
                <w:lang w:val="zh-CN" w:eastAsia="zh-CN" w:bidi="zh-CN"/>
              </w:rPr>
            </w:pPr>
          </w:p>
        </w:tc>
        <w:tc>
          <w:tcPr>
            <w:tcW w:w="2166" w:type="dxa"/>
            <w:noWrap w:val="0"/>
            <w:vAlign w:val="center"/>
          </w:tcPr>
          <w:p w14:paraId="29619AFC">
            <w:pPr>
              <w:pStyle w:val="89"/>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小便器</w:t>
            </w:r>
          </w:p>
        </w:tc>
        <w:tc>
          <w:tcPr>
            <w:tcW w:w="1599" w:type="dxa"/>
            <w:noWrap w:val="0"/>
            <w:vAlign w:val="center"/>
          </w:tcPr>
          <w:p w14:paraId="5CB0B543">
            <w:pPr>
              <w:pStyle w:val="89"/>
              <w:ind w:left="11"/>
              <w:jc w:val="both"/>
              <w:rPr>
                <w:rFonts w:hint="eastAsia" w:ascii="宋体" w:hAnsi="宋体" w:cs="宋体"/>
                <w:color w:val="auto"/>
                <w:kern w:val="2"/>
                <w:sz w:val="21"/>
                <w:szCs w:val="21"/>
                <w:highlight w:val="none"/>
                <w:lang w:val="zh-CN" w:eastAsia="zh-CN" w:bidi="zh-CN"/>
              </w:rPr>
            </w:pPr>
          </w:p>
        </w:tc>
        <w:tc>
          <w:tcPr>
            <w:tcW w:w="3570" w:type="dxa"/>
            <w:noWrap w:val="0"/>
            <w:vAlign w:val="center"/>
          </w:tcPr>
          <w:p w14:paraId="63A7E633">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《小便器用水效率限定值及用水效率等级》（GB 28377）</w:t>
            </w:r>
          </w:p>
        </w:tc>
      </w:tr>
      <w:tr w14:paraId="6A42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336D8C9D">
            <w:pPr>
              <w:pStyle w:val="89"/>
              <w:ind w:left="11"/>
              <w:jc w:val="center"/>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eastAsia="zh-CN" w:bidi="zh-CN"/>
              </w:rPr>
              <w:t>1</w:t>
            </w:r>
            <w:r>
              <w:rPr>
                <w:rFonts w:hint="eastAsia" w:ascii="宋体" w:hAnsi="宋体" w:cs="宋体"/>
                <w:color w:val="auto"/>
                <w:kern w:val="2"/>
                <w:sz w:val="21"/>
                <w:szCs w:val="21"/>
                <w:highlight w:val="none"/>
                <w:lang w:val="zh-CN" w:eastAsia="zh-CN" w:bidi="zh-CN"/>
              </w:rPr>
              <w:t>6</w:t>
            </w:r>
          </w:p>
        </w:tc>
        <w:tc>
          <w:tcPr>
            <w:tcW w:w="1665" w:type="dxa"/>
            <w:noWrap w:val="0"/>
            <w:vAlign w:val="center"/>
          </w:tcPr>
          <w:p w14:paraId="403C21FE">
            <w:pPr>
              <w:pStyle w:val="89"/>
              <w:ind w:left="11"/>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★A060806水嘴</w:t>
            </w:r>
          </w:p>
        </w:tc>
        <w:tc>
          <w:tcPr>
            <w:tcW w:w="2166" w:type="dxa"/>
            <w:noWrap w:val="0"/>
            <w:vAlign w:val="center"/>
          </w:tcPr>
          <w:p w14:paraId="030ECAAC">
            <w:pPr>
              <w:pStyle w:val="89"/>
              <w:ind w:left="11"/>
              <w:jc w:val="both"/>
              <w:rPr>
                <w:rFonts w:hint="eastAsia" w:ascii="宋体" w:hAnsi="宋体" w:cs="宋体"/>
                <w:color w:val="auto"/>
                <w:kern w:val="2"/>
                <w:sz w:val="21"/>
                <w:szCs w:val="21"/>
                <w:highlight w:val="none"/>
                <w:lang w:val="zh-CN" w:eastAsia="zh-CN" w:bidi="zh-CN"/>
              </w:rPr>
            </w:pPr>
          </w:p>
        </w:tc>
        <w:tc>
          <w:tcPr>
            <w:tcW w:w="1599" w:type="dxa"/>
            <w:noWrap w:val="0"/>
            <w:vAlign w:val="center"/>
          </w:tcPr>
          <w:p w14:paraId="65BA36D5">
            <w:pPr>
              <w:pStyle w:val="89"/>
              <w:ind w:left="11"/>
              <w:jc w:val="both"/>
              <w:rPr>
                <w:rFonts w:hint="eastAsia" w:ascii="宋体" w:hAnsi="宋体" w:cs="宋体"/>
                <w:color w:val="auto"/>
                <w:kern w:val="2"/>
                <w:sz w:val="21"/>
                <w:szCs w:val="21"/>
                <w:highlight w:val="none"/>
                <w:lang w:val="zh-CN" w:eastAsia="zh-CN" w:bidi="zh-CN"/>
              </w:rPr>
            </w:pPr>
          </w:p>
        </w:tc>
        <w:tc>
          <w:tcPr>
            <w:tcW w:w="3570" w:type="dxa"/>
            <w:noWrap w:val="0"/>
            <w:vAlign w:val="center"/>
          </w:tcPr>
          <w:p w14:paraId="4B92007D">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《水嘴用水效率限定值及用水效率等级》（GB 25501）</w:t>
            </w:r>
          </w:p>
        </w:tc>
      </w:tr>
      <w:tr w14:paraId="099F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6F4C2A08">
            <w:pPr>
              <w:pStyle w:val="89"/>
              <w:ind w:left="11"/>
              <w:jc w:val="center"/>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17</w:t>
            </w:r>
          </w:p>
        </w:tc>
        <w:tc>
          <w:tcPr>
            <w:tcW w:w="1665" w:type="dxa"/>
            <w:noWrap w:val="0"/>
            <w:vAlign w:val="center"/>
          </w:tcPr>
          <w:p w14:paraId="7C02D174">
            <w:pPr>
              <w:pStyle w:val="89"/>
              <w:ind w:left="11"/>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A060807便器冲洗阀</w:t>
            </w:r>
          </w:p>
        </w:tc>
        <w:tc>
          <w:tcPr>
            <w:tcW w:w="2166" w:type="dxa"/>
            <w:noWrap w:val="0"/>
            <w:vAlign w:val="center"/>
          </w:tcPr>
          <w:p w14:paraId="3C7C28CA">
            <w:pPr>
              <w:pStyle w:val="89"/>
              <w:ind w:left="11"/>
              <w:jc w:val="both"/>
              <w:rPr>
                <w:rFonts w:hint="eastAsia" w:ascii="宋体" w:hAnsi="宋体" w:cs="宋体"/>
                <w:color w:val="auto"/>
                <w:kern w:val="2"/>
                <w:sz w:val="21"/>
                <w:szCs w:val="21"/>
                <w:highlight w:val="none"/>
                <w:lang w:val="zh-CN" w:eastAsia="zh-CN" w:bidi="zh-CN"/>
              </w:rPr>
            </w:pPr>
          </w:p>
        </w:tc>
        <w:tc>
          <w:tcPr>
            <w:tcW w:w="1599" w:type="dxa"/>
            <w:noWrap w:val="0"/>
            <w:vAlign w:val="center"/>
          </w:tcPr>
          <w:p w14:paraId="52F14C43">
            <w:pPr>
              <w:pStyle w:val="89"/>
              <w:ind w:left="11"/>
              <w:jc w:val="both"/>
              <w:rPr>
                <w:rFonts w:hint="eastAsia" w:ascii="宋体" w:hAnsi="宋体" w:cs="宋体"/>
                <w:color w:val="auto"/>
                <w:kern w:val="2"/>
                <w:sz w:val="21"/>
                <w:szCs w:val="21"/>
                <w:highlight w:val="none"/>
                <w:lang w:val="zh-CN" w:eastAsia="zh-CN" w:bidi="zh-CN"/>
              </w:rPr>
            </w:pPr>
          </w:p>
        </w:tc>
        <w:tc>
          <w:tcPr>
            <w:tcW w:w="3570" w:type="dxa"/>
            <w:noWrap w:val="0"/>
            <w:vAlign w:val="center"/>
          </w:tcPr>
          <w:p w14:paraId="124E9AE5">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《便器冲洗阀用水效率限定值及用水效率等级》（GB 28379）</w:t>
            </w:r>
          </w:p>
        </w:tc>
      </w:tr>
      <w:tr w14:paraId="64E6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688DA799">
            <w:pPr>
              <w:pStyle w:val="89"/>
              <w:ind w:left="11"/>
              <w:jc w:val="center"/>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18</w:t>
            </w:r>
          </w:p>
        </w:tc>
        <w:tc>
          <w:tcPr>
            <w:tcW w:w="1665" w:type="dxa"/>
            <w:noWrap w:val="0"/>
            <w:vAlign w:val="center"/>
          </w:tcPr>
          <w:p w14:paraId="74A8B835">
            <w:pPr>
              <w:pStyle w:val="89"/>
              <w:ind w:left="11"/>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A060810淋浴器</w:t>
            </w:r>
          </w:p>
        </w:tc>
        <w:tc>
          <w:tcPr>
            <w:tcW w:w="2166" w:type="dxa"/>
            <w:noWrap w:val="0"/>
            <w:vAlign w:val="center"/>
          </w:tcPr>
          <w:p w14:paraId="5B27FE36">
            <w:pPr>
              <w:pStyle w:val="89"/>
              <w:ind w:left="11"/>
              <w:jc w:val="both"/>
              <w:rPr>
                <w:rFonts w:hint="eastAsia" w:ascii="宋体" w:hAnsi="宋体" w:cs="宋体"/>
                <w:color w:val="auto"/>
                <w:kern w:val="2"/>
                <w:sz w:val="21"/>
                <w:szCs w:val="21"/>
                <w:highlight w:val="none"/>
                <w:lang w:val="zh-CN" w:eastAsia="zh-CN" w:bidi="zh-CN"/>
              </w:rPr>
            </w:pPr>
          </w:p>
        </w:tc>
        <w:tc>
          <w:tcPr>
            <w:tcW w:w="1599" w:type="dxa"/>
            <w:noWrap w:val="0"/>
            <w:vAlign w:val="center"/>
          </w:tcPr>
          <w:p w14:paraId="3F408877">
            <w:pPr>
              <w:pStyle w:val="89"/>
              <w:ind w:left="11"/>
              <w:jc w:val="both"/>
              <w:rPr>
                <w:rFonts w:hint="eastAsia" w:ascii="宋体" w:hAnsi="宋体" w:cs="宋体"/>
                <w:color w:val="auto"/>
                <w:kern w:val="2"/>
                <w:sz w:val="21"/>
                <w:szCs w:val="21"/>
                <w:highlight w:val="none"/>
                <w:lang w:val="zh-CN" w:eastAsia="zh-CN" w:bidi="zh-CN"/>
              </w:rPr>
            </w:pPr>
          </w:p>
        </w:tc>
        <w:tc>
          <w:tcPr>
            <w:tcW w:w="3570" w:type="dxa"/>
            <w:noWrap w:val="0"/>
            <w:vAlign w:val="center"/>
          </w:tcPr>
          <w:p w14:paraId="50BA6EB0">
            <w:pPr>
              <w:pStyle w:val="89"/>
              <w:spacing w:line="300" w:lineRule="exact"/>
              <w:ind w:left="11"/>
              <w:jc w:val="both"/>
              <w:rPr>
                <w:rFonts w:hint="eastAsia" w:ascii="宋体" w:hAnsi="宋体" w:cs="宋体"/>
                <w:color w:val="auto"/>
                <w:kern w:val="2"/>
                <w:sz w:val="21"/>
                <w:szCs w:val="21"/>
                <w:highlight w:val="none"/>
                <w:lang w:val="zh-CN" w:eastAsia="zh-CN" w:bidi="zh-CN"/>
              </w:rPr>
            </w:pPr>
            <w:r>
              <w:rPr>
                <w:rFonts w:hint="eastAsia" w:ascii="宋体" w:hAnsi="宋体" w:cs="宋体"/>
                <w:color w:val="auto"/>
                <w:kern w:val="2"/>
                <w:sz w:val="21"/>
                <w:szCs w:val="21"/>
                <w:highlight w:val="none"/>
                <w:lang w:val="zh-CN" w:eastAsia="zh-CN" w:bidi="zh-CN"/>
              </w:rPr>
              <w:t>《淋浴器用水效率限定值及用水效率等级》（GB 28378）</w:t>
            </w:r>
          </w:p>
        </w:tc>
      </w:tr>
    </w:tbl>
    <w:p w14:paraId="7DBD4B8B">
      <w:pPr>
        <w:pStyle w:val="2"/>
        <w:spacing w:after="0" w:line="360" w:lineRule="auto"/>
        <w:rPr>
          <w:rFonts w:hint="eastAsia" w:ascii="宋体" w:hAnsi="宋体" w:cs="宋体"/>
          <w:color w:val="auto"/>
          <w:spacing w:val="-3"/>
          <w:szCs w:val="21"/>
          <w:highlight w:val="none"/>
        </w:rPr>
      </w:pPr>
    </w:p>
    <w:p w14:paraId="15D07830">
      <w:pPr>
        <w:pStyle w:val="2"/>
        <w:spacing w:after="0" w:line="360" w:lineRule="auto"/>
        <w:rPr>
          <w:rFonts w:hint="eastAsia" w:ascii="宋体" w:hAnsi="宋体" w:cs="宋体"/>
          <w:color w:val="auto"/>
          <w:sz w:val="22"/>
          <w:szCs w:val="22"/>
          <w:highlight w:val="none"/>
        </w:rPr>
      </w:pPr>
      <w:r>
        <w:rPr>
          <w:rFonts w:hint="eastAsia" w:ascii="宋体" w:hAnsi="宋体" w:cs="宋体"/>
          <w:color w:val="auto"/>
          <w:spacing w:val="-3"/>
          <w:sz w:val="22"/>
          <w:szCs w:val="22"/>
          <w:highlight w:val="none"/>
        </w:rPr>
        <w:t>注：1.节能产品认证应依据相关国家标准的最新版本，依据国家标准中二级能效（水效）</w:t>
      </w:r>
      <w:r>
        <w:rPr>
          <w:rFonts w:hint="eastAsia" w:ascii="宋体" w:hAnsi="宋体" w:cs="宋体"/>
          <w:color w:val="auto"/>
          <w:sz w:val="22"/>
          <w:szCs w:val="22"/>
          <w:highlight w:val="none"/>
        </w:rPr>
        <w:t>指标。</w:t>
      </w:r>
    </w:p>
    <w:p w14:paraId="5405731B">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2.以“★”标注的为政府强制采购产品。</w:t>
      </w:r>
    </w:p>
    <w:p w14:paraId="642BB9B8">
      <w:pPr>
        <w:spacing w:line="360" w:lineRule="auto"/>
        <w:jc w:val="center"/>
        <w:outlineLvl w:val="0"/>
        <w:rPr>
          <w:rFonts w:hint="eastAsia" w:ascii="宋体" w:hAnsi="宋体" w:cs="宋体"/>
          <w:color w:val="auto"/>
          <w:szCs w:val="21"/>
          <w:highlight w:val="none"/>
        </w:rPr>
      </w:pPr>
      <w:r>
        <w:rPr>
          <w:rFonts w:hint="eastAsia" w:ascii="宋体" w:hAnsi="宋体" w:cs="宋体"/>
          <w:color w:val="auto"/>
          <w:sz w:val="22"/>
          <w:szCs w:val="22"/>
          <w:highlight w:val="none"/>
        </w:rPr>
        <w:br w:type="page"/>
      </w:r>
      <w:bookmarkStart w:id="31" w:name="_Toc25610"/>
      <w:r>
        <w:rPr>
          <w:rFonts w:hint="eastAsia" w:ascii="宋体" w:hAnsi="宋体" w:cs="宋体"/>
          <w:b/>
          <w:color w:val="auto"/>
          <w:sz w:val="32"/>
          <w:szCs w:val="32"/>
          <w:highlight w:val="none"/>
        </w:rPr>
        <w:t>第三章 工程量清单</w:t>
      </w:r>
      <w:bookmarkEnd w:id="31"/>
    </w:p>
    <w:p w14:paraId="41AB41CD">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一、工程量清单说明</w:t>
      </w:r>
    </w:p>
    <w:p w14:paraId="76E9D6B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1.工程量清单编制说明</w:t>
      </w:r>
    </w:p>
    <w:p w14:paraId="5CB8B2C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1.1工程量清单应与供应商须知、合同协议条款、合同的通用条款、合同专用条款、技术规范及图纸等文件一起结合使用。</w:t>
      </w:r>
    </w:p>
    <w:p w14:paraId="068E233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1.2工程量清单是采购文件的组成部分，是工程量清单计价的基础，作为编制采购预算、竞标报价、计算或调整工程量、索赔等的依据之一。</w:t>
      </w:r>
    </w:p>
    <w:p w14:paraId="684663D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1.3工程量清单另册发放。</w:t>
      </w:r>
    </w:p>
    <w:p w14:paraId="47603A9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本项目增值税计税方式采用：</w:t>
      </w:r>
      <w:r>
        <w:rPr>
          <w:rFonts w:hint="eastAsia" w:ascii="宋体" w:hAnsi="宋体" w:cs="宋体"/>
          <w:color w:val="auto"/>
          <w:sz w:val="24"/>
          <w:highlight w:val="none"/>
        </w:rPr>
        <w:t>☑</w:t>
      </w:r>
      <w:r>
        <w:rPr>
          <w:rFonts w:hint="eastAsia" w:ascii="宋体" w:hAnsi="宋体" w:cs="宋体"/>
          <w:b/>
          <w:bCs/>
          <w:color w:val="auto"/>
          <w:sz w:val="24"/>
          <w:highlight w:val="none"/>
        </w:rPr>
        <w:t>一般计税法，</w:t>
      </w:r>
      <w:r>
        <w:rPr>
          <w:rFonts w:hint="eastAsia" w:ascii="宋体" w:hAnsi="宋体" w:cs="宋体"/>
          <w:b/>
          <w:bCs/>
          <w:color w:val="auto"/>
          <w:sz w:val="24"/>
          <w:highlight w:val="none"/>
        </w:rPr>
        <w:sym w:font="Wingdings 2" w:char="00A3"/>
      </w:r>
      <w:r>
        <w:rPr>
          <w:rFonts w:hint="eastAsia" w:ascii="宋体" w:hAnsi="宋体" w:cs="宋体"/>
          <w:b/>
          <w:bCs/>
          <w:color w:val="auto"/>
          <w:sz w:val="24"/>
          <w:highlight w:val="none"/>
        </w:rPr>
        <w:t>简易计税法。</w:t>
      </w:r>
    </w:p>
    <w:p w14:paraId="282A896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般计税法建设工程的工程量清单表格按《关于建筑业实施营业税改征增值税后广西壮族自治区建设工程计价依据调整的通知》（桂建标〔2016〕17号）附件“增值税一般计税方法工程计价表”要求提供；简易计税法建设工程按照《计价规范》要求的表格提供，但规费和税费要按照《关于建筑业实施营业税改征增值税后广西壮族自治区建设工程计价依据调整的通知》（桂建标〔2016〕17号）要求调整。工程量清单的构成按《计价规范》有关规定执行。</w:t>
      </w:r>
    </w:p>
    <w:p w14:paraId="09F71E1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2.竞标报价（已标价工程量清单）编制说明</w:t>
      </w:r>
    </w:p>
    <w:p w14:paraId="2F4C03B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 供应商应依据竞争性谈判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5AE11AB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供应商应按工程量清单填报价格。项目编码、项目名称、项目特征、计量单位、工程量必须与工程量清单一致，供应商不得对工程量清单项目进行增减调整。</w:t>
      </w:r>
    </w:p>
    <w:p w14:paraId="4B0E4C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 综合单价中应包含竞争性谈判文件中划分的应由供应商承担的风险范围及其费用。</w:t>
      </w:r>
    </w:p>
    <w:p w14:paraId="512A89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 分部分项工程项目和单价措施项目，应根据竞争性谈判文件和工程量清单项目中的特征描述确定综合单价计算。如出现工程量清单特征描述与设计图纸不符时，供应商应以工程量清单的项目特征描述为准，确定竞标报价的综合单价。</w:t>
      </w:r>
    </w:p>
    <w:p w14:paraId="1434740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 总价措施项目的金额应根据竞争性谈判文件及竞标时拟定的施工组织设计或施工方案，按计价规范的规定自主确定。但安全文明施工费按国家、省级或行业建设主管部门的有关规定执行，作为不竞争费用单列。</w:t>
      </w:r>
    </w:p>
    <w:p w14:paraId="229E36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 其他项目费应按下列规定报价：</w:t>
      </w:r>
    </w:p>
    <w:p w14:paraId="471560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（1）暂列金额应按工程量清单中列出的金额填写；</w:t>
      </w:r>
    </w:p>
    <w:p w14:paraId="7E1124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（2）材料、工程设备暂估价应按工程量清单中列出的单价计入综合单价；</w:t>
      </w:r>
    </w:p>
    <w:p w14:paraId="7928B9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（3）专业工程暂估价应按工程量清单中列出的金额填写；</w:t>
      </w:r>
    </w:p>
    <w:p w14:paraId="7FC642F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（4）计日工应按工程量清单中列出的项目和估算数量，自主确定综合单价并计算计日工总额；计日工单价均不含规费和税金；</w:t>
      </w:r>
    </w:p>
    <w:p w14:paraId="08DFD25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（5）总承包服务费应根据工程量清单中列出的内容和供应材料、设备情况，按照采购人提出的协调、配合与服务要求和施工现场管理需要自主确定。</w:t>
      </w:r>
    </w:p>
    <w:p w14:paraId="3CD48D4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（6）对建设单位创建优质工程的，鼓励在招标控制价和预算中按我区工程建设定额规定计列工程优质费，并明确工程优质费不可竞争。</w:t>
      </w:r>
    </w:p>
    <w:p w14:paraId="225C4E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规费和增值税应按规定确定，作为不可竞争费用。</w:t>
      </w:r>
    </w:p>
    <w:p w14:paraId="7D27692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 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67ADAD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 投标总价应当与分部分项工程费、措施项目费、其他项目费和规费、增值税的合计金额一致。</w:t>
      </w:r>
    </w:p>
    <w:p w14:paraId="7391851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2.10未尽事宜详见本工程工程量清单、招标控制价编制说明以及现行《计价规范》等有关规定执行。</w:t>
      </w:r>
    </w:p>
    <w:p w14:paraId="20AEFAA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78948C00">
      <w:pPr>
        <w:keepNext/>
        <w:keepLines/>
        <w:wordWrap w:val="0"/>
        <w:spacing w:line="360" w:lineRule="auto"/>
        <w:ind w:firstLine="482" w:firstLineChars="200"/>
        <w:rPr>
          <w:rFonts w:hint="eastAsia" w:ascii="宋体" w:hAnsi="宋体" w:cs="宋体"/>
          <w:b/>
          <w:color w:val="auto"/>
          <w:sz w:val="24"/>
          <w:highlight w:val="none"/>
        </w:rPr>
        <w:sectPr>
          <w:footerReference r:id="rId9" w:type="default"/>
          <w:pgSz w:w="11911" w:h="16838"/>
          <w:pgMar w:top="1338" w:right="1502" w:bottom="850" w:left="1678" w:header="1077" w:footer="720" w:gutter="0"/>
          <w:cols w:space="720" w:num="1"/>
        </w:sectPr>
      </w:pPr>
      <w:r>
        <w:rPr>
          <w:rFonts w:hint="eastAsia" w:ascii="宋体" w:hAnsi="宋体" w:cs="宋体"/>
          <w:b/>
          <w:color w:val="auto"/>
          <w:sz w:val="24"/>
          <w:highlight w:val="none"/>
        </w:rPr>
        <w:t>二、工程量清单[登录广西政府采购云平台（https://www.gcy.zfcg.gxzf.gov.cn）获取（下载）]是本竞争性谈判文件的组成部分。</w:t>
      </w:r>
    </w:p>
    <w:p w14:paraId="6479E58C">
      <w:pPr>
        <w:spacing w:line="360" w:lineRule="auto"/>
        <w:jc w:val="center"/>
        <w:outlineLvl w:val="0"/>
        <w:rPr>
          <w:rFonts w:hint="eastAsia" w:ascii="宋体" w:hAnsi="宋体" w:cs="宋体"/>
          <w:b/>
          <w:color w:val="auto"/>
          <w:sz w:val="32"/>
          <w:szCs w:val="32"/>
          <w:highlight w:val="none"/>
        </w:rPr>
      </w:pPr>
      <w:bookmarkStart w:id="32" w:name="_Toc27659"/>
      <w:r>
        <w:rPr>
          <w:rFonts w:hint="eastAsia" w:ascii="宋体" w:hAnsi="宋体" w:cs="宋体"/>
          <w:b/>
          <w:color w:val="auto"/>
          <w:sz w:val="32"/>
          <w:szCs w:val="32"/>
          <w:highlight w:val="none"/>
        </w:rPr>
        <w:t>第四章 图纸</w:t>
      </w:r>
      <w:bookmarkEnd w:id="32"/>
      <w:r>
        <w:rPr>
          <w:rFonts w:hint="eastAsia" w:ascii="宋体" w:hAnsi="宋体" w:cs="宋体"/>
          <w:b/>
          <w:color w:val="auto"/>
          <w:sz w:val="32"/>
          <w:szCs w:val="32"/>
          <w:highlight w:val="none"/>
        </w:rPr>
        <w:t xml:space="preserve"> </w:t>
      </w:r>
    </w:p>
    <w:p w14:paraId="73783BD5">
      <w:pPr>
        <w:wordWrap w:val="0"/>
        <w:spacing w:line="360" w:lineRule="auto"/>
        <w:ind w:firstLine="562" w:firstLineChars="200"/>
        <w:rPr>
          <w:rFonts w:hint="eastAsia" w:ascii="宋体" w:hAnsi="宋体" w:cs="宋体"/>
          <w:color w:val="auto"/>
          <w:sz w:val="22"/>
          <w:szCs w:val="28"/>
          <w:highlight w:val="none"/>
        </w:rPr>
        <w:sectPr>
          <w:footerReference r:id="rId10" w:type="default"/>
          <w:pgSz w:w="11911" w:h="16838"/>
          <w:pgMar w:top="1338" w:right="1502" w:bottom="850" w:left="1678" w:header="1077" w:footer="720" w:gutter="0"/>
          <w:cols w:space="720" w:num="1"/>
          <w:docGrid w:linePitch="331" w:charSpace="0"/>
        </w:sectPr>
      </w:pPr>
      <w:r>
        <w:rPr>
          <w:rFonts w:hint="eastAsia" w:ascii="宋体" w:hAnsi="宋体" w:cs="宋体"/>
          <w:b/>
          <w:color w:val="auto"/>
          <w:sz w:val="28"/>
          <w:szCs w:val="28"/>
          <w:highlight w:val="none"/>
        </w:rPr>
        <w:t>施工图纸[登录广西政府采购云平台（https://www.gcy.zfcg.gxzf.gov.cn）获取（下载）]，是本竞争性谈判文件的组成部分。</w:t>
      </w:r>
    </w:p>
    <w:p w14:paraId="44B72180">
      <w:pPr>
        <w:keepNext/>
        <w:keepLines/>
        <w:wordWrap w:val="0"/>
        <w:spacing w:line="360" w:lineRule="auto"/>
        <w:jc w:val="center"/>
        <w:outlineLvl w:val="0"/>
        <w:rPr>
          <w:rFonts w:hint="eastAsia" w:ascii="宋体" w:hAnsi="宋体" w:cs="宋体"/>
          <w:color w:val="auto"/>
          <w:highlight w:val="none"/>
        </w:rPr>
      </w:pPr>
      <w:bookmarkStart w:id="33" w:name="_Toc22846"/>
      <w:r>
        <w:rPr>
          <w:rFonts w:hint="eastAsia" w:ascii="宋体" w:hAnsi="宋体" w:cs="宋体"/>
          <w:b/>
          <w:color w:val="auto"/>
          <w:sz w:val="32"/>
          <w:szCs w:val="32"/>
          <w:highlight w:val="none"/>
        </w:rPr>
        <w:t>第五章 供应商须知</w:t>
      </w:r>
      <w:bookmarkEnd w:id="33"/>
    </w:p>
    <w:p w14:paraId="6DB63E29">
      <w:pPr>
        <w:pStyle w:val="4"/>
        <w:spacing w:before="0" w:after="0" w:line="360" w:lineRule="auto"/>
        <w:jc w:val="center"/>
        <w:rPr>
          <w:rFonts w:hint="eastAsia" w:ascii="宋体" w:hAnsi="宋体" w:cs="宋体"/>
          <w:b w:val="0"/>
          <w:color w:val="auto"/>
          <w:highlight w:val="none"/>
        </w:rPr>
      </w:pPr>
      <w:bookmarkStart w:id="34" w:name="_Toc4337"/>
      <w:r>
        <w:rPr>
          <w:rFonts w:hint="eastAsia" w:ascii="宋体" w:hAnsi="宋体" w:cs="宋体"/>
          <w:bCs w:val="0"/>
          <w:color w:val="auto"/>
          <w:highlight w:val="none"/>
        </w:rPr>
        <w:t>第一节 供应商须知前附表</w:t>
      </w:r>
      <w:bookmarkEnd w:id="34"/>
    </w:p>
    <w:tbl>
      <w:tblPr>
        <w:tblStyle w:val="35"/>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8"/>
        <w:gridCol w:w="2453"/>
        <w:gridCol w:w="6853"/>
      </w:tblGrid>
      <w:tr w14:paraId="64861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noWrap w:val="0"/>
            <w:vAlign w:val="top"/>
          </w:tcPr>
          <w:p w14:paraId="1DC118BA">
            <w:pPr>
              <w:spacing w:line="400" w:lineRule="exact"/>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条款号</w:t>
            </w:r>
          </w:p>
        </w:tc>
        <w:tc>
          <w:tcPr>
            <w:tcW w:w="2453" w:type="dxa"/>
            <w:noWrap w:val="0"/>
            <w:vAlign w:val="center"/>
          </w:tcPr>
          <w:p w14:paraId="0641A3C2">
            <w:pPr>
              <w:spacing w:line="400" w:lineRule="exact"/>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条款内容</w:t>
            </w:r>
          </w:p>
        </w:tc>
        <w:tc>
          <w:tcPr>
            <w:tcW w:w="6853" w:type="dxa"/>
            <w:noWrap w:val="0"/>
            <w:vAlign w:val="top"/>
          </w:tcPr>
          <w:p w14:paraId="33076A99">
            <w:pPr>
              <w:spacing w:line="400" w:lineRule="exact"/>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具体要求</w:t>
            </w:r>
          </w:p>
        </w:tc>
      </w:tr>
      <w:tr w14:paraId="4DC4B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noWrap w:val="0"/>
            <w:vAlign w:val="top"/>
          </w:tcPr>
          <w:p w14:paraId="3671AE97">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3.1</w:t>
            </w:r>
          </w:p>
        </w:tc>
        <w:tc>
          <w:tcPr>
            <w:tcW w:w="2453" w:type="dxa"/>
            <w:noWrap w:val="0"/>
            <w:vAlign w:val="center"/>
          </w:tcPr>
          <w:p w14:paraId="19F6CB32">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供应商资格条件</w:t>
            </w:r>
          </w:p>
        </w:tc>
        <w:tc>
          <w:tcPr>
            <w:tcW w:w="6853" w:type="dxa"/>
            <w:noWrap w:val="0"/>
            <w:vAlign w:val="top"/>
          </w:tcPr>
          <w:p w14:paraId="5312131F">
            <w:pPr>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供应商资格条件要求详见公告。</w:t>
            </w:r>
          </w:p>
        </w:tc>
      </w:tr>
      <w:tr w14:paraId="487A2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noWrap w:val="0"/>
            <w:vAlign w:val="center"/>
          </w:tcPr>
          <w:p w14:paraId="07EF5CBB">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5.1</w:t>
            </w:r>
          </w:p>
        </w:tc>
        <w:tc>
          <w:tcPr>
            <w:tcW w:w="2453" w:type="dxa"/>
            <w:noWrap w:val="0"/>
            <w:vAlign w:val="center"/>
          </w:tcPr>
          <w:p w14:paraId="6E20B8D1">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是否接受联合体竞标</w:t>
            </w:r>
          </w:p>
        </w:tc>
        <w:tc>
          <w:tcPr>
            <w:tcW w:w="6853" w:type="dxa"/>
            <w:noWrap w:val="0"/>
            <w:vAlign w:val="center"/>
          </w:tcPr>
          <w:p w14:paraId="17C12915">
            <w:pPr>
              <w:spacing w:line="400" w:lineRule="exact"/>
              <w:jc w:val="left"/>
              <w:rPr>
                <w:rFonts w:hint="eastAsia" w:ascii="宋体" w:hAnsi="宋体" w:cs="宋体"/>
                <w:color w:val="auto"/>
                <w:sz w:val="22"/>
                <w:szCs w:val="22"/>
                <w:highlight w:val="none"/>
              </w:rPr>
            </w:pPr>
            <w:bookmarkStart w:id="35" w:name="PO_3000001871_PM007_1"/>
            <w:r>
              <w:rPr>
                <w:rFonts w:hint="eastAsia" w:ascii="宋体" w:hAnsi="宋体" w:cs="宋体"/>
                <w:color w:val="auto"/>
                <w:sz w:val="22"/>
                <w:szCs w:val="22"/>
                <w:highlight w:val="none"/>
              </w:rPr>
              <w:t>不允许联合体竞标</w:t>
            </w:r>
            <w:bookmarkEnd w:id="35"/>
            <w:r>
              <w:rPr>
                <w:rFonts w:hint="eastAsia" w:ascii="宋体" w:hAnsi="宋体" w:cs="宋体"/>
                <w:color w:val="auto"/>
                <w:sz w:val="22"/>
                <w:szCs w:val="22"/>
                <w:highlight w:val="none"/>
              </w:rPr>
              <w:t>。</w:t>
            </w:r>
          </w:p>
        </w:tc>
      </w:tr>
      <w:tr w14:paraId="1DC68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noWrap w:val="0"/>
            <w:vAlign w:val="center"/>
          </w:tcPr>
          <w:p w14:paraId="099183CE">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5.2</w:t>
            </w:r>
          </w:p>
        </w:tc>
        <w:tc>
          <w:tcPr>
            <w:tcW w:w="2453" w:type="dxa"/>
            <w:noWrap w:val="0"/>
            <w:vAlign w:val="center"/>
          </w:tcPr>
          <w:p w14:paraId="3D4F835E">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联合体竞标要求</w:t>
            </w:r>
          </w:p>
        </w:tc>
        <w:tc>
          <w:tcPr>
            <w:tcW w:w="6853" w:type="dxa"/>
            <w:noWrap w:val="0"/>
            <w:vAlign w:val="center"/>
          </w:tcPr>
          <w:p w14:paraId="065459F7">
            <w:pPr>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无</w:t>
            </w:r>
          </w:p>
        </w:tc>
      </w:tr>
      <w:tr w14:paraId="6D116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noWrap w:val="0"/>
            <w:vAlign w:val="center"/>
          </w:tcPr>
          <w:p w14:paraId="6A720CFA">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6.1</w:t>
            </w:r>
          </w:p>
        </w:tc>
        <w:tc>
          <w:tcPr>
            <w:tcW w:w="2453" w:type="dxa"/>
            <w:noWrap w:val="0"/>
            <w:vAlign w:val="center"/>
          </w:tcPr>
          <w:p w14:paraId="2BD33BA7">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是否允许分包</w:t>
            </w:r>
          </w:p>
        </w:tc>
        <w:tc>
          <w:tcPr>
            <w:tcW w:w="6853" w:type="dxa"/>
            <w:noWrap w:val="0"/>
            <w:vAlign w:val="center"/>
          </w:tcPr>
          <w:p w14:paraId="2773A8AE">
            <w:pPr>
              <w:pStyle w:val="14"/>
              <w:spacing w:line="400" w:lineRule="exact"/>
              <w:rPr>
                <w:rFonts w:hint="eastAsia" w:ascii="宋体" w:hAnsi="宋体" w:cs="宋体"/>
                <w:color w:val="auto"/>
                <w:sz w:val="22"/>
                <w:szCs w:val="22"/>
                <w:highlight w:val="none"/>
              </w:rPr>
            </w:pPr>
            <w:r>
              <w:rPr>
                <w:rFonts w:hint="eastAsia" w:ascii="宋体" w:hAnsi="宋体" w:cs="宋体"/>
                <w:color w:val="auto"/>
                <w:sz w:val="24"/>
                <w:highlight w:val="none"/>
              </w:rPr>
              <w:t>☑</w:t>
            </w:r>
            <w:r>
              <w:rPr>
                <w:rFonts w:hint="eastAsia" w:ascii="宋体" w:hAnsi="宋体" w:cs="宋体"/>
                <w:color w:val="auto"/>
                <w:sz w:val="22"/>
                <w:szCs w:val="22"/>
                <w:highlight w:val="none"/>
              </w:rPr>
              <w:t>不允许分包</w:t>
            </w:r>
          </w:p>
          <w:p w14:paraId="372A6FC3">
            <w:pPr>
              <w:pStyle w:val="14"/>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□允许分包</w:t>
            </w:r>
          </w:p>
          <w:p w14:paraId="383D90A2">
            <w:pPr>
              <w:pStyle w:val="14"/>
              <w:spacing w:line="400" w:lineRule="exac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分包内容：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14:paraId="77B022CC">
            <w:pPr>
              <w:pStyle w:val="14"/>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分包金额或者比例：</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tc>
      </w:tr>
      <w:tr w14:paraId="41455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noWrap w:val="0"/>
            <w:vAlign w:val="center"/>
          </w:tcPr>
          <w:p w14:paraId="169D8B8E">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12.1.1</w:t>
            </w:r>
          </w:p>
        </w:tc>
        <w:tc>
          <w:tcPr>
            <w:tcW w:w="2453" w:type="dxa"/>
            <w:noWrap w:val="0"/>
            <w:vAlign w:val="center"/>
          </w:tcPr>
          <w:p w14:paraId="7548EDFA">
            <w:pPr>
              <w:spacing w:line="400" w:lineRule="exact"/>
              <w:jc w:val="center"/>
              <w:rPr>
                <w:rFonts w:hint="eastAsia" w:ascii="宋体" w:hAnsi="宋体" w:cs="宋体"/>
                <w:color w:val="auto"/>
                <w:sz w:val="22"/>
                <w:szCs w:val="22"/>
                <w:highlight w:val="none"/>
              </w:rPr>
            </w:pPr>
            <w:r>
              <w:rPr>
                <w:rFonts w:hint="eastAsia" w:ascii="宋体" w:hAnsi="宋体" w:cs="宋体"/>
                <w:b/>
                <w:color w:val="auto"/>
                <w:sz w:val="22"/>
                <w:szCs w:val="22"/>
                <w:highlight w:val="none"/>
              </w:rPr>
              <w:t>资格证明文件组成</w:t>
            </w:r>
          </w:p>
        </w:tc>
        <w:tc>
          <w:tcPr>
            <w:tcW w:w="6853" w:type="dxa"/>
            <w:noWrap w:val="0"/>
            <w:vAlign w:val="center"/>
          </w:tcPr>
          <w:p w14:paraId="7304F585">
            <w:pPr>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bCs/>
                <w:color w:val="auto"/>
                <w:sz w:val="22"/>
                <w:szCs w:val="22"/>
                <w:highlight w:val="none"/>
              </w:rPr>
              <w:t>（必须提供，否则响应文件按无效响应处理）</w:t>
            </w:r>
          </w:p>
          <w:p w14:paraId="2117F1D7">
            <w:pPr>
              <w:snapToGrid w:val="0"/>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供应商依法缴纳税收的相关材料（2025年5月至响应文件递交截止之日前其中一个月的依法缴纳税收的凭据复印件；依法免税或零申报的供应商，必须提供相应文件证明其依法免税或无欠税。从取得营业执照时间起到响应文件提交截止时间为止不足要求月数的，只需提供从取得营业执照起的依法缴纳税收相应证明文件）；</w:t>
            </w:r>
            <w:r>
              <w:rPr>
                <w:rFonts w:hint="eastAsia" w:ascii="宋体" w:hAnsi="宋体" w:cs="宋体"/>
                <w:b/>
                <w:bCs/>
                <w:color w:val="auto"/>
                <w:sz w:val="22"/>
                <w:szCs w:val="22"/>
                <w:highlight w:val="none"/>
              </w:rPr>
              <w:t>（必须提供，否则响应文件按无效响应处理）</w:t>
            </w:r>
          </w:p>
          <w:p w14:paraId="3C3970D1">
            <w:pPr>
              <w:snapToGrid w:val="0"/>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供应商依法缴纳社会保障资金的相关材料[2025年5月至响应文件递交截止之日前其中一个月的依法缴纳社会保障资金的缴费凭证（专用收据或者社会保险缴费证明等）复印件；依法不需要缴纳社会保障资金的供应商，必须提供相应文件证明不需要缴纳社会保障资金。从取得营业执照时间起到响应文件提交截止时间为止不足要求月数的只需提供从取得营业执照起依法缴纳社会保障资金的相应证明文件]；</w:t>
            </w:r>
            <w:r>
              <w:rPr>
                <w:rFonts w:hint="eastAsia" w:ascii="宋体" w:hAnsi="宋体" w:cs="宋体"/>
                <w:b/>
                <w:bCs/>
                <w:color w:val="auto"/>
                <w:sz w:val="22"/>
                <w:szCs w:val="22"/>
                <w:highlight w:val="none"/>
              </w:rPr>
              <w:t>（必须提供，否则响应文件按无效响应处理）</w:t>
            </w:r>
          </w:p>
          <w:p w14:paraId="4D3D5981">
            <w:pPr>
              <w:snapToGrid w:val="0"/>
              <w:spacing w:line="400" w:lineRule="exact"/>
              <w:jc w:val="left"/>
              <w:rPr>
                <w:rFonts w:hint="eastAsia" w:ascii="宋体" w:hAnsi="宋体" w:cs="宋体"/>
                <w:b/>
                <w:bCs/>
                <w:color w:val="auto"/>
                <w:sz w:val="22"/>
                <w:szCs w:val="22"/>
                <w:highlight w:val="none"/>
              </w:rPr>
            </w:pPr>
            <w:r>
              <w:rPr>
                <w:rFonts w:hint="eastAsia" w:ascii="宋体" w:hAnsi="宋体" w:cs="宋体"/>
                <w:color w:val="auto"/>
                <w:sz w:val="22"/>
                <w:szCs w:val="22"/>
                <w:highlight w:val="none"/>
              </w:rPr>
              <w:t>4.供应商财务状况报告[2024年度财务状况报告复印件，应提供经审计的财务报告（含第三方审计机构评估的财务报告），或供应商本单位出具的财务报表</w:t>
            </w:r>
            <w:r>
              <w:rPr>
                <w:rFonts w:hint="eastAsia" w:ascii="宋体" w:hAnsi="宋体" w:cs="宋体"/>
                <w:b/>
                <w:bCs/>
                <w:color w:val="auto"/>
                <w:sz w:val="22"/>
                <w:szCs w:val="22"/>
                <w:highlight w:val="none"/>
              </w:rPr>
              <w:t>（至少包含资产负债表、利润表、现金流量表）</w:t>
            </w:r>
            <w:r>
              <w:rPr>
                <w:rFonts w:hint="eastAsia" w:ascii="宋体" w:hAnsi="宋体" w:cs="宋体"/>
                <w:color w:val="auto"/>
                <w:sz w:val="22"/>
                <w:szCs w:val="22"/>
                <w:highlight w:val="none"/>
              </w:rPr>
              <w:t>复印件（新成立的公司应提供公司成立日之后次月起到响应文件递交截止前一个月的财务报表复印件），或者其基本开户银行出具的资信证明]；</w:t>
            </w:r>
            <w:r>
              <w:rPr>
                <w:rFonts w:hint="eastAsia" w:ascii="宋体" w:hAnsi="宋体" w:cs="宋体"/>
                <w:b/>
                <w:bCs/>
                <w:color w:val="auto"/>
                <w:sz w:val="22"/>
                <w:szCs w:val="22"/>
                <w:highlight w:val="none"/>
              </w:rPr>
              <w:t>（必须提供，否则响应文件按无效响应处理）</w:t>
            </w:r>
          </w:p>
          <w:p w14:paraId="41C5FF03">
            <w:pPr>
              <w:snapToGrid w:val="0"/>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5.供应商直接控股、管理关系信息表；</w:t>
            </w:r>
            <w:r>
              <w:rPr>
                <w:rFonts w:hint="eastAsia" w:ascii="宋体" w:hAnsi="宋体" w:cs="宋体"/>
                <w:b/>
                <w:bCs/>
                <w:color w:val="auto"/>
                <w:sz w:val="22"/>
                <w:szCs w:val="22"/>
                <w:highlight w:val="none"/>
              </w:rPr>
              <w:t>（必须提供，否则响应文件按无效响应处理）</w:t>
            </w:r>
          </w:p>
          <w:p w14:paraId="057E3EBA">
            <w:pPr>
              <w:snapToGrid w:val="0"/>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6.资格声明；</w:t>
            </w:r>
            <w:r>
              <w:rPr>
                <w:rFonts w:hint="eastAsia" w:ascii="宋体" w:hAnsi="宋体" w:cs="宋体"/>
                <w:b/>
                <w:bCs/>
                <w:color w:val="auto"/>
                <w:sz w:val="22"/>
                <w:szCs w:val="22"/>
                <w:highlight w:val="none"/>
              </w:rPr>
              <w:t>（必须提供，否则响应文件按无效响应处理）</w:t>
            </w:r>
          </w:p>
          <w:p w14:paraId="12EDB1CF">
            <w:pPr>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7.建设工程项目管理承诺书；</w:t>
            </w:r>
            <w:r>
              <w:rPr>
                <w:rFonts w:hint="eastAsia" w:ascii="宋体" w:hAnsi="宋体" w:cs="宋体"/>
                <w:b/>
                <w:bCs/>
                <w:color w:val="auto"/>
                <w:sz w:val="22"/>
                <w:szCs w:val="22"/>
                <w:highlight w:val="none"/>
              </w:rPr>
              <w:t>（必须提供，否则响应文件按无效响应处理）</w:t>
            </w:r>
          </w:p>
          <w:p w14:paraId="458C8C0D">
            <w:pPr>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8.本项目为专门面向中小企业项目，供应商应为中型企业或小型企业或微型企业或监狱企业或残疾人福利性单位；</w:t>
            </w:r>
            <w:r>
              <w:rPr>
                <w:rFonts w:hint="eastAsia" w:ascii="宋体" w:hAnsi="宋体" w:cs="宋体"/>
                <w:b/>
                <w:bCs/>
                <w:color w:val="auto"/>
                <w:sz w:val="22"/>
                <w:szCs w:val="22"/>
                <w:highlight w:val="none"/>
              </w:rPr>
              <w:t>（必须提供《中小企业声明函》或《残疾人福利性单位声明函》或《监狱企业证明》，否则响应文件作无效处理）</w:t>
            </w:r>
          </w:p>
          <w:p w14:paraId="7B930CA1">
            <w:pPr>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9.供应商具备建筑工程施工总承包三级（含三级）以上或机电工程施工总承包三级（含三级）以上资质，且具有有效的安全生产许可证；</w:t>
            </w:r>
            <w:r>
              <w:rPr>
                <w:rFonts w:hint="eastAsia" w:ascii="宋体" w:hAnsi="宋体" w:cs="宋体"/>
                <w:b/>
                <w:bCs/>
                <w:color w:val="auto"/>
                <w:sz w:val="22"/>
                <w:szCs w:val="22"/>
                <w:highlight w:val="none"/>
              </w:rPr>
              <w:t>（必须提供，否则响应文件按无效响应处理）</w:t>
            </w:r>
          </w:p>
          <w:p w14:paraId="7B8BE4E5">
            <w:pPr>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10.拟投入本项目的项目经理的</w:t>
            </w:r>
            <w:bookmarkStart w:id="36" w:name="OLE_LINK1"/>
            <w:r>
              <w:rPr>
                <w:rFonts w:hint="eastAsia" w:ascii="宋体" w:hAnsi="宋体" w:cs="宋体"/>
                <w:color w:val="auto"/>
                <w:sz w:val="22"/>
                <w:szCs w:val="22"/>
                <w:highlight w:val="none"/>
              </w:rPr>
              <w:t>建筑工程专业二级（含）以上或机电工程专业二级（含）以上</w:t>
            </w:r>
            <w:bookmarkEnd w:id="36"/>
            <w:r>
              <w:rPr>
                <w:rFonts w:hint="eastAsia" w:ascii="宋体" w:hAnsi="宋体" w:cs="宋体"/>
                <w:color w:val="auto"/>
                <w:sz w:val="22"/>
                <w:szCs w:val="22"/>
                <w:highlight w:val="none"/>
              </w:rPr>
              <w:t>注册建造师执业资格证、有效的安全生产考核合格证书（B类）复印件以及供应商单位为该项目经理于2025年5月至响应文件递交截止时间内其中一个月依法缴纳社会保险的证明材料及相关材料的复印件；</w:t>
            </w:r>
            <w:r>
              <w:rPr>
                <w:rFonts w:hint="eastAsia" w:ascii="宋体" w:hAnsi="宋体" w:cs="宋体"/>
                <w:b/>
                <w:bCs/>
                <w:color w:val="auto"/>
                <w:sz w:val="22"/>
                <w:szCs w:val="22"/>
                <w:highlight w:val="none"/>
              </w:rPr>
              <w:t>（必须提供，否则响应文件按无效响应处理）</w:t>
            </w:r>
          </w:p>
          <w:p w14:paraId="5A7F8CAD">
            <w:pPr>
              <w:spacing w:line="400" w:lineRule="exact"/>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11.</w:t>
            </w:r>
            <w:r>
              <w:rPr>
                <w:rFonts w:hint="eastAsia" w:ascii="宋体" w:hAnsi="宋体" w:cs="宋体"/>
                <w:color w:val="auto"/>
                <w:sz w:val="22"/>
                <w:szCs w:val="22"/>
                <w:highlight w:val="none"/>
                <w:lang w:val="en-US" w:eastAsia="zh-CN"/>
              </w:rPr>
              <w:t>项目经理无在建项目承诺书</w:t>
            </w:r>
            <w:r>
              <w:rPr>
                <w:rFonts w:hint="eastAsia" w:ascii="宋体" w:hAnsi="宋体" w:cs="宋体"/>
                <w:color w:val="auto"/>
                <w:sz w:val="22"/>
                <w:szCs w:val="22"/>
                <w:highlight w:val="none"/>
              </w:rPr>
              <w:t>；</w:t>
            </w:r>
            <w:r>
              <w:rPr>
                <w:rFonts w:hint="eastAsia" w:ascii="宋体" w:hAnsi="宋体" w:cs="宋体"/>
                <w:b/>
                <w:bCs/>
                <w:color w:val="auto"/>
                <w:sz w:val="22"/>
                <w:szCs w:val="22"/>
                <w:highlight w:val="none"/>
              </w:rPr>
              <w:t>（必须提供，否则响应文件按无效响应处理）</w:t>
            </w:r>
          </w:p>
          <w:p w14:paraId="15DC3AD5">
            <w:pPr>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12.</w:t>
            </w:r>
            <w:r>
              <w:rPr>
                <w:rFonts w:hint="eastAsia" w:ascii="宋体" w:hAnsi="宋体" w:cs="宋体"/>
                <w:color w:val="auto"/>
                <w:sz w:val="22"/>
                <w:szCs w:val="22"/>
                <w:highlight w:val="none"/>
              </w:rPr>
              <w:t>拟投入本项目的专职安全生产管理人员的安全生产考核合格证书（C类）复印件及供应商单位为该专职安全生产管理人员于2025年5月至响应文件递交截止时间内其中一个月依法缴纳社会保险的证明材料及相关材料的复印件；</w:t>
            </w:r>
            <w:r>
              <w:rPr>
                <w:rFonts w:hint="eastAsia" w:ascii="宋体" w:hAnsi="宋体" w:cs="宋体"/>
                <w:b/>
                <w:bCs/>
                <w:color w:val="auto"/>
                <w:sz w:val="22"/>
                <w:szCs w:val="22"/>
                <w:highlight w:val="none"/>
              </w:rPr>
              <w:t>（必须提供，否则响应文件按无效响应处理）</w:t>
            </w:r>
          </w:p>
          <w:p w14:paraId="3B483803">
            <w:pPr>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13</w:t>
            </w:r>
            <w:r>
              <w:rPr>
                <w:rFonts w:hint="eastAsia" w:ascii="宋体" w:hAnsi="宋体" w:cs="宋体"/>
                <w:color w:val="auto"/>
                <w:sz w:val="22"/>
                <w:szCs w:val="22"/>
                <w:highlight w:val="none"/>
              </w:rPr>
              <w:t>.除谈判文件规定必须提供以外，供应商认为需要提供的其他证明材料；</w:t>
            </w:r>
          </w:p>
          <w:p w14:paraId="4199BCA5">
            <w:pPr>
              <w:spacing w:line="400" w:lineRule="exact"/>
              <w:ind w:firstLine="433" w:firstLineChars="196"/>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注：以上标明“必须提供”的材料属于复印件的扫描件的，必须加盖供应商电子公章，否则响应文件按无效响应处理。</w:t>
            </w:r>
          </w:p>
        </w:tc>
      </w:tr>
      <w:tr w14:paraId="5B01D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noWrap w:val="0"/>
            <w:vAlign w:val="center"/>
          </w:tcPr>
          <w:p w14:paraId="28D17838">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12.1.2</w:t>
            </w:r>
          </w:p>
        </w:tc>
        <w:tc>
          <w:tcPr>
            <w:tcW w:w="2453" w:type="dxa"/>
            <w:noWrap w:val="0"/>
            <w:vAlign w:val="center"/>
          </w:tcPr>
          <w:p w14:paraId="09EA38CE">
            <w:pPr>
              <w:spacing w:line="40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商务技术文件组成</w:t>
            </w:r>
          </w:p>
        </w:tc>
        <w:tc>
          <w:tcPr>
            <w:tcW w:w="6853" w:type="dxa"/>
            <w:noWrap w:val="0"/>
            <w:vAlign w:val="center"/>
          </w:tcPr>
          <w:p w14:paraId="547FF3E4">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1.无串通竞标行为的承诺函；</w:t>
            </w:r>
            <w:r>
              <w:rPr>
                <w:rFonts w:hint="eastAsia" w:ascii="宋体" w:hAnsi="宋体" w:cs="宋体"/>
                <w:b/>
                <w:bCs/>
                <w:color w:val="auto"/>
                <w:sz w:val="22"/>
                <w:szCs w:val="22"/>
                <w:highlight w:val="none"/>
              </w:rPr>
              <w:t>（必须提供，否则响应文件按无效响应处理）</w:t>
            </w:r>
          </w:p>
          <w:p w14:paraId="7EEE44F0">
            <w:pPr>
              <w:spacing w:line="400" w:lineRule="exact"/>
              <w:jc w:val="left"/>
              <w:rPr>
                <w:rFonts w:hint="eastAsia" w:ascii="宋体" w:hAnsi="宋体" w:cs="宋体"/>
                <w:b/>
                <w:bCs/>
                <w:color w:val="auto"/>
                <w:sz w:val="22"/>
                <w:szCs w:val="22"/>
                <w:highlight w:val="none"/>
              </w:rPr>
            </w:pPr>
            <w:r>
              <w:rPr>
                <w:rFonts w:hint="eastAsia" w:ascii="宋体" w:hAnsi="宋体" w:cs="宋体"/>
                <w:color w:val="auto"/>
                <w:sz w:val="22"/>
                <w:szCs w:val="22"/>
                <w:highlight w:val="none"/>
              </w:rPr>
              <w:t>2.法定代表人身份证明书及法定代表人有效身份证正反面复印件；</w:t>
            </w:r>
            <w:r>
              <w:rPr>
                <w:rFonts w:hint="eastAsia" w:ascii="宋体" w:hAnsi="宋体" w:cs="宋体"/>
                <w:b/>
                <w:bCs/>
                <w:color w:val="auto"/>
                <w:sz w:val="22"/>
                <w:szCs w:val="22"/>
                <w:highlight w:val="none"/>
              </w:rPr>
              <w:t>（除自然人竞标外必须提供，否则响应文件按无效响应处理）</w:t>
            </w:r>
          </w:p>
          <w:p w14:paraId="6072FD26">
            <w:pPr>
              <w:spacing w:line="400" w:lineRule="exact"/>
              <w:rPr>
                <w:rFonts w:hint="eastAsia" w:ascii="宋体" w:hAnsi="宋体" w:cs="宋体"/>
                <w:b/>
                <w:bCs/>
                <w:color w:val="auto"/>
                <w:sz w:val="22"/>
                <w:szCs w:val="22"/>
                <w:highlight w:val="none"/>
              </w:rPr>
            </w:pPr>
            <w:r>
              <w:rPr>
                <w:rFonts w:hint="eastAsia" w:ascii="宋体" w:hAnsi="宋体" w:cs="宋体"/>
                <w:color w:val="auto"/>
                <w:sz w:val="22"/>
                <w:szCs w:val="22"/>
                <w:highlight w:val="none"/>
              </w:rPr>
              <w:t>3.法定代表人授权委托书及委托代理人有效身份证正反面复印件；</w:t>
            </w:r>
            <w:r>
              <w:rPr>
                <w:rFonts w:hint="eastAsia" w:ascii="宋体" w:hAnsi="宋体" w:cs="宋体"/>
                <w:b/>
                <w:bCs/>
                <w:color w:val="auto"/>
                <w:sz w:val="22"/>
                <w:szCs w:val="22"/>
                <w:highlight w:val="none"/>
              </w:rPr>
              <w:t>（委托时必须提供，否则响应文件按无效响应处理）</w:t>
            </w:r>
          </w:p>
          <w:p w14:paraId="7C2AABBC">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4.谈判保证金提交凭证；</w:t>
            </w:r>
            <w:r>
              <w:rPr>
                <w:rFonts w:hint="eastAsia" w:ascii="宋体" w:hAnsi="宋体" w:cs="宋体"/>
                <w:b/>
                <w:bCs/>
                <w:color w:val="auto"/>
                <w:sz w:val="22"/>
                <w:szCs w:val="22"/>
                <w:highlight w:val="none"/>
              </w:rPr>
              <w:t>（必须提供，否则响应文件按无效响应处理）</w:t>
            </w:r>
            <w:r>
              <w:rPr>
                <w:rFonts w:hint="eastAsia" w:ascii="宋体" w:hAnsi="宋体" w:cs="宋体"/>
                <w:color w:val="auto"/>
                <w:sz w:val="22"/>
                <w:szCs w:val="22"/>
                <w:highlight w:val="none"/>
              </w:rPr>
              <w:t>5.供应商基本情况表；</w:t>
            </w:r>
            <w:r>
              <w:rPr>
                <w:rFonts w:hint="eastAsia" w:ascii="宋体" w:hAnsi="宋体" w:cs="宋体"/>
                <w:b/>
                <w:bCs/>
                <w:color w:val="auto"/>
                <w:sz w:val="22"/>
                <w:szCs w:val="22"/>
                <w:highlight w:val="none"/>
              </w:rPr>
              <w:t>（必须提供，否则响应文件按无效响应处理）</w:t>
            </w:r>
          </w:p>
          <w:p w14:paraId="5D3034F7">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6.施工组织设计；</w:t>
            </w:r>
            <w:r>
              <w:rPr>
                <w:rFonts w:hint="eastAsia" w:ascii="宋体" w:hAnsi="宋体" w:cs="宋体"/>
                <w:b/>
                <w:bCs/>
                <w:color w:val="auto"/>
                <w:sz w:val="22"/>
                <w:szCs w:val="22"/>
                <w:highlight w:val="none"/>
              </w:rPr>
              <w:t>（必须提供，否则响应文件按无效响应处理）</w:t>
            </w:r>
          </w:p>
          <w:p w14:paraId="709F7F59">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7.项目管理机构；</w:t>
            </w:r>
            <w:r>
              <w:rPr>
                <w:rFonts w:hint="eastAsia" w:ascii="宋体" w:hAnsi="宋体" w:cs="宋体"/>
                <w:b/>
                <w:bCs/>
                <w:color w:val="auto"/>
                <w:sz w:val="22"/>
                <w:szCs w:val="22"/>
                <w:highlight w:val="none"/>
              </w:rPr>
              <w:t>（必须提供，否则响应文件按无效响应处理）</w:t>
            </w:r>
          </w:p>
          <w:p w14:paraId="1C7763DE">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8.业绩材料；（如有，请提供）</w:t>
            </w:r>
          </w:p>
          <w:p w14:paraId="5047F2EC">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9.供应商认为需要提供的其他有关资料。</w:t>
            </w:r>
          </w:p>
          <w:p w14:paraId="5C47D731">
            <w:pPr>
              <w:spacing w:line="400" w:lineRule="exact"/>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 xml:space="preserve">注： </w:t>
            </w:r>
          </w:p>
          <w:p w14:paraId="7ABAEE6E">
            <w:pPr>
              <w:spacing w:line="400" w:lineRule="exact"/>
              <w:ind w:firstLine="433" w:firstLineChars="196"/>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1.法定代表人授权委托书必须由法定代表人及委托代理人签字，并加盖供应商公章，否则响应文件按无效响应处理。</w:t>
            </w:r>
          </w:p>
          <w:p w14:paraId="33720B9E">
            <w:pPr>
              <w:spacing w:line="400" w:lineRule="exact"/>
              <w:ind w:firstLine="433" w:firstLineChars="196"/>
              <w:rPr>
                <w:rFonts w:hint="eastAsia" w:ascii="宋体" w:hAnsi="宋体" w:cs="宋体"/>
                <w:color w:val="auto"/>
                <w:sz w:val="22"/>
                <w:szCs w:val="22"/>
                <w:highlight w:val="none"/>
              </w:rPr>
            </w:pPr>
            <w:r>
              <w:rPr>
                <w:rFonts w:hint="eastAsia" w:ascii="宋体" w:hAnsi="宋体" w:cs="宋体"/>
                <w:b/>
                <w:color w:val="auto"/>
                <w:sz w:val="22"/>
                <w:szCs w:val="22"/>
                <w:highlight w:val="none"/>
              </w:rPr>
              <w:t>2.以上标明“必须提供”的材料属于复印件的扫描件的，必须加盖供应商电子公章，否则响应文件按无效响应处理。</w:t>
            </w:r>
          </w:p>
        </w:tc>
      </w:tr>
      <w:tr w14:paraId="0E780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noWrap w:val="0"/>
            <w:vAlign w:val="center"/>
          </w:tcPr>
          <w:p w14:paraId="68D1F86E">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12.1.3</w:t>
            </w:r>
          </w:p>
        </w:tc>
        <w:tc>
          <w:tcPr>
            <w:tcW w:w="2453" w:type="dxa"/>
            <w:noWrap w:val="0"/>
            <w:vAlign w:val="center"/>
          </w:tcPr>
          <w:p w14:paraId="5F4025AE">
            <w:pPr>
              <w:spacing w:line="400" w:lineRule="exact"/>
              <w:jc w:val="center"/>
              <w:rPr>
                <w:rFonts w:hint="eastAsia" w:ascii="宋体" w:hAnsi="宋体" w:cs="宋体"/>
                <w:color w:val="auto"/>
                <w:sz w:val="22"/>
                <w:szCs w:val="22"/>
                <w:highlight w:val="none"/>
              </w:rPr>
            </w:pPr>
            <w:r>
              <w:rPr>
                <w:rFonts w:hint="eastAsia" w:ascii="宋体" w:hAnsi="宋体" w:cs="宋体"/>
                <w:b/>
                <w:bCs/>
                <w:color w:val="auto"/>
                <w:sz w:val="22"/>
                <w:szCs w:val="22"/>
                <w:highlight w:val="none"/>
              </w:rPr>
              <w:t>报价文件组成</w:t>
            </w:r>
          </w:p>
        </w:tc>
        <w:tc>
          <w:tcPr>
            <w:tcW w:w="6853" w:type="dxa"/>
            <w:noWrap w:val="0"/>
            <w:vAlign w:val="center"/>
          </w:tcPr>
          <w:p w14:paraId="41DE59AB">
            <w:pPr>
              <w:spacing w:line="40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1.报价函；</w:t>
            </w:r>
            <w:r>
              <w:rPr>
                <w:rFonts w:hint="eastAsia" w:ascii="宋体" w:hAnsi="宋体" w:cs="宋体"/>
                <w:b/>
                <w:color w:val="auto"/>
                <w:sz w:val="22"/>
                <w:szCs w:val="22"/>
                <w:highlight w:val="none"/>
              </w:rPr>
              <w:t>（必须提供，否则响应文件按无效响应处理）</w:t>
            </w:r>
          </w:p>
          <w:p w14:paraId="46C4F3D9">
            <w:pPr>
              <w:spacing w:line="40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2.报价函附录；</w:t>
            </w:r>
            <w:r>
              <w:rPr>
                <w:rFonts w:hint="eastAsia" w:ascii="宋体" w:hAnsi="宋体" w:cs="宋体"/>
                <w:b/>
                <w:color w:val="auto"/>
                <w:sz w:val="22"/>
                <w:szCs w:val="22"/>
                <w:highlight w:val="none"/>
              </w:rPr>
              <w:t>（必须提供，否则响应文件按无效响应处理）</w:t>
            </w:r>
          </w:p>
          <w:p w14:paraId="5CD91822">
            <w:pPr>
              <w:spacing w:line="40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3.已标价的工程量清单；</w:t>
            </w:r>
            <w:r>
              <w:rPr>
                <w:rFonts w:hint="eastAsia" w:ascii="宋体" w:hAnsi="宋体" w:cs="宋体"/>
                <w:b/>
                <w:bCs/>
                <w:color w:val="auto"/>
                <w:sz w:val="22"/>
                <w:szCs w:val="22"/>
                <w:highlight w:val="none"/>
              </w:rPr>
              <w:t>（必须提供，否则响应文件按无效响应处理）</w:t>
            </w:r>
          </w:p>
          <w:p w14:paraId="443120C1">
            <w:pPr>
              <w:tabs>
                <w:tab w:val="left" w:pos="459"/>
              </w:tabs>
              <w:spacing w:line="400" w:lineRule="exact"/>
              <w:jc w:val="left"/>
              <w:rPr>
                <w:rFonts w:hint="eastAsia" w:ascii="宋体" w:hAnsi="宋体" w:cs="宋体"/>
                <w:color w:val="auto"/>
                <w:sz w:val="22"/>
                <w:szCs w:val="22"/>
                <w:highlight w:val="none"/>
              </w:rPr>
            </w:pPr>
            <w:r>
              <w:rPr>
                <w:rFonts w:hint="eastAsia" w:ascii="宋体" w:hAnsi="宋体" w:cs="宋体"/>
                <w:b/>
                <w:color w:val="auto"/>
                <w:sz w:val="22"/>
                <w:szCs w:val="22"/>
                <w:highlight w:val="none"/>
              </w:rPr>
              <w:t>注：以上标明“必须提供”的材料属于复印件的扫描件的，必须加盖供应商电子公章，否则响应文件按无效响应处理。</w:t>
            </w:r>
          </w:p>
        </w:tc>
      </w:tr>
      <w:tr w14:paraId="1B269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noWrap w:val="0"/>
            <w:vAlign w:val="center"/>
          </w:tcPr>
          <w:p w14:paraId="2FF1DE3E">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12.2</w:t>
            </w:r>
          </w:p>
        </w:tc>
        <w:tc>
          <w:tcPr>
            <w:tcW w:w="2453" w:type="dxa"/>
            <w:noWrap w:val="0"/>
            <w:vAlign w:val="center"/>
          </w:tcPr>
          <w:p w14:paraId="6166DA53">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响应文件电子版要求</w:t>
            </w:r>
          </w:p>
        </w:tc>
        <w:tc>
          <w:tcPr>
            <w:tcW w:w="6853" w:type="dxa"/>
            <w:noWrap w:val="0"/>
            <w:vAlign w:val="center"/>
          </w:tcPr>
          <w:p w14:paraId="2B8438EB">
            <w:pPr>
              <w:snapToGrid w:val="0"/>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1.响应文件电子版要求：按照本采购文件“第七章 响应文件格式”编写（第七章未附格式的，由供应商自行拟定），不可涂改并在规定加盖公章处加盖电子公章，</w:t>
            </w:r>
            <w:r>
              <w:rPr>
                <w:rFonts w:hint="eastAsia" w:ascii="宋体" w:hAnsi="宋体" w:cs="宋体"/>
                <w:b/>
                <w:color w:val="auto"/>
                <w:sz w:val="22"/>
                <w:szCs w:val="22"/>
                <w:highlight w:val="none"/>
              </w:rPr>
              <w:t>否则响应文件按无效响应处理</w:t>
            </w:r>
            <w:r>
              <w:rPr>
                <w:rFonts w:hint="eastAsia" w:ascii="宋体" w:hAnsi="宋体" w:cs="宋体"/>
                <w:color w:val="auto"/>
                <w:sz w:val="22"/>
                <w:szCs w:val="22"/>
                <w:highlight w:val="none"/>
              </w:rPr>
              <w:t>。</w:t>
            </w:r>
          </w:p>
          <w:p w14:paraId="62E10098">
            <w:pPr>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2.响应文件电子版密封方式：电子响应文件通过平台有效CA加密后在广西政府采购云平台投送。（操作方式见公告附件“电子响应文件制作与投送教程”）</w:t>
            </w:r>
          </w:p>
        </w:tc>
      </w:tr>
      <w:tr w14:paraId="2BED0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noWrap w:val="0"/>
            <w:vAlign w:val="center"/>
          </w:tcPr>
          <w:p w14:paraId="6076207D">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15.2</w:t>
            </w:r>
          </w:p>
        </w:tc>
        <w:tc>
          <w:tcPr>
            <w:tcW w:w="2453" w:type="dxa"/>
            <w:noWrap w:val="0"/>
            <w:vAlign w:val="center"/>
          </w:tcPr>
          <w:p w14:paraId="55042452">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响应报价要求</w:t>
            </w:r>
          </w:p>
        </w:tc>
        <w:tc>
          <w:tcPr>
            <w:tcW w:w="6853" w:type="dxa"/>
            <w:noWrap w:val="0"/>
            <w:vAlign w:val="center"/>
          </w:tcPr>
          <w:p w14:paraId="7B1AE79C">
            <w:pPr>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供应商必须就所竞标项目的全部“工程量清单”内容作完整唯一报价，漏项报价的或对发包清单内容做更改、选择填报的或有条件的报价，其竞标将视为无效。</w:t>
            </w:r>
            <w:r>
              <w:rPr>
                <w:rFonts w:hint="eastAsia" w:ascii="宋体" w:hAnsi="宋体" w:cs="宋体"/>
                <w:b/>
                <w:bCs/>
                <w:color w:val="auto"/>
                <w:sz w:val="22"/>
                <w:szCs w:val="22"/>
                <w:highlight w:val="none"/>
              </w:rPr>
              <w:t>谈判过程中，供应商的最后报价如有变动，则必须以工程量清单报价表的格式编制提交，供应商须提前做好相关准备并按时递交最后报价文件，否则谈判无效。</w:t>
            </w:r>
          </w:p>
        </w:tc>
      </w:tr>
      <w:tr w14:paraId="4CEC2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noWrap w:val="0"/>
            <w:vAlign w:val="center"/>
          </w:tcPr>
          <w:p w14:paraId="49893A1A">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16.2</w:t>
            </w:r>
          </w:p>
        </w:tc>
        <w:tc>
          <w:tcPr>
            <w:tcW w:w="2453" w:type="dxa"/>
            <w:noWrap w:val="0"/>
            <w:vAlign w:val="center"/>
          </w:tcPr>
          <w:p w14:paraId="794DDDD2">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竞标有效期</w:t>
            </w:r>
          </w:p>
        </w:tc>
        <w:tc>
          <w:tcPr>
            <w:tcW w:w="6853" w:type="dxa"/>
            <w:noWrap w:val="0"/>
            <w:vAlign w:val="center"/>
          </w:tcPr>
          <w:p w14:paraId="5D6C418F">
            <w:pPr>
              <w:pStyle w:val="12"/>
              <w:widowControl w:val="0"/>
              <w:tabs>
                <w:tab w:val="clear" w:pos="454"/>
              </w:tabs>
              <w:spacing w:afterLines="0" w:line="400" w:lineRule="exact"/>
              <w:ind w:left="297" w:hanging="297" w:hangingChars="135"/>
              <w:rPr>
                <w:rFonts w:hint="eastAsia" w:ascii="宋体" w:hAnsi="宋体" w:cs="宋体"/>
                <w:color w:val="auto"/>
                <w:kern w:val="2"/>
                <w:sz w:val="22"/>
                <w:szCs w:val="22"/>
                <w:highlight w:val="none"/>
              </w:rPr>
            </w:pPr>
            <w:r>
              <w:rPr>
                <w:rFonts w:hint="eastAsia" w:ascii="宋体" w:hAnsi="宋体" w:cs="宋体"/>
                <w:color w:val="auto"/>
                <w:kern w:val="2"/>
                <w:sz w:val="22"/>
                <w:szCs w:val="22"/>
                <w:highlight w:val="none"/>
              </w:rPr>
              <w:t>自首次响应文件提交截止之日起</w:t>
            </w:r>
            <w:r>
              <w:rPr>
                <w:rFonts w:hint="eastAsia" w:ascii="宋体" w:hAnsi="宋体" w:cs="宋体"/>
                <w:color w:val="auto"/>
                <w:kern w:val="2"/>
                <w:sz w:val="22"/>
                <w:szCs w:val="22"/>
                <w:highlight w:val="none"/>
                <w:u w:val="single"/>
              </w:rPr>
              <w:t>90</w:t>
            </w:r>
            <w:r>
              <w:rPr>
                <w:rFonts w:hint="eastAsia" w:ascii="宋体" w:hAnsi="宋体" w:cs="宋体"/>
                <w:color w:val="auto"/>
                <w:kern w:val="2"/>
                <w:sz w:val="22"/>
                <w:szCs w:val="22"/>
                <w:highlight w:val="none"/>
              </w:rPr>
              <w:t>日。</w:t>
            </w:r>
          </w:p>
        </w:tc>
      </w:tr>
      <w:tr w14:paraId="2DB23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noWrap w:val="0"/>
            <w:vAlign w:val="center"/>
          </w:tcPr>
          <w:p w14:paraId="758C4AA8">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17.1</w:t>
            </w:r>
          </w:p>
        </w:tc>
        <w:tc>
          <w:tcPr>
            <w:tcW w:w="2453" w:type="dxa"/>
            <w:noWrap w:val="0"/>
            <w:vAlign w:val="center"/>
          </w:tcPr>
          <w:p w14:paraId="0C891C88">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谈判保证金</w:t>
            </w:r>
          </w:p>
        </w:tc>
        <w:tc>
          <w:tcPr>
            <w:tcW w:w="6853" w:type="dxa"/>
            <w:noWrap w:val="0"/>
            <w:vAlign w:val="center"/>
          </w:tcPr>
          <w:p w14:paraId="6D273E13">
            <w:pPr>
              <w:snapToGrid w:val="0"/>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谈判保证金的交纳方式：详见竞争性谈判公告。</w:t>
            </w:r>
          </w:p>
          <w:p w14:paraId="74567F7A">
            <w:pPr>
              <w:snapToGrid w:val="0"/>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谈判保证金的金额：详见竞争性谈判公告。</w:t>
            </w:r>
          </w:p>
          <w:p w14:paraId="74436858">
            <w:pPr>
              <w:snapToGrid w:val="0"/>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相关要求：</w:t>
            </w:r>
          </w:p>
          <w:p w14:paraId="71338BD8">
            <w:pPr>
              <w:snapToGrid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1.谈判保证金采用银行转账交纳方式的，在首次响应文件提交截止时间前交至采购代理机构指定账户并到账，供应商应将银行转账底单的复印件作为谈判保证金提交凭证，放置于商务技术文件中，</w:t>
            </w:r>
            <w:r>
              <w:rPr>
                <w:rFonts w:hint="eastAsia" w:ascii="宋体" w:hAnsi="宋体" w:cs="宋体"/>
                <w:b/>
                <w:color w:val="auto"/>
                <w:sz w:val="22"/>
                <w:szCs w:val="22"/>
                <w:highlight w:val="none"/>
              </w:rPr>
              <w:t>否则响应文件作无效处理</w:t>
            </w:r>
            <w:r>
              <w:rPr>
                <w:rFonts w:hint="eastAsia" w:ascii="宋体" w:hAnsi="宋体" w:cs="宋体"/>
                <w:color w:val="auto"/>
                <w:sz w:val="22"/>
                <w:szCs w:val="22"/>
                <w:highlight w:val="none"/>
              </w:rPr>
              <w:t>。</w:t>
            </w:r>
          </w:p>
          <w:p w14:paraId="0C7DD57B">
            <w:pPr>
              <w:snapToGrid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2.谈判保证金采用支票、汇票或本票交纳方式的，供应商应将支票、汇票或本票的复印件作为谈判保证金提交凭证，放置于商务技术文件中，</w:t>
            </w:r>
            <w:r>
              <w:rPr>
                <w:rFonts w:hint="eastAsia" w:ascii="宋体" w:hAnsi="宋体" w:cs="宋体"/>
                <w:b/>
                <w:color w:val="auto"/>
                <w:sz w:val="22"/>
                <w:szCs w:val="22"/>
                <w:highlight w:val="none"/>
              </w:rPr>
              <w:t>否则响应文件作无效处理</w:t>
            </w:r>
            <w:r>
              <w:rPr>
                <w:rFonts w:hint="eastAsia" w:ascii="宋体" w:hAnsi="宋体" w:cs="宋体"/>
                <w:color w:val="auto"/>
                <w:sz w:val="22"/>
                <w:szCs w:val="22"/>
                <w:highlight w:val="none"/>
              </w:rPr>
              <w:t>。</w:t>
            </w:r>
          </w:p>
          <w:p w14:paraId="42DDFE3B">
            <w:pPr>
              <w:snapToGrid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3.谈判保证金采用银行、保险机构出具的保函交纳方式的，供应商应将保函的复印件作为谈判保证金提交凭证，放置于商务技术文件中，</w:t>
            </w:r>
            <w:r>
              <w:rPr>
                <w:rFonts w:hint="eastAsia" w:ascii="宋体" w:hAnsi="宋体" w:cs="宋体"/>
                <w:b/>
                <w:color w:val="auto"/>
                <w:sz w:val="22"/>
                <w:szCs w:val="22"/>
                <w:highlight w:val="none"/>
              </w:rPr>
              <w:t>否则响应文件作无效处理</w:t>
            </w:r>
            <w:r>
              <w:rPr>
                <w:rFonts w:hint="eastAsia" w:ascii="宋体" w:hAnsi="宋体" w:cs="宋体"/>
                <w:color w:val="auto"/>
                <w:sz w:val="22"/>
                <w:szCs w:val="22"/>
                <w:highlight w:val="none"/>
              </w:rPr>
              <w:t>。并在首次响应文件提交截止时间前，递交单独密封的保函原件【原件单独放入一个密封袋中，并在封口处加盖供应商公章或委托代理人签字，以示密封，在封套上标记“项目名称（项目编号）谈判保证金”字样】，</w:t>
            </w:r>
            <w:r>
              <w:rPr>
                <w:rFonts w:hint="eastAsia" w:ascii="宋体" w:hAnsi="宋体" w:cs="宋体"/>
                <w:b/>
                <w:color w:val="auto"/>
                <w:sz w:val="22"/>
                <w:szCs w:val="22"/>
                <w:highlight w:val="none"/>
              </w:rPr>
              <w:t>否则响应文件作无效处理</w:t>
            </w:r>
            <w:r>
              <w:rPr>
                <w:rFonts w:hint="eastAsia" w:ascii="宋体" w:hAnsi="宋体" w:cs="宋体"/>
                <w:color w:val="auto"/>
                <w:sz w:val="22"/>
                <w:szCs w:val="22"/>
                <w:highlight w:val="none"/>
              </w:rPr>
              <w:t>。</w:t>
            </w:r>
          </w:p>
          <w:p w14:paraId="47D2F694">
            <w:pPr>
              <w:snapToGrid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4.谈判保证金指定账户：详见竞争性谈判公告。</w:t>
            </w:r>
          </w:p>
          <w:p w14:paraId="1F2E8A21">
            <w:pPr>
              <w:snapToGrid w:val="0"/>
              <w:spacing w:line="40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 xml:space="preserve">备注： </w:t>
            </w:r>
          </w:p>
          <w:p w14:paraId="533AE421">
            <w:pPr>
              <w:snapToGrid w:val="0"/>
              <w:spacing w:line="40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1.谈判保证金在首次响应文件提交截止时间后提交的，或不按规定交纳方式交纳的，或未足额交纳的（包含保函额度不足的），视为无效谈判保证金。</w:t>
            </w:r>
          </w:p>
          <w:p w14:paraId="22109994">
            <w:pPr>
              <w:snapToGrid w:val="0"/>
              <w:spacing w:line="40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2.供应商采用现钞方式或从个人账户（自然人竞标除外）转出的谈判保证金，视为无效谈判保证金。</w:t>
            </w:r>
          </w:p>
          <w:p w14:paraId="52480781">
            <w:pPr>
              <w:snapToGrid w:val="0"/>
              <w:spacing w:line="40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3.支票、汇票或本票出现无效或者背书情形的，视为无效谈判保证金。</w:t>
            </w:r>
          </w:p>
          <w:p w14:paraId="77D7EDD3">
            <w:pPr>
              <w:snapToGrid w:val="0"/>
              <w:spacing w:line="40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4.保函有效期低于竞标有效期的，视为无效谈判保证金。</w:t>
            </w:r>
          </w:p>
          <w:p w14:paraId="20BD9C90">
            <w:pPr>
              <w:wordWrap w:val="0"/>
              <w:spacing w:line="40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5.采用银行、保险机构出具保函的，必须为无条件保函，否则视为无效谈判保证金。</w:t>
            </w:r>
          </w:p>
          <w:p w14:paraId="754A61B4">
            <w:pPr>
              <w:wordWrap w:val="0"/>
              <w:spacing w:line="400" w:lineRule="exact"/>
              <w:rPr>
                <w:rFonts w:hint="eastAsia" w:ascii="宋体" w:hAnsi="宋体" w:cs="宋体"/>
                <w:color w:val="auto"/>
                <w:sz w:val="22"/>
                <w:szCs w:val="22"/>
                <w:highlight w:val="none"/>
              </w:rPr>
            </w:pPr>
            <w:r>
              <w:rPr>
                <w:rFonts w:hint="eastAsia" w:ascii="宋体" w:hAnsi="宋体" w:cs="宋体"/>
                <w:b/>
                <w:color w:val="auto"/>
                <w:sz w:val="22"/>
                <w:szCs w:val="22"/>
                <w:highlight w:val="none"/>
              </w:rPr>
              <w:t>6.根据《广西壮族自治区财政厅关于在政府采购活动中推广使用电子保函的通知》（桂财采〔2023〕92号），利用全区政府采购“一张网”优势，依托“广西政府采购金融服务平台”（https://jinrong.zcygov.cn/finance/gx），供应商可通过在线方式完成保函申请、递交、验收和索赔等全流程电子化操作，进一步提升政府采购融资便利度。详情请查看链接：</w:t>
            </w:r>
            <w:r>
              <w:rPr>
                <w:rFonts w:hint="eastAsia" w:ascii="宋体" w:hAnsi="宋体" w:cs="宋体"/>
                <w:b/>
                <w:color w:val="auto"/>
                <w:sz w:val="22"/>
                <w:szCs w:val="22"/>
                <w:highlight w:val="none"/>
                <w:u w:val="single"/>
              </w:rPr>
              <w:t>https://zfcg.gxzf.gov.cn/site/detail?categoryCode=AdministrativeRegulations&amp;parentId=66462&amp;articleId=No0YiLosVtBW1wycVoLyXQ==</w:t>
            </w:r>
            <w:r>
              <w:rPr>
                <w:rFonts w:hint="eastAsia" w:ascii="宋体" w:hAnsi="宋体" w:cs="宋体"/>
                <w:b/>
                <w:color w:val="auto"/>
                <w:sz w:val="22"/>
                <w:szCs w:val="22"/>
                <w:highlight w:val="none"/>
              </w:rPr>
              <w:t>。</w:t>
            </w:r>
          </w:p>
        </w:tc>
      </w:tr>
      <w:tr w14:paraId="1C79C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vMerge w:val="restart"/>
            <w:noWrap w:val="0"/>
            <w:vAlign w:val="center"/>
          </w:tcPr>
          <w:p w14:paraId="61C11016">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20.1</w:t>
            </w:r>
          </w:p>
        </w:tc>
        <w:tc>
          <w:tcPr>
            <w:tcW w:w="2453" w:type="dxa"/>
            <w:noWrap w:val="0"/>
            <w:vAlign w:val="center"/>
          </w:tcPr>
          <w:p w14:paraId="1EBF26E8">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首次响应文件提交起止时间</w:t>
            </w:r>
          </w:p>
        </w:tc>
        <w:tc>
          <w:tcPr>
            <w:tcW w:w="6853" w:type="dxa"/>
            <w:noWrap w:val="0"/>
            <w:vAlign w:val="center"/>
          </w:tcPr>
          <w:p w14:paraId="24A5535F">
            <w:pPr>
              <w:spacing w:line="400" w:lineRule="exact"/>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详见竞争性谈判公告。</w:t>
            </w:r>
          </w:p>
        </w:tc>
      </w:tr>
      <w:tr w14:paraId="0CC12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vMerge w:val="continue"/>
            <w:noWrap w:val="0"/>
            <w:vAlign w:val="center"/>
          </w:tcPr>
          <w:p w14:paraId="4AD5C310">
            <w:pPr>
              <w:spacing w:line="400" w:lineRule="exact"/>
              <w:jc w:val="center"/>
              <w:rPr>
                <w:rFonts w:hint="eastAsia" w:ascii="宋体" w:hAnsi="宋体" w:cs="宋体"/>
                <w:color w:val="auto"/>
                <w:sz w:val="22"/>
                <w:szCs w:val="22"/>
                <w:highlight w:val="none"/>
              </w:rPr>
            </w:pPr>
          </w:p>
        </w:tc>
        <w:tc>
          <w:tcPr>
            <w:tcW w:w="2453" w:type="dxa"/>
            <w:noWrap w:val="0"/>
            <w:vAlign w:val="center"/>
          </w:tcPr>
          <w:p w14:paraId="3EC6E2AF">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首次响应文件提交地点</w:t>
            </w:r>
          </w:p>
        </w:tc>
        <w:tc>
          <w:tcPr>
            <w:tcW w:w="6853" w:type="dxa"/>
            <w:noWrap w:val="0"/>
            <w:vAlign w:val="center"/>
          </w:tcPr>
          <w:p w14:paraId="0A417D11">
            <w:pPr>
              <w:spacing w:line="400" w:lineRule="exact"/>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详见竞争性谈判公告。</w:t>
            </w:r>
          </w:p>
        </w:tc>
      </w:tr>
      <w:tr w14:paraId="51548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noWrap w:val="0"/>
            <w:vAlign w:val="center"/>
          </w:tcPr>
          <w:p w14:paraId="301C8208">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20.6</w:t>
            </w:r>
          </w:p>
        </w:tc>
        <w:tc>
          <w:tcPr>
            <w:tcW w:w="2453" w:type="dxa"/>
            <w:noWrap w:val="0"/>
            <w:vAlign w:val="center"/>
          </w:tcPr>
          <w:p w14:paraId="0C5F4580">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备份响应文件</w:t>
            </w:r>
          </w:p>
        </w:tc>
        <w:tc>
          <w:tcPr>
            <w:tcW w:w="6853" w:type="dxa"/>
            <w:noWrap w:val="0"/>
            <w:vAlign w:val="center"/>
          </w:tcPr>
          <w:p w14:paraId="30030EF9">
            <w:pPr>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本项目不接受备份响应文件。</w:t>
            </w:r>
          </w:p>
        </w:tc>
      </w:tr>
      <w:tr w14:paraId="01D45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noWrap w:val="0"/>
            <w:vAlign w:val="center"/>
          </w:tcPr>
          <w:p w14:paraId="59FDD7E8">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21</w:t>
            </w:r>
          </w:p>
        </w:tc>
        <w:tc>
          <w:tcPr>
            <w:tcW w:w="2453" w:type="dxa"/>
            <w:noWrap w:val="0"/>
            <w:vAlign w:val="center"/>
          </w:tcPr>
          <w:p w14:paraId="31E4D4C7">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首次响应文件的退回</w:t>
            </w:r>
          </w:p>
        </w:tc>
        <w:tc>
          <w:tcPr>
            <w:tcW w:w="6853" w:type="dxa"/>
            <w:noWrap w:val="0"/>
            <w:vAlign w:val="center"/>
          </w:tcPr>
          <w:p w14:paraId="2A979BF9">
            <w:pPr>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详见竞争性谈判公告。</w:t>
            </w:r>
          </w:p>
        </w:tc>
      </w:tr>
      <w:tr w14:paraId="6DB5D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vMerge w:val="restart"/>
            <w:noWrap w:val="0"/>
            <w:vAlign w:val="center"/>
          </w:tcPr>
          <w:p w14:paraId="23F2E9CE">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26.2</w:t>
            </w:r>
          </w:p>
        </w:tc>
        <w:tc>
          <w:tcPr>
            <w:tcW w:w="2453" w:type="dxa"/>
            <w:noWrap w:val="0"/>
            <w:vAlign w:val="center"/>
          </w:tcPr>
          <w:p w14:paraId="3CA5C43D">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负偏离要求</w:t>
            </w:r>
          </w:p>
        </w:tc>
        <w:tc>
          <w:tcPr>
            <w:tcW w:w="6853" w:type="dxa"/>
            <w:noWrap w:val="0"/>
            <w:vAlign w:val="center"/>
          </w:tcPr>
          <w:p w14:paraId="60A8CB8F">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商务条款评审中允许负偏离的条款数为</w:t>
            </w:r>
            <w:r>
              <w:rPr>
                <w:rFonts w:hint="eastAsia" w:ascii="宋体" w:hAnsi="宋体" w:cs="宋体"/>
                <w:color w:val="auto"/>
                <w:sz w:val="22"/>
                <w:szCs w:val="22"/>
                <w:highlight w:val="none"/>
                <w:u w:val="single"/>
              </w:rPr>
              <w:t xml:space="preserve"> 0 </w:t>
            </w:r>
            <w:r>
              <w:rPr>
                <w:rFonts w:hint="eastAsia" w:ascii="宋体" w:hAnsi="宋体" w:cs="宋体"/>
                <w:color w:val="auto"/>
                <w:sz w:val="22"/>
                <w:szCs w:val="22"/>
                <w:highlight w:val="none"/>
              </w:rPr>
              <w:t>项。</w:t>
            </w:r>
          </w:p>
          <w:p w14:paraId="73BC11C9">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技术需求评审中允许负偏离的条款数为</w:t>
            </w:r>
            <w:r>
              <w:rPr>
                <w:rFonts w:hint="eastAsia" w:ascii="宋体" w:hAnsi="宋体" w:cs="宋体"/>
                <w:color w:val="auto"/>
                <w:sz w:val="22"/>
                <w:szCs w:val="22"/>
                <w:highlight w:val="none"/>
                <w:u w:val="single"/>
              </w:rPr>
              <w:t xml:space="preserve"> 0 </w:t>
            </w:r>
            <w:r>
              <w:rPr>
                <w:rFonts w:hint="eastAsia" w:ascii="宋体" w:hAnsi="宋体" w:cs="宋体"/>
                <w:color w:val="auto"/>
                <w:sz w:val="22"/>
                <w:szCs w:val="22"/>
                <w:highlight w:val="none"/>
              </w:rPr>
              <w:t>项。</w:t>
            </w:r>
          </w:p>
        </w:tc>
      </w:tr>
      <w:tr w14:paraId="41637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vMerge w:val="continue"/>
            <w:noWrap w:val="0"/>
            <w:vAlign w:val="center"/>
          </w:tcPr>
          <w:p w14:paraId="1ED97870">
            <w:pPr>
              <w:spacing w:line="400" w:lineRule="exact"/>
              <w:jc w:val="center"/>
              <w:rPr>
                <w:rFonts w:hint="eastAsia" w:ascii="宋体" w:hAnsi="宋体" w:cs="宋体"/>
                <w:color w:val="auto"/>
                <w:sz w:val="22"/>
                <w:szCs w:val="22"/>
                <w:highlight w:val="none"/>
              </w:rPr>
            </w:pPr>
          </w:p>
        </w:tc>
        <w:tc>
          <w:tcPr>
            <w:tcW w:w="2453" w:type="dxa"/>
            <w:noWrap w:val="0"/>
            <w:vAlign w:val="center"/>
          </w:tcPr>
          <w:p w14:paraId="43E19FBC">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谈判的顺序</w:t>
            </w:r>
          </w:p>
        </w:tc>
        <w:tc>
          <w:tcPr>
            <w:tcW w:w="6853" w:type="dxa"/>
            <w:noWrap w:val="0"/>
            <w:vAlign w:val="center"/>
          </w:tcPr>
          <w:p w14:paraId="155D7158">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系统自动提取的顺序</w:t>
            </w:r>
          </w:p>
          <w:p w14:paraId="11AF565B">
            <w:pPr>
              <w:pStyle w:val="14"/>
              <w:spacing w:line="400" w:lineRule="exact"/>
              <w:rPr>
                <w:rFonts w:hint="eastAsia" w:ascii="宋体" w:hAnsi="宋体" w:cs="宋体"/>
                <w:b/>
                <w:color w:val="auto"/>
                <w:sz w:val="22"/>
                <w:szCs w:val="22"/>
                <w:highlight w:val="none"/>
              </w:rPr>
            </w:pPr>
            <w:r>
              <w:rPr>
                <w:rFonts w:hint="eastAsia" w:ascii="宋体" w:hAnsi="宋体" w:cs="宋体"/>
                <w:bCs/>
                <w:color w:val="auto"/>
                <w:sz w:val="22"/>
                <w:szCs w:val="22"/>
                <w:highlight w:val="none"/>
              </w:rPr>
              <w:t>参与谈判前，供应商法定代表人或者委托代理人应持本人有效证件原件[有效证件可以是身份证（含临时身份证明）、机动车驾驶证、社会保障卡或者护照的其中一项]</w:t>
            </w:r>
            <w:r>
              <w:rPr>
                <w:rFonts w:hint="eastAsia" w:ascii="宋体" w:hAnsi="宋体" w:cs="宋体"/>
                <w:color w:val="auto"/>
                <w:sz w:val="22"/>
                <w:szCs w:val="22"/>
                <w:highlight w:val="none"/>
              </w:rPr>
              <w:t>和供应商广西政府采购云平台CA数字证书在线参加谈判</w:t>
            </w:r>
            <w:r>
              <w:rPr>
                <w:rFonts w:hint="eastAsia" w:ascii="宋体" w:hAnsi="宋体" w:cs="宋体"/>
                <w:b/>
                <w:bCs/>
                <w:color w:val="auto"/>
                <w:sz w:val="22"/>
                <w:szCs w:val="22"/>
                <w:highlight w:val="none"/>
              </w:rPr>
              <w:t>（开标当日供应商法定代表人或授权委托人的通讯工具须保持畅通，在规定时间内在线等候谈判）</w:t>
            </w:r>
            <w:r>
              <w:rPr>
                <w:rFonts w:hint="eastAsia" w:ascii="宋体" w:hAnsi="宋体" w:cs="宋体"/>
                <w:b/>
                <w:color w:val="auto"/>
                <w:sz w:val="22"/>
                <w:szCs w:val="22"/>
                <w:highlight w:val="none"/>
              </w:rPr>
              <w:t>，</w:t>
            </w:r>
            <w:r>
              <w:rPr>
                <w:rFonts w:hint="eastAsia" w:ascii="宋体" w:hAnsi="宋体" w:cs="宋体"/>
                <w:color w:val="auto"/>
                <w:sz w:val="22"/>
                <w:szCs w:val="22"/>
                <w:highlight w:val="none"/>
              </w:rPr>
              <w:t>否则视同放弃参加谈判权利，</w:t>
            </w:r>
            <w:r>
              <w:rPr>
                <w:rFonts w:hint="eastAsia" w:ascii="宋体" w:hAnsi="宋体" w:cs="宋体"/>
                <w:bCs/>
                <w:color w:val="auto"/>
                <w:sz w:val="22"/>
                <w:szCs w:val="22"/>
                <w:highlight w:val="none"/>
              </w:rPr>
              <w:t>谈判小组将拒绝其谈判。</w:t>
            </w:r>
          </w:p>
        </w:tc>
      </w:tr>
      <w:tr w14:paraId="25854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vMerge w:val="continue"/>
            <w:noWrap w:val="0"/>
            <w:vAlign w:val="center"/>
          </w:tcPr>
          <w:p w14:paraId="12541141">
            <w:pPr>
              <w:spacing w:line="400" w:lineRule="exact"/>
              <w:jc w:val="center"/>
              <w:rPr>
                <w:rFonts w:hint="eastAsia" w:ascii="宋体" w:hAnsi="宋体" w:cs="宋体"/>
                <w:color w:val="auto"/>
                <w:sz w:val="22"/>
                <w:szCs w:val="22"/>
                <w:highlight w:val="none"/>
              </w:rPr>
            </w:pPr>
          </w:p>
        </w:tc>
        <w:tc>
          <w:tcPr>
            <w:tcW w:w="2453" w:type="dxa"/>
            <w:noWrap w:val="0"/>
            <w:vAlign w:val="center"/>
          </w:tcPr>
          <w:p w14:paraId="26E36B09">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评审价相同时成交原则</w:t>
            </w:r>
          </w:p>
        </w:tc>
        <w:tc>
          <w:tcPr>
            <w:tcW w:w="6853" w:type="dxa"/>
            <w:noWrap w:val="0"/>
            <w:vAlign w:val="center"/>
          </w:tcPr>
          <w:p w14:paraId="3CFA348F">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评审价相同时，按照最后报价由低到高顺序依次推荐；最后报价相同时，按以下原则确定成交候选人的顺序：</w:t>
            </w:r>
          </w:p>
          <w:p w14:paraId="2ECA10D6">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依次按工期短的优先、主要施工管理人员资质优的优先、施工组织设计优的优先的顺序推荐。若以上原则仍相同时，则由谈判小组推荐代表随机抽取推荐。</w:t>
            </w:r>
          </w:p>
        </w:tc>
      </w:tr>
      <w:tr w14:paraId="71044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noWrap w:val="0"/>
            <w:vAlign w:val="center"/>
          </w:tcPr>
          <w:p w14:paraId="06416DF7">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28</w:t>
            </w:r>
          </w:p>
        </w:tc>
        <w:tc>
          <w:tcPr>
            <w:tcW w:w="2453" w:type="dxa"/>
            <w:noWrap w:val="0"/>
            <w:vAlign w:val="center"/>
          </w:tcPr>
          <w:p w14:paraId="196867E5">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履约保证金</w:t>
            </w:r>
          </w:p>
        </w:tc>
        <w:tc>
          <w:tcPr>
            <w:tcW w:w="6853" w:type="dxa"/>
            <w:noWrap w:val="0"/>
            <w:vAlign w:val="center"/>
          </w:tcPr>
          <w:p w14:paraId="0EECDE12">
            <w:pPr>
              <w:autoSpaceDE w:val="0"/>
              <w:autoSpaceDN w:val="0"/>
              <w:snapToGrid w:val="0"/>
              <w:spacing w:line="400" w:lineRule="exact"/>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☑本项目不收取履约保证金。</w:t>
            </w:r>
          </w:p>
          <w:p w14:paraId="7B9F1688">
            <w:pPr>
              <w:autoSpaceDE w:val="0"/>
              <w:autoSpaceDN w:val="0"/>
              <w:snapToGrid w:val="0"/>
              <w:spacing w:line="400" w:lineRule="exact"/>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□本项目收取履约保证金，具体规定如下：</w:t>
            </w:r>
          </w:p>
          <w:p w14:paraId="497C1BE3">
            <w:pPr>
              <w:spacing w:line="40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履约保证金金额：</w:t>
            </w:r>
            <w:r>
              <w:rPr>
                <w:rFonts w:hint="eastAsia" w:ascii="宋体" w:hAnsi="宋体" w:cs="宋体"/>
                <w:color w:val="auto"/>
                <w:sz w:val="22"/>
                <w:szCs w:val="22"/>
                <w:highlight w:val="none"/>
                <w:u w:val="single"/>
              </w:rPr>
              <w:t>合同价款的2%</w:t>
            </w:r>
            <w:r>
              <w:rPr>
                <w:rFonts w:hint="eastAsia" w:ascii="宋体" w:hAnsi="宋体" w:cs="宋体"/>
                <w:color w:val="auto"/>
                <w:sz w:val="22"/>
                <w:szCs w:val="22"/>
                <w:highlight w:val="none"/>
              </w:rPr>
              <w:t>。</w:t>
            </w:r>
            <w:r>
              <w:rPr>
                <w:rFonts w:hint="eastAsia" w:ascii="宋体" w:hAnsi="宋体" w:cs="宋体"/>
                <w:b/>
                <w:i/>
                <w:color w:val="auto"/>
                <w:sz w:val="22"/>
                <w:szCs w:val="22"/>
                <w:highlight w:val="none"/>
              </w:rPr>
              <w:t>（注：履约保证金不超过政府采购合同金额的5%，对中小企业收取的履约保证金数额不得超过政府采购合同金额的2%。采购人可根据供应商的资信等情况减免履约保证金）</w:t>
            </w:r>
          </w:p>
          <w:p w14:paraId="751775FB">
            <w:pPr>
              <w:spacing w:line="40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履约保证金提交方式：银行转账、支票、汇票、本票或者银行、保险机构出具的保函等非现金方式。</w:t>
            </w:r>
          </w:p>
          <w:p w14:paraId="05E9F881">
            <w:pPr>
              <w:spacing w:line="400" w:lineRule="exact"/>
              <w:ind w:firstLine="440" w:firstLineChars="200"/>
              <w:contextualSpacing/>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履约保证金退付方式、时间及条件：采购人应在收到申请之日起28个日历天内扣减供应商赔偿金和其他应从供应商扣回的款项后，将履约金退给供应商（无息）。</w:t>
            </w:r>
          </w:p>
          <w:p w14:paraId="0024B615">
            <w:pPr>
              <w:spacing w:line="40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履约保证金指定账户：</w:t>
            </w:r>
          </w:p>
          <w:p w14:paraId="2EFA51C1">
            <w:pPr>
              <w:spacing w:line="40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开户名称：梧州学院 </w:t>
            </w:r>
          </w:p>
          <w:p w14:paraId="4A1CFF34">
            <w:pPr>
              <w:spacing w:line="40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纳税人识别号：12450400794300741E </w:t>
            </w:r>
          </w:p>
          <w:p w14:paraId="4C1745A3">
            <w:pPr>
              <w:spacing w:line="40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地址：梧州市富民三路82号 </w:t>
            </w:r>
          </w:p>
          <w:p w14:paraId="7EC937F8">
            <w:pPr>
              <w:spacing w:line="40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开户行及账号：农业银行梧州分行营业部 20305301040001988 </w:t>
            </w:r>
          </w:p>
          <w:p w14:paraId="01502177">
            <w:pPr>
              <w:spacing w:line="40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电话：0774-5834125</w:t>
            </w:r>
          </w:p>
          <w:p w14:paraId="07700CFA">
            <w:pPr>
              <w:spacing w:line="400" w:lineRule="exact"/>
              <w:contextualSpacing/>
              <w:rPr>
                <w:rFonts w:hint="eastAsia" w:ascii="宋体" w:hAnsi="宋体" w:cs="宋体"/>
                <w:b/>
                <w:color w:val="auto"/>
                <w:sz w:val="22"/>
                <w:szCs w:val="22"/>
                <w:highlight w:val="none"/>
              </w:rPr>
            </w:pPr>
            <w:r>
              <w:rPr>
                <w:rFonts w:hint="eastAsia" w:ascii="宋体" w:hAnsi="宋体" w:cs="宋体"/>
                <w:b/>
                <w:color w:val="auto"/>
                <w:sz w:val="22"/>
                <w:szCs w:val="22"/>
                <w:highlight w:val="none"/>
              </w:rPr>
              <w:t>备注：</w:t>
            </w:r>
          </w:p>
          <w:p w14:paraId="705038FC">
            <w:pPr>
              <w:spacing w:line="400" w:lineRule="exact"/>
              <w:ind w:firstLine="442" w:firstLineChars="200"/>
              <w:contextualSpacing/>
              <w:rPr>
                <w:rFonts w:hint="eastAsia" w:ascii="宋体" w:hAnsi="宋体" w:cs="宋体"/>
                <w:b/>
                <w:color w:val="auto"/>
                <w:sz w:val="22"/>
                <w:szCs w:val="22"/>
                <w:highlight w:val="none"/>
              </w:rPr>
            </w:pPr>
            <w:r>
              <w:rPr>
                <w:rFonts w:hint="eastAsia" w:ascii="宋体" w:hAnsi="宋体" w:cs="宋体"/>
                <w:b/>
                <w:color w:val="auto"/>
                <w:sz w:val="22"/>
                <w:szCs w:val="22"/>
                <w:highlight w:val="none"/>
              </w:rPr>
              <w:t>1.</w:t>
            </w:r>
            <w:bookmarkStart w:id="37" w:name="_Hlk54170335"/>
            <w:r>
              <w:rPr>
                <w:rFonts w:hint="eastAsia" w:ascii="宋体" w:hAnsi="宋体" w:cs="宋体"/>
                <w:b/>
                <w:color w:val="auto"/>
                <w:sz w:val="22"/>
                <w:szCs w:val="22"/>
                <w:highlight w:val="none"/>
              </w:rPr>
              <w:t>根据《广西壮族自治区财政厅关于持续优化政府采购营商环境推动高质量发展的通知》（桂财采〔2024〕55号）规定，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w:t>
            </w:r>
            <w:bookmarkEnd w:id="37"/>
          </w:p>
          <w:p w14:paraId="2A1D35D3">
            <w:pPr>
              <w:spacing w:line="400" w:lineRule="exact"/>
              <w:ind w:firstLine="442" w:firstLineChars="200"/>
              <w:contextualSpacing/>
              <w:rPr>
                <w:rFonts w:hint="eastAsia" w:ascii="宋体" w:hAnsi="宋体" w:cs="宋体"/>
                <w:b/>
                <w:color w:val="auto"/>
                <w:sz w:val="22"/>
                <w:szCs w:val="22"/>
                <w:highlight w:val="none"/>
              </w:rPr>
            </w:pPr>
            <w:r>
              <w:rPr>
                <w:rFonts w:hint="eastAsia" w:ascii="宋体" w:hAnsi="宋体" w:cs="宋体"/>
                <w:b/>
                <w:color w:val="auto"/>
                <w:sz w:val="22"/>
                <w:szCs w:val="22"/>
                <w:highlight w:val="none"/>
              </w:rPr>
              <w:t>2.履约保证金不足额缴纳的，或者银行、保险机构出具的保函额度不足的或者保函有效期低于合同履行期限（即签订采购合同之日起至履行完合同约定的权利及义务之日止）的，不予签订合同。</w:t>
            </w:r>
          </w:p>
          <w:p w14:paraId="5044C14D">
            <w:pPr>
              <w:spacing w:line="400" w:lineRule="exact"/>
              <w:ind w:firstLine="442" w:firstLineChars="200"/>
              <w:contextualSpacing/>
              <w:rPr>
                <w:rFonts w:hint="eastAsia" w:ascii="宋体" w:hAnsi="宋体" w:cs="宋体"/>
                <w:b/>
                <w:color w:val="auto"/>
                <w:sz w:val="22"/>
                <w:szCs w:val="22"/>
                <w:highlight w:val="none"/>
              </w:rPr>
            </w:pPr>
            <w:r>
              <w:rPr>
                <w:rFonts w:hint="eastAsia" w:ascii="宋体" w:hAnsi="宋体" w:cs="宋体"/>
                <w:b/>
                <w:color w:val="auto"/>
                <w:sz w:val="22"/>
                <w:szCs w:val="22"/>
                <w:highlight w:val="none"/>
              </w:rPr>
              <w:t>3.采用银行、保险机构出具的保函的，必须为无条件保函，否则不予签订合同。</w:t>
            </w:r>
          </w:p>
          <w:p w14:paraId="2715FF47">
            <w:pPr>
              <w:pStyle w:val="14"/>
              <w:spacing w:line="400" w:lineRule="exact"/>
              <w:ind w:firstLine="442" w:firstLineChars="200"/>
              <w:rPr>
                <w:rFonts w:hint="eastAsia" w:ascii="宋体" w:hAnsi="宋体" w:cs="宋体"/>
                <w:color w:val="auto"/>
                <w:highlight w:val="none"/>
              </w:rPr>
            </w:pPr>
            <w:r>
              <w:rPr>
                <w:rFonts w:hint="eastAsia" w:ascii="宋体" w:hAnsi="宋体" w:cs="宋体"/>
                <w:b/>
                <w:color w:val="auto"/>
                <w:sz w:val="22"/>
                <w:szCs w:val="22"/>
                <w:highlight w:val="none"/>
              </w:rPr>
              <w:t>4.供应商为联合体的，由联合体任意一方按规定提交的履约保证金，视为有效履约保证金。</w:t>
            </w:r>
          </w:p>
        </w:tc>
      </w:tr>
      <w:tr w14:paraId="6DC2B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noWrap w:val="0"/>
            <w:vAlign w:val="center"/>
          </w:tcPr>
          <w:p w14:paraId="3196AE0A">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29.5</w:t>
            </w:r>
          </w:p>
        </w:tc>
        <w:tc>
          <w:tcPr>
            <w:tcW w:w="2453" w:type="dxa"/>
            <w:noWrap w:val="0"/>
            <w:vAlign w:val="center"/>
          </w:tcPr>
          <w:p w14:paraId="05052414">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签订合同携带的材料</w:t>
            </w:r>
          </w:p>
        </w:tc>
        <w:tc>
          <w:tcPr>
            <w:tcW w:w="6853" w:type="dxa"/>
            <w:noWrap w:val="0"/>
            <w:vAlign w:val="center"/>
          </w:tcPr>
          <w:p w14:paraId="1FA45384">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成交通知书原件、营业执照副本复印件、单位授权委托书及被授权人身份证原件等其他证明材料。</w:t>
            </w:r>
          </w:p>
        </w:tc>
      </w:tr>
      <w:tr w14:paraId="447B2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vMerge w:val="restart"/>
            <w:noWrap w:val="0"/>
            <w:vAlign w:val="center"/>
          </w:tcPr>
          <w:p w14:paraId="52A7686C">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31.2</w:t>
            </w:r>
          </w:p>
        </w:tc>
        <w:tc>
          <w:tcPr>
            <w:tcW w:w="2453" w:type="dxa"/>
            <w:noWrap w:val="0"/>
            <w:vAlign w:val="center"/>
          </w:tcPr>
          <w:p w14:paraId="6F3F0013">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接收质疑函方式</w:t>
            </w:r>
          </w:p>
        </w:tc>
        <w:tc>
          <w:tcPr>
            <w:tcW w:w="6853" w:type="dxa"/>
            <w:noWrap w:val="0"/>
            <w:vAlign w:val="center"/>
          </w:tcPr>
          <w:p w14:paraId="60CC201C">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以书面形式。</w:t>
            </w:r>
          </w:p>
        </w:tc>
      </w:tr>
      <w:tr w14:paraId="38FB8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vMerge w:val="continue"/>
            <w:noWrap w:val="0"/>
            <w:vAlign w:val="center"/>
          </w:tcPr>
          <w:p w14:paraId="26A71770">
            <w:pPr>
              <w:spacing w:line="400" w:lineRule="exact"/>
              <w:jc w:val="center"/>
              <w:rPr>
                <w:rFonts w:hint="eastAsia" w:ascii="宋体" w:hAnsi="宋体" w:cs="宋体"/>
                <w:color w:val="auto"/>
                <w:sz w:val="22"/>
                <w:szCs w:val="22"/>
                <w:highlight w:val="none"/>
              </w:rPr>
            </w:pPr>
          </w:p>
        </w:tc>
        <w:tc>
          <w:tcPr>
            <w:tcW w:w="2453" w:type="dxa"/>
            <w:noWrap w:val="0"/>
            <w:vAlign w:val="center"/>
          </w:tcPr>
          <w:p w14:paraId="15E27A46">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质疑联系部门及联系方式</w:t>
            </w:r>
          </w:p>
        </w:tc>
        <w:tc>
          <w:tcPr>
            <w:tcW w:w="6853" w:type="dxa"/>
            <w:noWrap w:val="0"/>
            <w:vAlign w:val="center"/>
          </w:tcPr>
          <w:p w14:paraId="79B63925">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（1）广西盛兰达项目管理咨询有限公司；</w:t>
            </w:r>
          </w:p>
          <w:p w14:paraId="760327C4">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联系电话：0774-2728299；</w:t>
            </w:r>
          </w:p>
          <w:p w14:paraId="5ADCA39A">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通讯地址：梧州市龙圩区龙城路86-1号怡安花园第1幢三楼2号商场</w:t>
            </w:r>
          </w:p>
          <w:p w14:paraId="1A9294AD">
            <w:pPr>
              <w:spacing w:line="400" w:lineRule="exact"/>
              <w:rPr>
                <w:rFonts w:hint="eastAsia" w:ascii="宋体" w:hAnsi="宋体" w:cs="宋体"/>
                <w:color w:val="auto"/>
                <w:spacing w:val="6"/>
                <w:kern w:val="48"/>
                <w:sz w:val="22"/>
                <w:szCs w:val="22"/>
                <w:highlight w:val="none"/>
              </w:rPr>
            </w:pPr>
            <w:r>
              <w:rPr>
                <w:rFonts w:hint="eastAsia" w:ascii="宋体" w:hAnsi="宋体" w:cs="宋体"/>
                <w:color w:val="auto"/>
                <w:sz w:val="22"/>
                <w:szCs w:val="22"/>
                <w:highlight w:val="none"/>
              </w:rPr>
              <w:t>（2）</w:t>
            </w:r>
            <w:r>
              <w:rPr>
                <w:rFonts w:hint="eastAsia" w:ascii="宋体" w:hAnsi="宋体" w:cs="宋体"/>
                <w:color w:val="auto"/>
                <w:spacing w:val="6"/>
                <w:kern w:val="48"/>
                <w:sz w:val="22"/>
                <w:szCs w:val="22"/>
                <w:highlight w:val="none"/>
              </w:rPr>
              <w:t>梧州学院；</w:t>
            </w:r>
          </w:p>
          <w:p w14:paraId="04DE60CB">
            <w:pPr>
              <w:spacing w:line="400" w:lineRule="exact"/>
              <w:rPr>
                <w:rFonts w:hint="eastAsia" w:ascii="宋体" w:hAnsi="宋体" w:cs="宋体"/>
                <w:color w:val="auto"/>
                <w:spacing w:val="6"/>
                <w:kern w:val="48"/>
                <w:sz w:val="22"/>
                <w:szCs w:val="22"/>
                <w:highlight w:val="none"/>
              </w:rPr>
            </w:pPr>
            <w:r>
              <w:rPr>
                <w:rFonts w:hint="eastAsia" w:ascii="宋体" w:hAnsi="宋体" w:cs="宋体"/>
                <w:color w:val="auto"/>
                <w:spacing w:val="6"/>
                <w:kern w:val="48"/>
                <w:sz w:val="22"/>
                <w:szCs w:val="22"/>
                <w:highlight w:val="none"/>
              </w:rPr>
              <w:t>联系电话：0774-5835633；</w:t>
            </w:r>
          </w:p>
          <w:p w14:paraId="3299B39A">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通讯地址：梧州市万秀区富民三路82号。</w:t>
            </w:r>
          </w:p>
        </w:tc>
      </w:tr>
      <w:tr w14:paraId="63525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vMerge w:val="continue"/>
            <w:noWrap w:val="0"/>
            <w:vAlign w:val="center"/>
          </w:tcPr>
          <w:p w14:paraId="13126088">
            <w:pPr>
              <w:spacing w:line="400" w:lineRule="exact"/>
              <w:jc w:val="center"/>
              <w:rPr>
                <w:rFonts w:hint="eastAsia" w:ascii="宋体" w:hAnsi="宋体" w:cs="宋体"/>
                <w:color w:val="auto"/>
                <w:sz w:val="22"/>
                <w:szCs w:val="22"/>
                <w:highlight w:val="none"/>
              </w:rPr>
            </w:pPr>
          </w:p>
        </w:tc>
        <w:tc>
          <w:tcPr>
            <w:tcW w:w="2453" w:type="dxa"/>
            <w:noWrap w:val="0"/>
            <w:vAlign w:val="center"/>
          </w:tcPr>
          <w:p w14:paraId="3115A969">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现场提交质疑办理业务时间</w:t>
            </w:r>
          </w:p>
        </w:tc>
        <w:tc>
          <w:tcPr>
            <w:tcW w:w="6853" w:type="dxa"/>
            <w:noWrap w:val="0"/>
            <w:vAlign w:val="center"/>
          </w:tcPr>
          <w:p w14:paraId="04BD19E8">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质疑期内每个工作日8时00分到12时00分，15时00分到18时00分</w:t>
            </w:r>
          </w:p>
        </w:tc>
      </w:tr>
      <w:tr w14:paraId="4CCFB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noWrap w:val="0"/>
            <w:vAlign w:val="center"/>
          </w:tcPr>
          <w:p w14:paraId="5393C8DF">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31.6</w:t>
            </w:r>
          </w:p>
        </w:tc>
        <w:tc>
          <w:tcPr>
            <w:tcW w:w="2453" w:type="dxa"/>
            <w:noWrap w:val="0"/>
            <w:vAlign w:val="center"/>
          </w:tcPr>
          <w:p w14:paraId="60EC8388">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受理投诉方式</w:t>
            </w:r>
          </w:p>
        </w:tc>
        <w:tc>
          <w:tcPr>
            <w:tcW w:w="6853" w:type="dxa"/>
            <w:noWrap w:val="0"/>
            <w:vAlign w:val="center"/>
          </w:tcPr>
          <w:p w14:paraId="648C7057">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1.受理方式：纸质方式受理，投诉书正、副本（经过质疑的事项才可投诉）。</w:t>
            </w:r>
          </w:p>
          <w:p w14:paraId="7194AFE9">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2.邮寄地址：</w:t>
            </w:r>
          </w:p>
          <w:p w14:paraId="0AF96221">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名称：广西壮族自治区财政厅政府采购监督管理处</w:t>
            </w:r>
          </w:p>
          <w:p w14:paraId="011A0FD5">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地址：南宁市桃源路69号</w:t>
            </w:r>
          </w:p>
          <w:p w14:paraId="68C84035">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联系电话：0771-5331544</w:t>
            </w:r>
          </w:p>
        </w:tc>
      </w:tr>
      <w:tr w14:paraId="01AA2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noWrap w:val="0"/>
            <w:vAlign w:val="center"/>
          </w:tcPr>
          <w:p w14:paraId="6369C0D2">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33</w:t>
            </w:r>
          </w:p>
        </w:tc>
        <w:tc>
          <w:tcPr>
            <w:tcW w:w="2453" w:type="dxa"/>
            <w:noWrap w:val="0"/>
            <w:vAlign w:val="center"/>
          </w:tcPr>
          <w:p w14:paraId="2A819BD3">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采购代理服务费</w:t>
            </w:r>
          </w:p>
        </w:tc>
        <w:tc>
          <w:tcPr>
            <w:tcW w:w="6853" w:type="dxa"/>
            <w:noWrap w:val="0"/>
            <w:vAlign w:val="center"/>
          </w:tcPr>
          <w:p w14:paraId="0F27ADC6">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1.是否收取采购代理服务费：</w:t>
            </w:r>
          </w:p>
          <w:p w14:paraId="4E313E89">
            <w:pPr>
              <w:spacing w:line="400" w:lineRule="exact"/>
              <w:rPr>
                <w:rFonts w:hint="eastAsia" w:ascii="宋体" w:hAnsi="宋体" w:cs="宋体"/>
                <w:color w:val="auto"/>
                <w:kern w:val="0"/>
                <w:sz w:val="22"/>
                <w:szCs w:val="22"/>
                <w:highlight w:val="none"/>
              </w:rPr>
            </w:pPr>
            <w:r>
              <w:rPr>
                <w:rFonts w:hint="eastAsia" w:ascii="宋体" w:hAnsi="宋体" w:cs="宋体"/>
                <w:color w:val="auto"/>
                <w:sz w:val="24"/>
                <w:highlight w:val="none"/>
              </w:rPr>
              <w:t>☑</w:t>
            </w:r>
            <w:r>
              <w:rPr>
                <w:rFonts w:hint="eastAsia" w:ascii="宋体" w:hAnsi="宋体" w:cs="宋体"/>
                <w:color w:val="auto"/>
                <w:kern w:val="0"/>
                <w:sz w:val="22"/>
                <w:szCs w:val="22"/>
                <w:highlight w:val="none"/>
              </w:rPr>
              <w:t>是    □否</w:t>
            </w:r>
          </w:p>
          <w:p w14:paraId="4D6C4D14">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2.采购代理服务费支付方式：</w:t>
            </w:r>
          </w:p>
          <w:p w14:paraId="7C8BCDAE">
            <w:pPr>
              <w:spacing w:line="400" w:lineRule="exact"/>
              <w:rPr>
                <w:rFonts w:hint="eastAsia" w:ascii="宋体" w:hAnsi="宋体" w:cs="宋体"/>
                <w:color w:val="auto"/>
                <w:kern w:val="0"/>
                <w:sz w:val="22"/>
                <w:szCs w:val="22"/>
                <w:highlight w:val="none"/>
              </w:rPr>
            </w:pPr>
            <w:r>
              <w:rPr>
                <w:rFonts w:hint="eastAsia" w:ascii="宋体" w:hAnsi="宋体" w:cs="宋体"/>
                <w:color w:val="auto"/>
                <w:sz w:val="24"/>
                <w:highlight w:val="none"/>
              </w:rPr>
              <w:t>☑</w:t>
            </w:r>
            <w:r>
              <w:rPr>
                <w:rFonts w:hint="eastAsia" w:ascii="宋体" w:hAnsi="宋体" w:cs="宋体"/>
                <w:color w:val="auto"/>
                <w:kern w:val="0"/>
                <w:sz w:val="22"/>
                <w:szCs w:val="22"/>
                <w:highlight w:val="none"/>
              </w:rPr>
              <w:t>本项目采购代理服务费由成交供应商领取成交通知书前，一次性向采购代理机构支付。</w:t>
            </w:r>
          </w:p>
          <w:p w14:paraId="562420B2">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□采购人支付。</w:t>
            </w:r>
          </w:p>
          <w:p w14:paraId="3257B6AF">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3.采购代理服务费收取标准：</w:t>
            </w:r>
          </w:p>
          <w:p w14:paraId="1ECD93CB">
            <w:pPr>
              <w:spacing w:line="400" w:lineRule="exact"/>
              <w:rPr>
                <w:rFonts w:hint="eastAsia" w:ascii="宋体" w:hAnsi="宋体" w:cs="宋体"/>
                <w:color w:val="auto"/>
                <w:kern w:val="0"/>
                <w:sz w:val="22"/>
                <w:szCs w:val="22"/>
                <w:highlight w:val="none"/>
              </w:rPr>
            </w:pPr>
            <w:r>
              <w:rPr>
                <w:rFonts w:hint="eastAsia" w:ascii="宋体" w:hAnsi="宋体" w:cs="宋体"/>
                <w:color w:val="auto"/>
                <w:sz w:val="24"/>
                <w:highlight w:val="none"/>
              </w:rPr>
              <w:t>☑</w:t>
            </w:r>
            <w:r>
              <w:rPr>
                <w:rFonts w:hint="eastAsia" w:ascii="宋体" w:hAnsi="宋体" w:cs="宋体"/>
                <w:color w:val="auto"/>
                <w:kern w:val="0"/>
                <w:sz w:val="22"/>
                <w:szCs w:val="22"/>
                <w:highlight w:val="none"/>
              </w:rPr>
              <w:t>以成交金额为计费额，按本须知正文第33.1条规定的（工程类）标准采用差额定率累进法计算出收费基准价格后的99%收取。</w:t>
            </w:r>
          </w:p>
          <w:p w14:paraId="3DAC0FFA">
            <w:pPr>
              <w:spacing w:line="400" w:lineRule="exact"/>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rPr>
              <w:t>□固定采购代理收费</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BBE6895">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4.采购代理费收取银行账户：</w:t>
            </w:r>
          </w:p>
          <w:p w14:paraId="5AD48F0C">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开户名称：广西盛兰达项目管理咨询有限公司</w:t>
            </w:r>
          </w:p>
          <w:p w14:paraId="3A5868FD">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开户银行：中国建设银行股份有限公司梧州龙圩支行</w:t>
            </w:r>
          </w:p>
          <w:p w14:paraId="4279605A">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银行账号：45050164866200000083</w:t>
            </w:r>
          </w:p>
        </w:tc>
      </w:tr>
      <w:tr w14:paraId="449A1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noWrap w:val="0"/>
            <w:vAlign w:val="center"/>
          </w:tcPr>
          <w:p w14:paraId="7AEE2367">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34.1</w:t>
            </w:r>
          </w:p>
        </w:tc>
        <w:tc>
          <w:tcPr>
            <w:tcW w:w="2453" w:type="dxa"/>
            <w:noWrap w:val="0"/>
            <w:vAlign w:val="center"/>
          </w:tcPr>
          <w:p w14:paraId="5BFE2DBC">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解释</w:t>
            </w:r>
          </w:p>
        </w:tc>
        <w:tc>
          <w:tcPr>
            <w:tcW w:w="6853" w:type="dxa"/>
            <w:noWrap w:val="0"/>
            <w:vAlign w:val="center"/>
          </w:tcPr>
          <w:p w14:paraId="7AE2A7CA">
            <w:pPr>
              <w:spacing w:line="400" w:lineRule="exact"/>
              <w:rPr>
                <w:rFonts w:hint="eastAsia" w:ascii="宋体" w:hAnsi="宋体" w:cs="宋体"/>
                <w:b/>
                <w:color w:val="auto"/>
                <w:kern w:val="0"/>
                <w:sz w:val="22"/>
                <w:szCs w:val="22"/>
                <w:highlight w:val="none"/>
              </w:rPr>
            </w:pPr>
            <w:r>
              <w:rPr>
                <w:rFonts w:hint="eastAsia" w:ascii="宋体" w:hAnsi="宋体" w:cs="宋体"/>
                <w:b/>
                <w:bCs/>
                <w:color w:val="auto"/>
                <w:kern w:val="0"/>
                <w:sz w:val="22"/>
                <w:szCs w:val="22"/>
                <w:highlight w:val="none"/>
              </w:rPr>
              <w:t>解释权：</w:t>
            </w:r>
            <w:r>
              <w:rPr>
                <w:rFonts w:hint="eastAsia" w:ascii="宋体" w:hAnsi="宋体" w:cs="宋体"/>
                <w:color w:val="auto"/>
                <w:kern w:val="0"/>
                <w:sz w:val="22"/>
                <w:szCs w:val="22"/>
                <w:highlight w:val="none"/>
              </w:rPr>
              <w:t>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ascii="宋体" w:hAnsi="宋体" w:cs="宋体"/>
                <w:b/>
                <w:color w:val="auto"/>
                <w:kern w:val="0"/>
                <w:sz w:val="22"/>
                <w:szCs w:val="22"/>
                <w:highlight w:val="none"/>
              </w:rPr>
              <w:t>由采购人或者采购代理机构负责解释。</w:t>
            </w:r>
          </w:p>
          <w:p w14:paraId="692C1727">
            <w:pPr>
              <w:tabs>
                <w:tab w:val="left" w:pos="1080"/>
              </w:tabs>
              <w:spacing w:line="400" w:lineRule="exact"/>
              <w:rPr>
                <w:rFonts w:hint="eastAsia" w:ascii="宋体" w:hAnsi="宋体" w:cs="宋体"/>
                <w:color w:val="auto"/>
                <w:sz w:val="22"/>
                <w:szCs w:val="22"/>
                <w:highlight w:val="none"/>
              </w:rPr>
            </w:pPr>
            <w:r>
              <w:rPr>
                <w:rFonts w:hint="eastAsia" w:ascii="宋体" w:hAnsi="宋体" w:cs="宋体"/>
                <w:b/>
                <w:bCs/>
                <w:color w:val="auto"/>
                <w:kern w:val="0"/>
                <w:sz w:val="22"/>
                <w:szCs w:val="22"/>
                <w:highlight w:val="none"/>
              </w:rPr>
              <w:t>法律责任：</w:t>
            </w:r>
            <w:r>
              <w:rPr>
                <w:rFonts w:hint="eastAsia" w:ascii="宋体" w:hAnsi="宋体" w:cs="宋体"/>
                <w:color w:val="auto"/>
                <w:kern w:val="0"/>
                <w:sz w:val="22"/>
                <w:szCs w:val="22"/>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75E5B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dxa"/>
            <w:noWrap w:val="0"/>
            <w:vAlign w:val="center"/>
          </w:tcPr>
          <w:p w14:paraId="5FD90615">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34.2</w:t>
            </w:r>
          </w:p>
        </w:tc>
        <w:tc>
          <w:tcPr>
            <w:tcW w:w="2453" w:type="dxa"/>
            <w:noWrap w:val="0"/>
            <w:vAlign w:val="center"/>
          </w:tcPr>
          <w:p w14:paraId="661F3573">
            <w:pPr>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其他</w:t>
            </w:r>
          </w:p>
        </w:tc>
        <w:tc>
          <w:tcPr>
            <w:tcW w:w="6853" w:type="dxa"/>
            <w:noWrap w:val="0"/>
            <w:vAlign w:val="center"/>
          </w:tcPr>
          <w:p w14:paraId="5C8A7EC1">
            <w:pPr>
              <w:spacing w:line="400" w:lineRule="exac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成交供应商需在成交通知书发出之日起5个工作日内提供3套纸质版响应文件给采购代理机构。要求：纸质版响应文件应为导入至“广西政府采购云平台”电子响应文件的打印版，纸质版响应文件不分正副本，装订要粘贴牢固，不掉页、漏页，不得用金属钉装订。</w:t>
            </w:r>
          </w:p>
          <w:p w14:paraId="654D82ED">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2.本谈判文件中描述供应商的“公章”是指供应商通过指定电子化政府采购平台办理数字证书（CA认证）获得的以法定主体行为名称制作的电子印章。</w:t>
            </w:r>
          </w:p>
          <w:p w14:paraId="438739E1">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3.本谈判文件中描述供应商的“签字”是指供应商通过指定电子化政府采购平台办理数字证书（CA认证）获得的以供应商法定代表人或者委托代理人姓名制作的电子印章或手写签字。</w:t>
            </w:r>
          </w:p>
          <w:p w14:paraId="2667339D">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4.供应商为其他组织或者自然人时，本谈判文件规定的法定代表人指负责人或者自然人。本谈判文件所称负责人是指参加竞标的其他组织营业执照上的负责人，本谈判文件所称自然人是指参与竞标的自然人本人。</w:t>
            </w:r>
          </w:p>
          <w:p w14:paraId="05918B32">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5.自然人竞标的，谈判文件规定盖公章处由自然人摁手指指印。</w:t>
            </w:r>
          </w:p>
          <w:p w14:paraId="4F93ED15">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6.本谈判文件所称的“以上”“以下”“以内”“届满”，包括本数；所称的“不满”“超过”“以外”，不包括本数。</w:t>
            </w:r>
          </w:p>
        </w:tc>
      </w:tr>
    </w:tbl>
    <w:p w14:paraId="6236B2D6">
      <w:pPr>
        <w:pStyle w:val="4"/>
        <w:spacing w:before="0" w:after="0" w:line="360" w:lineRule="auto"/>
        <w:jc w:val="center"/>
        <w:rPr>
          <w:rFonts w:hint="eastAsia" w:ascii="宋体" w:hAnsi="宋体" w:cs="宋体"/>
          <w:b w:val="0"/>
          <w:color w:val="auto"/>
          <w:highlight w:val="none"/>
        </w:rPr>
        <w:sectPr>
          <w:pgSz w:w="11911" w:h="16838"/>
          <w:pgMar w:top="1338" w:right="1502" w:bottom="850" w:left="1678" w:header="1077" w:footer="720" w:gutter="0"/>
          <w:cols w:space="720" w:num="1"/>
        </w:sectPr>
      </w:pPr>
    </w:p>
    <w:p w14:paraId="5A2538C1">
      <w:pPr>
        <w:pStyle w:val="4"/>
        <w:spacing w:before="0" w:after="0" w:line="360" w:lineRule="auto"/>
        <w:jc w:val="center"/>
        <w:rPr>
          <w:rFonts w:hint="eastAsia" w:ascii="宋体" w:hAnsi="宋体" w:cs="宋体"/>
          <w:b w:val="0"/>
          <w:color w:val="auto"/>
          <w:highlight w:val="none"/>
        </w:rPr>
      </w:pPr>
      <w:bookmarkStart w:id="38" w:name="_Toc32549"/>
      <w:r>
        <w:rPr>
          <w:rFonts w:hint="eastAsia" w:ascii="宋体" w:hAnsi="宋体" w:cs="宋体"/>
          <w:bCs w:val="0"/>
          <w:color w:val="auto"/>
          <w:highlight w:val="none"/>
        </w:rPr>
        <w:t>第二节 供应商须知正文</w:t>
      </w:r>
      <w:bookmarkEnd w:id="38"/>
    </w:p>
    <w:p w14:paraId="263EA071">
      <w:pPr>
        <w:pStyle w:val="5"/>
        <w:spacing w:before="0" w:after="0" w:line="440" w:lineRule="exact"/>
        <w:ind w:firstLine="562" w:firstLineChars="200"/>
        <w:rPr>
          <w:rFonts w:hint="eastAsia" w:ascii="宋体" w:hAnsi="宋体" w:cs="宋体"/>
          <w:bCs w:val="0"/>
          <w:color w:val="auto"/>
          <w:sz w:val="28"/>
          <w:szCs w:val="28"/>
          <w:highlight w:val="none"/>
        </w:rPr>
      </w:pPr>
      <w:bookmarkStart w:id="39" w:name="_Toc31503"/>
      <w:r>
        <w:rPr>
          <w:rFonts w:hint="eastAsia" w:ascii="宋体" w:hAnsi="宋体" w:cs="宋体"/>
          <w:bCs w:val="0"/>
          <w:color w:val="auto"/>
          <w:sz w:val="28"/>
          <w:szCs w:val="28"/>
          <w:highlight w:val="none"/>
        </w:rPr>
        <w:t>一、总则</w:t>
      </w:r>
      <w:bookmarkEnd w:id="39"/>
    </w:p>
    <w:p w14:paraId="501D4EFA">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1.适用范围</w:t>
      </w:r>
    </w:p>
    <w:p w14:paraId="66F0CD90">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4F4EA188">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1.2</w:t>
      </w:r>
      <w:r>
        <w:rPr>
          <w:rFonts w:hint="eastAsia" w:ascii="宋体" w:hAnsi="宋体" w:cs="宋体"/>
          <w:color w:val="auto"/>
          <w:spacing w:val="-6"/>
          <w:sz w:val="22"/>
          <w:szCs w:val="22"/>
          <w:highlight w:val="none"/>
        </w:rPr>
        <w:t>本竞争性谈判文件（以下简称谈判文件）适用于本项目的所有采购程序和环节（法律法规另有规定的，从其规定）。</w:t>
      </w:r>
    </w:p>
    <w:p w14:paraId="6F6FEC17">
      <w:pPr>
        <w:spacing w:line="420" w:lineRule="exact"/>
        <w:ind w:firstLine="482" w:firstLineChars="200"/>
        <w:rPr>
          <w:rFonts w:hint="eastAsia" w:ascii="宋体" w:hAnsi="宋体" w:cs="宋体"/>
          <w:color w:val="auto"/>
          <w:szCs w:val="21"/>
          <w:highlight w:val="none"/>
        </w:rPr>
      </w:pPr>
      <w:r>
        <w:rPr>
          <w:rFonts w:hint="eastAsia" w:ascii="宋体" w:hAnsi="宋体" w:cs="宋体"/>
          <w:b/>
          <w:bCs/>
          <w:color w:val="auto"/>
          <w:sz w:val="24"/>
          <w:highlight w:val="none"/>
        </w:rPr>
        <w:t>2.定义</w:t>
      </w:r>
    </w:p>
    <w:p w14:paraId="44AB5813">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2.1“采购人”是指梧州学院。</w:t>
      </w:r>
    </w:p>
    <w:p w14:paraId="70F0400A">
      <w:pPr>
        <w:spacing w:line="420" w:lineRule="exact"/>
        <w:ind w:firstLine="440" w:firstLineChars="200"/>
        <w:rPr>
          <w:rFonts w:hint="eastAsia" w:ascii="宋体" w:hAnsi="宋体" w:cs="宋体"/>
          <w:b/>
          <w:color w:val="auto"/>
          <w:sz w:val="22"/>
          <w:szCs w:val="22"/>
          <w:highlight w:val="none"/>
        </w:rPr>
      </w:pPr>
      <w:r>
        <w:rPr>
          <w:rFonts w:hint="eastAsia" w:ascii="宋体" w:hAnsi="宋体" w:cs="宋体"/>
          <w:color w:val="auto"/>
          <w:sz w:val="22"/>
          <w:szCs w:val="22"/>
          <w:highlight w:val="none"/>
        </w:rPr>
        <w:t>2.2“采购代理机构”是指广西盛兰达项目管理咨询有限公司。</w:t>
      </w:r>
    </w:p>
    <w:p w14:paraId="1AA0CB02">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2.3“供应商”是指向采购人提供货物、工程或者服务的法人、其他组织或者自然人。</w:t>
      </w:r>
    </w:p>
    <w:p w14:paraId="2C59C8FF">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2.4“工程”是指建设工程，包括建筑物和构筑物的新建、改建、扩建、装修、拆除、修缮等。</w:t>
      </w:r>
    </w:p>
    <w:p w14:paraId="2F5BD77F">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2.5“竞标”是指按照本项目竞争性谈判公告或者邀请函规定的方式供应商获取谈判文件、提交响应文件并希望获得标的的行为。</w:t>
      </w:r>
    </w:p>
    <w:p w14:paraId="5D6B6ED5">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2.6“售后服务”是指包含但不限于供应商须承担的备品备件、包装、运输、装卸、保险、货到就位以及安装、调试、培训、保修和其他类似的义务。</w:t>
      </w:r>
    </w:p>
    <w:p w14:paraId="0E729A96">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2.7“书面形式”是指合同书、信件和数据电文（包括电报、电传、传真、电子数据交换和电子邮件）等可以有形地表现所载内容的形式。</w:t>
      </w:r>
    </w:p>
    <w:p w14:paraId="7A460DB9">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2.8“响应文件”</w:t>
      </w:r>
      <w:r>
        <w:rPr>
          <w:rFonts w:hint="eastAsia" w:ascii="宋体" w:hAnsi="宋体" w:cs="宋体"/>
          <w:color w:val="auto"/>
          <w:spacing w:val="-6"/>
          <w:sz w:val="22"/>
          <w:szCs w:val="22"/>
          <w:highlight w:val="none"/>
        </w:rPr>
        <w:t>是指：供应商根据本文件要求，编制包含报价、技术和服务等所有内容的文件。</w:t>
      </w:r>
    </w:p>
    <w:p w14:paraId="2E142847">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2.9“实质性要求”是指采购需求中带“▲”的条款或者不能负偏离的条款或者已经指明不满足按响应文件作无效处理的条款。</w:t>
      </w:r>
    </w:p>
    <w:p w14:paraId="7D35E248">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2.10“正偏离”，是指响应文件对谈判文件“采购需求”中有关条款作出优于条款要求并有利于采购人的响应情形；</w:t>
      </w:r>
    </w:p>
    <w:p w14:paraId="75DC6831">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2.11“负偏离”，是指响应文件对谈判文件“采购需求”中有关条款作出的响应不满足条款要求，导致采购人要求不能得到满足的情形。</w:t>
      </w:r>
    </w:p>
    <w:p w14:paraId="18DF0FDC">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2.12“允许负偏离的条款”是指采购需求中的不属于“实质性要求”的条款。</w:t>
      </w:r>
    </w:p>
    <w:p w14:paraId="56160456">
      <w:pPr>
        <w:spacing w:line="420" w:lineRule="exact"/>
        <w:ind w:firstLine="440" w:firstLineChars="200"/>
        <w:rPr>
          <w:rFonts w:hint="eastAsia" w:ascii="宋体" w:hAnsi="宋体" w:cs="宋体"/>
          <w:color w:val="auto"/>
          <w:szCs w:val="21"/>
          <w:highlight w:val="none"/>
        </w:rPr>
      </w:pPr>
      <w:r>
        <w:rPr>
          <w:rFonts w:hint="eastAsia" w:ascii="宋体" w:hAnsi="宋体" w:cs="宋体"/>
          <w:color w:val="auto"/>
          <w:sz w:val="22"/>
          <w:szCs w:val="22"/>
          <w:highlight w:val="none"/>
        </w:rPr>
        <w:t>2.13“首次报价”是指供应商提交的首次响应文件中的竞标报价。</w:t>
      </w:r>
    </w:p>
    <w:p w14:paraId="787031ED">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3.供应商的资格条件</w:t>
      </w:r>
    </w:p>
    <w:p w14:paraId="6E630C1E">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供应商的资格条件详见“供应商须知前附表”。</w:t>
      </w:r>
    </w:p>
    <w:p w14:paraId="50D2045C">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4.谈判费用</w:t>
      </w:r>
    </w:p>
    <w:p w14:paraId="3C6C8805">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供应商应承担参与本次采购活动有关的所有费用，包括但不限于、勘查现场、编制和提交响应文件、参加谈判与应答、签订合同等，不论竞标结果如何，均应自行承担。</w:t>
      </w:r>
    </w:p>
    <w:p w14:paraId="5C2ECE7A">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5.联合体竞标</w:t>
      </w:r>
    </w:p>
    <w:p w14:paraId="2D5CFFC2">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5.1本项目是否接受联合体竞标，详见“供应商须知前附表”。</w:t>
      </w:r>
    </w:p>
    <w:p w14:paraId="58078BA4">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5.2</w:t>
      </w:r>
      <w:r>
        <w:rPr>
          <w:rFonts w:hint="eastAsia" w:ascii="宋体" w:hAnsi="宋体" w:cs="宋体"/>
          <w:color w:val="auto"/>
          <w:sz w:val="22"/>
          <w:szCs w:val="28"/>
          <w:highlight w:val="none"/>
        </w:rPr>
        <w:t>如接受联合体竞标，</w:t>
      </w:r>
      <w:r>
        <w:rPr>
          <w:rFonts w:hint="eastAsia" w:ascii="宋体" w:hAnsi="宋体" w:cs="宋体"/>
          <w:color w:val="auto"/>
          <w:sz w:val="22"/>
          <w:szCs w:val="22"/>
          <w:highlight w:val="none"/>
        </w:rPr>
        <w:t>联合体竞标要求详见“供应商须知前附表”。</w:t>
      </w:r>
    </w:p>
    <w:p w14:paraId="18599E0D">
      <w:pPr>
        <w:spacing w:line="420" w:lineRule="exact"/>
        <w:ind w:firstLine="440" w:firstLineChars="200"/>
        <w:rPr>
          <w:rFonts w:hint="eastAsia" w:ascii="宋体" w:hAnsi="宋体" w:cs="宋体"/>
          <w:bCs/>
          <w:color w:val="auto"/>
          <w:szCs w:val="21"/>
          <w:highlight w:val="none"/>
        </w:rPr>
      </w:pPr>
      <w:r>
        <w:rPr>
          <w:rFonts w:hint="eastAsia" w:ascii="宋体" w:hAnsi="宋体" w:cs="宋体"/>
          <w:bCs/>
          <w:color w:val="auto"/>
          <w:sz w:val="22"/>
          <w:szCs w:val="22"/>
          <w:highlight w:val="none"/>
        </w:rPr>
        <w:t>5.3根据《政府采购促进中小企业发展暂行办法》（财库〔2020〕46号）及《广西壮族自治区财政厅关于持续优化政府采购营商环境推动高质量发展的通知》（桂财采〔2024〕55号）的规定，接受大中型企业与小微企业组成联合体的采购项目，对于联合协议约定小微企业的合同份额占到合同总金额30%以上的，采购人、采购代理机构应当对联合体的报价给予4%～6%的扣除，用扣除后的价格参加评审。组成联合体的小微企业与联合体内其他企业、分包企业之间存在直接控股、管理关系的，不享受价格扣除优惠政策。</w:t>
      </w:r>
    </w:p>
    <w:p w14:paraId="73683C21">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2F637A0A">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6.1本项目是否允许分包详见“供应商须知前附表”，本项目不允许违法分包。</w:t>
      </w:r>
    </w:p>
    <w:p w14:paraId="38507643">
      <w:pPr>
        <w:spacing w:line="420" w:lineRule="exact"/>
        <w:ind w:firstLine="440" w:firstLineChars="200"/>
        <w:rPr>
          <w:rFonts w:hint="eastAsia" w:ascii="宋体" w:hAnsi="宋体" w:cs="宋体"/>
          <w:color w:val="auto"/>
          <w:szCs w:val="21"/>
          <w:highlight w:val="none"/>
        </w:rPr>
      </w:pPr>
      <w:r>
        <w:rPr>
          <w:rFonts w:hint="eastAsia" w:ascii="宋体" w:hAnsi="宋体" w:cs="宋体"/>
          <w:color w:val="auto"/>
          <w:sz w:val="22"/>
          <w:szCs w:val="22"/>
          <w:highlight w:val="none"/>
        </w:rPr>
        <w:t>6.2</w:t>
      </w:r>
      <w:r>
        <w:rPr>
          <w:rFonts w:hint="eastAsia" w:ascii="宋体" w:hAnsi="宋体" w:cs="宋体"/>
          <w:bCs/>
          <w:color w:val="auto"/>
          <w:sz w:val="22"/>
          <w:szCs w:val="22"/>
          <w:highlight w:val="none"/>
        </w:rPr>
        <w:t>根据《政府采购促进中小企业发展暂行办法》（财库〔2020〕46号）及《广西壮族自治区财政厅关于持续优化政府采购营商环境推动高质量发展的通知》（桂财采〔2024〕55号）的规定</w:t>
      </w:r>
      <w:r>
        <w:rPr>
          <w:rFonts w:hint="eastAsia" w:ascii="宋体" w:hAnsi="宋体" w:cs="宋体"/>
          <w:color w:val="auto"/>
          <w:sz w:val="22"/>
          <w:szCs w:val="22"/>
          <w:highlight w:val="none"/>
        </w:rPr>
        <w:t>，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r>
        <w:rPr>
          <w:rFonts w:hint="eastAsia" w:ascii="宋体" w:hAnsi="宋体" w:cs="宋体"/>
          <w:bCs/>
          <w:color w:val="auto"/>
          <w:sz w:val="22"/>
          <w:szCs w:val="22"/>
          <w:highlight w:val="none"/>
        </w:rPr>
        <w:t>。</w:t>
      </w:r>
    </w:p>
    <w:p w14:paraId="67C1BC31">
      <w:pPr>
        <w:spacing w:line="420" w:lineRule="exact"/>
        <w:ind w:firstLine="482" w:firstLineChars="200"/>
        <w:rPr>
          <w:rFonts w:hint="eastAsia" w:ascii="宋体" w:hAnsi="宋体" w:cs="宋体"/>
          <w:b/>
          <w:bCs/>
          <w:color w:val="auto"/>
          <w:sz w:val="24"/>
          <w:highlight w:val="none"/>
        </w:rPr>
      </w:pPr>
      <w:bookmarkStart w:id="40" w:name="_Toc254970532"/>
      <w:bookmarkStart w:id="41" w:name="_Toc254970673"/>
      <w:r>
        <w:rPr>
          <w:rFonts w:hint="eastAsia" w:ascii="宋体" w:hAnsi="宋体" w:cs="宋体"/>
          <w:b/>
          <w:bCs/>
          <w:color w:val="auto"/>
          <w:sz w:val="24"/>
          <w:highlight w:val="none"/>
        </w:rPr>
        <w:t>7.特别说明</w:t>
      </w:r>
      <w:bookmarkEnd w:id="40"/>
      <w:bookmarkEnd w:id="41"/>
    </w:p>
    <w:p w14:paraId="25023AE6">
      <w:pPr>
        <w:spacing w:line="420" w:lineRule="exact"/>
        <w:ind w:firstLine="440" w:firstLineChars="200"/>
        <w:rPr>
          <w:rFonts w:hint="eastAsia" w:ascii="宋体" w:hAnsi="宋体" w:cs="宋体"/>
          <w:color w:val="auto"/>
          <w:sz w:val="22"/>
          <w:szCs w:val="22"/>
          <w:highlight w:val="none"/>
        </w:rPr>
      </w:pPr>
      <w:bookmarkStart w:id="42" w:name="_8.1提供相同品牌产品且通过资格审查、符合性审查的不同投标人参加同一合"/>
      <w:bookmarkEnd w:id="42"/>
      <w:r>
        <w:rPr>
          <w:rFonts w:hint="eastAsia" w:ascii="宋体" w:hAnsi="宋体" w:cs="宋体"/>
          <w:color w:val="auto"/>
          <w:sz w:val="22"/>
          <w:szCs w:val="22"/>
          <w:highlight w:val="none"/>
        </w:rPr>
        <w:t>7.1提供相同品牌产品的不同供应商参加同一合同项下竞标的，以其中通过资格审查、符合性审查、谈判且最后报价最低的参加报价评审；最后报价相同的，由采购人或者采购人委托谈判小组按照竞争性谈判文件规定的方式确定一个参加评标的供应商，竞争性谈判文件未规定的采取随机抽取方式确定，其他响应文件作无效处理。</w:t>
      </w:r>
    </w:p>
    <w:p w14:paraId="6F4CFC4F">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非单一产品采购项目，多家供应商提供的核心产品品牌相同的，按前款规定处理。</w:t>
      </w:r>
    </w:p>
    <w:p w14:paraId="62F54F14">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7.2如果本谈判文件要求提供供应商或制造商的资格、信誉、荣誉、业绩与企业认证等材料的，资格、信誉、荣誉、业绩与企业认证等必须为供应商或者制造商所拥有或自身获得。</w:t>
      </w:r>
    </w:p>
    <w:p w14:paraId="08455AAF">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7.3供应商应仔细阅读谈判文件的所有内容，按照谈判文件的要求提交响应文件，并对所提供的全部资料的真实性承担法律责任。</w:t>
      </w:r>
    </w:p>
    <w:p w14:paraId="38CA6F1C">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7.4供应商在竞标活动中提供任何虚假材料，其响应文件作无效处理，并报监管部门查处；签订合同后发现的，成交供应商须依照《中华人民共和国消费者权益保护法》的规定赔偿采购人，且民事赔偿并不免除违法供应商的行政与刑事责任。</w:t>
      </w:r>
    </w:p>
    <w:p w14:paraId="4BA03216">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7.5在政府采购活动中，采购人员及相关人员与供应商有下列利害关系之一的，应当回避：</w:t>
      </w:r>
    </w:p>
    <w:p w14:paraId="040EB550">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（1）参加采购活动前3年内与供应商存在劳动关系；</w:t>
      </w:r>
    </w:p>
    <w:p w14:paraId="3A15A3CE">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（2）参加采购活动前3年内担任供应商的董事、监事；</w:t>
      </w:r>
    </w:p>
    <w:p w14:paraId="710130C4">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（3）参加采购活动前3年内是供应商的控股股东或者实际控制人；</w:t>
      </w:r>
    </w:p>
    <w:p w14:paraId="5F4DC19F">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（4）与供应商的法定代表人或者负责人有夫妻、直系血亲、三代以内旁系血亲或者近姻亲关系；</w:t>
      </w:r>
    </w:p>
    <w:p w14:paraId="01040173">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（5）与供应商有其他可能影响政府采购活动公平、公正进行的关系。</w:t>
      </w:r>
    </w:p>
    <w:p w14:paraId="2B33AE04">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25DECBB">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7.6有下列情形之一的视为供应商相互串通竞标，响应文件将被视为无效：</w:t>
      </w:r>
    </w:p>
    <w:p w14:paraId="3A73DEEC">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（1）不同供应商的响应文件由同一单位或者个人编制；</w:t>
      </w:r>
    </w:p>
    <w:p w14:paraId="50AEC5CE">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（2）不同供应商委托同一单位或者个人办理竞标事宜；</w:t>
      </w:r>
    </w:p>
    <w:p w14:paraId="43ADB931">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（3）不同的供应商的响应文件载明的项目管理员为同一个人；</w:t>
      </w:r>
    </w:p>
    <w:p w14:paraId="2FA8EDAE">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（4）不同供应商的响应文件异常一致或者报价呈规律性差异；</w:t>
      </w:r>
    </w:p>
    <w:p w14:paraId="62CE46BB">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（5）不同供应商的响应文件相互混装；</w:t>
      </w:r>
    </w:p>
    <w:p w14:paraId="6EBD0105">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（6）不同供应商的谈判保证金从同一单位或者个人账户转出。</w:t>
      </w:r>
    </w:p>
    <w:p w14:paraId="6ADC8C3C">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7.7供应商有下列情形之一的，属于恶意串通行为</w:t>
      </w:r>
      <w:bookmarkStart w:id="43" w:name="_Hlk54682620"/>
      <w:r>
        <w:rPr>
          <w:rFonts w:hint="eastAsia" w:ascii="宋体" w:hAnsi="宋体" w:cs="宋体"/>
          <w:color w:val="auto"/>
          <w:sz w:val="22"/>
          <w:szCs w:val="22"/>
          <w:highlight w:val="none"/>
        </w:rPr>
        <w:t>，将报同级监督管理部门</w:t>
      </w:r>
      <w:bookmarkEnd w:id="43"/>
      <w:r>
        <w:rPr>
          <w:rFonts w:hint="eastAsia" w:ascii="宋体" w:hAnsi="宋体" w:cs="宋体"/>
          <w:color w:val="auto"/>
          <w:sz w:val="22"/>
          <w:szCs w:val="22"/>
          <w:highlight w:val="none"/>
        </w:rPr>
        <w:t>：</w:t>
      </w:r>
    </w:p>
    <w:p w14:paraId="3B41F1D2">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（1）供应商直接或者间接从采购人或者采购代理机构处获得其他供应商的相关信息并修改其响应文件；</w:t>
      </w:r>
    </w:p>
    <w:p w14:paraId="5DCEF70C">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（2）供应商按照采购人或者采购代理机构的授意撤换、修改响应文件；</w:t>
      </w:r>
    </w:p>
    <w:p w14:paraId="67C662F9">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（3）供应商之间协商报价、技术方案等响应文件或者响应文件的实质性内容；</w:t>
      </w:r>
    </w:p>
    <w:p w14:paraId="6EFF8570">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（4）属于同一集团、协会、商会等组织成员的供应商按照该组织要求协同参加政府采购活动；</w:t>
      </w:r>
    </w:p>
    <w:p w14:paraId="5B82EFFB">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（5）供应商之间事先约定一致抬高或者压低报价，或者在政府采购活动中事先约定轮流以高价位或者低价位成交，或者事先约定由某一特定供应商成交，然后再参加竞标；</w:t>
      </w:r>
    </w:p>
    <w:p w14:paraId="15A80374">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（6）供应商之间商定部分供应商放弃参加政府采购活动或者放弃成交；</w:t>
      </w:r>
    </w:p>
    <w:p w14:paraId="005DC992">
      <w:pPr>
        <w:spacing w:line="420" w:lineRule="exact"/>
        <w:ind w:firstLine="440" w:firstLineChars="200"/>
        <w:rPr>
          <w:rFonts w:hint="eastAsia" w:ascii="宋体" w:hAnsi="宋体" w:cs="宋体"/>
          <w:color w:val="auto"/>
          <w:highlight w:val="none"/>
        </w:rPr>
      </w:pPr>
      <w:r>
        <w:rPr>
          <w:rFonts w:hint="eastAsia" w:ascii="宋体" w:hAnsi="宋体" w:cs="宋体"/>
          <w:color w:val="auto"/>
          <w:sz w:val="22"/>
          <w:szCs w:val="28"/>
          <w:highlight w:val="none"/>
        </w:rPr>
        <w:t>（7）供应商与采购人或者采购代理机构之间、供应商相互之间，为谋求特定供应商成交或者排斥其他供应商的其他串通行为。</w:t>
      </w:r>
      <w:bookmarkStart w:id="44" w:name="_Toc254970534"/>
      <w:bookmarkStart w:id="45" w:name="_Toc254970675"/>
    </w:p>
    <w:p w14:paraId="13C5278B">
      <w:pPr>
        <w:pStyle w:val="5"/>
        <w:spacing w:before="0" w:after="0" w:line="440" w:lineRule="exact"/>
        <w:ind w:firstLine="562" w:firstLineChars="200"/>
        <w:rPr>
          <w:rFonts w:hint="eastAsia" w:ascii="宋体" w:hAnsi="宋体" w:cs="宋体"/>
          <w:color w:val="auto"/>
          <w:sz w:val="28"/>
          <w:szCs w:val="28"/>
          <w:highlight w:val="none"/>
        </w:rPr>
      </w:pPr>
      <w:bookmarkStart w:id="46" w:name="_Toc24694"/>
      <w:r>
        <w:rPr>
          <w:rFonts w:hint="eastAsia" w:ascii="宋体" w:hAnsi="宋体" w:cs="宋体"/>
          <w:color w:val="auto"/>
          <w:sz w:val="28"/>
          <w:szCs w:val="28"/>
          <w:highlight w:val="none"/>
        </w:rPr>
        <w:t>二、谈判文件</w:t>
      </w:r>
      <w:bookmarkEnd w:id="44"/>
      <w:bookmarkEnd w:id="45"/>
      <w:bookmarkEnd w:id="46"/>
    </w:p>
    <w:p w14:paraId="75B06E12">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8.谈判文件的构成</w:t>
      </w:r>
    </w:p>
    <w:p w14:paraId="43000AD6">
      <w:pPr>
        <w:spacing w:line="42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第一章 竞争性谈判公告；</w:t>
      </w:r>
    </w:p>
    <w:p w14:paraId="431881D8">
      <w:pPr>
        <w:spacing w:line="42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第二章 采购需求；</w:t>
      </w:r>
    </w:p>
    <w:p w14:paraId="1D2CA00A">
      <w:pPr>
        <w:spacing w:line="42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第三章 工程量清单</w:t>
      </w:r>
    </w:p>
    <w:p w14:paraId="52FF62B4">
      <w:pPr>
        <w:spacing w:line="42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第四章 图纸</w:t>
      </w:r>
    </w:p>
    <w:p w14:paraId="245E65BD">
      <w:pPr>
        <w:spacing w:line="42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第五章 供应商须知； </w:t>
      </w:r>
    </w:p>
    <w:p w14:paraId="63B1EC4E">
      <w:pPr>
        <w:spacing w:line="42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第六章 评审程序、评审方法和成交标准；</w:t>
      </w:r>
    </w:p>
    <w:p w14:paraId="5EC0AF8D">
      <w:pPr>
        <w:spacing w:line="42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第七章 响应文件格式；</w:t>
      </w:r>
    </w:p>
    <w:p w14:paraId="47754C07">
      <w:pPr>
        <w:spacing w:line="42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第八章 合同文本；</w:t>
      </w:r>
    </w:p>
    <w:p w14:paraId="0F184FDB">
      <w:pPr>
        <w:spacing w:line="42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第九章 质疑、投诉材料格式。</w:t>
      </w:r>
    </w:p>
    <w:p w14:paraId="16104168">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9.供应商的询问</w:t>
      </w:r>
    </w:p>
    <w:p w14:paraId="4716F8F4">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供应商应认真阅读谈判文件的采购需求，如供应商对谈判文件有疑问的，如要求采购人作出澄清或者修改的，供应商应在提交首次响应文件截止之日前，以书面形式向采购人、采购代理机构提出。</w:t>
      </w:r>
    </w:p>
    <w:p w14:paraId="5C31ECBB">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10.谈判文件的澄清和修改</w:t>
      </w:r>
    </w:p>
    <w:p w14:paraId="5B3AC20E">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10.1已获取谈判文件的潜在供应商，若有问题需要澄清，应于应标截止时间前，以书面形式向采购代理机构提出，采购代理机构与采购人研究后，对认为有必要回答的问题，按照本章10.3的内容处理。</w:t>
      </w:r>
    </w:p>
    <w:p w14:paraId="097C9DB6">
      <w:pPr>
        <w:spacing w:line="42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45C5314E">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获取谈判文件的供应商，不足3个工作日的，应当顺延提交首次响应文件截止之日。</w:t>
      </w:r>
    </w:p>
    <w:p w14:paraId="20C7D5F8">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10.4</w:t>
      </w:r>
      <w:r>
        <w:rPr>
          <w:rFonts w:hint="eastAsia" w:ascii="宋体" w:hAnsi="宋体" w:cs="宋体"/>
          <w:color w:val="auto"/>
          <w:sz w:val="22"/>
          <w:szCs w:val="28"/>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6E427B2A">
      <w:pPr>
        <w:spacing w:line="420" w:lineRule="exact"/>
        <w:ind w:firstLine="440" w:firstLineChars="200"/>
        <w:rPr>
          <w:rFonts w:hint="eastAsia" w:ascii="宋体" w:hAnsi="宋体" w:cs="宋体"/>
          <w:color w:val="auto"/>
          <w:sz w:val="22"/>
          <w:szCs w:val="28"/>
          <w:highlight w:val="none"/>
        </w:rPr>
      </w:pPr>
      <w:r>
        <w:rPr>
          <w:rFonts w:hint="eastAsia" w:ascii="宋体" w:hAnsi="宋体" w:cs="宋体"/>
          <w:color w:val="auto"/>
          <w:sz w:val="22"/>
          <w:szCs w:val="28"/>
          <w:highlight w:val="none"/>
        </w:rPr>
        <w:t>10.5采购人和采购代理机构可以视采购具体情况，变更提交首次响应文件截止时间和竞谈时间，将变更时间将在“采购文件公告”中“七、其他补充事宜2.网上查询地址”规定的政府采购信息发布媒体上发布更正公告。</w:t>
      </w:r>
    </w:p>
    <w:p w14:paraId="218799C0">
      <w:pPr>
        <w:spacing w:line="42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r>
        <w:rPr>
          <w:rFonts w:hint="eastAsia" w:ascii="宋体" w:hAnsi="宋体" w:cs="宋体"/>
          <w:b/>
          <w:color w:val="auto"/>
          <w:kern w:val="0"/>
          <w:sz w:val="22"/>
          <w:szCs w:val="22"/>
          <w:highlight w:val="none"/>
        </w:rPr>
        <w:t>响应文件未按谈判文件的澄清、修改的内容编制，又不符合实质性要求的，其响应文件作无效处理。</w:t>
      </w:r>
    </w:p>
    <w:p w14:paraId="75B01CA1">
      <w:pPr>
        <w:pStyle w:val="5"/>
        <w:spacing w:before="0" w:after="0" w:line="440" w:lineRule="exact"/>
        <w:ind w:firstLine="562" w:firstLineChars="200"/>
        <w:rPr>
          <w:rFonts w:hint="eastAsia" w:ascii="宋体" w:hAnsi="宋体" w:cs="宋体"/>
          <w:color w:val="auto"/>
          <w:sz w:val="28"/>
          <w:szCs w:val="28"/>
          <w:highlight w:val="none"/>
        </w:rPr>
      </w:pPr>
      <w:bookmarkStart w:id="47" w:name="_Toc24255"/>
      <w:r>
        <w:rPr>
          <w:rFonts w:hint="eastAsia" w:ascii="宋体" w:hAnsi="宋体" w:cs="宋体"/>
          <w:color w:val="auto"/>
          <w:sz w:val="28"/>
          <w:szCs w:val="28"/>
          <w:highlight w:val="none"/>
        </w:rPr>
        <w:t>三、响应文件的编制</w:t>
      </w:r>
      <w:bookmarkEnd w:id="47"/>
    </w:p>
    <w:p w14:paraId="3A2F5935">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183A5D94">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供应商必须按照谈判文件的要求编制响应文件，并对其提交的响应文件的真实性、合法性承担法律责任。响应文件必须对谈判文件作出实质性响应。</w:t>
      </w:r>
    </w:p>
    <w:p w14:paraId="7C373550">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12.响应文件的组成</w:t>
      </w:r>
    </w:p>
    <w:p w14:paraId="2F59B56A">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12.1响应文件由资格证明文件、报价文件、商务和技术文件三部分组成。</w:t>
      </w:r>
    </w:p>
    <w:p w14:paraId="76EC1EF6">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12.1.1资格证明文件：详见须知前附表</w:t>
      </w:r>
    </w:p>
    <w:p w14:paraId="30AECC33">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12.1.2商务技术文件：详见须知前附表</w:t>
      </w:r>
    </w:p>
    <w:p w14:paraId="499D7EF9">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12.1.3报价文件：详见须知前附表</w:t>
      </w:r>
    </w:p>
    <w:p w14:paraId="018BE32E">
      <w:pPr>
        <w:spacing w:line="420" w:lineRule="exact"/>
        <w:ind w:firstLine="440" w:firstLineChars="200"/>
        <w:rPr>
          <w:rFonts w:hint="eastAsia" w:ascii="宋体" w:hAnsi="宋体" w:cs="宋体"/>
          <w:color w:val="auto"/>
          <w:szCs w:val="21"/>
          <w:highlight w:val="none"/>
        </w:rPr>
      </w:pPr>
      <w:r>
        <w:rPr>
          <w:rFonts w:hint="eastAsia" w:ascii="宋体" w:hAnsi="宋体" w:cs="宋体"/>
          <w:color w:val="auto"/>
          <w:sz w:val="22"/>
          <w:szCs w:val="22"/>
          <w:highlight w:val="none"/>
        </w:rPr>
        <w:t>12.2响应文件电子版：详见须知前附表</w:t>
      </w:r>
    </w:p>
    <w:p w14:paraId="6949B4E2">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13.计量单位</w:t>
      </w:r>
    </w:p>
    <w:p w14:paraId="36786F74">
      <w:pPr>
        <w:spacing w:line="420" w:lineRule="exact"/>
        <w:ind w:firstLine="440" w:firstLineChars="200"/>
        <w:rPr>
          <w:rFonts w:hint="eastAsia" w:ascii="宋体" w:hAnsi="宋体" w:cs="宋体"/>
          <w:color w:val="auto"/>
          <w:szCs w:val="21"/>
          <w:highlight w:val="none"/>
        </w:rPr>
      </w:pPr>
      <w:r>
        <w:rPr>
          <w:rFonts w:hint="eastAsia" w:ascii="宋体" w:hAnsi="宋体" w:cs="宋体"/>
          <w:color w:val="auto"/>
          <w:sz w:val="22"/>
          <w:szCs w:val="22"/>
          <w:highlight w:val="none"/>
        </w:rPr>
        <w:t>谈判文件已有明确规定的，使用谈判文件规定的计量单位；谈判文件没有规定的，应采用中华人民共和国法定计量单位，货币种类为人民币，否则视同未响应。</w:t>
      </w:r>
    </w:p>
    <w:p w14:paraId="00DF8528">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14.竞标的风险</w:t>
      </w:r>
    </w:p>
    <w:p w14:paraId="37ED0199">
      <w:pPr>
        <w:spacing w:line="420" w:lineRule="exact"/>
        <w:ind w:firstLine="440" w:firstLineChars="200"/>
        <w:rPr>
          <w:rFonts w:hint="eastAsia" w:ascii="宋体" w:hAnsi="宋体" w:cs="宋体"/>
          <w:color w:val="auto"/>
          <w:szCs w:val="21"/>
          <w:highlight w:val="none"/>
        </w:rPr>
      </w:pPr>
      <w:r>
        <w:rPr>
          <w:rFonts w:hint="eastAsia" w:ascii="宋体" w:hAnsi="宋体" w:cs="宋体"/>
          <w:color w:val="auto"/>
          <w:sz w:val="22"/>
          <w:szCs w:val="22"/>
          <w:highlight w:val="none"/>
        </w:rPr>
        <w:t>供应商没有按照谈判文件要求提供全部资料，或者供应商没有对谈判文件在各方面作出实质性响应可能导致其响应无效，是供应商应当考虑的风险。</w:t>
      </w:r>
    </w:p>
    <w:p w14:paraId="33E4E705">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3EB15D45">
      <w:pPr>
        <w:tabs>
          <w:tab w:val="left" w:pos="2492"/>
        </w:tabs>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15.1响应报价应按“第</w:t>
      </w:r>
      <w:r>
        <w:rPr>
          <w:rFonts w:hint="eastAsia" w:ascii="宋体" w:hAnsi="宋体" w:cs="宋体"/>
          <w:color w:val="auto"/>
          <w:sz w:val="22"/>
          <w:szCs w:val="22"/>
          <w:highlight w:val="none"/>
          <w:lang w:val="en-US" w:eastAsia="zh-CN"/>
        </w:rPr>
        <w:t>七</w:t>
      </w:r>
      <w:r>
        <w:rPr>
          <w:rFonts w:hint="eastAsia" w:ascii="宋体" w:hAnsi="宋体" w:cs="宋体"/>
          <w:color w:val="auto"/>
          <w:sz w:val="22"/>
          <w:szCs w:val="22"/>
          <w:highlight w:val="none"/>
        </w:rPr>
        <w:t>章 响应文件格式”中“响应报价表”格式填写。</w:t>
      </w:r>
    </w:p>
    <w:p w14:paraId="5A3DADB2">
      <w:pPr>
        <w:tabs>
          <w:tab w:val="left" w:pos="2492"/>
        </w:tabs>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15.2响应报价的价格构成见“供应商须知前附表”。</w:t>
      </w:r>
    </w:p>
    <w:p w14:paraId="6700113C">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15.3响应报价要求</w:t>
      </w:r>
    </w:p>
    <w:p w14:paraId="78C2B62E">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15.3.1供应商的响应报价应符合以下要求，否则响应文件按无效响应处理：</w:t>
      </w:r>
    </w:p>
    <w:p w14:paraId="1DF530AB">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（1）供应商必须就“采购需求”中所竞标的每个分标的全部内容分别作完整唯一总价报价，不得存在漏项报价；</w:t>
      </w:r>
    </w:p>
    <w:p w14:paraId="56AC16AB">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（2）供应商必须就所竞标的分标的单项内容作唯一报价。</w:t>
      </w:r>
    </w:p>
    <w:p w14:paraId="22A9D8A7">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15.3.2响应报价（包含首次报价、最后报价）超过所竞标分标规定的采购预算金额或者最高限价的，其响应文件将作无效处理。</w:t>
      </w:r>
    </w:p>
    <w:p w14:paraId="5EBBF97F">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15.3.3</w:t>
      </w:r>
      <w:bookmarkStart w:id="48" w:name="_Hlk42592874"/>
      <w:r>
        <w:rPr>
          <w:rFonts w:hint="eastAsia" w:ascii="宋体" w:hAnsi="宋体" w:cs="宋体"/>
          <w:color w:val="auto"/>
          <w:sz w:val="22"/>
          <w:szCs w:val="22"/>
          <w:highlight w:val="none"/>
        </w:rPr>
        <w:t>响应报价（包含首次报价、最后报价）超过分项采购预算金额或者最高限价的，其响应文件将作无效处理。</w:t>
      </w:r>
    </w:p>
    <w:bookmarkEnd w:id="48"/>
    <w:p w14:paraId="0AD954CA">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16.竞标有效期</w:t>
      </w:r>
    </w:p>
    <w:p w14:paraId="3608DE9D">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16.1竞标有效期是指为保证采购人有足够的时间在提交响应文件后完成评审、确定成交供应商、合同签订等工作而要求供应商提交的响应文件在一定时间内保持有效的期限。</w:t>
      </w:r>
    </w:p>
    <w:p w14:paraId="3BC044AE">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16.2 竞标有效期应由供应商按“供应商须知前附表”规定的期限作出响应。</w:t>
      </w:r>
    </w:p>
    <w:p w14:paraId="694DAB1A">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16.3供应商的响应文件在竞标有效期内均保持有效。</w:t>
      </w:r>
    </w:p>
    <w:p w14:paraId="31615452">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17.谈判保证金</w:t>
      </w:r>
    </w:p>
    <w:p w14:paraId="13868241">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详见“供应商须知前附表”。</w:t>
      </w:r>
    </w:p>
    <w:p w14:paraId="42AA8D08">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351DEED1">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18.1各供应商在编制响应文件时请按照谈判文件“第</w:t>
      </w:r>
      <w:r>
        <w:rPr>
          <w:rFonts w:hint="eastAsia" w:ascii="宋体" w:hAnsi="宋体" w:cs="宋体"/>
          <w:color w:val="auto"/>
          <w:sz w:val="22"/>
          <w:szCs w:val="22"/>
          <w:highlight w:val="none"/>
          <w:lang w:val="en-US" w:eastAsia="zh-CN"/>
        </w:rPr>
        <w:t>七</w:t>
      </w:r>
      <w:r>
        <w:rPr>
          <w:rFonts w:hint="eastAsia" w:ascii="宋体" w:hAnsi="宋体" w:cs="宋体"/>
          <w:color w:val="auto"/>
          <w:sz w:val="22"/>
          <w:szCs w:val="22"/>
          <w:highlight w:val="none"/>
        </w:rPr>
        <w:t>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cs="宋体"/>
          <w:color w:val="auto"/>
          <w:sz w:val="22"/>
          <w:szCs w:val="28"/>
          <w:highlight w:val="none"/>
        </w:rPr>
        <w:t>由此引发的</w:t>
      </w:r>
      <w:r>
        <w:rPr>
          <w:rFonts w:hint="eastAsia" w:ascii="宋体" w:hAnsi="宋体" w:cs="宋体"/>
          <w:color w:val="auto"/>
          <w:sz w:val="22"/>
          <w:szCs w:val="22"/>
          <w:highlight w:val="none"/>
        </w:rPr>
        <w:t>后果由供应商承担。</w:t>
      </w:r>
    </w:p>
    <w:p w14:paraId="03A9CF0D">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18.2响应文件应按资格证明、报价分别编制，商务技术文件合并编制，本谈判只接收电子版响应文件，要求见本章“12.2响应文件电子版要求”。</w:t>
      </w:r>
    </w:p>
    <w:p w14:paraId="12553F2E">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18.</w:t>
      </w:r>
      <w:bookmarkStart w:id="49" w:name="_Hlk65832699"/>
      <w:r>
        <w:rPr>
          <w:rFonts w:hint="eastAsia" w:ascii="宋体" w:hAnsi="宋体" w:cs="宋体"/>
          <w:color w:val="auto"/>
          <w:sz w:val="22"/>
          <w:szCs w:val="22"/>
          <w:highlight w:val="none"/>
        </w:rPr>
        <w:t>3响应文件须由供应商在</w:t>
      </w:r>
      <w:r>
        <w:rPr>
          <w:rFonts w:hint="eastAsia" w:ascii="宋体" w:hAnsi="宋体" w:cs="宋体"/>
          <w:color w:val="auto"/>
          <w:kern w:val="0"/>
          <w:sz w:val="22"/>
          <w:szCs w:val="22"/>
          <w:highlight w:val="none"/>
          <w:lang w:val="zh-CN"/>
        </w:rPr>
        <w:t>“</w:t>
      </w:r>
      <w:r>
        <w:rPr>
          <w:rFonts w:hint="eastAsia" w:ascii="宋体" w:hAnsi="宋体" w:cs="宋体"/>
          <w:color w:val="auto"/>
          <w:sz w:val="22"/>
          <w:szCs w:val="22"/>
          <w:highlight w:val="none"/>
        </w:rPr>
        <w:t>第</w:t>
      </w:r>
      <w:r>
        <w:rPr>
          <w:rFonts w:hint="eastAsia" w:ascii="宋体" w:hAnsi="宋体" w:cs="宋体"/>
          <w:color w:val="auto"/>
          <w:sz w:val="22"/>
          <w:szCs w:val="22"/>
          <w:highlight w:val="none"/>
          <w:lang w:val="en-US" w:eastAsia="zh-CN"/>
        </w:rPr>
        <w:t>七</w:t>
      </w:r>
      <w:r>
        <w:rPr>
          <w:rFonts w:hint="eastAsia" w:ascii="宋体" w:hAnsi="宋体" w:cs="宋体"/>
          <w:color w:val="auto"/>
          <w:sz w:val="22"/>
          <w:szCs w:val="22"/>
          <w:highlight w:val="none"/>
        </w:rPr>
        <w:t>章 响应文件格式</w:t>
      </w:r>
      <w:r>
        <w:rPr>
          <w:rFonts w:hint="eastAsia" w:ascii="宋体" w:hAnsi="宋体" w:cs="宋体"/>
          <w:color w:val="auto"/>
          <w:kern w:val="0"/>
          <w:sz w:val="22"/>
          <w:szCs w:val="22"/>
          <w:highlight w:val="none"/>
          <w:lang w:val="zh-CN"/>
        </w:rPr>
        <w:t>”</w:t>
      </w:r>
      <w:r>
        <w:rPr>
          <w:rFonts w:hint="eastAsia" w:ascii="宋体" w:hAnsi="宋体" w:cs="宋体"/>
          <w:color w:val="auto"/>
          <w:sz w:val="22"/>
          <w:szCs w:val="22"/>
          <w:highlight w:val="none"/>
        </w:rPr>
        <w:t>规定位置进行签署、盖章</w:t>
      </w:r>
      <w:bookmarkEnd w:id="49"/>
      <w:r>
        <w:rPr>
          <w:rFonts w:hint="eastAsia" w:ascii="宋体" w:hAnsi="宋体" w:cs="宋体"/>
          <w:color w:val="auto"/>
          <w:sz w:val="22"/>
          <w:szCs w:val="22"/>
          <w:highlight w:val="none"/>
        </w:rPr>
        <w:t>，否则其响应文件按无效响应处理。骑缝盖公章不视为在规定位置盖章。</w:t>
      </w:r>
    </w:p>
    <w:p w14:paraId="345D522A">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18.4响应文件中标注的供应商名称应与营业执照（事业单位法人证书、执业许可证、自然人身份证）及电子公章一致，否则其响应文件按无效响应处理。</w:t>
      </w:r>
    </w:p>
    <w:p w14:paraId="3E94EDD7">
      <w:pPr>
        <w:spacing w:line="420" w:lineRule="exact"/>
        <w:ind w:firstLine="440" w:firstLineChars="200"/>
        <w:rPr>
          <w:rFonts w:hint="eastAsia" w:ascii="宋体" w:hAnsi="宋体" w:cs="宋体"/>
          <w:color w:val="auto"/>
          <w:szCs w:val="21"/>
          <w:highlight w:val="none"/>
        </w:rPr>
      </w:pPr>
      <w:r>
        <w:rPr>
          <w:rFonts w:hint="eastAsia" w:ascii="宋体" w:hAnsi="宋体" w:cs="宋体"/>
          <w:color w:val="auto"/>
          <w:sz w:val="22"/>
          <w:szCs w:val="22"/>
          <w:highlight w:val="none"/>
        </w:rPr>
        <w:t>18.5响应文件应避免涂改、行间插字或者删除，否则其响应文件按无效响应处理。</w:t>
      </w:r>
    </w:p>
    <w:p w14:paraId="42331A46">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7EE3C520">
      <w:pPr>
        <w:spacing w:line="420" w:lineRule="exact"/>
        <w:ind w:firstLine="440" w:firstLineChars="200"/>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19.1供应商进行电子交易应安装客户端软件—“广西政府采购云平台投标客户端”，并按照谈判文件和电子交易平台的要求编制并加密响应文件。供应商未按规定加密的响应文件，电子交易平台将拒收并提示。</w:t>
      </w:r>
    </w:p>
    <w:p w14:paraId="6DC06C05">
      <w:pPr>
        <w:spacing w:line="420" w:lineRule="exact"/>
        <w:ind w:firstLine="440" w:firstLineChars="200"/>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19.2使用“广西政府采购云平台投标客户端”需要提前申领CA数字证书，申领流程见该项目采购公告附件。</w:t>
      </w:r>
    </w:p>
    <w:p w14:paraId="010AFD5D">
      <w:pPr>
        <w:spacing w:line="420" w:lineRule="exact"/>
        <w:ind w:firstLine="440" w:firstLineChars="200"/>
        <w:rPr>
          <w:rFonts w:hint="eastAsia" w:ascii="宋体" w:hAnsi="宋体" w:cs="宋体"/>
          <w:color w:val="auto"/>
          <w:kern w:val="0"/>
          <w:szCs w:val="21"/>
          <w:highlight w:val="none"/>
        </w:rPr>
      </w:pPr>
      <w:r>
        <w:rPr>
          <w:rFonts w:hint="eastAsia" w:ascii="宋体" w:hAnsi="宋体" w:cs="宋体"/>
          <w:color w:val="auto"/>
          <w:kern w:val="0"/>
          <w:sz w:val="22"/>
          <w:szCs w:val="22"/>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6F35381C">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20.响应文件的提交</w:t>
      </w:r>
    </w:p>
    <w:p w14:paraId="3AF464A9">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20.1供应商必须在“供应商须知前附表”规定的时间和地点提交响应文件。</w:t>
      </w:r>
    </w:p>
    <w:p w14:paraId="3CEE46C7">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20.2 在响应文件提交截止时间以后，不能补充、修改响应文件。</w:t>
      </w:r>
    </w:p>
    <w:p w14:paraId="66960588">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20.3 在提交“最后报价”后，供应商不能退出谈判。</w:t>
      </w:r>
    </w:p>
    <w:p w14:paraId="189871CB">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CB11CA1">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20.5 采购机构不可视情况延长提交响应文件的截止时间。</w:t>
      </w:r>
    </w:p>
    <w:p w14:paraId="5E358413">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20.6备份响应文件。详见</w:t>
      </w:r>
      <w:r>
        <w:rPr>
          <w:rFonts w:hint="eastAsia" w:ascii="宋体" w:hAnsi="宋体" w:cs="宋体"/>
          <w:bCs/>
          <w:color w:val="auto"/>
          <w:sz w:val="22"/>
          <w:szCs w:val="22"/>
          <w:highlight w:val="none"/>
        </w:rPr>
        <w:t>“供应商须知前附表”。</w:t>
      </w:r>
    </w:p>
    <w:p w14:paraId="4CD12AE4">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7146F646">
      <w:pPr>
        <w:pStyle w:val="75"/>
        <w:spacing w:before="0" w:line="420" w:lineRule="exact"/>
        <w:ind w:firstLine="440"/>
        <w:rPr>
          <w:rFonts w:hint="eastAsia" w:ascii="宋体" w:hAnsi="宋体" w:cs="宋体"/>
          <w:color w:val="auto"/>
          <w:sz w:val="21"/>
          <w:szCs w:val="21"/>
          <w:highlight w:val="none"/>
        </w:rPr>
      </w:pPr>
      <w:r>
        <w:rPr>
          <w:rFonts w:hint="eastAsia" w:ascii="宋体" w:hAnsi="宋体" w:cs="宋体"/>
          <w:color w:val="auto"/>
          <w:sz w:val="22"/>
          <w:szCs w:val="22"/>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7221B924">
      <w:pPr>
        <w:spacing w:line="420" w:lineRule="exact"/>
        <w:ind w:firstLine="482" w:firstLineChars="200"/>
        <w:rPr>
          <w:rFonts w:hint="eastAsia" w:ascii="宋体" w:hAnsi="宋体" w:cs="宋体"/>
          <w:b/>
          <w:bCs/>
          <w:color w:val="auto"/>
          <w:sz w:val="24"/>
          <w:highlight w:val="none"/>
        </w:rPr>
      </w:pPr>
      <w:bookmarkStart w:id="50" w:name="_Hlk45702405"/>
      <w:r>
        <w:rPr>
          <w:rFonts w:hint="eastAsia" w:ascii="宋体" w:hAnsi="宋体" w:cs="宋体"/>
          <w:b/>
          <w:bCs/>
          <w:color w:val="auto"/>
          <w:sz w:val="24"/>
          <w:highlight w:val="none"/>
        </w:rPr>
        <w:t>22.首次响应文件的退回</w:t>
      </w:r>
    </w:p>
    <w:p w14:paraId="7F311B1D">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详见“供应商须知前附表”。</w:t>
      </w:r>
    </w:p>
    <w:p w14:paraId="2CE50DA5">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23. 截止时间后的撤回</w:t>
      </w:r>
    </w:p>
    <w:p w14:paraId="3007A8EB">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本项目收取谈判保证金，供应商在首次响应文件提交截止时间后可向采购人、采购代理机构书面申请撤回响应文件。</w:t>
      </w:r>
      <w:bookmarkEnd w:id="50"/>
    </w:p>
    <w:p w14:paraId="07816EE6">
      <w:pPr>
        <w:pStyle w:val="5"/>
        <w:spacing w:before="0" w:after="0" w:line="440" w:lineRule="exact"/>
        <w:ind w:firstLine="562" w:firstLineChars="200"/>
        <w:rPr>
          <w:rFonts w:hint="eastAsia" w:ascii="宋体" w:hAnsi="宋体" w:cs="宋体"/>
          <w:color w:val="auto"/>
          <w:sz w:val="28"/>
          <w:szCs w:val="28"/>
          <w:highlight w:val="none"/>
        </w:rPr>
      </w:pPr>
      <w:bookmarkStart w:id="51" w:name="_Toc27286"/>
      <w:r>
        <w:rPr>
          <w:rFonts w:hint="eastAsia" w:ascii="宋体" w:hAnsi="宋体" w:cs="宋体"/>
          <w:color w:val="auto"/>
          <w:sz w:val="28"/>
          <w:szCs w:val="28"/>
          <w:highlight w:val="none"/>
        </w:rPr>
        <w:t>四、评审及谈判</w:t>
      </w:r>
      <w:bookmarkEnd w:id="51"/>
    </w:p>
    <w:p w14:paraId="5687FCB9">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24.谈判小组成立</w:t>
      </w:r>
    </w:p>
    <w:p w14:paraId="26EE8BC7">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谈判方式采购的，谈判小组由5人以上单数组成。</w:t>
      </w:r>
    </w:p>
    <w:p w14:paraId="09002C05">
      <w:pPr>
        <w:spacing w:line="420" w:lineRule="exact"/>
        <w:ind w:firstLine="440" w:firstLineChars="200"/>
        <w:rPr>
          <w:rFonts w:hint="eastAsia" w:ascii="宋体" w:hAnsi="宋体" w:cs="宋体"/>
          <w:color w:val="auto"/>
          <w:szCs w:val="21"/>
          <w:highlight w:val="none"/>
        </w:rPr>
      </w:pPr>
      <w:r>
        <w:rPr>
          <w:rFonts w:hint="eastAsia" w:ascii="宋体" w:hAnsi="宋体" w:cs="宋体"/>
          <w:color w:val="auto"/>
          <w:sz w:val="22"/>
          <w:szCs w:val="22"/>
          <w:highlight w:val="none"/>
        </w:rPr>
        <w:t>24.2评审专家应当从政府采购评审专家库内相关专业的专家名单中随机抽取。技术复杂、专业性强的竞争性谈判采购项目，评审专家中应当包含1名法律专家。</w:t>
      </w:r>
    </w:p>
    <w:p w14:paraId="3D536D09">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28ADBDD4">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25.1首次响应文件由谈判小组或者采购代理机构在“供应商须知前附表”规定的时间开启。</w:t>
      </w:r>
    </w:p>
    <w:p w14:paraId="3322805D">
      <w:pPr>
        <w:spacing w:line="420" w:lineRule="exact"/>
        <w:ind w:firstLine="440" w:firstLineChars="200"/>
        <w:rPr>
          <w:rFonts w:hint="eastAsia" w:ascii="宋体" w:hAnsi="宋体" w:cs="宋体"/>
          <w:bCs/>
          <w:color w:val="auto"/>
          <w:kern w:val="0"/>
          <w:sz w:val="22"/>
          <w:szCs w:val="22"/>
          <w:highlight w:val="none"/>
        </w:rPr>
      </w:pPr>
      <w:r>
        <w:rPr>
          <w:rFonts w:hint="eastAsia" w:ascii="宋体" w:hAnsi="宋体" w:cs="宋体"/>
          <w:color w:val="auto"/>
          <w:kern w:val="0"/>
          <w:sz w:val="22"/>
          <w:szCs w:val="22"/>
          <w:highlight w:val="none"/>
        </w:rPr>
        <w:t xml:space="preserve">25.2 </w:t>
      </w:r>
      <w:r>
        <w:rPr>
          <w:rFonts w:hint="eastAsia" w:ascii="宋体" w:hAnsi="宋体" w:cs="宋体"/>
          <w:bCs/>
          <w:color w:val="auto"/>
          <w:kern w:val="0"/>
          <w:sz w:val="22"/>
          <w:szCs w:val="22"/>
          <w:highlight w:val="none"/>
        </w:rPr>
        <w:t>响应文件解密</w:t>
      </w:r>
    </w:p>
    <w:p w14:paraId="40BCB90B">
      <w:pPr>
        <w:snapToGrid w:val="0"/>
        <w:spacing w:line="420" w:lineRule="exact"/>
        <w:ind w:firstLine="440" w:firstLineChars="200"/>
        <w:rPr>
          <w:rFonts w:hint="eastAsia" w:ascii="宋体" w:hAnsi="宋体" w:cs="宋体"/>
          <w:color w:val="auto"/>
          <w:kern w:val="0"/>
          <w:sz w:val="22"/>
          <w:szCs w:val="22"/>
          <w:highlight w:val="none"/>
        </w:rPr>
      </w:pPr>
      <w:r>
        <w:rPr>
          <w:rFonts w:hint="eastAsia" w:ascii="宋体" w:hAnsi="宋体" w:cs="宋体"/>
          <w:bCs/>
          <w:color w:val="auto"/>
          <w:kern w:val="0"/>
          <w:sz w:val="22"/>
          <w:szCs w:val="22"/>
          <w:highlight w:val="none"/>
        </w:rPr>
        <w:t>采购代理机构将在“供应商须知前附表”规定的时</w:t>
      </w:r>
      <w:r>
        <w:rPr>
          <w:rFonts w:hint="eastAsia" w:ascii="宋体" w:hAnsi="宋体" w:cs="宋体"/>
          <w:color w:val="auto"/>
          <w:kern w:val="0"/>
          <w:sz w:val="22"/>
          <w:szCs w:val="22"/>
          <w:highlight w:val="none"/>
        </w:rPr>
        <w:t>间通过电子交易平台组织响应文件开启，采购机构依托电子交易平台发起开始解密指令，供应商的法定代表人或其委托代理人</w:t>
      </w:r>
      <w:r>
        <w:rPr>
          <w:rFonts w:hint="eastAsia" w:ascii="宋体" w:hAnsi="宋体" w:cs="宋体"/>
          <w:b/>
          <w:color w:val="auto"/>
          <w:kern w:val="0"/>
          <w:sz w:val="22"/>
          <w:szCs w:val="22"/>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color w:val="auto"/>
          <w:kern w:val="0"/>
          <w:sz w:val="22"/>
          <w:szCs w:val="22"/>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cs="宋体"/>
          <w:b/>
          <w:color w:val="auto"/>
          <w:kern w:val="0"/>
          <w:sz w:val="22"/>
          <w:szCs w:val="22"/>
          <w:highlight w:val="none"/>
        </w:rPr>
        <w:t>视为响应文件无效。</w:t>
      </w:r>
      <w:r>
        <w:rPr>
          <w:rFonts w:hint="eastAsia" w:ascii="宋体" w:hAnsi="宋体" w:cs="宋体"/>
          <w:color w:val="auto"/>
          <w:kern w:val="0"/>
          <w:sz w:val="22"/>
          <w:szCs w:val="22"/>
          <w:highlight w:val="none"/>
        </w:rPr>
        <w:t>（解密</w:t>
      </w:r>
      <w:r>
        <w:rPr>
          <w:rFonts w:hint="eastAsia" w:ascii="宋体" w:hAnsi="宋体" w:cs="宋体"/>
          <w:bCs/>
          <w:color w:val="auto"/>
          <w:kern w:val="0"/>
          <w:sz w:val="22"/>
          <w:szCs w:val="22"/>
          <w:highlight w:val="none"/>
        </w:rPr>
        <w:t>异常情况处理：详见本章</w:t>
      </w:r>
      <w:r>
        <w:rPr>
          <w:rFonts w:hint="eastAsia" w:ascii="宋体" w:hAnsi="宋体" w:cs="宋体"/>
          <w:color w:val="auto"/>
          <w:kern w:val="0"/>
          <w:sz w:val="22"/>
          <w:szCs w:val="22"/>
          <w:highlight w:val="none"/>
        </w:rPr>
        <w:t>26.3 电子交易活动的中止。）</w:t>
      </w:r>
    </w:p>
    <w:p w14:paraId="3B7F63FF">
      <w:pPr>
        <w:spacing w:line="420" w:lineRule="exact"/>
        <w:ind w:firstLine="440" w:firstLineChars="200"/>
        <w:rPr>
          <w:rFonts w:hint="eastAsia" w:ascii="宋体" w:hAnsi="宋体" w:cs="宋体"/>
          <w:color w:val="auto"/>
          <w:kern w:val="0"/>
          <w:szCs w:val="21"/>
          <w:highlight w:val="none"/>
        </w:rPr>
      </w:pPr>
      <w:r>
        <w:rPr>
          <w:rFonts w:hint="eastAsia" w:ascii="宋体" w:hAnsi="宋体" w:cs="宋体"/>
          <w:color w:val="auto"/>
          <w:kern w:val="0"/>
          <w:sz w:val="22"/>
          <w:szCs w:val="22"/>
          <w:highlight w:val="none"/>
        </w:rPr>
        <w:t>如</w:t>
      </w:r>
      <w:r>
        <w:rPr>
          <w:rFonts w:hint="eastAsia" w:ascii="宋体" w:hAnsi="宋体" w:cs="宋体"/>
          <w:bCs/>
          <w:color w:val="auto"/>
          <w:kern w:val="0"/>
          <w:sz w:val="22"/>
          <w:szCs w:val="22"/>
          <w:highlight w:val="none"/>
        </w:rPr>
        <w:t>供应商成功解密响应文件，但未在广西政府采购云平台电子开标大厅参加谈判的，视同认可谈判过程和结果，</w:t>
      </w:r>
      <w:r>
        <w:rPr>
          <w:rFonts w:hint="eastAsia" w:ascii="宋体" w:hAnsi="宋体" w:cs="宋体"/>
          <w:color w:val="auto"/>
          <w:kern w:val="0"/>
          <w:sz w:val="22"/>
          <w:szCs w:val="22"/>
          <w:highlight w:val="none"/>
        </w:rPr>
        <w:t>由此产生的后果由供应商自行负责。 参与谈判的供应商不足3家的，不得谈判。</w:t>
      </w:r>
    </w:p>
    <w:p w14:paraId="40AA29B7">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26.评审程序、评审方法和成交标准</w:t>
      </w:r>
    </w:p>
    <w:p w14:paraId="52DCDA34">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26.1谈判小组按照“第</w:t>
      </w:r>
      <w:r>
        <w:rPr>
          <w:rFonts w:hint="eastAsia" w:ascii="宋体" w:hAnsi="宋体" w:cs="宋体"/>
          <w:color w:val="auto"/>
          <w:sz w:val="22"/>
          <w:szCs w:val="22"/>
          <w:highlight w:val="none"/>
          <w:lang w:val="en-US" w:eastAsia="zh-CN"/>
        </w:rPr>
        <w:t>六</w:t>
      </w:r>
      <w:r>
        <w:rPr>
          <w:rFonts w:hint="eastAsia" w:ascii="宋体" w:hAnsi="宋体" w:cs="宋体"/>
          <w:color w:val="auto"/>
          <w:sz w:val="22"/>
          <w:szCs w:val="22"/>
          <w:highlight w:val="none"/>
        </w:rPr>
        <w:t>章 评审程序、评审方法和成交标准”规定的方法、评审因素、标准和程序对响应文件进行评审。</w:t>
      </w:r>
    </w:p>
    <w:p w14:paraId="18FFF5D2">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26.2 采购需求负偏离要求及谈判顺序详见 “供应商须知前附表”。</w:t>
      </w:r>
    </w:p>
    <w:p w14:paraId="2DA05A6A">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26.3电子交易活动的中止。采购过程中出现以下情形，导致电子交易平台无法正常运行，或者无法保证电子交易的公平、公正和安全时，采购机构可中止电子交易活动：</w:t>
      </w:r>
    </w:p>
    <w:p w14:paraId="7BB5B3ED">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（1）电子交易平台发生故障而无法登录访问的； </w:t>
      </w:r>
    </w:p>
    <w:p w14:paraId="0F277992">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（2）电子交易平台应用或数据库出现错误，不能进行正常操作的；</w:t>
      </w:r>
    </w:p>
    <w:p w14:paraId="73136128">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（3）电子交易平台发现严重安全漏洞，有潜在泄密危险的；</w:t>
      </w:r>
    </w:p>
    <w:p w14:paraId="0CAB9473">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（4）病毒发作导致不能进行正常操作的； </w:t>
      </w:r>
    </w:p>
    <w:p w14:paraId="0CAC44D9">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（5）其他无法保证电子交易的公平、公正和安全的情况。</w:t>
      </w:r>
    </w:p>
    <w:p w14:paraId="4E0B6A41">
      <w:pPr>
        <w:spacing w:line="420" w:lineRule="exact"/>
        <w:ind w:firstLine="440" w:firstLineChars="200"/>
        <w:rPr>
          <w:rFonts w:hint="eastAsia" w:ascii="宋体" w:hAnsi="宋体" w:cs="宋体"/>
          <w:color w:val="auto"/>
          <w:highlight w:val="none"/>
        </w:rPr>
      </w:pPr>
      <w:r>
        <w:rPr>
          <w:rFonts w:hint="eastAsia" w:ascii="宋体" w:hAnsi="宋体" w:cs="宋体"/>
          <w:color w:val="auto"/>
          <w:sz w:val="22"/>
          <w:szCs w:val="22"/>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C6B3308">
      <w:pPr>
        <w:pStyle w:val="5"/>
        <w:spacing w:before="0" w:after="0" w:line="440" w:lineRule="exact"/>
        <w:ind w:firstLine="562" w:firstLineChars="200"/>
        <w:rPr>
          <w:rFonts w:hint="eastAsia" w:ascii="宋体" w:hAnsi="宋体" w:cs="宋体"/>
          <w:color w:val="auto"/>
          <w:sz w:val="28"/>
          <w:szCs w:val="28"/>
          <w:highlight w:val="none"/>
        </w:rPr>
      </w:pPr>
      <w:bookmarkStart w:id="52" w:name="_Toc15462"/>
      <w:r>
        <w:rPr>
          <w:rFonts w:hint="eastAsia" w:ascii="宋体" w:hAnsi="宋体" w:cs="宋体"/>
          <w:color w:val="auto"/>
          <w:sz w:val="28"/>
          <w:szCs w:val="28"/>
          <w:highlight w:val="none"/>
        </w:rPr>
        <w:t>五、成交及合同</w:t>
      </w:r>
      <w:bookmarkEnd w:id="52"/>
    </w:p>
    <w:p w14:paraId="1CF182C9">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6BDAECA3">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27.1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谈判小组直接确定成交供应商。采购人逾期未确定成交供应商且不提出异议的，视为确定评审报告提出的排序第一的供应商为成交供应商。</w:t>
      </w:r>
    </w:p>
    <w:p w14:paraId="76C6E5CC">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27.2成交通知及成交结果公告。</w:t>
      </w:r>
      <w:r>
        <w:rPr>
          <w:rFonts w:hint="eastAsia" w:ascii="宋体" w:hAnsi="宋体" w:cs="宋体"/>
          <w:color w:val="auto"/>
          <w:kern w:val="0"/>
          <w:sz w:val="22"/>
          <w:szCs w:val="22"/>
          <w:highlight w:val="none"/>
        </w:rPr>
        <w:t>成交</w:t>
      </w:r>
      <w:r>
        <w:rPr>
          <w:rFonts w:hint="eastAsia" w:ascii="宋体" w:hAnsi="宋体" w:cs="宋体"/>
          <w:color w:val="auto"/>
          <w:sz w:val="22"/>
          <w:szCs w:val="22"/>
          <w:highlight w:val="none"/>
        </w:rPr>
        <w:t>供应商确定后2个工作日内，在省级以上财政部门指定的媒体上公告成交结果，同时向成交供应商发出成交通知书，</w:t>
      </w:r>
      <w:r>
        <w:rPr>
          <w:rFonts w:hint="eastAsia" w:ascii="宋体" w:hAnsi="宋体" w:cs="宋体"/>
          <w:b/>
          <w:bCs/>
          <w:color w:val="auto"/>
          <w:sz w:val="22"/>
          <w:szCs w:val="22"/>
          <w:highlight w:val="none"/>
          <w:u w:val="single"/>
        </w:rPr>
        <w:t>成交通知书规定签订合同的时间不得超过</w:t>
      </w:r>
      <w:r>
        <w:rPr>
          <w:rFonts w:hint="eastAsia" w:ascii="宋体" w:hAnsi="宋体" w:cs="宋体"/>
          <w:b/>
          <w:bCs/>
          <w:color w:val="auto"/>
          <w:sz w:val="22"/>
          <w:szCs w:val="22"/>
          <w:highlight w:val="none"/>
          <w:u w:val="single"/>
          <w:lang w:val="en-US" w:eastAsia="zh-CN"/>
        </w:rPr>
        <w:t>10</w:t>
      </w:r>
      <w:r>
        <w:rPr>
          <w:rFonts w:hint="eastAsia" w:ascii="宋体" w:hAnsi="宋体" w:cs="宋体"/>
          <w:b/>
          <w:bCs/>
          <w:color w:val="auto"/>
          <w:sz w:val="22"/>
          <w:szCs w:val="22"/>
          <w:highlight w:val="none"/>
          <w:u w:val="single"/>
        </w:rPr>
        <w:t>日</w:t>
      </w:r>
      <w:r>
        <w:rPr>
          <w:rFonts w:hint="eastAsia" w:ascii="宋体" w:hAnsi="宋体" w:cs="宋体"/>
          <w:color w:val="auto"/>
          <w:sz w:val="22"/>
          <w:szCs w:val="22"/>
          <w:highlight w:val="none"/>
        </w:rPr>
        <w:t>。</w:t>
      </w:r>
    </w:p>
    <w:p w14:paraId="4FBD71D9">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27.3采购人或者采购代理机构发出成交通知书前，应当对成交供应商信用进行查询核实，对列入失信被执行人名单、重大税收违法失信主体、严重失信主体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53" w:name="_Hlk66782294"/>
      <w:r>
        <w:rPr>
          <w:rFonts w:hint="eastAsia" w:ascii="宋体" w:hAnsi="宋体" w:cs="宋体"/>
          <w:color w:val="auto"/>
          <w:sz w:val="22"/>
          <w:szCs w:val="22"/>
          <w:highlight w:val="none"/>
        </w:rPr>
        <w:t>成交供应商享受《政府采购促进中小企业发展管理办法》（财库〔2020〕46号）规定的中小企业扶持政策的，采购人、采购代理机构应当随成交结果公开成交供应商的《中小企业声明函》。</w:t>
      </w:r>
      <w:bookmarkEnd w:id="53"/>
    </w:p>
    <w:p w14:paraId="57379BEB">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9B929AB">
      <w:pPr>
        <w:spacing w:line="420" w:lineRule="exact"/>
        <w:ind w:firstLine="440" w:firstLineChars="200"/>
        <w:rPr>
          <w:rFonts w:hint="eastAsia" w:ascii="宋体" w:hAnsi="宋体" w:cs="宋体"/>
          <w:color w:val="auto"/>
          <w:sz w:val="22"/>
          <w:szCs w:val="22"/>
          <w:highlight w:val="none"/>
        </w:rPr>
      </w:pPr>
      <w:r>
        <w:rPr>
          <w:rFonts w:hint="eastAsia" w:ascii="宋体" w:hAnsi="宋体" w:cs="宋体"/>
          <w:bCs/>
          <w:color w:val="auto"/>
          <w:sz w:val="22"/>
          <w:szCs w:val="22"/>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8D66472">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28.履约保证金</w:t>
      </w:r>
    </w:p>
    <w:p w14:paraId="3C43E355">
      <w:pPr>
        <w:spacing w:line="420" w:lineRule="exact"/>
        <w:ind w:firstLine="440" w:firstLineChars="200"/>
        <w:rPr>
          <w:rFonts w:hint="eastAsia" w:ascii="宋体" w:hAnsi="宋体" w:cs="宋体"/>
          <w:b/>
          <w:bCs/>
          <w:color w:val="auto"/>
          <w:sz w:val="22"/>
          <w:szCs w:val="22"/>
          <w:highlight w:val="none"/>
        </w:rPr>
      </w:pPr>
      <w:r>
        <w:rPr>
          <w:rFonts w:hint="eastAsia" w:ascii="宋体" w:hAnsi="宋体" w:cs="宋体"/>
          <w:color w:val="auto"/>
          <w:sz w:val="22"/>
          <w:szCs w:val="22"/>
          <w:highlight w:val="none"/>
        </w:rPr>
        <w:t>详见 “供应商须知前附表”。</w:t>
      </w:r>
    </w:p>
    <w:p w14:paraId="1570EAEC">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29.签订合同</w:t>
      </w:r>
    </w:p>
    <w:p w14:paraId="77BFD8BA">
      <w:pPr>
        <w:pStyle w:val="75"/>
        <w:snapToGrid w:val="0"/>
        <w:spacing w:before="0" w:line="420" w:lineRule="exact"/>
        <w:ind w:firstLine="440"/>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29.1采购人与成交供应商应当在成交通知书规定的时间内，按照谈判文件确定的合同文本以及采购标的、服务技术、采购金额、采购数量、技术和服务要求等事项签订政府采购合同。</w:t>
      </w:r>
      <w:r>
        <w:rPr>
          <w:rFonts w:hint="eastAsia" w:ascii="宋体" w:hAnsi="宋体" w:cs="宋体"/>
          <w:color w:val="auto"/>
          <w:sz w:val="22"/>
          <w:szCs w:val="22"/>
          <w:highlight w:val="none"/>
          <w:lang w:val="zh-CN"/>
        </w:rPr>
        <w:t>如成交供应商为联合体的，由联合体成员各方法定代表人或其授权代表与采购人代表签订合同。</w:t>
      </w:r>
    </w:p>
    <w:p w14:paraId="75F9A475">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29.2采购人不得向成交供应商提出超出谈判文件以外的任何要求作为签订合同的条件，不得与成交供应商订立背离谈判文件确定的合同文本以及采购标的、服务技术、采购金额、采购数量、技术和服务要求等实质性内容的协议。</w:t>
      </w:r>
    </w:p>
    <w:p w14:paraId="1937CB7B">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8FE99A4">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29.4如签订合同并生效后，供应商无故拒绝或延期，除按照合同条款处理外，列入不良行为记录，并给予通报。</w:t>
      </w:r>
    </w:p>
    <w:p w14:paraId="7A3A1D50">
      <w:pPr>
        <w:pStyle w:val="75"/>
        <w:spacing w:before="0" w:line="420" w:lineRule="exact"/>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29.5采购合同由采购人与成交供应商根据谈判文件、响应文件等内容通过政府采购电子交易平台在线签订，自动备案，在线签订须携带的材料见“供应商须知前附表”。</w:t>
      </w:r>
    </w:p>
    <w:p w14:paraId="422194C1">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30.政府采购合同公告</w:t>
      </w:r>
    </w:p>
    <w:p w14:paraId="548C038B">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52013BA">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31.询问、质疑和投诉</w:t>
      </w:r>
    </w:p>
    <w:p w14:paraId="4FD7830B">
      <w:pPr>
        <w:spacing w:line="420" w:lineRule="exact"/>
        <w:ind w:firstLine="440" w:firstLineChars="200"/>
        <w:rPr>
          <w:rFonts w:hint="eastAsia" w:ascii="宋体" w:hAnsi="宋体" w:cs="宋体"/>
          <w:color w:val="auto"/>
          <w:sz w:val="22"/>
          <w:szCs w:val="28"/>
          <w:highlight w:val="none"/>
        </w:rPr>
      </w:pPr>
      <w:r>
        <w:rPr>
          <w:rFonts w:hint="eastAsia" w:ascii="宋体" w:hAnsi="宋体" w:cs="宋体"/>
          <w:color w:val="auto"/>
          <w:sz w:val="22"/>
          <w:szCs w:val="28"/>
          <w:highlight w:val="none"/>
        </w:rPr>
        <w:t>31.1供应商对政府采购活动事项有疑问的，可以向采购人、采购代理机构提出询问，采购人或者采购代理机构应当在3个工作日内对供应商依法提出的询问作出答复。</w:t>
      </w:r>
    </w:p>
    <w:p w14:paraId="6407690C">
      <w:pPr>
        <w:spacing w:line="420" w:lineRule="exact"/>
        <w:ind w:firstLine="440" w:firstLineChars="200"/>
        <w:rPr>
          <w:rFonts w:hint="eastAsia" w:ascii="宋体" w:hAnsi="宋体" w:cs="宋体"/>
          <w:b/>
          <w:color w:val="auto"/>
          <w:sz w:val="22"/>
          <w:szCs w:val="22"/>
          <w:highlight w:val="none"/>
        </w:rPr>
      </w:pPr>
      <w:r>
        <w:rPr>
          <w:rFonts w:hint="eastAsia" w:ascii="宋体" w:hAnsi="宋体" w:cs="宋体"/>
          <w:color w:val="auto"/>
          <w:sz w:val="22"/>
          <w:szCs w:val="28"/>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sz w:val="22"/>
          <w:szCs w:val="28"/>
          <w:highlight w:val="none"/>
          <w:shd w:val="clear" w:color="auto" w:fill="FFFFFF"/>
        </w:rPr>
        <w:t>接收质疑函的方式、联系部门、联系</w:t>
      </w:r>
      <w:r>
        <w:rPr>
          <w:rFonts w:hint="eastAsia" w:ascii="宋体" w:hAnsi="宋体" w:cs="宋体"/>
          <w:color w:val="auto"/>
          <w:sz w:val="22"/>
          <w:szCs w:val="22"/>
          <w:highlight w:val="none"/>
          <w:shd w:val="clear" w:color="auto" w:fill="FFFFFF"/>
        </w:rPr>
        <w:t>电话和通讯地址等信息详见</w:t>
      </w:r>
      <w:r>
        <w:rPr>
          <w:rFonts w:hint="eastAsia" w:ascii="宋体" w:hAnsi="宋体" w:cs="宋体"/>
          <w:color w:val="auto"/>
          <w:sz w:val="22"/>
          <w:szCs w:val="22"/>
          <w:highlight w:val="none"/>
        </w:rPr>
        <w:t>“供应商须知前附表”。</w:t>
      </w:r>
      <w:r>
        <w:rPr>
          <w:rFonts w:hint="eastAsia" w:ascii="宋体" w:hAnsi="宋体" w:cs="宋体"/>
          <w:b/>
          <w:color w:val="auto"/>
          <w:sz w:val="22"/>
          <w:szCs w:val="22"/>
          <w:highlight w:val="none"/>
        </w:rPr>
        <w:t xml:space="preserve">具体质疑起算时间及处理方式如下： </w:t>
      </w:r>
    </w:p>
    <w:p w14:paraId="34173DAD">
      <w:pPr>
        <w:spacing w:line="420" w:lineRule="exact"/>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（1）潜在供应商依法获取采购文件后，认为采购文件使自己的权益受到损害的，应当在竞争性谈判采购文件公告期限届满之日起7个工作日内提出质疑。</w:t>
      </w:r>
      <w:r>
        <w:rPr>
          <w:rFonts w:hint="eastAsia" w:ascii="宋体" w:hAnsi="宋体" w:cs="宋体"/>
          <w:color w:val="auto"/>
          <w:sz w:val="22"/>
          <w:szCs w:val="22"/>
          <w:highlight w:val="none"/>
        </w:rPr>
        <w:t>委托代理协议无特殊约定的，</w:t>
      </w:r>
      <w:r>
        <w:rPr>
          <w:rFonts w:hint="eastAsia" w:ascii="宋体" w:hAnsi="宋体" w:cs="宋体"/>
          <w:bCs/>
          <w:color w:val="auto"/>
          <w:sz w:val="22"/>
          <w:szCs w:val="22"/>
          <w:highlight w:val="none"/>
        </w:rPr>
        <w:t>对竞争性谈判文件中采购需求（含资格要求、采购预算和评分办法）的质疑由采购人受理并负责答复；对竞争性谈判文件中的采购执行程序的质疑由采购代理机构受理并负责答复。</w:t>
      </w:r>
    </w:p>
    <w:p w14:paraId="4EE79B13">
      <w:pPr>
        <w:spacing w:line="420" w:lineRule="exact"/>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8B85E3E">
      <w:pPr>
        <w:spacing w:line="420" w:lineRule="exact"/>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（3）供应商认为成交结果使自己的权益受到损害的，应当在成交结果公告期限届满之日起7个工作日内提出质疑，由采购人受理并负责答复。</w:t>
      </w:r>
    </w:p>
    <w:p w14:paraId="05577387">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299F1FC">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sz w:val="22"/>
          <w:szCs w:val="22"/>
          <w:highlight w:val="none"/>
        </w:rPr>
        <w:t>（质疑函格式后附）</w:t>
      </w:r>
      <w:r>
        <w:rPr>
          <w:rFonts w:hint="eastAsia" w:ascii="宋体" w:hAnsi="宋体" w:cs="宋体"/>
          <w:color w:val="auto"/>
          <w:sz w:val="22"/>
          <w:szCs w:val="22"/>
          <w:highlight w:val="none"/>
        </w:rPr>
        <w:t>：</w:t>
      </w:r>
    </w:p>
    <w:p w14:paraId="426D5637">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（1）供应商的姓名或者名称、地址、邮编、联系人及联系电话；</w:t>
      </w:r>
    </w:p>
    <w:p w14:paraId="4EB47D86">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（2）质疑项目的名称、编号；</w:t>
      </w:r>
    </w:p>
    <w:p w14:paraId="51A4CAD2">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（3）具体、明确的质疑事项和与质疑事项相关的请求；</w:t>
      </w:r>
    </w:p>
    <w:p w14:paraId="01BF15A2">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（4）事实依据；</w:t>
      </w:r>
    </w:p>
    <w:p w14:paraId="1784D593">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（5）必要的法律依据；</w:t>
      </w:r>
    </w:p>
    <w:p w14:paraId="1B506510">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（6）提出质疑的日期。</w:t>
      </w:r>
    </w:p>
    <w:p w14:paraId="7235C872">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供应商为自然人的，应当由本人签字；供应商为法人或者其他组织的，应当由法定代表人、主要负责人，或者其委托代理人签字或者盖章，并加盖公章。</w:t>
      </w:r>
    </w:p>
    <w:p w14:paraId="47B3859A">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31.5采购人、采购代理机构认为供应商质疑不成立，或者成立但未对成交结果构成影响的，继续开展采购活动；认为供应商质疑成立且影响或者可能影响成交结果的，按照下列情况处理：</w:t>
      </w:r>
    </w:p>
    <w:p w14:paraId="75BE5592">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（一）对采购文件提出的质疑，依法通过澄清或者修改可以继续开展采购活动的，澄清或者修改采购文件后继续开展采购活动；否则应当修改采购文件后重新开展采购活动。</w:t>
      </w:r>
    </w:p>
    <w:p w14:paraId="28ADBC14">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（二）对采购过程或者成交结果提出的质疑，合格供应商符合法定数量时，可以从合格的成交候选人中另行确定成交供应商的，应当依法另行确定成交供应商；否则应当重新开展采购活动。</w:t>
      </w:r>
    </w:p>
    <w:p w14:paraId="2CD9DCA9">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质疑答复导致成交结果改变的，采购人或者采购代理机构应当将有关情况书面报告本级财政部门。</w:t>
      </w:r>
    </w:p>
    <w:p w14:paraId="4C8D6932">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66952D24">
      <w:pPr>
        <w:pStyle w:val="5"/>
        <w:spacing w:before="0" w:after="0" w:line="440" w:lineRule="exact"/>
        <w:ind w:firstLine="562" w:firstLineChars="200"/>
        <w:rPr>
          <w:rFonts w:hint="eastAsia" w:ascii="宋体" w:hAnsi="宋体" w:cs="宋体"/>
          <w:color w:val="auto"/>
          <w:sz w:val="28"/>
          <w:szCs w:val="28"/>
          <w:highlight w:val="none"/>
        </w:rPr>
      </w:pPr>
      <w:bookmarkStart w:id="54" w:name="_Toc2727"/>
      <w:r>
        <w:rPr>
          <w:rFonts w:hint="eastAsia" w:ascii="宋体" w:hAnsi="宋体" w:cs="宋体"/>
          <w:color w:val="auto"/>
          <w:sz w:val="28"/>
          <w:szCs w:val="28"/>
          <w:highlight w:val="none"/>
        </w:rPr>
        <w:t>六、验收</w:t>
      </w:r>
      <w:bookmarkEnd w:id="54"/>
    </w:p>
    <w:p w14:paraId="677BB41E">
      <w:pPr>
        <w:tabs>
          <w:tab w:val="left" w:pos="0"/>
        </w:tabs>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32.验收</w:t>
      </w:r>
    </w:p>
    <w:p w14:paraId="2ED2B1D7">
      <w:pPr>
        <w:tabs>
          <w:tab w:val="left" w:pos="0"/>
        </w:tabs>
        <w:spacing w:line="42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EBAC640">
      <w:pPr>
        <w:tabs>
          <w:tab w:val="left" w:pos="0"/>
        </w:tabs>
        <w:spacing w:line="42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32.2采购人可以邀请参加本项目的其他供应商或者第三方机构参与验收。参与验收的供应商或者第三方机构的意见作为验收书的参考资料一并存档。</w:t>
      </w:r>
    </w:p>
    <w:p w14:paraId="594E5B7F">
      <w:pPr>
        <w:tabs>
          <w:tab w:val="left" w:pos="0"/>
        </w:tabs>
        <w:spacing w:line="42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D6F6108">
      <w:pPr>
        <w:tabs>
          <w:tab w:val="left" w:pos="0"/>
        </w:tabs>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F938793">
      <w:pPr>
        <w:pStyle w:val="5"/>
        <w:spacing w:before="0" w:after="0" w:line="440" w:lineRule="exact"/>
        <w:ind w:firstLine="562" w:firstLineChars="200"/>
        <w:rPr>
          <w:rFonts w:hint="eastAsia" w:ascii="宋体" w:hAnsi="宋体" w:cs="宋体"/>
          <w:color w:val="auto"/>
          <w:sz w:val="28"/>
          <w:szCs w:val="28"/>
          <w:highlight w:val="none"/>
        </w:rPr>
      </w:pPr>
      <w:bookmarkStart w:id="55" w:name="_Toc10691"/>
      <w:r>
        <w:rPr>
          <w:rFonts w:hint="eastAsia" w:ascii="宋体" w:hAnsi="宋体" w:cs="宋体"/>
          <w:color w:val="auto"/>
          <w:sz w:val="28"/>
          <w:szCs w:val="28"/>
          <w:highlight w:val="none"/>
        </w:rPr>
        <w:t>七、其他事项</w:t>
      </w:r>
      <w:bookmarkEnd w:id="55"/>
    </w:p>
    <w:p w14:paraId="6D584221">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33.采购代理服务费</w:t>
      </w:r>
    </w:p>
    <w:p w14:paraId="7D727774">
      <w:pPr>
        <w:tabs>
          <w:tab w:val="left" w:pos="2835"/>
        </w:tabs>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采购代理服务收费标准及缴费账户详见“供应商须知前附表”，供应商为联合体的，可以由联合体中的一方或者多方共同交纳代理服务费。</w:t>
      </w:r>
    </w:p>
    <w:p w14:paraId="52D34057">
      <w:pPr>
        <w:pStyle w:val="20"/>
        <w:wordWrap w:val="0"/>
        <w:snapToGrid w:val="0"/>
        <w:spacing w:line="42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33.1采购代理服务收费标准：</w:t>
      </w:r>
    </w:p>
    <w:p w14:paraId="6F280879">
      <w:pPr>
        <w:pStyle w:val="20"/>
        <w:wordWrap w:val="0"/>
        <w:snapToGrid w:val="0"/>
        <w:spacing w:line="42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国家发展计划委员会《招标代理服务费管理暂行办法》（计价格〔2020〕1980号）</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9"/>
        <w:gridCol w:w="1904"/>
        <w:gridCol w:w="1732"/>
        <w:gridCol w:w="1732"/>
      </w:tblGrid>
      <w:tr w14:paraId="2671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9" w:type="dxa"/>
            <w:tcBorders>
              <w:tl2br w:val="single" w:color="auto" w:sz="4" w:space="0"/>
            </w:tcBorders>
            <w:noWrap w:val="0"/>
            <w:vAlign w:val="center"/>
          </w:tcPr>
          <w:p w14:paraId="11B5666B">
            <w:pPr>
              <w:wordWrap w:val="0"/>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费率</w:t>
            </w:r>
          </w:p>
          <w:p w14:paraId="48C4DB09">
            <w:pPr>
              <w:wordWrap w:val="0"/>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中标金额</w:t>
            </w:r>
          </w:p>
        </w:tc>
        <w:tc>
          <w:tcPr>
            <w:tcW w:w="1904" w:type="dxa"/>
            <w:noWrap w:val="0"/>
            <w:vAlign w:val="center"/>
          </w:tcPr>
          <w:p w14:paraId="0ED3D48A">
            <w:pPr>
              <w:wordWrap w:val="0"/>
              <w:spacing w:line="360" w:lineRule="exact"/>
              <w:ind w:firstLine="110" w:firstLineChars="5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货物招标</w:t>
            </w:r>
          </w:p>
        </w:tc>
        <w:tc>
          <w:tcPr>
            <w:tcW w:w="1732" w:type="dxa"/>
            <w:noWrap w:val="0"/>
            <w:vAlign w:val="center"/>
          </w:tcPr>
          <w:p w14:paraId="054BD3B5">
            <w:pPr>
              <w:wordWrap w:val="0"/>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服务招标</w:t>
            </w:r>
          </w:p>
        </w:tc>
        <w:tc>
          <w:tcPr>
            <w:tcW w:w="1732" w:type="dxa"/>
            <w:noWrap w:val="0"/>
            <w:vAlign w:val="center"/>
          </w:tcPr>
          <w:p w14:paraId="69F58303">
            <w:pPr>
              <w:wordWrap w:val="0"/>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工程招标</w:t>
            </w:r>
          </w:p>
        </w:tc>
      </w:tr>
      <w:tr w14:paraId="24F9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109" w:type="dxa"/>
            <w:noWrap w:val="0"/>
            <w:vAlign w:val="center"/>
          </w:tcPr>
          <w:p w14:paraId="4D7DF33A">
            <w:pPr>
              <w:wordWrap w:val="0"/>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100万元以下</w:t>
            </w:r>
          </w:p>
        </w:tc>
        <w:tc>
          <w:tcPr>
            <w:tcW w:w="1904" w:type="dxa"/>
            <w:noWrap w:val="0"/>
            <w:vAlign w:val="center"/>
          </w:tcPr>
          <w:p w14:paraId="35236EE6">
            <w:pPr>
              <w:wordWrap w:val="0"/>
              <w:spacing w:line="360" w:lineRule="exact"/>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1.5%</w:t>
            </w:r>
          </w:p>
        </w:tc>
        <w:tc>
          <w:tcPr>
            <w:tcW w:w="1732" w:type="dxa"/>
            <w:noWrap w:val="0"/>
            <w:vAlign w:val="center"/>
          </w:tcPr>
          <w:p w14:paraId="18F575C7">
            <w:pPr>
              <w:wordWrap w:val="0"/>
              <w:spacing w:line="360" w:lineRule="exact"/>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1.5%</w:t>
            </w:r>
          </w:p>
        </w:tc>
        <w:tc>
          <w:tcPr>
            <w:tcW w:w="1732" w:type="dxa"/>
            <w:noWrap w:val="0"/>
            <w:vAlign w:val="center"/>
          </w:tcPr>
          <w:p w14:paraId="37128A85">
            <w:pPr>
              <w:wordWrap w:val="0"/>
              <w:spacing w:line="360" w:lineRule="exact"/>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1.0%</w:t>
            </w:r>
          </w:p>
        </w:tc>
      </w:tr>
      <w:tr w14:paraId="3219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9" w:type="dxa"/>
            <w:noWrap w:val="0"/>
            <w:vAlign w:val="center"/>
          </w:tcPr>
          <w:p w14:paraId="4DAB0351">
            <w:pPr>
              <w:wordWrap w:val="0"/>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100～500万元</w:t>
            </w:r>
          </w:p>
        </w:tc>
        <w:tc>
          <w:tcPr>
            <w:tcW w:w="1904" w:type="dxa"/>
            <w:noWrap w:val="0"/>
            <w:vAlign w:val="center"/>
          </w:tcPr>
          <w:p w14:paraId="3EFABE78">
            <w:pPr>
              <w:wordWrap w:val="0"/>
              <w:spacing w:line="360" w:lineRule="exact"/>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1.1%</w:t>
            </w:r>
          </w:p>
        </w:tc>
        <w:tc>
          <w:tcPr>
            <w:tcW w:w="1732" w:type="dxa"/>
            <w:noWrap w:val="0"/>
            <w:vAlign w:val="center"/>
          </w:tcPr>
          <w:p w14:paraId="4BED8C71">
            <w:pPr>
              <w:wordWrap w:val="0"/>
              <w:spacing w:line="360" w:lineRule="exact"/>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0.8%</w:t>
            </w:r>
          </w:p>
        </w:tc>
        <w:tc>
          <w:tcPr>
            <w:tcW w:w="1732" w:type="dxa"/>
            <w:noWrap w:val="0"/>
            <w:vAlign w:val="center"/>
          </w:tcPr>
          <w:p w14:paraId="72B75063">
            <w:pPr>
              <w:wordWrap w:val="0"/>
              <w:spacing w:line="360" w:lineRule="exact"/>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0.7%</w:t>
            </w:r>
          </w:p>
        </w:tc>
      </w:tr>
      <w:tr w14:paraId="1E71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9" w:type="dxa"/>
            <w:noWrap w:val="0"/>
            <w:vAlign w:val="center"/>
          </w:tcPr>
          <w:p w14:paraId="0D76F6D3">
            <w:pPr>
              <w:wordWrap w:val="0"/>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500～1000万元</w:t>
            </w:r>
          </w:p>
        </w:tc>
        <w:tc>
          <w:tcPr>
            <w:tcW w:w="1904" w:type="dxa"/>
            <w:noWrap w:val="0"/>
            <w:vAlign w:val="center"/>
          </w:tcPr>
          <w:p w14:paraId="2E23EB4B">
            <w:pPr>
              <w:wordWrap w:val="0"/>
              <w:spacing w:line="360" w:lineRule="exact"/>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0.8%</w:t>
            </w:r>
          </w:p>
        </w:tc>
        <w:tc>
          <w:tcPr>
            <w:tcW w:w="1732" w:type="dxa"/>
            <w:noWrap w:val="0"/>
            <w:vAlign w:val="center"/>
          </w:tcPr>
          <w:p w14:paraId="75DA4FEB">
            <w:pPr>
              <w:wordWrap w:val="0"/>
              <w:spacing w:line="360" w:lineRule="exact"/>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0.45%</w:t>
            </w:r>
          </w:p>
        </w:tc>
        <w:tc>
          <w:tcPr>
            <w:tcW w:w="1732" w:type="dxa"/>
            <w:noWrap w:val="0"/>
            <w:vAlign w:val="center"/>
          </w:tcPr>
          <w:p w14:paraId="30378A59">
            <w:pPr>
              <w:wordWrap w:val="0"/>
              <w:spacing w:line="360" w:lineRule="exact"/>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0.55%</w:t>
            </w:r>
          </w:p>
        </w:tc>
      </w:tr>
    </w:tbl>
    <w:p w14:paraId="71C1B2F7">
      <w:pPr>
        <w:pStyle w:val="20"/>
        <w:wordWrap w:val="0"/>
        <w:snapToGrid w:val="0"/>
        <w:spacing w:line="42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注：招标代理服务收费按差额定率累进法计算。</w:t>
      </w:r>
    </w:p>
    <w:p w14:paraId="2958E4D8">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6B401C11">
      <w:pPr>
        <w:spacing w:line="420" w:lineRule="exact"/>
        <w:ind w:firstLine="440" w:firstLineChars="200"/>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34.1本谈判文件解释规则详见“供应商须知前附表”。</w:t>
      </w:r>
    </w:p>
    <w:p w14:paraId="4F902A45">
      <w:pPr>
        <w:spacing w:line="42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kern w:val="0"/>
          <w:sz w:val="22"/>
          <w:szCs w:val="22"/>
          <w:highlight w:val="none"/>
        </w:rPr>
        <w:t>34.2 其他事</w:t>
      </w:r>
      <w:r>
        <w:rPr>
          <w:rFonts w:hint="eastAsia" w:ascii="宋体" w:hAnsi="宋体" w:cs="宋体"/>
          <w:color w:val="auto"/>
          <w:sz w:val="22"/>
          <w:szCs w:val="22"/>
          <w:highlight w:val="none"/>
        </w:rPr>
        <w:t>项详见“供应商须知前附表”。</w:t>
      </w:r>
    </w:p>
    <w:p w14:paraId="2A2ED0FC">
      <w:pPr>
        <w:spacing w:line="420" w:lineRule="exact"/>
        <w:ind w:firstLine="440" w:firstLineChars="200"/>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34.3</w:t>
      </w:r>
      <w:bookmarkStart w:id="56" w:name="_Hlk65857140"/>
      <w:r>
        <w:rPr>
          <w:rFonts w:hint="eastAsia" w:ascii="宋体" w:hAnsi="宋体" w:cs="宋体"/>
          <w:color w:val="auto"/>
          <w:kern w:val="0"/>
          <w:sz w:val="22"/>
          <w:szCs w:val="22"/>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2E47A873">
      <w:pPr>
        <w:spacing w:line="420" w:lineRule="exact"/>
        <w:ind w:firstLine="440" w:firstLineChars="200"/>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在工程采购项目中，工程由中小企业承建，即工程施工单位为中小企业。以联合体形式参加政府采购活动，联合体各方均为中小企业的，联合体视同中小企业。其中，联合体各方均为小微企业的，联合体视同小微企业。</w:t>
      </w:r>
    </w:p>
    <w:p w14:paraId="2E91E740">
      <w:pPr>
        <w:spacing w:line="420" w:lineRule="exact"/>
        <w:ind w:firstLine="440" w:firstLineChars="200"/>
        <w:textAlignment w:val="center"/>
        <w:rPr>
          <w:rFonts w:hint="eastAsia" w:ascii="宋体" w:hAnsi="宋体" w:cs="宋体"/>
          <w:color w:val="auto"/>
          <w:kern w:val="0"/>
          <w:szCs w:val="21"/>
          <w:highlight w:val="none"/>
        </w:rPr>
      </w:pPr>
      <w:r>
        <w:rPr>
          <w:rFonts w:hint="eastAsia" w:ascii="宋体" w:hAnsi="宋体" w:cs="宋体"/>
          <w:color w:val="auto"/>
          <w:kern w:val="0"/>
          <w:sz w:val="22"/>
          <w:szCs w:val="22"/>
          <w:highlight w:val="none"/>
        </w:rPr>
        <w:t>依据本文件规定享受扶持政策获得政府采购合同的，小微企业不得将合同分包给大中型企业，中型企业不得将合同分包给大型企业。</w:t>
      </w:r>
      <w:bookmarkEnd w:id="56"/>
    </w:p>
    <w:p w14:paraId="7E824E25">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35.政采贷相关说明</w:t>
      </w:r>
    </w:p>
    <w:p w14:paraId="2519AE46">
      <w:pPr>
        <w:spacing w:line="420" w:lineRule="exact"/>
        <w:ind w:firstLine="440" w:firstLineChars="200"/>
        <w:contextualSpacing/>
        <w:rPr>
          <w:rFonts w:hint="eastAsia" w:ascii="宋体" w:hAnsi="宋体" w:cs="宋体"/>
          <w:color w:val="auto"/>
          <w:kern w:val="0"/>
          <w:sz w:val="22"/>
          <w:szCs w:val="22"/>
          <w:highlight w:val="none"/>
        </w:rPr>
        <w:sectPr>
          <w:pgSz w:w="11911" w:h="16838"/>
          <w:pgMar w:top="1338" w:right="1502" w:bottom="850" w:left="1678" w:header="1077" w:footer="720" w:gutter="0"/>
          <w:cols w:space="720" w:num="1"/>
        </w:sectPr>
      </w:pPr>
      <w:r>
        <w:rPr>
          <w:rFonts w:hint="eastAsia" w:ascii="宋体" w:hAnsi="宋体" w:cs="宋体"/>
          <w:color w:val="auto"/>
          <w:kern w:val="0"/>
          <w:sz w:val="22"/>
          <w:szCs w:val="22"/>
          <w:highlight w:val="none"/>
        </w:rPr>
        <w:t>为优化政府采购营商环境，缓解供应商资金难题，有融资需求的供应商可根据自身情况，在中征平台自主选择金融机构及其融资产品，选择拟用于融资的政府采购中标（成交）通知书和政府采购合同在线发布或向指定金融机构提出融资申请。</w:t>
      </w:r>
    </w:p>
    <w:p w14:paraId="0AD6139A">
      <w:pPr>
        <w:pStyle w:val="20"/>
        <w:snapToGrid w:val="0"/>
        <w:rPr>
          <w:rFonts w:hint="eastAsia" w:hAnsi="宋体" w:cs="宋体"/>
          <w:color w:val="auto"/>
          <w:sz w:val="22"/>
          <w:szCs w:val="24"/>
          <w:highlight w:val="none"/>
        </w:rPr>
      </w:pPr>
      <w:r>
        <w:rPr>
          <w:rFonts w:hint="eastAsia" w:hAnsi="宋体" w:cs="宋体"/>
          <w:color w:val="auto"/>
          <w:sz w:val="22"/>
          <w:szCs w:val="24"/>
          <w:highlight w:val="none"/>
        </w:rPr>
        <w:t>附件1：</w:t>
      </w:r>
    </w:p>
    <w:p w14:paraId="69883DB1">
      <w:pPr>
        <w:pStyle w:val="20"/>
        <w:snapToGrid w:val="0"/>
        <w:ind w:firstLine="400" w:firstLineChars="200"/>
        <w:rPr>
          <w:rFonts w:hint="eastAsia" w:hAnsi="宋体" w:cs="宋体"/>
          <w:color w:val="auto"/>
          <w:highlight w:val="none"/>
        </w:rPr>
      </w:pPr>
    </w:p>
    <w:p w14:paraId="6D6A2AC9">
      <w:pPr>
        <w:widowControl/>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41EB5669">
      <w:pPr>
        <w:widowControl/>
        <w:snapToGrid w:val="0"/>
        <w:spacing w:before="100" w:beforeAutospacing="1" w:after="100" w:afterAutospacing="1" w:line="320" w:lineRule="exact"/>
        <w:ind w:left="-359" w:leftChars="-171"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）提供的货物（或工程、服务）进行了验收，验收情况如下：</w:t>
      </w:r>
    </w:p>
    <w:tbl>
      <w:tblPr>
        <w:tblStyle w:val="35"/>
        <w:tblW w:w="506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480"/>
        <w:gridCol w:w="2091"/>
        <w:gridCol w:w="861"/>
        <w:gridCol w:w="2273"/>
        <w:gridCol w:w="184"/>
        <w:gridCol w:w="723"/>
        <w:gridCol w:w="1248"/>
      </w:tblGrid>
      <w:tr w14:paraId="24298E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2015" w:type="pct"/>
            <w:gridSpan w:val="2"/>
            <w:tcBorders>
              <w:top w:val="single" w:color="auto" w:sz="8" w:space="0"/>
              <w:left w:val="single" w:color="auto" w:sz="8" w:space="0"/>
              <w:bottom w:val="single" w:color="auto" w:sz="8" w:space="0"/>
              <w:right w:val="single" w:color="auto" w:sz="8" w:space="0"/>
            </w:tcBorders>
            <w:noWrap w:val="0"/>
            <w:vAlign w:val="center"/>
          </w:tcPr>
          <w:p w14:paraId="6C823E31">
            <w:pPr>
              <w:widowControl/>
              <w:snapToGrid w:val="0"/>
              <w:spacing w:before="100" w:beforeAutospacing="1" w:after="100" w:afterAutospacing="1" w:line="320" w:lineRule="exact"/>
              <w:ind w:left="-3" w:firstLine="4" w:firstLineChars="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2984" w:type="pct"/>
            <w:gridSpan w:val="5"/>
            <w:tcBorders>
              <w:top w:val="single" w:color="auto" w:sz="8" w:space="0"/>
              <w:left w:val="single" w:color="auto" w:sz="8" w:space="0"/>
              <w:bottom w:val="single" w:color="auto" w:sz="8" w:space="0"/>
              <w:right w:val="single" w:color="auto" w:sz="8" w:space="0"/>
            </w:tcBorders>
            <w:noWrap w:val="0"/>
            <w:vAlign w:val="center"/>
          </w:tcPr>
          <w:p w14:paraId="507B9FC8">
            <w:pPr>
              <w:widowControl/>
              <w:snapToGrid w:val="0"/>
              <w:spacing w:before="100" w:beforeAutospacing="1" w:after="100" w:afterAutospacing="1" w:line="320" w:lineRule="exact"/>
              <w:ind w:left="-3"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498556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835" w:type="pct"/>
            <w:tcBorders>
              <w:top w:val="single" w:color="auto" w:sz="8" w:space="0"/>
              <w:left w:val="single" w:color="auto" w:sz="8" w:space="0"/>
              <w:bottom w:val="single" w:color="auto" w:sz="8" w:space="0"/>
              <w:right w:val="single" w:color="auto" w:sz="8" w:space="0"/>
            </w:tcBorders>
            <w:noWrap w:val="0"/>
            <w:vAlign w:val="center"/>
          </w:tcPr>
          <w:p w14:paraId="47EDAF66">
            <w:pPr>
              <w:widowControl/>
              <w:snapToGrid w:val="0"/>
              <w:spacing w:before="100" w:beforeAutospacing="1" w:after="100" w:afterAutospacing="1" w:line="320" w:lineRule="exact"/>
              <w:ind w:firstLine="2" w:firstLineChars="1"/>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79" w:type="pct"/>
            <w:tcBorders>
              <w:top w:val="single" w:color="auto" w:sz="8" w:space="0"/>
              <w:left w:val="single" w:color="auto" w:sz="8" w:space="0"/>
              <w:bottom w:val="single" w:color="auto" w:sz="8" w:space="0"/>
              <w:right w:val="single" w:color="auto" w:sz="8" w:space="0"/>
            </w:tcBorders>
            <w:noWrap w:val="0"/>
            <w:vAlign w:val="center"/>
          </w:tcPr>
          <w:p w14:paraId="2F915839">
            <w:pPr>
              <w:widowControl/>
              <w:snapToGrid w:val="0"/>
              <w:spacing w:before="100" w:beforeAutospacing="1" w:after="100" w:afterAutospacing="1" w:line="320" w:lineRule="exact"/>
              <w:ind w:left="-3" w:firstLine="2" w:firstLineChars="1"/>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  称</w:t>
            </w:r>
          </w:p>
        </w:tc>
        <w:tc>
          <w:tcPr>
            <w:tcW w:w="1768" w:type="pct"/>
            <w:gridSpan w:val="2"/>
            <w:tcBorders>
              <w:top w:val="single" w:color="auto" w:sz="8" w:space="0"/>
              <w:left w:val="single" w:color="auto" w:sz="8" w:space="0"/>
              <w:bottom w:val="single" w:color="auto" w:sz="8" w:space="0"/>
              <w:right w:val="single" w:color="auto" w:sz="8" w:space="0"/>
            </w:tcBorders>
            <w:noWrap w:val="0"/>
            <w:vAlign w:val="center"/>
          </w:tcPr>
          <w:p w14:paraId="0E215B28">
            <w:pPr>
              <w:widowControl/>
              <w:snapToGrid w:val="0"/>
              <w:spacing w:before="100" w:beforeAutospacing="1" w:after="100" w:afterAutospacing="1" w:line="320" w:lineRule="exact"/>
              <w:ind w:left="-3" w:firstLine="2" w:firstLineChars="1"/>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512" w:type="pct"/>
            <w:gridSpan w:val="2"/>
            <w:tcBorders>
              <w:top w:val="single" w:color="auto" w:sz="8" w:space="0"/>
              <w:left w:val="single" w:color="auto" w:sz="8" w:space="0"/>
              <w:bottom w:val="single" w:color="auto" w:sz="8" w:space="0"/>
              <w:right w:val="single" w:color="auto" w:sz="8" w:space="0"/>
            </w:tcBorders>
            <w:noWrap w:val="0"/>
            <w:vAlign w:val="center"/>
          </w:tcPr>
          <w:p w14:paraId="44845576">
            <w:pPr>
              <w:widowControl/>
              <w:snapToGrid w:val="0"/>
              <w:spacing w:before="100" w:beforeAutospacing="1" w:after="100" w:afterAutospacing="1"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702" w:type="pct"/>
            <w:tcBorders>
              <w:top w:val="single" w:color="auto" w:sz="8" w:space="0"/>
              <w:left w:val="single" w:color="auto" w:sz="8" w:space="0"/>
              <w:bottom w:val="single" w:color="auto" w:sz="8" w:space="0"/>
              <w:right w:val="single" w:color="auto" w:sz="8" w:space="0"/>
            </w:tcBorders>
            <w:noWrap w:val="0"/>
            <w:vAlign w:val="center"/>
          </w:tcPr>
          <w:p w14:paraId="271AFD61">
            <w:pPr>
              <w:widowControl/>
              <w:snapToGrid w:val="0"/>
              <w:spacing w:before="100" w:beforeAutospacing="1" w:after="100" w:afterAutospacing="1" w:line="320" w:lineRule="exact"/>
              <w:ind w:left="-3" w:firstLine="2" w:firstLineChars="1"/>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  额</w:t>
            </w:r>
          </w:p>
        </w:tc>
      </w:tr>
      <w:tr w14:paraId="7C57A9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835" w:type="pct"/>
            <w:tcBorders>
              <w:top w:val="single" w:color="auto" w:sz="8" w:space="0"/>
              <w:left w:val="single" w:color="auto" w:sz="8" w:space="0"/>
              <w:bottom w:val="single" w:color="auto" w:sz="8" w:space="0"/>
              <w:right w:val="single" w:color="auto" w:sz="8" w:space="0"/>
            </w:tcBorders>
            <w:noWrap w:val="0"/>
            <w:vAlign w:val="center"/>
          </w:tcPr>
          <w:p w14:paraId="1DDC37E7">
            <w:pPr>
              <w:widowControl/>
              <w:snapToGrid w:val="0"/>
              <w:spacing w:before="100" w:beforeAutospacing="1" w:after="100" w:afterAutospacing="1" w:line="320" w:lineRule="exact"/>
              <w:ind w:left="-3" w:firstLine="4" w:firstLineChars="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79" w:type="pct"/>
            <w:tcBorders>
              <w:top w:val="single" w:color="auto" w:sz="8" w:space="0"/>
              <w:left w:val="single" w:color="auto" w:sz="8" w:space="0"/>
              <w:bottom w:val="single" w:color="auto" w:sz="8" w:space="0"/>
              <w:right w:val="single" w:color="auto" w:sz="8" w:space="0"/>
            </w:tcBorders>
            <w:noWrap w:val="0"/>
            <w:vAlign w:val="center"/>
          </w:tcPr>
          <w:p w14:paraId="71B41223">
            <w:pPr>
              <w:widowControl/>
              <w:snapToGrid w:val="0"/>
              <w:spacing w:before="100" w:beforeAutospacing="1" w:after="100" w:afterAutospacing="1" w:line="320" w:lineRule="exact"/>
              <w:ind w:left="-3"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768" w:type="pct"/>
            <w:gridSpan w:val="2"/>
            <w:tcBorders>
              <w:top w:val="single" w:color="auto" w:sz="8" w:space="0"/>
              <w:left w:val="single" w:color="auto" w:sz="8" w:space="0"/>
              <w:bottom w:val="single" w:color="auto" w:sz="8" w:space="0"/>
              <w:right w:val="single" w:color="auto" w:sz="8" w:space="0"/>
            </w:tcBorders>
            <w:noWrap w:val="0"/>
            <w:vAlign w:val="center"/>
          </w:tcPr>
          <w:p w14:paraId="4681942D">
            <w:pPr>
              <w:widowControl/>
              <w:snapToGrid w:val="0"/>
              <w:spacing w:before="100" w:beforeAutospacing="1" w:after="100" w:afterAutospacing="1" w:line="320" w:lineRule="exact"/>
              <w:ind w:left="-3"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12" w:type="pct"/>
            <w:gridSpan w:val="2"/>
            <w:tcBorders>
              <w:top w:val="single" w:color="auto" w:sz="8" w:space="0"/>
              <w:left w:val="single" w:color="auto" w:sz="8" w:space="0"/>
              <w:bottom w:val="single" w:color="auto" w:sz="8" w:space="0"/>
              <w:right w:val="single" w:color="auto" w:sz="8" w:space="0"/>
            </w:tcBorders>
            <w:noWrap w:val="0"/>
            <w:vAlign w:val="center"/>
          </w:tcPr>
          <w:p w14:paraId="4E25A420">
            <w:pPr>
              <w:widowControl/>
              <w:snapToGrid w:val="0"/>
              <w:spacing w:before="100" w:beforeAutospacing="1" w:after="100" w:afterAutospacing="1"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702" w:type="pct"/>
            <w:tcBorders>
              <w:top w:val="single" w:color="auto" w:sz="8" w:space="0"/>
              <w:left w:val="single" w:color="auto" w:sz="8" w:space="0"/>
              <w:bottom w:val="single" w:color="auto" w:sz="8" w:space="0"/>
              <w:right w:val="single" w:color="auto" w:sz="8" w:space="0"/>
            </w:tcBorders>
            <w:noWrap w:val="0"/>
            <w:vAlign w:val="center"/>
          </w:tcPr>
          <w:p w14:paraId="06C018B3">
            <w:pPr>
              <w:widowControl/>
              <w:snapToGrid w:val="0"/>
              <w:spacing w:before="100" w:beforeAutospacing="1" w:after="100" w:afterAutospacing="1"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44A18B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835" w:type="pct"/>
            <w:tcBorders>
              <w:top w:val="single" w:color="auto" w:sz="8" w:space="0"/>
              <w:left w:val="single" w:color="auto" w:sz="8" w:space="0"/>
              <w:bottom w:val="single" w:color="auto" w:sz="8" w:space="0"/>
              <w:right w:val="single" w:color="auto" w:sz="8" w:space="0"/>
            </w:tcBorders>
            <w:noWrap w:val="0"/>
            <w:vAlign w:val="center"/>
          </w:tcPr>
          <w:p w14:paraId="24D8D0F2">
            <w:pPr>
              <w:widowControl/>
              <w:snapToGrid w:val="0"/>
              <w:spacing w:before="100" w:beforeAutospacing="1" w:after="100" w:afterAutospacing="1" w:line="320" w:lineRule="exact"/>
              <w:ind w:left="-3"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79" w:type="pct"/>
            <w:tcBorders>
              <w:top w:val="single" w:color="auto" w:sz="8" w:space="0"/>
              <w:left w:val="single" w:color="auto" w:sz="8" w:space="0"/>
              <w:bottom w:val="single" w:color="auto" w:sz="8" w:space="0"/>
              <w:right w:val="single" w:color="auto" w:sz="8" w:space="0"/>
            </w:tcBorders>
            <w:noWrap w:val="0"/>
            <w:vAlign w:val="center"/>
          </w:tcPr>
          <w:p w14:paraId="10C5B738">
            <w:pPr>
              <w:widowControl/>
              <w:snapToGrid w:val="0"/>
              <w:spacing w:before="100" w:beforeAutospacing="1" w:after="100" w:afterAutospacing="1" w:line="320" w:lineRule="exact"/>
              <w:ind w:left="-3"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768" w:type="pct"/>
            <w:gridSpan w:val="2"/>
            <w:tcBorders>
              <w:top w:val="single" w:color="auto" w:sz="8" w:space="0"/>
              <w:left w:val="single" w:color="auto" w:sz="8" w:space="0"/>
              <w:bottom w:val="single" w:color="auto" w:sz="8" w:space="0"/>
              <w:right w:val="single" w:color="auto" w:sz="8" w:space="0"/>
            </w:tcBorders>
            <w:noWrap w:val="0"/>
            <w:vAlign w:val="center"/>
          </w:tcPr>
          <w:p w14:paraId="6F80D1A0">
            <w:pPr>
              <w:widowControl/>
              <w:snapToGrid w:val="0"/>
              <w:spacing w:before="100" w:beforeAutospacing="1" w:after="100" w:afterAutospacing="1" w:line="320" w:lineRule="exact"/>
              <w:ind w:left="-3"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12" w:type="pct"/>
            <w:gridSpan w:val="2"/>
            <w:tcBorders>
              <w:top w:val="single" w:color="auto" w:sz="8" w:space="0"/>
              <w:left w:val="single" w:color="auto" w:sz="8" w:space="0"/>
              <w:bottom w:val="single" w:color="auto" w:sz="8" w:space="0"/>
              <w:right w:val="single" w:color="auto" w:sz="8" w:space="0"/>
            </w:tcBorders>
            <w:noWrap w:val="0"/>
            <w:vAlign w:val="center"/>
          </w:tcPr>
          <w:p w14:paraId="70C1502D">
            <w:pPr>
              <w:widowControl/>
              <w:snapToGrid w:val="0"/>
              <w:spacing w:before="100" w:beforeAutospacing="1" w:after="100" w:afterAutospacing="1"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702" w:type="pct"/>
            <w:tcBorders>
              <w:top w:val="single" w:color="auto" w:sz="8" w:space="0"/>
              <w:left w:val="single" w:color="auto" w:sz="8" w:space="0"/>
              <w:bottom w:val="single" w:color="auto" w:sz="8" w:space="0"/>
              <w:right w:val="single" w:color="auto" w:sz="8" w:space="0"/>
            </w:tcBorders>
            <w:noWrap w:val="0"/>
            <w:vAlign w:val="center"/>
          </w:tcPr>
          <w:p w14:paraId="49415B8C">
            <w:pPr>
              <w:widowControl/>
              <w:snapToGrid w:val="0"/>
              <w:spacing w:before="100" w:beforeAutospacing="1" w:after="100" w:afterAutospacing="1"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79934E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835" w:type="pct"/>
            <w:tcBorders>
              <w:top w:val="single" w:color="auto" w:sz="8" w:space="0"/>
              <w:left w:val="single" w:color="auto" w:sz="8" w:space="0"/>
              <w:bottom w:val="single" w:color="auto" w:sz="8" w:space="0"/>
              <w:right w:val="single" w:color="auto" w:sz="8" w:space="0"/>
            </w:tcBorders>
            <w:noWrap w:val="0"/>
            <w:vAlign w:val="center"/>
          </w:tcPr>
          <w:p w14:paraId="080719DE">
            <w:pPr>
              <w:widowControl/>
              <w:snapToGrid w:val="0"/>
              <w:spacing w:before="100" w:beforeAutospacing="1" w:after="100" w:afterAutospacing="1" w:line="320" w:lineRule="exact"/>
              <w:ind w:left="-3"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79" w:type="pct"/>
            <w:tcBorders>
              <w:top w:val="single" w:color="auto" w:sz="8" w:space="0"/>
              <w:left w:val="single" w:color="auto" w:sz="8" w:space="0"/>
              <w:bottom w:val="single" w:color="auto" w:sz="8" w:space="0"/>
              <w:right w:val="single" w:color="auto" w:sz="8" w:space="0"/>
            </w:tcBorders>
            <w:noWrap w:val="0"/>
            <w:vAlign w:val="center"/>
          </w:tcPr>
          <w:p w14:paraId="7A18CF0B">
            <w:pPr>
              <w:widowControl/>
              <w:snapToGrid w:val="0"/>
              <w:spacing w:before="100" w:beforeAutospacing="1" w:after="100" w:afterAutospacing="1" w:line="320" w:lineRule="exact"/>
              <w:ind w:left="-3"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768" w:type="pct"/>
            <w:gridSpan w:val="2"/>
            <w:tcBorders>
              <w:top w:val="single" w:color="auto" w:sz="8" w:space="0"/>
              <w:left w:val="single" w:color="auto" w:sz="8" w:space="0"/>
              <w:bottom w:val="single" w:color="auto" w:sz="8" w:space="0"/>
              <w:right w:val="single" w:color="auto" w:sz="8" w:space="0"/>
            </w:tcBorders>
            <w:noWrap w:val="0"/>
            <w:vAlign w:val="center"/>
          </w:tcPr>
          <w:p w14:paraId="248DD1BF">
            <w:pPr>
              <w:widowControl/>
              <w:snapToGrid w:val="0"/>
              <w:spacing w:before="100" w:beforeAutospacing="1" w:after="100" w:afterAutospacing="1" w:line="320" w:lineRule="exact"/>
              <w:ind w:left="-3"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512" w:type="pct"/>
            <w:gridSpan w:val="2"/>
            <w:tcBorders>
              <w:top w:val="single" w:color="auto" w:sz="8" w:space="0"/>
              <w:left w:val="single" w:color="auto" w:sz="8" w:space="0"/>
              <w:bottom w:val="single" w:color="auto" w:sz="8" w:space="0"/>
              <w:right w:val="single" w:color="auto" w:sz="8" w:space="0"/>
            </w:tcBorders>
            <w:noWrap w:val="0"/>
            <w:vAlign w:val="center"/>
          </w:tcPr>
          <w:p w14:paraId="056CC144">
            <w:pPr>
              <w:widowControl/>
              <w:snapToGrid w:val="0"/>
              <w:spacing w:before="100" w:beforeAutospacing="1" w:after="100" w:afterAutospacing="1"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702" w:type="pct"/>
            <w:tcBorders>
              <w:top w:val="single" w:color="auto" w:sz="8" w:space="0"/>
              <w:left w:val="single" w:color="auto" w:sz="8" w:space="0"/>
              <w:bottom w:val="single" w:color="auto" w:sz="8" w:space="0"/>
              <w:right w:val="single" w:color="auto" w:sz="8" w:space="0"/>
            </w:tcBorders>
            <w:noWrap w:val="0"/>
            <w:vAlign w:val="center"/>
          </w:tcPr>
          <w:p w14:paraId="5E2E5DE9">
            <w:pPr>
              <w:widowControl/>
              <w:snapToGrid w:val="0"/>
              <w:spacing w:before="100" w:beforeAutospacing="1" w:after="100" w:afterAutospacing="1"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613C3A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3784" w:type="pct"/>
            <w:gridSpan w:val="4"/>
            <w:tcBorders>
              <w:top w:val="single" w:color="auto" w:sz="8" w:space="0"/>
              <w:left w:val="single" w:color="auto" w:sz="8" w:space="0"/>
              <w:bottom w:val="single" w:color="auto" w:sz="8" w:space="0"/>
              <w:right w:val="single" w:color="auto" w:sz="8" w:space="0"/>
            </w:tcBorders>
            <w:noWrap w:val="0"/>
            <w:vAlign w:val="center"/>
          </w:tcPr>
          <w:p w14:paraId="31946AB3">
            <w:pPr>
              <w:widowControl/>
              <w:snapToGrid w:val="0"/>
              <w:spacing w:before="100" w:beforeAutospacing="1" w:after="100" w:afterAutospacing="1" w:line="320" w:lineRule="exact"/>
              <w:ind w:left="-3" w:firstLine="4" w:firstLineChars="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512" w:type="pct"/>
            <w:gridSpan w:val="2"/>
            <w:tcBorders>
              <w:top w:val="single" w:color="auto" w:sz="8" w:space="0"/>
              <w:left w:val="single" w:color="auto" w:sz="8" w:space="0"/>
              <w:bottom w:val="single" w:color="auto" w:sz="8" w:space="0"/>
              <w:right w:val="single" w:color="auto" w:sz="8" w:space="0"/>
            </w:tcBorders>
            <w:noWrap w:val="0"/>
            <w:vAlign w:val="center"/>
          </w:tcPr>
          <w:p w14:paraId="14C8289E">
            <w:pPr>
              <w:widowControl/>
              <w:snapToGrid w:val="0"/>
              <w:spacing w:before="100" w:beforeAutospacing="1" w:after="100" w:afterAutospacing="1"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702" w:type="pct"/>
            <w:tcBorders>
              <w:top w:val="single" w:color="auto" w:sz="8" w:space="0"/>
              <w:left w:val="single" w:color="auto" w:sz="8" w:space="0"/>
              <w:bottom w:val="single" w:color="auto" w:sz="8" w:space="0"/>
              <w:right w:val="single" w:color="auto" w:sz="8" w:space="0"/>
            </w:tcBorders>
            <w:noWrap w:val="0"/>
            <w:vAlign w:val="center"/>
          </w:tcPr>
          <w:p w14:paraId="7D781876">
            <w:pPr>
              <w:widowControl/>
              <w:snapToGrid w:val="0"/>
              <w:spacing w:before="100" w:beforeAutospacing="1" w:after="100" w:afterAutospacing="1"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4F5214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5000" w:type="pct"/>
            <w:gridSpan w:val="7"/>
            <w:tcBorders>
              <w:top w:val="single" w:color="auto" w:sz="8" w:space="0"/>
              <w:left w:val="single" w:color="auto" w:sz="8" w:space="0"/>
              <w:bottom w:val="single" w:color="auto" w:sz="8" w:space="0"/>
              <w:right w:val="single" w:color="auto" w:sz="8" w:space="0"/>
            </w:tcBorders>
            <w:noWrap w:val="0"/>
            <w:vAlign w:val="center"/>
          </w:tcPr>
          <w:p w14:paraId="63E4ACF0">
            <w:pPr>
              <w:widowControl/>
              <w:snapToGrid w:val="0"/>
              <w:spacing w:before="100" w:beforeAutospacing="1" w:after="100" w:afterAutospacing="1" w:line="320" w:lineRule="exact"/>
              <w:ind w:firstLine="2" w:firstLineChars="1"/>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4FB794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835" w:type="pct"/>
            <w:tcBorders>
              <w:top w:val="single" w:color="auto" w:sz="8" w:space="0"/>
              <w:left w:val="single" w:color="auto" w:sz="8" w:space="0"/>
              <w:bottom w:val="single" w:color="auto" w:sz="8" w:space="0"/>
              <w:right w:val="single" w:color="auto" w:sz="8" w:space="0"/>
            </w:tcBorders>
            <w:noWrap w:val="0"/>
            <w:vAlign w:val="center"/>
          </w:tcPr>
          <w:p w14:paraId="316B70B7">
            <w:pPr>
              <w:widowControl/>
              <w:snapToGrid w:val="0"/>
              <w:spacing w:before="100" w:beforeAutospacing="1" w:after="100" w:afterAutospacing="1" w:line="320" w:lineRule="exact"/>
              <w:ind w:firstLine="2" w:firstLineChars="1"/>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1665" w:type="pct"/>
            <w:gridSpan w:val="2"/>
            <w:tcBorders>
              <w:top w:val="single" w:color="auto" w:sz="8" w:space="0"/>
              <w:left w:val="single" w:color="auto" w:sz="8" w:space="0"/>
              <w:bottom w:val="single" w:color="auto" w:sz="8" w:space="0"/>
              <w:right w:val="single" w:color="auto" w:sz="8" w:space="0"/>
            </w:tcBorders>
            <w:noWrap w:val="0"/>
            <w:vAlign w:val="center"/>
          </w:tcPr>
          <w:p w14:paraId="75CB3952">
            <w:pPr>
              <w:snapToGrid w:val="0"/>
              <w:spacing w:before="100" w:beforeAutospacing="1" w:after="100" w:afterAutospacing="1" w:line="320" w:lineRule="exact"/>
              <w:ind w:firstLine="420" w:firstLineChars="200"/>
              <w:jc w:val="center"/>
              <w:rPr>
                <w:rFonts w:hint="eastAsia" w:ascii="宋体" w:hAnsi="宋体" w:cs="宋体"/>
                <w:color w:val="auto"/>
                <w:kern w:val="0"/>
                <w:szCs w:val="21"/>
                <w:highlight w:val="none"/>
              </w:rPr>
            </w:pPr>
          </w:p>
        </w:tc>
        <w:tc>
          <w:tcPr>
            <w:tcW w:w="1387" w:type="pct"/>
            <w:gridSpan w:val="2"/>
            <w:tcBorders>
              <w:top w:val="single" w:color="auto" w:sz="8" w:space="0"/>
              <w:left w:val="single" w:color="auto" w:sz="8" w:space="0"/>
              <w:bottom w:val="single" w:color="auto" w:sz="8" w:space="0"/>
              <w:right w:val="single" w:color="auto" w:sz="8" w:space="0"/>
            </w:tcBorders>
            <w:noWrap w:val="0"/>
            <w:vAlign w:val="center"/>
          </w:tcPr>
          <w:p w14:paraId="560CED31">
            <w:pPr>
              <w:snapToGrid w:val="0"/>
              <w:spacing w:before="100" w:beforeAutospacing="1" w:after="100" w:afterAutospacing="1" w:line="320" w:lineRule="exact"/>
              <w:ind w:firstLine="39" w:firstLineChars="19"/>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1110" w:type="pct"/>
            <w:gridSpan w:val="2"/>
            <w:tcBorders>
              <w:top w:val="single" w:color="auto" w:sz="8" w:space="0"/>
              <w:left w:val="single" w:color="auto" w:sz="8" w:space="0"/>
              <w:bottom w:val="single" w:color="auto" w:sz="8" w:space="0"/>
              <w:right w:val="single" w:color="auto" w:sz="8" w:space="0"/>
            </w:tcBorders>
            <w:noWrap w:val="0"/>
            <w:vAlign w:val="center"/>
          </w:tcPr>
          <w:p w14:paraId="2991A6AE">
            <w:pPr>
              <w:snapToGrid w:val="0"/>
              <w:spacing w:before="100" w:beforeAutospacing="1" w:after="100" w:afterAutospacing="1" w:line="320" w:lineRule="exact"/>
              <w:ind w:firstLine="420" w:firstLineChars="200"/>
              <w:jc w:val="left"/>
              <w:rPr>
                <w:rFonts w:hint="eastAsia" w:ascii="宋体" w:hAnsi="宋体" w:cs="宋体"/>
                <w:color w:val="auto"/>
                <w:kern w:val="0"/>
                <w:szCs w:val="21"/>
                <w:highlight w:val="none"/>
              </w:rPr>
            </w:pPr>
          </w:p>
        </w:tc>
      </w:tr>
      <w:tr w14:paraId="32FE07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835" w:type="pct"/>
            <w:tcBorders>
              <w:top w:val="single" w:color="auto" w:sz="8" w:space="0"/>
              <w:left w:val="single" w:color="auto" w:sz="8" w:space="0"/>
              <w:bottom w:val="single" w:color="auto" w:sz="8" w:space="0"/>
              <w:right w:val="single" w:color="auto" w:sz="8" w:space="0"/>
            </w:tcBorders>
            <w:noWrap w:val="0"/>
            <w:vAlign w:val="center"/>
          </w:tcPr>
          <w:p w14:paraId="137598D1">
            <w:pPr>
              <w:widowControl/>
              <w:snapToGrid w:val="0"/>
              <w:spacing w:before="100" w:beforeAutospacing="1" w:after="100" w:afterAutospacing="1" w:line="320" w:lineRule="exact"/>
              <w:ind w:firstLine="420" w:firstLineChars="200"/>
              <w:jc w:val="left"/>
              <w:rPr>
                <w:rFonts w:hint="eastAsia" w:ascii="宋体" w:hAnsi="宋体" w:cs="宋体"/>
                <w:color w:val="auto"/>
                <w:kern w:val="0"/>
                <w:szCs w:val="21"/>
                <w:highlight w:val="none"/>
              </w:rPr>
            </w:pPr>
          </w:p>
        </w:tc>
        <w:tc>
          <w:tcPr>
            <w:tcW w:w="1665" w:type="pct"/>
            <w:gridSpan w:val="2"/>
            <w:tcBorders>
              <w:top w:val="single" w:color="auto" w:sz="8" w:space="0"/>
              <w:left w:val="single" w:color="auto" w:sz="8" w:space="0"/>
              <w:bottom w:val="single" w:color="auto" w:sz="8" w:space="0"/>
              <w:right w:val="single" w:color="auto" w:sz="8" w:space="0"/>
            </w:tcBorders>
            <w:noWrap w:val="0"/>
            <w:vAlign w:val="center"/>
          </w:tcPr>
          <w:p w14:paraId="36A9A9AF">
            <w:pPr>
              <w:snapToGrid w:val="0"/>
              <w:spacing w:before="100" w:beforeAutospacing="1" w:after="100" w:afterAutospacing="1" w:line="320" w:lineRule="exact"/>
              <w:ind w:firstLine="420" w:firstLineChars="200"/>
              <w:jc w:val="left"/>
              <w:rPr>
                <w:rFonts w:hint="eastAsia" w:ascii="宋体" w:hAnsi="宋体" w:cs="宋体"/>
                <w:color w:val="auto"/>
                <w:kern w:val="0"/>
                <w:szCs w:val="21"/>
                <w:highlight w:val="none"/>
              </w:rPr>
            </w:pPr>
          </w:p>
        </w:tc>
        <w:tc>
          <w:tcPr>
            <w:tcW w:w="1387" w:type="pct"/>
            <w:gridSpan w:val="2"/>
            <w:tcBorders>
              <w:top w:val="single" w:color="auto" w:sz="8" w:space="0"/>
              <w:left w:val="single" w:color="auto" w:sz="8" w:space="0"/>
              <w:bottom w:val="single" w:color="auto" w:sz="8" w:space="0"/>
              <w:right w:val="single" w:color="auto" w:sz="8" w:space="0"/>
            </w:tcBorders>
            <w:noWrap w:val="0"/>
            <w:vAlign w:val="center"/>
          </w:tcPr>
          <w:p w14:paraId="3654A2B9">
            <w:pPr>
              <w:snapToGrid w:val="0"/>
              <w:spacing w:before="100" w:beforeAutospacing="1" w:after="100" w:afterAutospacing="1" w:line="320" w:lineRule="exact"/>
              <w:ind w:left="590" w:firstLine="420" w:firstLineChars="200"/>
              <w:jc w:val="left"/>
              <w:rPr>
                <w:rFonts w:hint="eastAsia" w:ascii="宋体" w:hAnsi="宋体" w:cs="宋体"/>
                <w:color w:val="auto"/>
                <w:kern w:val="0"/>
                <w:szCs w:val="21"/>
                <w:highlight w:val="none"/>
              </w:rPr>
            </w:pPr>
          </w:p>
        </w:tc>
        <w:tc>
          <w:tcPr>
            <w:tcW w:w="1110" w:type="pct"/>
            <w:gridSpan w:val="2"/>
            <w:tcBorders>
              <w:top w:val="single" w:color="auto" w:sz="8" w:space="0"/>
              <w:left w:val="single" w:color="auto" w:sz="8" w:space="0"/>
              <w:bottom w:val="single" w:color="auto" w:sz="8" w:space="0"/>
              <w:right w:val="single" w:color="auto" w:sz="8" w:space="0"/>
            </w:tcBorders>
            <w:noWrap w:val="0"/>
            <w:vAlign w:val="center"/>
          </w:tcPr>
          <w:p w14:paraId="67954A98">
            <w:pPr>
              <w:snapToGrid w:val="0"/>
              <w:spacing w:before="100" w:beforeAutospacing="1" w:after="100" w:afterAutospacing="1" w:line="320" w:lineRule="exact"/>
              <w:ind w:firstLine="420" w:firstLineChars="200"/>
              <w:jc w:val="left"/>
              <w:rPr>
                <w:rFonts w:hint="eastAsia" w:ascii="宋体" w:hAnsi="宋体" w:cs="宋体"/>
                <w:color w:val="auto"/>
                <w:kern w:val="0"/>
                <w:szCs w:val="21"/>
                <w:highlight w:val="none"/>
              </w:rPr>
            </w:pPr>
          </w:p>
        </w:tc>
      </w:tr>
      <w:tr w14:paraId="6B0786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835"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B4D023">
            <w:pPr>
              <w:widowControl/>
              <w:snapToGrid w:val="0"/>
              <w:spacing w:before="100" w:beforeAutospacing="1" w:after="100" w:afterAutospacing="1"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4164" w:type="pct"/>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0A2BC0">
            <w:pPr>
              <w:widowControl/>
              <w:snapToGrid w:val="0"/>
              <w:spacing w:before="100" w:beforeAutospacing="1" w:after="100" w:afterAutospacing="1" w:line="32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rPr>
              <w:t>（应</w:t>
            </w:r>
            <w:r>
              <w:rPr>
                <w:rFonts w:hint="eastAsia" w:ascii="宋体" w:hAnsi="宋体" w:cs="宋体"/>
                <w:color w:val="auto"/>
                <w:kern w:val="0"/>
                <w:szCs w:val="21"/>
                <w:highlight w:val="none"/>
              </w:rPr>
              <w:t>按采购合同、采购文件、投标响应文件及验收方案等进行验收；并核对</w:t>
            </w:r>
            <w:r>
              <w:rPr>
                <w:rFonts w:hint="eastAsia" w:ascii="宋体" w:hAnsi="宋体" w:cs="宋体"/>
                <w:color w:val="auto"/>
                <w:szCs w:val="21"/>
                <w:highlight w:val="none"/>
              </w:rPr>
              <w:t>中标或者成交供应商在安装调试等方面是否违反合同约定或服务规范要求、提供的质量保证证明材料是否齐全、应有的配件及附件是否达到合同约定等</w:t>
            </w:r>
            <w:r>
              <w:rPr>
                <w:rFonts w:hint="eastAsia" w:ascii="宋体" w:hAnsi="宋体" w:cs="宋体"/>
                <w:color w:val="auto"/>
                <w:kern w:val="0"/>
                <w:szCs w:val="21"/>
                <w:highlight w:val="none"/>
              </w:rPr>
              <w:t>。可附件）</w:t>
            </w:r>
          </w:p>
        </w:tc>
      </w:tr>
      <w:tr w14:paraId="32AF14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2" w:hRule="atLeast"/>
          <w:jc w:val="center"/>
        </w:trPr>
        <w:tc>
          <w:tcPr>
            <w:tcW w:w="835" w:type="pct"/>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5DDB4F">
            <w:pPr>
              <w:widowControl/>
              <w:spacing w:before="100" w:beforeAutospacing="1" w:after="100" w:afterAutospacing="1"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4164" w:type="pct"/>
            <w:gridSpan w:val="6"/>
            <w:tcBorders>
              <w:top w:val="single" w:color="auto" w:sz="8" w:space="0"/>
              <w:left w:val="single" w:color="auto" w:sz="8" w:space="0"/>
              <w:bottom w:val="single" w:color="auto" w:sz="4" w:space="0"/>
              <w:right w:val="single" w:color="auto" w:sz="8" w:space="0"/>
            </w:tcBorders>
            <w:noWrap w:val="0"/>
            <w:vAlign w:val="center"/>
          </w:tcPr>
          <w:p w14:paraId="3E14129A">
            <w:pPr>
              <w:widowControl/>
              <w:spacing w:before="100" w:beforeAutospacing="1" w:after="100" w:afterAutospacing="1"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验收结论性意见：</w:t>
            </w:r>
          </w:p>
        </w:tc>
      </w:tr>
      <w:tr w14:paraId="67C4BF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835" w:type="pct"/>
            <w:vMerge w:val="continue"/>
            <w:tcBorders>
              <w:top w:val="single" w:color="auto" w:sz="8" w:space="0"/>
              <w:left w:val="single" w:color="auto" w:sz="8" w:space="0"/>
              <w:bottom w:val="single" w:color="auto" w:sz="8" w:space="0"/>
              <w:right w:val="single" w:color="auto" w:sz="8" w:space="0"/>
            </w:tcBorders>
            <w:noWrap w:val="0"/>
            <w:vAlign w:val="center"/>
          </w:tcPr>
          <w:p w14:paraId="1AEFC25F">
            <w:pPr>
              <w:widowControl/>
              <w:spacing w:line="320" w:lineRule="exact"/>
              <w:jc w:val="left"/>
              <w:rPr>
                <w:rFonts w:hint="eastAsia" w:ascii="宋体" w:hAnsi="宋体" w:cs="宋体"/>
                <w:color w:val="auto"/>
                <w:kern w:val="0"/>
                <w:szCs w:val="21"/>
                <w:highlight w:val="none"/>
              </w:rPr>
            </w:pPr>
          </w:p>
        </w:tc>
        <w:tc>
          <w:tcPr>
            <w:tcW w:w="4164" w:type="pct"/>
            <w:gridSpan w:val="6"/>
            <w:tcBorders>
              <w:top w:val="single" w:color="auto" w:sz="4" w:space="0"/>
              <w:left w:val="single" w:color="auto" w:sz="8" w:space="0"/>
              <w:bottom w:val="single" w:color="auto" w:sz="8" w:space="0"/>
              <w:right w:val="single" w:color="auto" w:sz="8" w:space="0"/>
            </w:tcBorders>
            <w:noWrap w:val="0"/>
            <w:vAlign w:val="center"/>
          </w:tcPr>
          <w:p w14:paraId="44C9449B">
            <w:pPr>
              <w:spacing w:before="100" w:beforeAutospacing="1" w:after="100" w:afterAutospacing="1" w:line="320" w:lineRule="exact"/>
              <w:ind w:firstLine="84" w:firstLineChars="4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043FDB7B">
            <w:pPr>
              <w:spacing w:before="100" w:beforeAutospacing="1" w:after="100" w:afterAutospacing="1"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签字：</w:t>
            </w:r>
          </w:p>
        </w:tc>
      </w:tr>
      <w:tr w14:paraId="3E42EE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5000" w:type="pct"/>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8A216EE">
            <w:pPr>
              <w:widowControl/>
              <w:spacing w:before="100" w:beforeAutospacing="1" w:after="100" w:afterAutospacing="1"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3404AD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5000" w:type="pct"/>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B0B6571">
            <w:pPr>
              <w:widowControl/>
              <w:spacing w:before="100" w:beforeAutospacing="1" w:after="100" w:afterAutospacing="1"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07DFC9C8">
            <w:pPr>
              <w:widowControl/>
              <w:spacing w:before="100" w:beforeAutospacing="1" w:after="100" w:afterAutospacing="1" w:line="320" w:lineRule="exact"/>
              <w:ind w:firstLine="65" w:firstLineChars="31"/>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771E32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2501" w:type="pct"/>
            <w:gridSpan w:val="3"/>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7D533C92">
            <w:pPr>
              <w:widowControl/>
              <w:spacing w:before="100" w:beforeAutospacing="1" w:after="100" w:afterAutospacing="1" w:line="320" w:lineRule="exact"/>
              <w:ind w:firstLine="65" w:firstLineChars="31"/>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6E763E11">
            <w:pPr>
              <w:widowControl/>
              <w:spacing w:before="100" w:beforeAutospacing="1" w:after="100" w:afterAutospacing="1"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2498" w:type="pct"/>
            <w:gridSpan w:val="4"/>
            <w:tcBorders>
              <w:top w:val="single" w:color="auto" w:sz="8" w:space="0"/>
              <w:left w:val="nil"/>
              <w:bottom w:val="single" w:color="auto" w:sz="8" w:space="0"/>
              <w:right w:val="single" w:color="auto" w:sz="8" w:space="0"/>
            </w:tcBorders>
            <w:noWrap w:val="0"/>
            <w:vAlign w:val="center"/>
          </w:tcPr>
          <w:p w14:paraId="669EFF8E">
            <w:pPr>
              <w:widowControl/>
              <w:spacing w:before="100" w:beforeAutospacing="1" w:after="100" w:afterAutospacing="1"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采购人或受托机构的意见（盖章）：</w:t>
            </w:r>
          </w:p>
          <w:p w14:paraId="60A50024">
            <w:pPr>
              <w:widowControl/>
              <w:spacing w:before="100" w:beforeAutospacing="1" w:after="100" w:afterAutospacing="1"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4B422BC9">
      <w:pPr>
        <w:widowControl/>
        <w:jc w:val="left"/>
        <w:rPr>
          <w:rFonts w:hint="eastAsia" w:ascii="宋体" w:hAnsi="宋体" w:cs="宋体"/>
          <w:color w:val="auto"/>
          <w:spacing w:val="-10"/>
          <w:kern w:val="0"/>
          <w:szCs w:val="21"/>
          <w:highlight w:val="none"/>
        </w:rPr>
      </w:pPr>
    </w:p>
    <w:p w14:paraId="655723B4">
      <w:pPr>
        <w:widowControl/>
        <w:jc w:val="left"/>
        <w:rPr>
          <w:rFonts w:hint="eastAsia" w:ascii="宋体" w:hAnsi="宋体" w:cs="宋体"/>
          <w:color w:val="auto"/>
          <w:spacing w:val="-10"/>
          <w:kern w:val="0"/>
          <w:szCs w:val="21"/>
          <w:highlight w:val="none"/>
        </w:rPr>
      </w:pPr>
      <w:r>
        <w:rPr>
          <w:rFonts w:hint="eastAsia" w:ascii="宋体" w:hAnsi="宋体" w:cs="宋体"/>
          <w:color w:val="auto"/>
          <w:spacing w:val="-10"/>
          <w:kern w:val="0"/>
          <w:szCs w:val="21"/>
          <w:highlight w:val="none"/>
        </w:rPr>
        <w:t>备注：本报告单一式4份（采购单位1份、供应商1份、采购监督部门备案1份、采购代理机构1份）。</w:t>
      </w:r>
    </w:p>
    <w:p w14:paraId="21C7CF49">
      <w:pPr>
        <w:jc w:val="left"/>
        <w:rPr>
          <w:rFonts w:hint="eastAsia" w:ascii="宋体" w:hAnsi="宋体" w:cs="宋体"/>
          <w:color w:val="auto"/>
          <w:highlight w:val="none"/>
        </w:rPr>
      </w:pPr>
    </w:p>
    <w:p w14:paraId="02029523">
      <w:pPr>
        <w:jc w:val="left"/>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sz w:val="24"/>
          <w:szCs w:val="32"/>
          <w:highlight w:val="none"/>
        </w:rPr>
        <w:t>附件2：</w:t>
      </w:r>
    </w:p>
    <w:p w14:paraId="202965CB">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政府采购项目履约保证金退付意见书（参考）</w:t>
      </w:r>
    </w:p>
    <w:p w14:paraId="2641F91A">
      <w:pPr>
        <w:jc w:val="center"/>
        <w:rPr>
          <w:rFonts w:hint="eastAsia" w:ascii="宋体" w:hAnsi="宋体" w:cs="宋体"/>
          <w:color w:val="auto"/>
          <w:sz w:val="36"/>
          <w:szCs w:val="36"/>
          <w:highlight w:val="none"/>
        </w:rPr>
      </w:pPr>
    </w:p>
    <w:tbl>
      <w:tblPr>
        <w:tblStyle w:val="35"/>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632"/>
      </w:tblGrid>
      <w:tr w14:paraId="6177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val="0"/>
            <w:vAlign w:val="center"/>
          </w:tcPr>
          <w:p w14:paraId="183A1F0D">
            <w:pPr>
              <w:jc w:val="center"/>
              <w:rPr>
                <w:rFonts w:hint="eastAsia" w:ascii="宋体" w:hAnsi="宋体" w:cs="宋体"/>
                <w:color w:val="auto"/>
                <w:sz w:val="24"/>
                <w:highlight w:val="none"/>
              </w:rPr>
            </w:pPr>
            <w:r>
              <w:rPr>
                <w:rFonts w:hint="eastAsia" w:ascii="宋体" w:hAnsi="宋体" w:cs="宋体"/>
                <w:color w:val="auto"/>
                <w:sz w:val="24"/>
                <w:highlight w:val="none"/>
              </w:rPr>
              <w:t>供</w:t>
            </w:r>
          </w:p>
          <w:p w14:paraId="3DFA3B3C">
            <w:pPr>
              <w:jc w:val="center"/>
              <w:rPr>
                <w:rFonts w:hint="eastAsia" w:ascii="宋体" w:hAnsi="宋体" w:cs="宋体"/>
                <w:color w:val="auto"/>
                <w:sz w:val="24"/>
                <w:highlight w:val="none"/>
              </w:rPr>
            </w:pPr>
            <w:r>
              <w:rPr>
                <w:rFonts w:hint="eastAsia" w:ascii="宋体" w:hAnsi="宋体" w:cs="宋体"/>
                <w:color w:val="auto"/>
                <w:sz w:val="24"/>
                <w:highlight w:val="none"/>
              </w:rPr>
              <w:t>应</w:t>
            </w:r>
          </w:p>
          <w:p w14:paraId="44BBCC2A">
            <w:pPr>
              <w:jc w:val="center"/>
              <w:rPr>
                <w:rFonts w:hint="eastAsia" w:ascii="宋体" w:hAnsi="宋体" w:cs="宋体"/>
                <w:color w:val="auto"/>
                <w:sz w:val="24"/>
                <w:highlight w:val="none"/>
              </w:rPr>
            </w:pPr>
            <w:r>
              <w:rPr>
                <w:rFonts w:hint="eastAsia" w:ascii="宋体" w:hAnsi="宋体" w:cs="宋体"/>
                <w:color w:val="auto"/>
                <w:sz w:val="24"/>
                <w:highlight w:val="none"/>
              </w:rPr>
              <w:t>商</w:t>
            </w:r>
          </w:p>
          <w:p w14:paraId="7C96292C">
            <w:pPr>
              <w:jc w:val="center"/>
              <w:rPr>
                <w:rFonts w:hint="eastAsia" w:ascii="宋体" w:hAnsi="宋体" w:cs="宋体"/>
                <w:color w:val="auto"/>
                <w:sz w:val="24"/>
                <w:highlight w:val="none"/>
              </w:rPr>
            </w:pPr>
            <w:r>
              <w:rPr>
                <w:rFonts w:hint="eastAsia" w:ascii="宋体" w:hAnsi="宋体" w:cs="宋体"/>
                <w:color w:val="auto"/>
                <w:sz w:val="24"/>
                <w:highlight w:val="none"/>
              </w:rPr>
              <w:t>申</w:t>
            </w:r>
          </w:p>
          <w:p w14:paraId="4BDE0F45">
            <w:pPr>
              <w:jc w:val="center"/>
              <w:rPr>
                <w:rFonts w:hint="eastAsia" w:ascii="宋体" w:hAnsi="宋体" w:cs="宋体"/>
                <w:color w:val="auto"/>
                <w:sz w:val="24"/>
                <w:highlight w:val="none"/>
              </w:rPr>
            </w:pPr>
            <w:r>
              <w:rPr>
                <w:rFonts w:hint="eastAsia" w:ascii="宋体" w:hAnsi="宋体" w:cs="宋体"/>
                <w:color w:val="auto"/>
                <w:sz w:val="24"/>
                <w:highlight w:val="none"/>
              </w:rPr>
              <w:t>请</w:t>
            </w:r>
          </w:p>
        </w:tc>
        <w:tc>
          <w:tcPr>
            <w:tcW w:w="7632" w:type="dxa"/>
            <w:tcBorders>
              <w:top w:val="single" w:color="auto" w:sz="4" w:space="0"/>
              <w:left w:val="single" w:color="auto" w:sz="4" w:space="0"/>
              <w:bottom w:val="single" w:color="auto" w:sz="4" w:space="0"/>
              <w:right w:val="single" w:color="auto" w:sz="4" w:space="0"/>
            </w:tcBorders>
            <w:noWrap w:val="0"/>
            <w:vAlign w:val="center"/>
          </w:tcPr>
          <w:p w14:paraId="6A26F40C">
            <w:pPr>
              <w:rPr>
                <w:rFonts w:hint="eastAsia" w:ascii="宋体" w:hAnsi="宋体" w:cs="宋体"/>
                <w:color w:val="auto"/>
                <w:sz w:val="24"/>
                <w:highlight w:val="none"/>
              </w:rPr>
            </w:pPr>
            <w:r>
              <w:rPr>
                <w:rFonts w:hint="eastAsia" w:ascii="宋体" w:hAnsi="宋体" w:cs="宋体"/>
                <w:color w:val="auto"/>
                <w:sz w:val="24"/>
                <w:highlight w:val="none"/>
              </w:rPr>
              <w:t>项目编号：</w:t>
            </w:r>
          </w:p>
        </w:tc>
      </w:tr>
      <w:tr w14:paraId="2BEF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14:paraId="26575396">
            <w:pPr>
              <w:widowControl/>
              <w:jc w:val="left"/>
              <w:rPr>
                <w:rFonts w:hint="eastAsia" w:ascii="宋体" w:hAnsi="宋体" w:cs="宋体"/>
                <w:color w:val="auto"/>
                <w:sz w:val="24"/>
                <w:highlight w:val="none"/>
              </w:rPr>
            </w:pPr>
          </w:p>
        </w:tc>
        <w:tc>
          <w:tcPr>
            <w:tcW w:w="7632" w:type="dxa"/>
            <w:tcBorders>
              <w:top w:val="single" w:color="auto" w:sz="4" w:space="0"/>
              <w:left w:val="single" w:color="auto" w:sz="4" w:space="0"/>
              <w:bottom w:val="single" w:color="auto" w:sz="4" w:space="0"/>
              <w:right w:val="single" w:color="auto" w:sz="4" w:space="0"/>
            </w:tcBorders>
            <w:noWrap w:val="0"/>
            <w:vAlign w:val="center"/>
          </w:tcPr>
          <w:p w14:paraId="2D79CD55">
            <w:pPr>
              <w:rPr>
                <w:rFonts w:hint="eastAsia" w:ascii="宋体" w:hAnsi="宋体" w:cs="宋体"/>
                <w:color w:val="auto"/>
                <w:sz w:val="24"/>
                <w:highlight w:val="none"/>
              </w:rPr>
            </w:pPr>
            <w:r>
              <w:rPr>
                <w:rFonts w:hint="eastAsia" w:ascii="宋体" w:hAnsi="宋体" w:cs="宋体"/>
                <w:color w:val="auto"/>
                <w:sz w:val="24"/>
                <w:highlight w:val="none"/>
              </w:rPr>
              <w:t>项目名称：</w:t>
            </w:r>
          </w:p>
        </w:tc>
      </w:tr>
      <w:tr w14:paraId="1B44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14:paraId="617D659A">
            <w:pPr>
              <w:widowControl/>
              <w:jc w:val="left"/>
              <w:rPr>
                <w:rFonts w:hint="eastAsia" w:ascii="宋体" w:hAnsi="宋体" w:cs="宋体"/>
                <w:color w:val="auto"/>
                <w:sz w:val="24"/>
                <w:highlight w:val="none"/>
              </w:rPr>
            </w:pPr>
          </w:p>
        </w:tc>
        <w:tc>
          <w:tcPr>
            <w:tcW w:w="7632" w:type="dxa"/>
            <w:tcBorders>
              <w:top w:val="single" w:color="auto" w:sz="4" w:space="0"/>
              <w:left w:val="single" w:color="auto" w:sz="4" w:space="0"/>
              <w:bottom w:val="single" w:color="auto" w:sz="4" w:space="0"/>
              <w:right w:val="single" w:color="auto" w:sz="4" w:space="0"/>
            </w:tcBorders>
            <w:noWrap w:val="0"/>
            <w:vAlign w:val="top"/>
          </w:tcPr>
          <w:p w14:paraId="7639A36E">
            <w:pP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2783A2E">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w:t>
            </w:r>
          </w:p>
          <w:p w14:paraId="701C1811">
            <w:pPr>
              <w:spacing w:line="40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（小写）退付到达以下账户。</w:t>
            </w:r>
          </w:p>
          <w:p w14:paraId="032EDE60">
            <w:pPr>
              <w:spacing w:line="400" w:lineRule="exact"/>
              <w:ind w:firstLine="705"/>
              <w:rPr>
                <w:rFonts w:hint="eastAsia" w:ascii="宋体" w:hAnsi="宋体" w:cs="宋体"/>
                <w:color w:val="auto"/>
                <w:sz w:val="24"/>
                <w:highlight w:val="none"/>
              </w:rPr>
            </w:pPr>
            <w:r>
              <w:rPr>
                <w:rFonts w:hint="eastAsia" w:ascii="宋体" w:hAnsi="宋体" w:cs="宋体"/>
                <w:color w:val="auto"/>
                <w:sz w:val="24"/>
                <w:highlight w:val="none"/>
              </w:rPr>
              <w:t>单位名称：</w:t>
            </w:r>
          </w:p>
          <w:p w14:paraId="5D5DF23A">
            <w:pPr>
              <w:spacing w:line="400" w:lineRule="exact"/>
              <w:ind w:firstLine="705"/>
              <w:rPr>
                <w:rFonts w:hint="eastAsia" w:ascii="宋体" w:hAnsi="宋体" w:cs="宋体"/>
                <w:color w:val="auto"/>
                <w:sz w:val="24"/>
                <w:highlight w:val="none"/>
              </w:rPr>
            </w:pPr>
            <w:r>
              <w:rPr>
                <w:rFonts w:hint="eastAsia" w:ascii="宋体" w:hAnsi="宋体" w:cs="宋体"/>
                <w:color w:val="auto"/>
                <w:sz w:val="24"/>
                <w:highlight w:val="none"/>
              </w:rPr>
              <w:t>开户银行：</w:t>
            </w:r>
          </w:p>
          <w:p w14:paraId="5BD1B62D">
            <w:pPr>
              <w:spacing w:line="400" w:lineRule="exact"/>
              <w:ind w:firstLine="705"/>
              <w:rPr>
                <w:rFonts w:hint="eastAsia" w:ascii="宋体" w:hAnsi="宋体" w:cs="宋体"/>
                <w:color w:val="auto"/>
                <w:sz w:val="24"/>
                <w:highlight w:val="none"/>
              </w:rPr>
            </w:pPr>
            <w:r>
              <w:rPr>
                <w:rFonts w:hint="eastAsia" w:ascii="宋体" w:hAnsi="宋体" w:cs="宋体"/>
                <w:color w:val="auto"/>
                <w:sz w:val="24"/>
                <w:highlight w:val="none"/>
                <w:lang w:eastAsia="zh-CN"/>
              </w:rPr>
              <w:t>账</w:t>
            </w:r>
            <w:r>
              <w:rPr>
                <w:rFonts w:hint="eastAsia" w:ascii="宋体" w:hAnsi="宋体" w:cs="宋体"/>
                <w:color w:val="auto"/>
                <w:sz w:val="24"/>
                <w:highlight w:val="none"/>
              </w:rPr>
              <w:t xml:space="preserve">   号：</w:t>
            </w:r>
          </w:p>
          <w:p w14:paraId="11ADFB0A">
            <w:pPr>
              <w:spacing w:line="400" w:lineRule="exact"/>
              <w:rPr>
                <w:rFonts w:hint="eastAsia" w:ascii="宋体" w:hAnsi="宋体" w:cs="宋体"/>
                <w:color w:val="auto"/>
                <w:sz w:val="24"/>
                <w:highlight w:val="none"/>
              </w:rPr>
            </w:pPr>
            <w:r>
              <w:rPr>
                <w:rFonts w:hint="eastAsia" w:ascii="宋体" w:hAnsi="宋体" w:cs="宋体"/>
                <w:color w:val="auto"/>
                <w:sz w:val="24"/>
                <w:highlight w:val="none"/>
              </w:rPr>
              <w:t>联系人及电话：</w:t>
            </w:r>
          </w:p>
          <w:p w14:paraId="1F09F74C">
            <w:pPr>
              <w:spacing w:line="400" w:lineRule="exact"/>
              <w:rPr>
                <w:rFonts w:hint="eastAsia" w:ascii="宋体" w:hAnsi="宋体" w:cs="宋体"/>
                <w:color w:val="auto"/>
                <w:sz w:val="24"/>
                <w:highlight w:val="none"/>
              </w:rPr>
            </w:pPr>
          </w:p>
          <w:p w14:paraId="3A29311F">
            <w:pPr>
              <w:spacing w:line="52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供应商（盖章）：</w:t>
            </w:r>
          </w:p>
          <w:p w14:paraId="7A7E6141">
            <w:pPr>
              <w:spacing w:line="52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2780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5ACD44A7">
            <w:pPr>
              <w:jc w:val="center"/>
              <w:rPr>
                <w:rFonts w:hint="eastAsia" w:ascii="宋体" w:hAnsi="宋体" w:cs="宋体"/>
                <w:color w:val="auto"/>
                <w:sz w:val="24"/>
                <w:highlight w:val="none"/>
              </w:rPr>
            </w:pPr>
            <w:r>
              <w:rPr>
                <w:rFonts w:hint="eastAsia" w:ascii="宋体" w:hAnsi="宋体" w:cs="宋体"/>
                <w:color w:val="auto"/>
                <w:sz w:val="24"/>
                <w:highlight w:val="none"/>
              </w:rPr>
              <w:t>采</w:t>
            </w:r>
          </w:p>
          <w:p w14:paraId="13B8F211">
            <w:pPr>
              <w:jc w:val="center"/>
              <w:rPr>
                <w:rFonts w:hint="eastAsia" w:ascii="宋体" w:hAnsi="宋体" w:cs="宋体"/>
                <w:color w:val="auto"/>
                <w:sz w:val="24"/>
                <w:highlight w:val="none"/>
              </w:rPr>
            </w:pPr>
            <w:r>
              <w:rPr>
                <w:rFonts w:hint="eastAsia" w:ascii="宋体" w:hAnsi="宋体" w:cs="宋体"/>
                <w:color w:val="auto"/>
                <w:sz w:val="24"/>
                <w:highlight w:val="none"/>
              </w:rPr>
              <w:t>购</w:t>
            </w:r>
          </w:p>
          <w:p w14:paraId="7C17071D">
            <w:pPr>
              <w:jc w:val="center"/>
              <w:rPr>
                <w:rFonts w:hint="eastAsia" w:ascii="宋体" w:hAnsi="宋体" w:cs="宋体"/>
                <w:color w:val="auto"/>
                <w:sz w:val="24"/>
                <w:highlight w:val="none"/>
              </w:rPr>
            </w:pPr>
            <w:r>
              <w:rPr>
                <w:rFonts w:hint="eastAsia" w:ascii="宋体" w:hAnsi="宋体" w:cs="宋体"/>
                <w:color w:val="auto"/>
                <w:sz w:val="24"/>
                <w:highlight w:val="none"/>
              </w:rPr>
              <w:t>人</w:t>
            </w:r>
          </w:p>
          <w:p w14:paraId="30093605">
            <w:pPr>
              <w:jc w:val="center"/>
              <w:rPr>
                <w:rFonts w:hint="eastAsia" w:ascii="宋体" w:hAnsi="宋体" w:cs="宋体"/>
                <w:color w:val="auto"/>
                <w:sz w:val="24"/>
                <w:highlight w:val="none"/>
              </w:rPr>
            </w:pPr>
            <w:r>
              <w:rPr>
                <w:rFonts w:hint="eastAsia" w:ascii="宋体" w:hAnsi="宋体" w:cs="宋体"/>
                <w:color w:val="auto"/>
                <w:sz w:val="24"/>
                <w:highlight w:val="none"/>
              </w:rPr>
              <w:t>意</w:t>
            </w:r>
          </w:p>
          <w:p w14:paraId="5112E193">
            <w:pPr>
              <w:jc w:val="center"/>
              <w:rPr>
                <w:rFonts w:hint="eastAsia" w:ascii="宋体" w:hAnsi="宋体" w:cs="宋体"/>
                <w:color w:val="auto"/>
                <w:sz w:val="24"/>
                <w:highlight w:val="none"/>
              </w:rPr>
            </w:pPr>
            <w:r>
              <w:rPr>
                <w:rFonts w:hint="eastAsia" w:ascii="宋体" w:hAnsi="宋体" w:cs="宋体"/>
                <w:color w:val="auto"/>
                <w:sz w:val="24"/>
                <w:highlight w:val="none"/>
              </w:rPr>
              <w:t>见</w:t>
            </w:r>
          </w:p>
        </w:tc>
        <w:tc>
          <w:tcPr>
            <w:tcW w:w="7632" w:type="dxa"/>
            <w:tcBorders>
              <w:top w:val="single" w:color="auto" w:sz="4" w:space="0"/>
              <w:left w:val="single" w:color="auto" w:sz="4" w:space="0"/>
              <w:bottom w:val="single" w:color="auto" w:sz="4" w:space="0"/>
              <w:right w:val="single" w:color="auto" w:sz="4" w:space="0"/>
            </w:tcBorders>
            <w:noWrap w:val="0"/>
            <w:vAlign w:val="top"/>
          </w:tcPr>
          <w:p w14:paraId="7B38E1D4">
            <w:pPr>
              <w:rPr>
                <w:rFonts w:hint="eastAsia" w:ascii="宋体" w:hAnsi="宋体" w:cs="宋体"/>
                <w:color w:val="auto"/>
                <w:sz w:val="24"/>
                <w:highlight w:val="none"/>
              </w:rPr>
            </w:pPr>
          </w:p>
          <w:p w14:paraId="1F5BF63F">
            <w:pPr>
              <w:rPr>
                <w:rFonts w:hint="eastAsia"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2B7C8074">
            <w:pPr>
              <w:rPr>
                <w:rFonts w:hint="eastAsia" w:ascii="宋体" w:hAnsi="宋体" w:cs="宋体"/>
                <w:color w:val="auto"/>
                <w:sz w:val="24"/>
                <w:highlight w:val="none"/>
              </w:rPr>
            </w:pPr>
          </w:p>
          <w:p w14:paraId="4B94F85E">
            <w:pPr>
              <w:rPr>
                <w:rFonts w:hint="eastAsia" w:ascii="宋体" w:hAnsi="宋体" w:cs="宋体"/>
                <w:color w:val="auto"/>
                <w:sz w:val="24"/>
                <w:highlight w:val="none"/>
              </w:rPr>
            </w:pPr>
          </w:p>
          <w:p w14:paraId="4E8F0ABF">
            <w:pPr>
              <w:rPr>
                <w:rFonts w:hint="eastAsia" w:ascii="宋体" w:hAnsi="宋体" w:cs="宋体"/>
                <w:color w:val="auto"/>
                <w:sz w:val="24"/>
                <w:highlight w:val="none"/>
              </w:rPr>
            </w:pPr>
          </w:p>
          <w:p w14:paraId="621CB14D">
            <w:pPr>
              <w:rPr>
                <w:rFonts w:hint="eastAsia" w:ascii="宋体" w:hAnsi="宋体" w:cs="宋体"/>
                <w:color w:val="auto"/>
                <w:sz w:val="24"/>
                <w:highlight w:val="none"/>
              </w:rPr>
            </w:pPr>
          </w:p>
          <w:p w14:paraId="766ACB28">
            <w:pPr>
              <w:rPr>
                <w:rFonts w:hint="eastAsia" w:ascii="宋体" w:hAnsi="宋体" w:cs="宋体"/>
                <w:color w:val="auto"/>
                <w:sz w:val="24"/>
                <w:highlight w:val="none"/>
              </w:rPr>
            </w:pPr>
          </w:p>
          <w:p w14:paraId="6C932AF4">
            <w:pPr>
              <w:rPr>
                <w:rFonts w:hint="eastAsia" w:ascii="宋体" w:hAnsi="宋体" w:cs="宋体"/>
                <w:color w:val="auto"/>
                <w:sz w:val="24"/>
                <w:highlight w:val="none"/>
              </w:rPr>
            </w:pPr>
          </w:p>
          <w:p w14:paraId="0B500017">
            <w:pPr>
              <w:rPr>
                <w:rFonts w:hint="eastAsia" w:ascii="宋体" w:hAnsi="宋体" w:cs="宋体"/>
                <w:color w:val="auto"/>
                <w:sz w:val="24"/>
                <w:highlight w:val="none"/>
              </w:rPr>
            </w:pPr>
          </w:p>
          <w:p w14:paraId="0541611A">
            <w:pPr>
              <w:spacing w:line="520" w:lineRule="exact"/>
              <w:rPr>
                <w:rFonts w:hint="eastAsia" w:ascii="宋体" w:hAnsi="宋体" w:cs="宋体"/>
                <w:color w:val="auto"/>
                <w:sz w:val="24"/>
                <w:highlight w:val="none"/>
              </w:rPr>
            </w:pPr>
            <w:r>
              <w:rPr>
                <w:rFonts w:hint="eastAsia" w:ascii="宋体" w:hAnsi="宋体" w:cs="宋体"/>
                <w:color w:val="auto"/>
                <w:sz w:val="24"/>
                <w:highlight w:val="none"/>
              </w:rPr>
              <w:t>联系人及电话：               采购人（盖章）：</w:t>
            </w:r>
          </w:p>
          <w:p w14:paraId="08B573B5">
            <w:pPr>
              <w:spacing w:line="52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0DE42E3B">
            <w:pPr>
              <w:spacing w:line="520" w:lineRule="exact"/>
              <w:jc w:val="center"/>
              <w:rPr>
                <w:rFonts w:hint="eastAsia" w:ascii="宋体" w:hAnsi="宋体" w:cs="宋体"/>
                <w:color w:val="auto"/>
                <w:sz w:val="24"/>
                <w:highlight w:val="none"/>
              </w:rPr>
            </w:pPr>
          </w:p>
        </w:tc>
      </w:tr>
    </w:tbl>
    <w:p w14:paraId="660894D1">
      <w:pPr>
        <w:pStyle w:val="3"/>
        <w:spacing w:before="0" w:after="0" w:line="360" w:lineRule="auto"/>
        <w:jc w:val="center"/>
        <w:rPr>
          <w:rFonts w:hint="eastAsia" w:ascii="宋体" w:hAnsi="宋体" w:cs="宋体"/>
          <w:b w:val="0"/>
          <w:bCs w:val="0"/>
          <w:color w:val="auto"/>
          <w:spacing w:val="-10"/>
          <w:kern w:val="0"/>
          <w:sz w:val="21"/>
          <w:szCs w:val="21"/>
          <w:highlight w:val="none"/>
        </w:rPr>
      </w:pPr>
    </w:p>
    <w:p w14:paraId="652FB876">
      <w:pPr>
        <w:keepNext/>
        <w:keepLines/>
        <w:spacing w:line="360" w:lineRule="auto"/>
        <w:jc w:val="center"/>
        <w:rPr>
          <w:rFonts w:hint="eastAsia" w:ascii="宋体" w:hAnsi="宋体" w:cs="宋体"/>
          <w:color w:val="auto"/>
          <w:spacing w:val="-10"/>
          <w:kern w:val="0"/>
          <w:szCs w:val="21"/>
          <w:highlight w:val="none"/>
        </w:rPr>
        <w:sectPr>
          <w:pgSz w:w="11911" w:h="16838"/>
          <w:pgMar w:top="1338" w:right="1502" w:bottom="850" w:left="1678" w:header="1077" w:footer="720" w:gutter="0"/>
          <w:cols w:space="720" w:num="1"/>
          <w:docGrid w:linePitch="331" w:charSpace="0"/>
        </w:sectPr>
      </w:pPr>
      <w:bookmarkStart w:id="57" w:name="_Toc7628"/>
      <w:r>
        <w:rPr>
          <w:rFonts w:hint="eastAsia" w:ascii="宋体" w:hAnsi="宋体" w:cs="宋体"/>
          <w:color w:val="auto"/>
          <w:spacing w:val="-10"/>
          <w:kern w:val="0"/>
          <w:szCs w:val="21"/>
          <w:highlight w:val="none"/>
        </w:rPr>
        <w:t>注：供应商凭经采购人审批的退付意见书到保证金收取单位办理履约保证金退付事宜。</w:t>
      </w:r>
      <w:bookmarkEnd w:id="57"/>
    </w:p>
    <w:p w14:paraId="7717382A">
      <w:pPr>
        <w:spacing w:line="360" w:lineRule="auto"/>
        <w:contextualSpacing/>
        <w:jc w:val="center"/>
        <w:outlineLvl w:val="0"/>
        <w:rPr>
          <w:rFonts w:hint="eastAsia" w:ascii="宋体" w:hAnsi="宋体" w:cs="宋体"/>
          <w:b/>
          <w:bCs/>
          <w:color w:val="auto"/>
          <w:sz w:val="32"/>
          <w:szCs w:val="32"/>
          <w:highlight w:val="none"/>
        </w:rPr>
      </w:pPr>
      <w:bookmarkStart w:id="58" w:name="_Toc28676"/>
      <w:r>
        <w:rPr>
          <w:rFonts w:hint="eastAsia" w:ascii="宋体" w:hAnsi="宋体" w:cs="宋体"/>
          <w:b/>
          <w:bCs/>
          <w:color w:val="auto"/>
          <w:sz w:val="32"/>
          <w:szCs w:val="32"/>
          <w:highlight w:val="none"/>
        </w:rPr>
        <w:t>第六章 评审程序、评审方法和成交标准</w:t>
      </w:r>
      <w:bookmarkEnd w:id="58"/>
    </w:p>
    <w:p w14:paraId="67FF6022">
      <w:pPr>
        <w:pStyle w:val="4"/>
        <w:spacing w:before="0" w:after="0" w:line="360" w:lineRule="auto"/>
        <w:jc w:val="center"/>
        <w:rPr>
          <w:rFonts w:hint="eastAsia" w:ascii="宋体" w:hAnsi="宋体" w:cs="宋体"/>
          <w:bCs w:val="0"/>
          <w:color w:val="auto"/>
          <w:highlight w:val="none"/>
        </w:rPr>
      </w:pPr>
      <w:bookmarkStart w:id="59" w:name="_Toc12020"/>
      <w:r>
        <w:rPr>
          <w:rFonts w:hint="eastAsia" w:ascii="宋体" w:hAnsi="宋体" w:cs="宋体"/>
          <w:bCs w:val="0"/>
          <w:color w:val="auto"/>
          <w:highlight w:val="none"/>
        </w:rPr>
        <w:t>第一节 评审程序和评审方法</w:t>
      </w:r>
      <w:bookmarkEnd w:id="59"/>
    </w:p>
    <w:p w14:paraId="478E1FD8">
      <w:pPr>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1.确认谈判文件</w:t>
      </w:r>
    </w:p>
    <w:p w14:paraId="5E6F0A56">
      <w:pPr>
        <w:spacing w:line="400" w:lineRule="exact"/>
        <w:ind w:firstLine="440" w:firstLineChars="200"/>
        <w:rPr>
          <w:rFonts w:hint="eastAsia" w:ascii="宋体" w:hAnsi="宋体" w:cs="宋体"/>
          <w:color w:val="auto"/>
          <w:szCs w:val="21"/>
          <w:highlight w:val="none"/>
        </w:rPr>
      </w:pPr>
      <w:r>
        <w:rPr>
          <w:rFonts w:hint="eastAsia" w:ascii="宋体" w:hAnsi="宋体" w:cs="宋体"/>
          <w:color w:val="auto"/>
          <w:sz w:val="22"/>
          <w:szCs w:val="22"/>
          <w:highlight w:val="none"/>
        </w:rPr>
        <w:t>由谈判小组确认谈判文件。</w:t>
      </w:r>
    </w:p>
    <w:p w14:paraId="7E3F84D7">
      <w:pPr>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2.资格审查</w:t>
      </w:r>
    </w:p>
    <w:p w14:paraId="5B50D1E1">
      <w:pPr>
        <w:snapToGrid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2.1响应文件开启后，谈判小组依法对供应商的资格证明文件进行审查。</w:t>
      </w:r>
    </w:p>
    <w:p w14:paraId="1D9A1EB3">
      <w:pPr>
        <w:snapToGrid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注：采购人代表或者采购代理机构在资格审查结束前，对供应商进行信用查询。</w:t>
      </w:r>
    </w:p>
    <w:p w14:paraId="280396BF">
      <w:pPr>
        <w:snapToGrid w:val="0"/>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（1）查询渠道：广西政府采购云平台“信用中国”网站（</w:t>
      </w: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"http://www.creditchina.gov.cn" </w:instrText>
      </w:r>
      <w:r>
        <w:rPr>
          <w:rFonts w:hint="eastAsia" w:ascii="宋体" w:hAnsi="宋体" w:cs="宋体"/>
          <w:color w:val="auto"/>
          <w:sz w:val="22"/>
          <w:szCs w:val="22"/>
          <w:highlight w:val="none"/>
        </w:rPr>
        <w:fldChar w:fldCharType="separate"/>
      </w:r>
      <w:r>
        <w:rPr>
          <w:rStyle w:val="42"/>
          <w:rFonts w:hint="eastAsia" w:ascii="宋体" w:hAnsi="宋体" w:cs="宋体"/>
          <w:color w:val="auto"/>
          <w:sz w:val="22"/>
          <w:szCs w:val="28"/>
          <w:highlight w:val="none"/>
          <w:u w:val="none"/>
        </w:rPr>
        <w:t>www.creditchina.gov.cn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）、中国政府采购网（</w:t>
      </w: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"http://www.ccgp.gov.cn" </w:instrText>
      </w:r>
      <w:r>
        <w:rPr>
          <w:rFonts w:hint="eastAsia" w:ascii="宋体" w:hAnsi="宋体" w:cs="宋体"/>
          <w:color w:val="auto"/>
          <w:sz w:val="22"/>
          <w:szCs w:val="22"/>
          <w:highlight w:val="none"/>
        </w:rPr>
        <w:fldChar w:fldCharType="separate"/>
      </w:r>
      <w:r>
        <w:rPr>
          <w:rStyle w:val="42"/>
          <w:rFonts w:hint="eastAsia" w:ascii="宋体" w:hAnsi="宋体" w:cs="宋体"/>
          <w:color w:val="auto"/>
          <w:sz w:val="22"/>
          <w:szCs w:val="28"/>
          <w:highlight w:val="none"/>
          <w:u w:val="none"/>
        </w:rPr>
        <w:t>www.ccgp.gov.cn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）链接入口。</w:t>
      </w:r>
    </w:p>
    <w:p w14:paraId="4E4E812E">
      <w:pPr>
        <w:snapToGrid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（2）信用查询截止时点：资格审查结束前。</w:t>
      </w:r>
    </w:p>
    <w:p w14:paraId="3B0B50B7">
      <w:pPr>
        <w:snapToGrid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查询记录和证据留存方式：在查询网站中直接打印查询记录，截图另存为电子文档作为评审资料保存。</w:t>
      </w:r>
    </w:p>
    <w:p w14:paraId="564D537D">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信用信息使用规则：对在“信用中国”网站（www.creditchina.gov.cn）、中国政府采购网（www.ccgp.gov.cn）被列入失信被执行人名单、重大税收违法失信主体名单、严重失信主体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68E7F6E">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2.2资格审查标准为本谈判文件中载明对供应商资格要求的条件。资格审查采用合格制，凡符合谈判文件规定的供应商资格要求的响应文件均通过资格审查。</w:t>
      </w:r>
    </w:p>
    <w:p w14:paraId="57C2A231">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2.3供应商有下列情形之一的，资格审查不通过，其响应文件按无效响应处理：</w:t>
      </w:r>
    </w:p>
    <w:p w14:paraId="6748E776">
      <w:pPr>
        <w:snapToGrid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（1）不具备谈判文件中规定的资格要求的；</w:t>
      </w:r>
    </w:p>
    <w:p w14:paraId="430FD378">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（2）响应文件未提供任一项“供应商须知前附表”资格证明文件规定的“必须提供”的文件资料的；</w:t>
      </w:r>
    </w:p>
    <w:p w14:paraId="61D86158">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（3）响应文件提供的资格证明文件出现任一项不符合“供应商须知前附表”资格证明文件规定的“必须提供”的文件资料要求或者无效的。</w:t>
      </w:r>
    </w:p>
    <w:p w14:paraId="4714F01A">
      <w:pPr>
        <w:spacing w:line="400" w:lineRule="exact"/>
        <w:ind w:firstLine="440" w:firstLineChars="200"/>
        <w:rPr>
          <w:rFonts w:hint="eastAsia" w:ascii="宋体" w:hAnsi="宋体" w:cs="宋体"/>
          <w:color w:val="auto"/>
          <w:sz w:val="22"/>
          <w:szCs w:val="22"/>
          <w:highlight w:val="none"/>
        </w:rPr>
      </w:pPr>
      <w:bookmarkStart w:id="60" w:name="_Hlk68601553"/>
      <w:r>
        <w:rPr>
          <w:rFonts w:hint="eastAsia" w:ascii="宋体" w:hAnsi="宋体" w:cs="宋体"/>
          <w:color w:val="auto"/>
          <w:sz w:val="22"/>
          <w:szCs w:val="22"/>
          <w:highlight w:val="none"/>
        </w:rPr>
        <w:t>（4）同一合同项下的不同供应商，单位负责人为同一人或者存在直接控股、管理关系的；为本项目提供过整体设计、规范编制或者项目管理、监理、检测等服务的。</w:t>
      </w:r>
      <w:bookmarkEnd w:id="60"/>
    </w:p>
    <w:p w14:paraId="1E3E6C8C">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2.4通过资格审查的合格供应商不足3家的，不得进入符合性审查环节，采购人或者采购代理机构应当重新开展采购活动。</w:t>
      </w:r>
    </w:p>
    <w:p w14:paraId="172A3668">
      <w:pPr>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3.符合性审查</w:t>
      </w:r>
    </w:p>
    <w:p w14:paraId="50D8E273">
      <w:pPr>
        <w:spacing w:line="400" w:lineRule="exact"/>
        <w:ind w:firstLine="440" w:firstLineChars="200"/>
        <w:rPr>
          <w:rFonts w:hint="eastAsia" w:ascii="宋体" w:hAnsi="宋体" w:cs="宋体"/>
          <w:color w:val="auto"/>
          <w:sz w:val="22"/>
          <w:szCs w:val="22"/>
          <w:highlight w:val="none"/>
        </w:rPr>
      </w:pPr>
      <w:bookmarkStart w:id="61" w:name="_Hlk42528882"/>
      <w:r>
        <w:rPr>
          <w:rFonts w:hint="eastAsia" w:ascii="宋体" w:hAnsi="宋体" w:cs="宋体"/>
          <w:color w:val="auto"/>
          <w:sz w:val="22"/>
          <w:szCs w:val="22"/>
          <w:highlight w:val="none"/>
        </w:rPr>
        <w:t>3.1由谈判小组对通过资格审查的合格供应商的响应文件的响应报价、商务、技术等实质性要求进行符合性审查，以确定其是否满足谈判文件的实质性要求。</w:t>
      </w:r>
    </w:p>
    <w:bookmarkEnd w:id="61"/>
    <w:p w14:paraId="0D083980">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181E591">
      <w:pPr>
        <w:spacing w:line="400" w:lineRule="exact"/>
        <w:ind w:firstLine="440" w:firstLineChars="200"/>
        <w:rPr>
          <w:rFonts w:hint="eastAsia" w:ascii="宋体" w:hAnsi="宋体" w:cs="宋体"/>
          <w:color w:val="auto"/>
          <w:spacing w:val="-6"/>
          <w:sz w:val="22"/>
          <w:szCs w:val="22"/>
          <w:highlight w:val="none"/>
        </w:rPr>
      </w:pPr>
      <w:r>
        <w:rPr>
          <w:rFonts w:hint="eastAsia" w:ascii="宋体" w:hAnsi="宋体" w:cs="宋体"/>
          <w:color w:val="auto"/>
          <w:sz w:val="22"/>
          <w:szCs w:val="22"/>
          <w:highlight w:val="none"/>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color w:val="auto"/>
          <w:spacing w:val="-6"/>
          <w:sz w:val="22"/>
          <w:szCs w:val="22"/>
          <w:highlight w:val="none"/>
        </w:rPr>
        <w:t>。供应商为自然人的，必须由本人签字并附身份证明。</w:t>
      </w:r>
    </w:p>
    <w:p w14:paraId="36542940">
      <w:pPr>
        <w:spacing w:line="400" w:lineRule="exact"/>
        <w:ind w:firstLine="416" w:firstLineChars="200"/>
        <w:rPr>
          <w:rFonts w:hint="eastAsia" w:ascii="宋体" w:hAnsi="宋体" w:cs="宋体"/>
          <w:color w:val="auto"/>
          <w:sz w:val="22"/>
          <w:szCs w:val="22"/>
          <w:highlight w:val="none"/>
        </w:rPr>
      </w:pPr>
      <w:r>
        <w:rPr>
          <w:rFonts w:hint="eastAsia" w:ascii="宋体" w:hAnsi="宋体" w:cs="宋体"/>
          <w:color w:val="auto"/>
          <w:spacing w:val="-6"/>
          <w:sz w:val="22"/>
          <w:szCs w:val="22"/>
          <w:highlight w:val="none"/>
        </w:rPr>
        <w:t>3.4</w:t>
      </w:r>
      <w:r>
        <w:rPr>
          <w:rFonts w:hint="eastAsia" w:ascii="宋体" w:hAnsi="宋体" w:cs="宋体"/>
          <w:color w:val="auto"/>
          <w:sz w:val="22"/>
          <w:szCs w:val="22"/>
          <w:highlight w:val="none"/>
        </w:rPr>
        <w:t xml:space="preserve">首次响应文件报价出现前后不一致的，按照下列规定修正： </w:t>
      </w:r>
    </w:p>
    <w:p w14:paraId="34CDE7D7">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（1）响应文件中报价表内容与响应文件中相应内容不一致的，以报价表为准；</w:t>
      </w:r>
    </w:p>
    <w:p w14:paraId="15F94C52">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（2）大写金额和小写金额不一致的，以大写金额为准；</w:t>
      </w:r>
    </w:p>
    <w:p w14:paraId="4E37629D">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（3）单价金额小数点或者百分比有明显错位的，以报价表的总价为准，并修改单价；</w:t>
      </w:r>
    </w:p>
    <w:p w14:paraId="7CDFB14C">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（4）总价金额与按单价汇总金额不一致的，以单价金额计算结果为准。</w:t>
      </w:r>
    </w:p>
    <w:p w14:paraId="1681BAF4">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同时出现两种以上不一致的，按照以上（1）－（4）规定的顺序逐条进行修正。修正后的报价经供应商确认后产生约束力，供应商不确认的，其响应文件按无效响应处理。</w:t>
      </w:r>
    </w:p>
    <w:p w14:paraId="0651479D">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3.5商务技术、报价评审</w:t>
      </w:r>
    </w:p>
    <w:p w14:paraId="3E7A4F4A">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在评审时，如发现下列情形之一的，将被视为响应文件无效处理：</w:t>
      </w:r>
    </w:p>
    <w:p w14:paraId="45A01D30">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（1）商务技术评审</w:t>
      </w:r>
    </w:p>
    <w:p w14:paraId="1963F1A1">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1）响应文件未按谈判文件要求签署、盖章；</w:t>
      </w:r>
    </w:p>
    <w:p w14:paraId="3462B1A4">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2）委托代理人未能出具有效身份证明或者出具的身份证明与授权委托书中的信息不符； </w:t>
      </w:r>
    </w:p>
    <w:p w14:paraId="2542D175">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3）响应文件未提供任一项“供应商须知前附表” 商务技术文件中“必须提供”或者“委托时必须提供”的文件资料；响应文件提供的商务技术文件出现任一项不符合“供应商须知前附表”商务技术文件中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E90428E">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4）商务条款中标“▲”的条款发生负偏离的或者允许负偏离的条款数超过“供应商须知前附表”规定项数的或者标明实质性的要求发生负偏离；</w:t>
      </w:r>
    </w:p>
    <w:p w14:paraId="38062454">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5）未对竞标有效期作出响应或者响应文件承诺的竞标有效期不满足谈判文件要求；</w:t>
      </w:r>
    </w:p>
    <w:p w14:paraId="7A9FBBCF">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6）响应文件的实质性内容未使用中文表述、使用计量单位不符合谈判文件要求；</w:t>
      </w:r>
    </w:p>
    <w:p w14:paraId="717AB6E6">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7）响应文件中的文件资料因填写不齐全或者内容虚假或者出现其他情形而导致被谈判小组认定无效；</w:t>
      </w:r>
    </w:p>
    <w:p w14:paraId="10B900B6">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8）响应文件含有采购人不能接受的附加条件；</w:t>
      </w:r>
    </w:p>
    <w:p w14:paraId="3BE84662">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9）属于“供应商须知正文”第7.5条情形；</w:t>
      </w:r>
    </w:p>
    <w:p w14:paraId="6AFEBEDD">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10）技术需求允许负偏离的条款数超过“供应商须知前附表”规定项数；</w:t>
      </w:r>
    </w:p>
    <w:p w14:paraId="1E2B932E">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11）虚假竞标，或者出现其他情形而导致被谈判小组认定无效；</w:t>
      </w:r>
    </w:p>
    <w:p w14:paraId="4F21964B">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12）竞标技术方案不明确，谈判文件未允许但响应文件中存在一个或者一个以上备选（替代）竞标方案；</w:t>
      </w:r>
    </w:p>
    <w:p w14:paraId="29924220">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13）响应文件标注的项目名称或者项目编号与竞争性谈判文件标注的项目名称或者项目编号不一致的；</w:t>
      </w:r>
    </w:p>
    <w:p w14:paraId="419C7C30">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14）未响应谈判文件实质性要求；</w:t>
      </w:r>
    </w:p>
    <w:p w14:paraId="2787DC5A">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15）法律法规和谈判文件规定的其他无效情形。</w:t>
      </w:r>
    </w:p>
    <w:p w14:paraId="3145C564">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（2）报价评审</w:t>
      </w:r>
    </w:p>
    <w:p w14:paraId="72D43825">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1）响应文件未提供“供应商须知前附表”报价文件中规定的“必须提供”的文件资料的；</w:t>
      </w:r>
    </w:p>
    <w:p w14:paraId="6178F351">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2）未采用人民币报价或者未按照谈判文件标明的币种报价；</w:t>
      </w:r>
    </w:p>
    <w:p w14:paraId="4E97A886">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7D342E24">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4）响应报价（包含首次报价、最后报价）超过所竞标分标规定的采购预算金额或者最高限价的（如本项目公布了最高限价）；</w:t>
      </w:r>
      <w:bookmarkStart w:id="62" w:name="_Hlk42596405"/>
      <w:r>
        <w:rPr>
          <w:rFonts w:hint="eastAsia" w:ascii="宋体" w:hAnsi="宋体" w:cs="宋体"/>
          <w:color w:val="auto"/>
          <w:sz w:val="22"/>
          <w:szCs w:val="22"/>
          <w:highlight w:val="none"/>
        </w:rPr>
        <w:t>响应报价（包含首次报价、最后报价）</w:t>
      </w:r>
      <w:bookmarkEnd w:id="62"/>
      <w:bookmarkStart w:id="63" w:name="_Hlk42596276"/>
      <w:r>
        <w:rPr>
          <w:rFonts w:hint="eastAsia" w:ascii="宋体" w:hAnsi="宋体" w:cs="宋体"/>
          <w:color w:val="auto"/>
          <w:sz w:val="22"/>
          <w:szCs w:val="22"/>
          <w:highlight w:val="none"/>
        </w:rPr>
        <w:t>超过谈判文件分项采购预算金额或者最高限价的</w:t>
      </w:r>
      <w:bookmarkEnd w:id="63"/>
      <w:r>
        <w:rPr>
          <w:rFonts w:hint="eastAsia" w:ascii="宋体" w:hAnsi="宋体" w:cs="宋体"/>
          <w:color w:val="auto"/>
          <w:sz w:val="22"/>
          <w:szCs w:val="22"/>
          <w:highlight w:val="none"/>
        </w:rPr>
        <w:t>（如本项目公布了最高限价）；</w:t>
      </w:r>
    </w:p>
    <w:p w14:paraId="2B674CDF">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14:paraId="122854B2">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6）响应文件响应的标的数量及单位与竞争性谈判采购文件要求实质性不一致的。</w:t>
      </w:r>
    </w:p>
    <w:p w14:paraId="2B4E6553">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44D1173F">
      <w:pPr>
        <w:spacing w:line="400" w:lineRule="exact"/>
        <w:ind w:firstLine="440" w:firstLineChars="200"/>
        <w:rPr>
          <w:rFonts w:hint="eastAsia" w:ascii="宋体" w:hAnsi="宋体" w:cs="宋体"/>
          <w:b/>
          <w:bCs/>
          <w:color w:val="auto"/>
          <w:sz w:val="24"/>
          <w:highlight w:val="none"/>
        </w:rPr>
      </w:pPr>
      <w:r>
        <w:rPr>
          <w:rFonts w:hint="eastAsia" w:ascii="宋体" w:hAnsi="宋体" w:cs="宋体"/>
          <w:color w:val="auto"/>
          <w:sz w:val="22"/>
          <w:szCs w:val="22"/>
          <w:highlight w:val="none"/>
        </w:rPr>
        <w:t>3.7通过符合性审查的合格供应商不足3家的，不得进入谈判环节，应当重新开展采购活动。</w:t>
      </w:r>
    </w:p>
    <w:p w14:paraId="721D23FF">
      <w:pPr>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4.谈判程序</w:t>
      </w:r>
    </w:p>
    <w:p w14:paraId="236023E2">
      <w:pPr>
        <w:spacing w:line="400" w:lineRule="exact"/>
        <w:ind w:firstLine="440" w:firstLineChars="200"/>
        <w:rPr>
          <w:rFonts w:hint="eastAsia" w:ascii="宋体" w:hAnsi="宋体" w:cs="宋体"/>
          <w:b/>
          <w:color w:val="auto"/>
          <w:kern w:val="0"/>
          <w:sz w:val="22"/>
          <w:szCs w:val="22"/>
          <w:highlight w:val="none"/>
        </w:rPr>
      </w:pPr>
      <w:r>
        <w:rPr>
          <w:rFonts w:hint="eastAsia" w:ascii="宋体" w:hAnsi="宋体" w:cs="宋体"/>
          <w:color w:val="auto"/>
          <w:kern w:val="0"/>
          <w:sz w:val="22"/>
          <w:szCs w:val="22"/>
          <w:highlight w:val="none"/>
        </w:rPr>
        <w:t>4.1谈判小组按照“供应商须知前附表”确定的</w:t>
      </w:r>
      <w:r>
        <w:rPr>
          <w:rFonts w:hint="eastAsia" w:ascii="宋体" w:hAnsi="宋体" w:cs="宋体"/>
          <w:color w:val="auto"/>
          <w:sz w:val="22"/>
          <w:szCs w:val="22"/>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color w:val="auto"/>
          <w:sz w:val="22"/>
          <w:szCs w:val="22"/>
          <w:highlight w:val="none"/>
        </w:rPr>
        <w:t>其响应文件按无效响应处理。</w:t>
      </w:r>
    </w:p>
    <w:p w14:paraId="39E19A1B">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15DA03B2">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4.3对谈判文件作出的实质性变动是谈判文件的有效组成部分，由谈判小组及时以电子澄清函形式同时通知所有参加谈判的供应商。</w:t>
      </w:r>
    </w:p>
    <w:p w14:paraId="334CB3B7">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73BFCB01">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4.5谈判中，</w:t>
      </w:r>
      <w:r>
        <w:rPr>
          <w:rFonts w:hint="eastAsia" w:ascii="宋体" w:hAnsi="宋体" w:cs="宋体"/>
          <w:color w:val="auto"/>
          <w:spacing w:val="-6"/>
          <w:sz w:val="22"/>
          <w:szCs w:val="22"/>
          <w:highlight w:val="none"/>
        </w:rPr>
        <w:t>谈判的任何一方不得透露与谈判有关的其他供应商的技术资料、价格和其他信息。</w:t>
      </w:r>
    </w:p>
    <w:p w14:paraId="5DD1F305">
      <w:pPr>
        <w:widowControl/>
        <w:tabs>
          <w:tab w:val="left" w:pos="540"/>
        </w:tabs>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4.6谈判小组应对谈判过程和重要谈判内容进行记录，作为评标报告一部分，谈判小组在记录上签字确认。</w:t>
      </w:r>
      <w:r>
        <w:rPr>
          <w:rFonts w:hint="eastAsia" w:ascii="宋体" w:hAnsi="宋体" w:cs="宋体"/>
          <w:b/>
          <w:color w:val="auto"/>
          <w:sz w:val="22"/>
          <w:szCs w:val="28"/>
          <w:highlight w:val="none"/>
        </w:rPr>
        <w:t>主要内容包括：</w:t>
      </w:r>
    </w:p>
    <w:p w14:paraId="5B96BF35">
      <w:pPr>
        <w:pStyle w:val="75"/>
        <w:spacing w:before="0" w:line="400" w:lineRule="exact"/>
        <w:ind w:firstLine="416"/>
        <w:rPr>
          <w:rFonts w:hint="eastAsia" w:ascii="宋体" w:hAnsi="宋体" w:cs="宋体"/>
          <w:color w:val="auto"/>
          <w:spacing w:val="-6"/>
          <w:kern w:val="2"/>
          <w:sz w:val="22"/>
          <w:szCs w:val="22"/>
          <w:highlight w:val="none"/>
        </w:rPr>
      </w:pPr>
      <w:r>
        <w:rPr>
          <w:rFonts w:hint="eastAsia" w:ascii="宋体" w:hAnsi="宋体" w:cs="宋体"/>
          <w:color w:val="auto"/>
          <w:spacing w:val="-6"/>
          <w:kern w:val="2"/>
          <w:sz w:val="22"/>
          <w:szCs w:val="22"/>
          <w:highlight w:val="none"/>
        </w:rPr>
        <w:t>（1）按照相关规定进行公示的，公示情况说明；</w:t>
      </w:r>
    </w:p>
    <w:p w14:paraId="5933A04D">
      <w:pPr>
        <w:pStyle w:val="75"/>
        <w:spacing w:before="0" w:line="400" w:lineRule="exact"/>
        <w:ind w:firstLine="416"/>
        <w:rPr>
          <w:rFonts w:hint="eastAsia" w:ascii="宋体" w:hAnsi="宋体" w:cs="宋体"/>
          <w:color w:val="auto"/>
          <w:spacing w:val="-6"/>
          <w:kern w:val="2"/>
          <w:sz w:val="22"/>
          <w:szCs w:val="22"/>
          <w:highlight w:val="none"/>
        </w:rPr>
      </w:pPr>
      <w:r>
        <w:rPr>
          <w:rFonts w:hint="eastAsia" w:ascii="宋体" w:hAnsi="宋体" w:cs="宋体"/>
          <w:color w:val="auto"/>
          <w:spacing w:val="-6"/>
          <w:kern w:val="2"/>
          <w:sz w:val="22"/>
          <w:szCs w:val="22"/>
          <w:highlight w:val="none"/>
        </w:rPr>
        <w:t>（2）谈判日期和地点，谈判人员名单；</w:t>
      </w:r>
    </w:p>
    <w:p w14:paraId="1C2A18D5">
      <w:pPr>
        <w:pStyle w:val="75"/>
        <w:spacing w:before="0" w:line="400" w:lineRule="exact"/>
        <w:ind w:firstLine="416"/>
        <w:rPr>
          <w:rFonts w:hint="eastAsia" w:ascii="宋体" w:hAnsi="宋体" w:cs="宋体"/>
          <w:color w:val="auto"/>
          <w:spacing w:val="-6"/>
          <w:kern w:val="2"/>
          <w:sz w:val="22"/>
          <w:szCs w:val="22"/>
          <w:highlight w:val="none"/>
        </w:rPr>
      </w:pPr>
      <w:r>
        <w:rPr>
          <w:rFonts w:hint="eastAsia" w:ascii="宋体" w:hAnsi="宋体" w:cs="宋体"/>
          <w:color w:val="auto"/>
          <w:spacing w:val="-6"/>
          <w:kern w:val="2"/>
          <w:sz w:val="22"/>
          <w:szCs w:val="22"/>
          <w:highlight w:val="none"/>
        </w:rPr>
        <w:t>（3）合同主要条款及价格商定情况。</w:t>
      </w:r>
    </w:p>
    <w:p w14:paraId="54B30F8D">
      <w:pPr>
        <w:widowControl/>
        <w:tabs>
          <w:tab w:val="left" w:pos="540"/>
        </w:tabs>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4.7谈判过程中重新提交的响应文件，供应商可以在开启前补充、修改。</w:t>
      </w:r>
    </w:p>
    <w:p w14:paraId="73E68458">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4.8对谈判过程中提交的响应文件进行有效性、完整性和响应程度审查，通过审查的合格供应商不足3家的，采购人或者采购代理机构应当重新开展采购活动。</w:t>
      </w:r>
    </w:p>
    <w:p w14:paraId="42B6A7C4">
      <w:pPr>
        <w:spacing w:line="400" w:lineRule="exact"/>
        <w:ind w:firstLine="482" w:firstLineChars="200"/>
        <w:rPr>
          <w:rFonts w:hint="eastAsia" w:ascii="宋体" w:hAnsi="宋体" w:cs="宋体"/>
          <w:color w:val="auto"/>
          <w:szCs w:val="21"/>
          <w:highlight w:val="none"/>
        </w:rPr>
      </w:pPr>
      <w:r>
        <w:rPr>
          <w:rFonts w:hint="eastAsia" w:ascii="宋体" w:hAnsi="宋体" w:cs="宋体"/>
          <w:b/>
          <w:bCs/>
          <w:color w:val="auto"/>
          <w:sz w:val="24"/>
          <w:highlight w:val="none"/>
        </w:rPr>
        <w:t>5.最后报价</w:t>
      </w:r>
    </w:p>
    <w:p w14:paraId="703D3814">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5.1谈判文件能够详细列明采购标的的技术、服务要求的，谈判结束后，由谈判小组要求所有继续参加谈判的供应商在规定时间内密封提交最后报价，提交最后报价的供应商不得少于3家，否则必须重新采购。</w:t>
      </w:r>
    </w:p>
    <w:p w14:paraId="1E1082DB">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5.2谈判文件不能详细列明采购标的的技术、服务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响应最后报价。</w:t>
      </w:r>
    </w:p>
    <w:p w14:paraId="56830C54">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5.3 最后报价是供应商响应文件的有效组成部分。</w:t>
      </w:r>
      <w:r>
        <w:rPr>
          <w:rFonts w:hint="eastAsia" w:ascii="宋体" w:hAnsi="宋体" w:cs="宋体"/>
          <w:b/>
          <w:bCs/>
          <w:color w:val="auto"/>
          <w:sz w:val="22"/>
          <w:szCs w:val="22"/>
          <w:highlight w:val="none"/>
          <w:u w:val="single"/>
        </w:rPr>
        <w:t>本项目采用多次报价方式，作最后报价时，供应商的最终报价如有变动，则必须以完整的工程量清单报价表的格式（按谈判文件中的相关规定签字盖章）编制提交，供应商须提前做好相关准备并按时递交最终报价文件，否则按竞标无效处理</w:t>
      </w:r>
      <w:r>
        <w:rPr>
          <w:rFonts w:hint="eastAsia" w:ascii="宋体" w:hAnsi="宋体" w:cs="宋体"/>
          <w:color w:val="auto"/>
          <w:sz w:val="22"/>
          <w:szCs w:val="22"/>
          <w:highlight w:val="none"/>
        </w:rPr>
        <w:t>。</w:t>
      </w:r>
    </w:p>
    <w:p w14:paraId="22586237">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5.4已经提交响应文件的供应商，在提交最后报价之前，可以根据谈判情况退出谈判，退出谈判的供应商的响应文件按无效响应处理。</w:t>
      </w:r>
    </w:p>
    <w:p w14:paraId="5FBABF4A">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5.5供应商未在规定时间内提交最后报价的</w:t>
      </w:r>
      <w:r>
        <w:rPr>
          <w:rFonts w:hint="eastAsia" w:ascii="宋体" w:hAnsi="宋体" w:cs="宋体"/>
          <w:b/>
          <w:color w:val="auto"/>
          <w:sz w:val="22"/>
          <w:szCs w:val="22"/>
          <w:highlight w:val="none"/>
        </w:rPr>
        <w:t>，视同放弃报价权利退出谈判。</w:t>
      </w:r>
    </w:p>
    <w:p w14:paraId="2449BE73">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5.6最终响应文件的报价出现前后不一致的，按照本章第3.4条的规定修正。 </w:t>
      </w:r>
    </w:p>
    <w:p w14:paraId="172926F4">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5.7修正后的最终报价出现下列情形的，按无效响应处理：</w:t>
      </w:r>
    </w:p>
    <w:p w14:paraId="2FBFC10E">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（1）供应商不确认的（全流程电子化评标采取在线确认）；</w:t>
      </w:r>
    </w:p>
    <w:p w14:paraId="4DFF8830">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经供应商确认修正后的响应报价（包含首次报价、最后报价）超过所竞标分标规定的采购预算金额或者最高限价的（如本项目公布了最高限价）（全流程电子化评标多轮报价设置了上限控制价，即预算价）；</w:t>
      </w:r>
    </w:p>
    <w:p w14:paraId="3F4BCFD3">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（3）经供应商确认修正后的响应报价（包含首次报价、最后报价）超过分项采购预算金额或者最高限价的（如本项目公布了最高限价）。</w:t>
      </w:r>
    </w:p>
    <w:p w14:paraId="11D0A722">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5.8经供应商确认修正后的最后报价作为评审及签订合同的依据。</w:t>
      </w:r>
    </w:p>
    <w:p w14:paraId="33107919">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5.9供应商出现最后报价按无效响应处理或者响应文件按无效处理时，谈判小组应当告知有关供应商。</w:t>
      </w:r>
    </w:p>
    <w:p w14:paraId="4F9CCBB1">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5.10最后报价结束后，谈判小组不得再与供应商进行任何形式的商谈。</w:t>
      </w:r>
    </w:p>
    <w:p w14:paraId="3D4B9726">
      <w:pPr>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6.最后报价政府采购政策性扣除</w:t>
      </w:r>
    </w:p>
    <w:p w14:paraId="6A4FFC69">
      <w:pPr>
        <w:spacing w:line="400" w:lineRule="exact"/>
        <w:ind w:firstLine="440" w:firstLineChars="200"/>
        <w:jc w:val="left"/>
        <w:rPr>
          <w:rFonts w:hint="eastAsia" w:ascii="宋体" w:hAnsi="宋体" w:cs="宋体"/>
          <w:color w:val="auto"/>
          <w:sz w:val="22"/>
          <w:szCs w:val="28"/>
          <w:highlight w:val="none"/>
        </w:rPr>
      </w:pPr>
      <w:r>
        <w:rPr>
          <w:rFonts w:hint="eastAsia" w:ascii="宋体" w:hAnsi="宋体" w:cs="宋体"/>
          <w:color w:val="auto"/>
          <w:sz w:val="22"/>
          <w:szCs w:val="28"/>
          <w:highlight w:val="none"/>
        </w:rPr>
        <w:t>6.1根据《政府采购促进中小企业发展管理办法》（财库〔2020〕46号）、《广西壮族自治区财政厅关于贯彻落实政府采购支持中小企业发展政策的通知》（桂财采〔2022〕31号）及《广西壮族自治区财政厅关于持续优化政府采购营商环境推动高质量发展的通知》（桂财采〔2024〕55号）的规定，本项目专门面向中型企业或小型企业或微型企业或监狱企业或残疾人福利性单位，因此价格分部分不再进行政策性扣除，不再给予中型企业或小型企业或微型企业或监狱企业或残疾人福利性单位价格扣除优惠。</w:t>
      </w:r>
    </w:p>
    <w:p w14:paraId="312F78CD">
      <w:pPr>
        <w:spacing w:line="400" w:lineRule="exact"/>
        <w:ind w:firstLine="440" w:firstLineChars="200"/>
        <w:jc w:val="left"/>
        <w:rPr>
          <w:rFonts w:hint="eastAsia" w:ascii="宋体" w:hAnsi="宋体" w:cs="宋体"/>
          <w:bCs/>
          <w:color w:val="auto"/>
          <w:highlight w:val="none"/>
        </w:rPr>
      </w:pPr>
      <w:r>
        <w:rPr>
          <w:rFonts w:hint="eastAsia" w:ascii="宋体" w:hAnsi="宋体" w:cs="宋体"/>
          <w:color w:val="auto"/>
          <w:sz w:val="22"/>
          <w:szCs w:val="28"/>
          <w:highlight w:val="none"/>
        </w:rPr>
        <w:t>6.2评审报价＝最后报价。</w:t>
      </w:r>
    </w:p>
    <w:p w14:paraId="48B44DA9">
      <w:pPr>
        <w:pStyle w:val="4"/>
        <w:spacing w:before="120" w:beforeLines="50" w:after="0" w:line="360" w:lineRule="auto"/>
        <w:ind w:firstLine="643" w:firstLineChars="200"/>
        <w:jc w:val="center"/>
        <w:rPr>
          <w:rFonts w:hint="eastAsia" w:ascii="宋体" w:hAnsi="宋体" w:cs="宋体"/>
          <w:b w:val="0"/>
          <w:color w:val="auto"/>
          <w:highlight w:val="none"/>
        </w:rPr>
      </w:pPr>
      <w:bookmarkStart w:id="64" w:name="_Toc1980"/>
      <w:r>
        <w:rPr>
          <w:rFonts w:hint="eastAsia" w:ascii="宋体" w:hAnsi="宋体" w:cs="宋体"/>
          <w:bCs w:val="0"/>
          <w:color w:val="auto"/>
          <w:highlight w:val="none"/>
        </w:rPr>
        <w:t>第二节 评审原则</w:t>
      </w:r>
      <w:bookmarkEnd w:id="64"/>
    </w:p>
    <w:p w14:paraId="6B6EE233">
      <w:pPr>
        <w:spacing w:line="360" w:lineRule="auto"/>
        <w:ind w:firstLine="482" w:firstLineChars="200"/>
        <w:jc w:val="left"/>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1.评审原则</w:t>
      </w:r>
    </w:p>
    <w:p w14:paraId="225BF213">
      <w:pPr>
        <w:spacing w:line="360" w:lineRule="auto"/>
        <w:ind w:firstLine="440" w:firstLineChars="200"/>
        <w:jc w:val="left"/>
        <w:rPr>
          <w:rFonts w:hint="eastAsia" w:ascii="宋体" w:hAnsi="宋体" w:cs="宋体"/>
          <w:color w:val="auto"/>
          <w:sz w:val="22"/>
          <w:szCs w:val="28"/>
          <w:highlight w:val="none"/>
        </w:rPr>
      </w:pPr>
      <w:r>
        <w:rPr>
          <w:rFonts w:hint="eastAsia" w:ascii="宋体" w:hAnsi="宋体" w:cs="宋体"/>
          <w:color w:val="auto"/>
          <w:sz w:val="22"/>
          <w:szCs w:val="28"/>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1986E473">
      <w:pPr>
        <w:spacing w:line="360" w:lineRule="auto"/>
        <w:ind w:firstLine="440" w:firstLineChars="200"/>
        <w:jc w:val="left"/>
        <w:rPr>
          <w:rFonts w:hint="eastAsia" w:ascii="宋体" w:hAnsi="宋体" w:cs="宋体"/>
          <w:color w:val="auto"/>
          <w:sz w:val="22"/>
          <w:szCs w:val="28"/>
          <w:highlight w:val="none"/>
        </w:rPr>
      </w:pPr>
      <w:r>
        <w:rPr>
          <w:rFonts w:hint="eastAsia" w:ascii="宋体" w:hAnsi="宋体" w:cs="宋体"/>
          <w:color w:val="auto"/>
          <w:sz w:val="22"/>
          <w:szCs w:val="28"/>
          <w:highlight w:val="none"/>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65" w:name="_Toc321836413"/>
      <w:bookmarkStart w:id="66" w:name="_Toc432106535"/>
      <w:bookmarkStart w:id="67" w:name="_Toc432194885"/>
    </w:p>
    <w:bookmarkEnd w:id="65"/>
    <w:bookmarkEnd w:id="66"/>
    <w:bookmarkEnd w:id="67"/>
    <w:p w14:paraId="26ED2628">
      <w:pPr>
        <w:spacing w:line="360" w:lineRule="auto"/>
        <w:ind w:firstLine="440" w:firstLineChars="200"/>
        <w:rPr>
          <w:rFonts w:hint="eastAsia" w:ascii="宋体" w:hAnsi="宋体" w:cs="宋体"/>
          <w:color w:val="auto"/>
          <w:highlight w:val="none"/>
        </w:rPr>
      </w:pPr>
      <w:r>
        <w:rPr>
          <w:rFonts w:hint="eastAsia" w:ascii="宋体" w:hAnsi="宋体" w:cs="宋体"/>
          <w:color w:val="auto"/>
          <w:sz w:val="22"/>
          <w:szCs w:val="28"/>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522870D5">
      <w:pP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2.终止竞争性谈判采购活动</w:t>
      </w:r>
    </w:p>
    <w:p w14:paraId="609713AB">
      <w:pPr>
        <w:spacing w:line="360" w:lineRule="auto"/>
        <w:ind w:firstLine="440" w:firstLineChars="200"/>
        <w:jc w:val="left"/>
        <w:rPr>
          <w:rFonts w:hint="eastAsia" w:ascii="宋体" w:hAnsi="宋体" w:cs="宋体"/>
          <w:color w:val="auto"/>
          <w:sz w:val="22"/>
          <w:szCs w:val="28"/>
          <w:highlight w:val="none"/>
        </w:rPr>
      </w:pPr>
      <w:r>
        <w:rPr>
          <w:rFonts w:hint="eastAsia" w:ascii="宋体" w:hAnsi="宋体" w:cs="宋体"/>
          <w:color w:val="auto"/>
          <w:sz w:val="22"/>
          <w:szCs w:val="28"/>
          <w:highlight w:val="none"/>
        </w:rPr>
        <w:t>出现下列情形之一的，采购人或者采购代理机构应当终止竞争性谈判采购活动，发布项目终止公告并说明原因，重新开展采购活动：</w:t>
      </w:r>
    </w:p>
    <w:p w14:paraId="34E053CC">
      <w:pPr>
        <w:spacing w:line="360" w:lineRule="auto"/>
        <w:ind w:firstLine="440" w:firstLineChars="200"/>
        <w:jc w:val="left"/>
        <w:rPr>
          <w:rFonts w:hint="eastAsia" w:ascii="宋体" w:hAnsi="宋体" w:cs="宋体"/>
          <w:color w:val="auto"/>
          <w:sz w:val="22"/>
          <w:szCs w:val="28"/>
          <w:highlight w:val="none"/>
        </w:rPr>
      </w:pPr>
      <w:r>
        <w:rPr>
          <w:rFonts w:hint="eastAsia" w:ascii="宋体" w:hAnsi="宋体" w:cs="宋体"/>
          <w:color w:val="auto"/>
          <w:sz w:val="22"/>
          <w:szCs w:val="28"/>
          <w:highlight w:val="none"/>
        </w:rPr>
        <w:t xml:space="preserve">（1）因情况变化，不再符合规定的竞争性谈判采购方式适用情形的； </w:t>
      </w:r>
    </w:p>
    <w:p w14:paraId="5CA3F6C3">
      <w:pPr>
        <w:spacing w:line="360" w:lineRule="auto"/>
        <w:ind w:firstLine="440" w:firstLineChars="200"/>
        <w:jc w:val="left"/>
        <w:rPr>
          <w:rFonts w:hint="eastAsia" w:ascii="宋体" w:hAnsi="宋体" w:cs="宋体"/>
          <w:color w:val="auto"/>
          <w:sz w:val="22"/>
          <w:szCs w:val="28"/>
          <w:highlight w:val="none"/>
        </w:rPr>
      </w:pPr>
      <w:r>
        <w:rPr>
          <w:rFonts w:hint="eastAsia" w:ascii="宋体" w:hAnsi="宋体" w:cs="宋体"/>
          <w:color w:val="auto"/>
          <w:sz w:val="22"/>
          <w:szCs w:val="28"/>
          <w:highlight w:val="none"/>
        </w:rPr>
        <w:t>（2）出现影响采购公正的违法、违规行为的；</w:t>
      </w:r>
    </w:p>
    <w:p w14:paraId="5F65264C">
      <w:pPr>
        <w:spacing w:line="360" w:lineRule="auto"/>
        <w:ind w:firstLine="440" w:firstLineChars="200"/>
        <w:jc w:val="left"/>
        <w:rPr>
          <w:rFonts w:hint="eastAsia" w:ascii="宋体" w:hAnsi="宋体" w:cs="宋体"/>
          <w:color w:val="auto"/>
          <w:sz w:val="22"/>
          <w:szCs w:val="28"/>
          <w:highlight w:val="none"/>
        </w:rPr>
      </w:pPr>
      <w:r>
        <w:rPr>
          <w:rFonts w:hint="eastAsia" w:ascii="宋体" w:hAnsi="宋体" w:cs="宋体"/>
          <w:color w:val="auto"/>
          <w:sz w:val="22"/>
          <w:szCs w:val="28"/>
          <w:highlight w:val="none"/>
        </w:rPr>
        <w:t>（3）在采购过程中符合竞争要求的供应商或者报价未超过采购预算的供应商不足3家的，但《政府采购非招标采购方式管理办法》第二十七条第二款规定的情形除外。</w:t>
      </w:r>
    </w:p>
    <w:p w14:paraId="5CA32745">
      <w:pPr>
        <w:pStyle w:val="4"/>
        <w:spacing w:before="0" w:after="0" w:line="360" w:lineRule="auto"/>
        <w:ind w:firstLine="643" w:firstLineChars="200"/>
        <w:jc w:val="center"/>
        <w:rPr>
          <w:rFonts w:hint="eastAsia" w:ascii="宋体" w:hAnsi="宋体" w:cs="宋体"/>
          <w:bCs w:val="0"/>
          <w:color w:val="auto"/>
          <w:highlight w:val="none"/>
        </w:rPr>
      </w:pPr>
      <w:bookmarkStart w:id="68" w:name="_Toc7309"/>
      <w:r>
        <w:rPr>
          <w:rFonts w:hint="eastAsia" w:ascii="宋体" w:hAnsi="宋体" w:cs="宋体"/>
          <w:bCs w:val="0"/>
          <w:color w:val="auto"/>
          <w:highlight w:val="none"/>
        </w:rPr>
        <w:t>第三节 评标报告</w:t>
      </w:r>
      <w:bookmarkEnd w:id="68"/>
    </w:p>
    <w:p w14:paraId="0C14DB03">
      <w:pP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1.成交标准</w:t>
      </w:r>
    </w:p>
    <w:p w14:paraId="447CACC5">
      <w:pPr>
        <w:spacing w:line="360" w:lineRule="auto"/>
        <w:ind w:firstLine="440" w:firstLineChars="200"/>
        <w:rPr>
          <w:rFonts w:hint="eastAsia" w:ascii="宋体" w:hAnsi="宋体" w:cs="宋体"/>
          <w:color w:val="auto"/>
          <w:sz w:val="24"/>
          <w:highlight w:val="none"/>
        </w:rPr>
      </w:pPr>
      <w:r>
        <w:rPr>
          <w:rFonts w:hint="eastAsia" w:ascii="宋体" w:hAnsi="宋体" w:cs="宋体"/>
          <w:color w:val="auto"/>
          <w:sz w:val="22"/>
          <w:szCs w:val="28"/>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并在线编写电子评审报告。</w:t>
      </w:r>
    </w:p>
    <w:p w14:paraId="080A8B99">
      <w:pP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2.评标争议事项处理</w:t>
      </w:r>
    </w:p>
    <w:p w14:paraId="1DA4EB14">
      <w:pPr>
        <w:pStyle w:val="75"/>
        <w:spacing w:before="0"/>
        <w:ind w:firstLine="440"/>
        <w:rPr>
          <w:rFonts w:hint="eastAsia" w:ascii="宋体" w:hAnsi="宋体" w:cs="宋体"/>
          <w:color w:val="auto"/>
          <w:kern w:val="2"/>
          <w:sz w:val="22"/>
          <w:szCs w:val="28"/>
          <w:highlight w:val="none"/>
        </w:rPr>
      </w:pPr>
      <w:r>
        <w:rPr>
          <w:rFonts w:hint="eastAsia" w:ascii="宋体" w:hAnsi="宋体" w:cs="宋体"/>
          <w:color w:val="auto"/>
          <w:kern w:val="2"/>
          <w:sz w:val="22"/>
          <w:szCs w:val="28"/>
          <w:highlight w:val="none"/>
        </w:rPr>
        <w:t>谈判小组成员对需要共同认定的事项存在争议的，应当按照少数服从多数的原则作出结论。持不同意见的谈判小组成员应当在评标报告上签署不同意见及理由，否则视为同意评标报告。</w:t>
      </w:r>
    </w:p>
    <w:p w14:paraId="1D61F0F7">
      <w:pPr>
        <w:pStyle w:val="4"/>
        <w:spacing w:before="0" w:after="0" w:line="360" w:lineRule="auto"/>
        <w:ind w:firstLine="643" w:firstLineChars="200"/>
        <w:jc w:val="center"/>
        <w:rPr>
          <w:rFonts w:hint="eastAsia" w:ascii="宋体" w:hAnsi="宋体" w:cs="宋体"/>
          <w:bCs w:val="0"/>
          <w:color w:val="auto"/>
          <w:highlight w:val="none"/>
        </w:rPr>
      </w:pPr>
      <w:bookmarkStart w:id="69" w:name="_Toc8394"/>
      <w:r>
        <w:rPr>
          <w:rFonts w:hint="eastAsia" w:ascii="宋体" w:hAnsi="宋体" w:cs="宋体"/>
          <w:bCs w:val="0"/>
          <w:color w:val="auto"/>
          <w:highlight w:val="none"/>
        </w:rPr>
        <w:t>第四节 评审过程的保密与录像</w:t>
      </w:r>
      <w:bookmarkEnd w:id="69"/>
    </w:p>
    <w:p w14:paraId="61370BF5">
      <w:pP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1.保密</w:t>
      </w:r>
    </w:p>
    <w:p w14:paraId="5A907426">
      <w:pPr>
        <w:widowControl/>
        <w:spacing w:line="360" w:lineRule="auto"/>
        <w:ind w:firstLine="440" w:firstLineChars="200"/>
        <w:rPr>
          <w:rFonts w:hint="eastAsia" w:ascii="宋体" w:hAnsi="宋体" w:cs="宋体"/>
          <w:color w:val="auto"/>
          <w:sz w:val="22"/>
          <w:szCs w:val="28"/>
          <w:highlight w:val="none"/>
        </w:rPr>
      </w:pPr>
      <w:r>
        <w:rPr>
          <w:rFonts w:hint="eastAsia" w:ascii="宋体" w:hAnsi="宋体" w:cs="宋体"/>
          <w:color w:val="auto"/>
          <w:sz w:val="22"/>
          <w:szCs w:val="28"/>
          <w:highlight w:val="none"/>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7436B17C">
      <w:pPr>
        <w:widowControl/>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2.录音录像</w:t>
      </w:r>
    </w:p>
    <w:p w14:paraId="4745B20F">
      <w:pPr>
        <w:spacing w:line="360" w:lineRule="auto"/>
        <w:ind w:firstLine="440" w:firstLineChars="200"/>
        <w:rPr>
          <w:rFonts w:hint="eastAsia" w:ascii="宋体" w:hAnsi="宋体" w:cs="宋体"/>
          <w:color w:val="auto"/>
          <w:highlight w:val="none"/>
        </w:rPr>
      </w:pPr>
      <w:r>
        <w:rPr>
          <w:rFonts w:hint="eastAsia" w:ascii="宋体" w:hAnsi="宋体" w:cs="宋体"/>
          <w:color w:val="auto"/>
          <w:sz w:val="22"/>
          <w:szCs w:val="28"/>
          <w:highlight w:val="none"/>
        </w:rPr>
        <w:t>采购代理机构对评审工作现场及操作屏幕进行全过程录音录像，录音录像资料作为采购项目文件随其他文件一并存档。</w:t>
      </w:r>
      <w:r>
        <w:rPr>
          <w:rFonts w:hint="eastAsia" w:ascii="宋体" w:hAnsi="宋体" w:cs="宋体"/>
          <w:color w:val="auto"/>
          <w:highlight w:val="none"/>
        </w:rPr>
        <w:br w:type="page"/>
      </w:r>
    </w:p>
    <w:p w14:paraId="44E0F72A">
      <w:pPr>
        <w:pStyle w:val="4"/>
        <w:jc w:val="center"/>
        <w:rPr>
          <w:rFonts w:hint="eastAsia" w:ascii="宋体" w:hAnsi="宋体" w:cs="宋体"/>
          <w:color w:val="auto"/>
          <w:highlight w:val="none"/>
        </w:rPr>
      </w:pPr>
    </w:p>
    <w:p w14:paraId="2FA0A0EA">
      <w:pPr>
        <w:pStyle w:val="4"/>
        <w:jc w:val="center"/>
        <w:rPr>
          <w:rFonts w:hint="eastAsia" w:ascii="宋体" w:hAnsi="宋体" w:cs="宋体"/>
          <w:color w:val="auto"/>
          <w:highlight w:val="none"/>
        </w:rPr>
      </w:pPr>
    </w:p>
    <w:p w14:paraId="5DED79FD">
      <w:pPr>
        <w:pStyle w:val="4"/>
        <w:jc w:val="center"/>
        <w:rPr>
          <w:rFonts w:hint="eastAsia" w:ascii="宋体" w:hAnsi="宋体" w:cs="宋体"/>
          <w:color w:val="auto"/>
          <w:highlight w:val="none"/>
        </w:rPr>
      </w:pPr>
    </w:p>
    <w:p w14:paraId="3347B859">
      <w:pPr>
        <w:pStyle w:val="4"/>
        <w:jc w:val="center"/>
        <w:rPr>
          <w:rFonts w:hint="eastAsia" w:ascii="宋体" w:hAnsi="宋体" w:cs="宋体"/>
          <w:color w:val="auto"/>
          <w:highlight w:val="none"/>
        </w:rPr>
      </w:pPr>
    </w:p>
    <w:p w14:paraId="68FF7BFC">
      <w:pPr>
        <w:pStyle w:val="4"/>
        <w:jc w:val="center"/>
        <w:rPr>
          <w:rFonts w:hint="eastAsia" w:ascii="宋体" w:hAnsi="宋体" w:cs="宋体"/>
          <w:color w:val="auto"/>
          <w:highlight w:val="none"/>
        </w:rPr>
      </w:pPr>
    </w:p>
    <w:p w14:paraId="3CBB0230">
      <w:pPr>
        <w:keepNext/>
        <w:keepLines/>
        <w:spacing w:line="360" w:lineRule="auto"/>
        <w:jc w:val="center"/>
        <w:outlineLvl w:val="0"/>
        <w:rPr>
          <w:rFonts w:hint="eastAsia" w:ascii="宋体" w:hAnsi="宋体" w:cs="宋体"/>
          <w:b/>
          <w:bCs/>
          <w:color w:val="auto"/>
          <w:sz w:val="32"/>
          <w:szCs w:val="32"/>
          <w:highlight w:val="none"/>
        </w:rPr>
      </w:pPr>
      <w:bookmarkStart w:id="70" w:name="_Toc11120"/>
      <w:r>
        <w:rPr>
          <w:rFonts w:hint="eastAsia" w:ascii="宋体" w:hAnsi="宋体" w:cs="宋体"/>
          <w:b/>
          <w:bCs/>
          <w:color w:val="auto"/>
          <w:sz w:val="32"/>
          <w:szCs w:val="32"/>
          <w:highlight w:val="none"/>
        </w:rPr>
        <w:t>第七章 响应文件格式</w:t>
      </w:r>
      <w:bookmarkEnd w:id="70"/>
    </w:p>
    <w:p w14:paraId="3A7E6427">
      <w:pPr>
        <w:keepNext/>
        <w:keepLines/>
        <w:spacing w:line="360" w:lineRule="auto"/>
        <w:jc w:val="center"/>
        <w:outlineLvl w:val="1"/>
        <w:rPr>
          <w:rFonts w:hint="eastAsia" w:ascii="宋体" w:hAnsi="宋体" w:cs="宋体"/>
          <w:b/>
          <w:color w:val="auto"/>
          <w:highlight w:val="none"/>
        </w:rPr>
      </w:pPr>
      <w:r>
        <w:rPr>
          <w:rFonts w:hint="eastAsia" w:ascii="宋体" w:hAnsi="宋体" w:cs="宋体"/>
          <w:b/>
          <w:bCs/>
          <w:color w:val="auto"/>
          <w:sz w:val="32"/>
          <w:szCs w:val="32"/>
          <w:highlight w:val="none"/>
        </w:rPr>
        <w:br w:type="page"/>
      </w:r>
      <w:bookmarkStart w:id="71" w:name="_Toc26393"/>
      <w:r>
        <w:rPr>
          <w:rFonts w:hint="eastAsia" w:ascii="宋体" w:hAnsi="宋体" w:cs="宋体"/>
          <w:b/>
          <w:color w:val="auto"/>
          <w:sz w:val="32"/>
          <w:szCs w:val="32"/>
          <w:highlight w:val="none"/>
        </w:rPr>
        <w:t>第一节 封面格式</w:t>
      </w:r>
      <w:bookmarkEnd w:id="71"/>
    </w:p>
    <w:p w14:paraId="529DA3E5">
      <w:pPr>
        <w:rPr>
          <w:rFonts w:hint="eastAsia" w:ascii="宋体" w:hAnsi="宋体" w:cs="宋体"/>
          <w:b/>
          <w:color w:val="auto"/>
          <w:sz w:val="32"/>
          <w:szCs w:val="32"/>
          <w:highlight w:val="none"/>
        </w:rPr>
      </w:pPr>
      <w:bookmarkStart w:id="72" w:name="_Toc44229898"/>
    </w:p>
    <w:bookmarkEnd w:id="72"/>
    <w:p w14:paraId="125F70B2">
      <w:pPr>
        <w:snapToGrid w:val="0"/>
        <w:spacing w:before="120" w:beforeLines="50" w:after="50"/>
        <w:rPr>
          <w:rFonts w:hint="eastAsia" w:ascii="宋体" w:hAnsi="宋体" w:cs="宋体"/>
          <w:color w:val="auto"/>
          <w:sz w:val="24"/>
          <w:szCs w:val="20"/>
          <w:highlight w:val="none"/>
        </w:rPr>
      </w:pPr>
    </w:p>
    <w:p w14:paraId="64536A73">
      <w:pPr>
        <w:snapToGrid w:val="0"/>
        <w:spacing w:before="120" w:beforeLines="50" w:after="50"/>
        <w:jc w:val="center"/>
        <w:rPr>
          <w:rFonts w:hint="eastAsia" w:ascii="宋体" w:hAnsi="宋体" w:cs="宋体"/>
          <w:bCs/>
          <w:color w:val="auto"/>
          <w:sz w:val="24"/>
          <w:szCs w:val="20"/>
          <w:highlight w:val="none"/>
        </w:rPr>
      </w:pPr>
    </w:p>
    <w:p w14:paraId="2C8F35D1">
      <w:pPr>
        <w:snapToGrid w:val="0"/>
        <w:spacing w:before="120" w:beforeLines="50" w:after="50"/>
        <w:jc w:val="center"/>
        <w:rPr>
          <w:rFonts w:hint="eastAsia" w:ascii="宋体" w:hAnsi="宋体" w:cs="宋体"/>
          <w:bCs/>
          <w:color w:val="auto"/>
          <w:sz w:val="44"/>
          <w:szCs w:val="44"/>
          <w:highlight w:val="none"/>
        </w:rPr>
      </w:pPr>
    </w:p>
    <w:p w14:paraId="13AEE2A9">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7739C188">
      <w:pPr>
        <w:snapToGrid w:val="0"/>
        <w:spacing w:before="120" w:beforeLines="50" w:after="50"/>
        <w:rPr>
          <w:rFonts w:hint="eastAsia" w:ascii="宋体" w:hAnsi="宋体" w:cs="宋体"/>
          <w:bCs/>
          <w:color w:val="auto"/>
          <w:sz w:val="24"/>
          <w:szCs w:val="20"/>
          <w:highlight w:val="none"/>
        </w:rPr>
      </w:pPr>
    </w:p>
    <w:p w14:paraId="6111B0CC">
      <w:pPr>
        <w:snapToGrid w:val="0"/>
        <w:spacing w:before="120" w:beforeLines="50" w:after="50"/>
        <w:rPr>
          <w:rFonts w:hint="eastAsia" w:ascii="宋体" w:hAnsi="宋体" w:cs="宋体"/>
          <w:bCs/>
          <w:color w:val="auto"/>
          <w:sz w:val="24"/>
          <w:szCs w:val="20"/>
          <w:highlight w:val="none"/>
        </w:rPr>
      </w:pPr>
    </w:p>
    <w:p w14:paraId="7729310A">
      <w:pPr>
        <w:snapToGrid w:val="0"/>
        <w:spacing w:before="120" w:beforeLines="50" w:after="50"/>
        <w:rPr>
          <w:rFonts w:hint="eastAsia" w:ascii="宋体" w:hAnsi="宋体" w:cs="宋体"/>
          <w:bCs/>
          <w:color w:val="auto"/>
          <w:sz w:val="32"/>
          <w:szCs w:val="32"/>
          <w:highlight w:val="none"/>
        </w:rPr>
      </w:pPr>
    </w:p>
    <w:p w14:paraId="148F2281">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13FBCCB">
      <w:pPr>
        <w:snapToGrid w:val="0"/>
        <w:spacing w:before="120" w:beforeLines="50" w:after="50"/>
        <w:ind w:firstLine="480" w:firstLineChars="150"/>
        <w:rPr>
          <w:rFonts w:hint="eastAsia" w:ascii="宋体" w:hAnsi="宋体" w:cs="宋体"/>
          <w:bCs/>
          <w:color w:val="auto"/>
          <w:sz w:val="32"/>
          <w:szCs w:val="32"/>
          <w:highlight w:val="none"/>
        </w:rPr>
      </w:pPr>
    </w:p>
    <w:p w14:paraId="1A40E84F">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B1983FD">
      <w:pPr>
        <w:snapToGrid w:val="0"/>
        <w:spacing w:before="120" w:beforeLines="50" w:after="50"/>
        <w:ind w:firstLine="480" w:firstLineChars="150"/>
        <w:rPr>
          <w:rFonts w:hint="eastAsia" w:ascii="宋体" w:hAnsi="宋体" w:cs="宋体"/>
          <w:bCs/>
          <w:color w:val="auto"/>
          <w:sz w:val="32"/>
          <w:szCs w:val="32"/>
          <w:highlight w:val="none"/>
        </w:rPr>
      </w:pPr>
    </w:p>
    <w:p w14:paraId="10C8B072">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A52E1C7">
      <w:pPr>
        <w:snapToGrid w:val="0"/>
        <w:spacing w:before="120" w:beforeLines="50" w:after="50"/>
        <w:rPr>
          <w:rFonts w:hint="eastAsia" w:ascii="宋体" w:hAnsi="宋体" w:cs="宋体"/>
          <w:bCs/>
          <w:color w:val="auto"/>
          <w:sz w:val="32"/>
          <w:szCs w:val="32"/>
          <w:highlight w:val="none"/>
        </w:rPr>
      </w:pPr>
    </w:p>
    <w:p w14:paraId="556A77F4">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C05BBB9">
      <w:pPr>
        <w:snapToGrid w:val="0"/>
        <w:spacing w:before="120" w:beforeLines="50" w:after="50"/>
        <w:rPr>
          <w:rFonts w:hint="eastAsia" w:ascii="宋体" w:hAnsi="宋体" w:cs="宋体"/>
          <w:bCs/>
          <w:color w:val="auto"/>
          <w:sz w:val="32"/>
          <w:szCs w:val="32"/>
          <w:highlight w:val="none"/>
        </w:rPr>
      </w:pPr>
    </w:p>
    <w:p w14:paraId="31086426">
      <w:pPr>
        <w:snapToGrid w:val="0"/>
        <w:spacing w:before="120" w:beforeLines="50" w:after="50"/>
        <w:ind w:firstLine="480" w:firstLineChars="150"/>
        <w:jc w:val="center"/>
        <w:rPr>
          <w:rFonts w:hint="eastAsia" w:ascii="宋体" w:hAnsi="宋体" w:cs="宋体"/>
          <w:bCs/>
          <w:color w:val="auto"/>
          <w:sz w:val="32"/>
          <w:szCs w:val="32"/>
          <w:highlight w:val="none"/>
        </w:rPr>
      </w:pPr>
    </w:p>
    <w:p w14:paraId="7607EA0C">
      <w:pPr>
        <w:snapToGrid w:val="0"/>
        <w:spacing w:before="120" w:beforeLines="50" w:after="50"/>
        <w:ind w:firstLine="480" w:firstLineChars="150"/>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01064747">
      <w:pPr>
        <w:snapToGrid w:val="0"/>
        <w:spacing w:before="120" w:beforeLines="50" w:after="50"/>
        <w:ind w:firstLine="5440" w:firstLineChars="1700"/>
        <w:jc w:val="center"/>
        <w:rPr>
          <w:rFonts w:hint="eastAsia" w:ascii="宋体" w:hAnsi="宋体" w:cs="宋体"/>
          <w:bCs/>
          <w:color w:val="auto"/>
          <w:sz w:val="32"/>
          <w:szCs w:val="32"/>
          <w:highlight w:val="none"/>
        </w:rPr>
      </w:pPr>
    </w:p>
    <w:p w14:paraId="5247CCE2">
      <w:pPr>
        <w:snapToGrid w:val="0"/>
        <w:spacing w:before="120" w:beforeLines="50" w:after="50"/>
        <w:ind w:firstLine="645"/>
        <w:jc w:val="center"/>
        <w:rPr>
          <w:rFonts w:hint="eastAsia" w:ascii="宋体" w:hAnsi="宋体" w:cs="宋体"/>
          <w:bCs/>
          <w:color w:val="auto"/>
          <w:sz w:val="32"/>
          <w:szCs w:val="32"/>
          <w:highlight w:val="none"/>
        </w:rPr>
      </w:pPr>
    </w:p>
    <w:p w14:paraId="0F255997">
      <w:pPr>
        <w:snapToGrid w:val="0"/>
        <w:spacing w:before="120" w:beforeLines="50" w:after="50"/>
        <w:ind w:firstLine="645"/>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7C14690E">
      <w:pPr>
        <w:spacing w:line="240" w:lineRule="atLeast"/>
        <w:jc w:val="center"/>
        <w:outlineLvl w:val="1"/>
        <w:rPr>
          <w:rFonts w:hint="eastAsia" w:ascii="宋体" w:hAnsi="宋体" w:cs="宋体"/>
          <w:b/>
          <w:color w:val="auto"/>
          <w:sz w:val="32"/>
          <w:szCs w:val="32"/>
          <w:highlight w:val="none"/>
        </w:rPr>
      </w:pPr>
      <w:r>
        <w:rPr>
          <w:rFonts w:hint="eastAsia" w:ascii="宋体" w:hAnsi="宋体" w:cs="宋体"/>
          <w:bCs/>
          <w:color w:val="auto"/>
          <w:sz w:val="24"/>
          <w:highlight w:val="none"/>
        </w:rPr>
        <w:br w:type="page"/>
      </w:r>
      <w:bookmarkStart w:id="73" w:name="_Toc31809"/>
      <w:r>
        <w:rPr>
          <w:rFonts w:hint="eastAsia" w:ascii="宋体" w:hAnsi="宋体" w:cs="宋体"/>
          <w:b/>
          <w:color w:val="auto"/>
          <w:sz w:val="32"/>
          <w:szCs w:val="32"/>
          <w:highlight w:val="none"/>
        </w:rPr>
        <w:t>第二节 资格证明文件格式</w:t>
      </w:r>
      <w:bookmarkEnd w:id="73"/>
    </w:p>
    <w:p w14:paraId="4CBB3DCD">
      <w:pPr>
        <w:snapToGrid w:val="0"/>
        <w:spacing w:before="120"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D2E7D8C">
      <w:pPr>
        <w:snapToGrid w:val="0"/>
        <w:spacing w:before="120" w:beforeLines="50" w:after="50"/>
        <w:jc w:val="right"/>
        <w:rPr>
          <w:rFonts w:hint="eastAsia" w:ascii="宋体" w:hAnsi="宋体" w:cs="宋体"/>
          <w:bCs/>
          <w:color w:val="auto"/>
          <w:sz w:val="32"/>
          <w:szCs w:val="20"/>
          <w:highlight w:val="none"/>
        </w:rPr>
      </w:pPr>
      <w:r>
        <w:rPr>
          <w:rFonts w:hint="eastAsia" w:ascii="宋体" w:hAnsi="宋体" w:cs="宋体"/>
          <w:bCs/>
          <w:color w:val="auto"/>
          <w:sz w:val="22"/>
          <w:szCs w:val="28"/>
          <w:highlight w:val="none"/>
        </w:rPr>
        <w:t>全流程电子文件</w:t>
      </w:r>
    </w:p>
    <w:p w14:paraId="4FB20704">
      <w:pPr>
        <w:snapToGrid w:val="0"/>
        <w:spacing w:before="120" w:beforeLines="50" w:after="50"/>
        <w:rPr>
          <w:rFonts w:hint="eastAsia" w:ascii="宋体" w:hAnsi="宋体" w:cs="宋体"/>
          <w:color w:val="auto"/>
          <w:sz w:val="24"/>
          <w:szCs w:val="20"/>
          <w:highlight w:val="none"/>
        </w:rPr>
      </w:pPr>
    </w:p>
    <w:p w14:paraId="31B7274C">
      <w:pPr>
        <w:snapToGrid w:val="0"/>
        <w:spacing w:before="120" w:beforeLines="50" w:after="50"/>
        <w:rPr>
          <w:rFonts w:hint="eastAsia" w:ascii="宋体" w:hAnsi="宋体" w:cs="宋体"/>
          <w:color w:val="auto"/>
          <w:sz w:val="24"/>
          <w:szCs w:val="20"/>
          <w:highlight w:val="none"/>
        </w:rPr>
      </w:pPr>
    </w:p>
    <w:p w14:paraId="4CD2F231">
      <w:pPr>
        <w:snapToGrid w:val="0"/>
        <w:spacing w:before="120" w:beforeLines="50" w:after="50"/>
        <w:jc w:val="center"/>
        <w:rPr>
          <w:rFonts w:hint="eastAsia" w:ascii="宋体" w:hAnsi="宋体" w:cs="宋体"/>
          <w:bCs/>
          <w:color w:val="auto"/>
          <w:sz w:val="24"/>
          <w:szCs w:val="20"/>
          <w:highlight w:val="none"/>
        </w:rPr>
      </w:pPr>
      <w:r>
        <w:rPr>
          <w:rFonts w:hint="eastAsia" w:ascii="宋体" w:hAnsi="宋体" w:cs="宋体"/>
          <w:b/>
          <w:color w:val="auto"/>
          <w:sz w:val="44"/>
          <w:szCs w:val="44"/>
          <w:highlight w:val="none"/>
        </w:rPr>
        <w:t>资格证明文件</w:t>
      </w:r>
    </w:p>
    <w:p w14:paraId="6530DF88">
      <w:pPr>
        <w:snapToGrid w:val="0"/>
        <w:spacing w:before="120" w:beforeLines="50" w:after="50"/>
        <w:rPr>
          <w:rFonts w:hint="eastAsia" w:ascii="宋体" w:hAnsi="宋体" w:cs="宋体"/>
          <w:bCs/>
          <w:color w:val="auto"/>
          <w:sz w:val="24"/>
          <w:szCs w:val="20"/>
          <w:highlight w:val="none"/>
        </w:rPr>
      </w:pPr>
    </w:p>
    <w:p w14:paraId="1BB25999">
      <w:pPr>
        <w:snapToGrid w:val="0"/>
        <w:spacing w:before="120" w:beforeLines="50" w:after="50"/>
        <w:rPr>
          <w:rFonts w:hint="eastAsia" w:ascii="宋体" w:hAnsi="宋体" w:cs="宋体"/>
          <w:bCs/>
          <w:color w:val="auto"/>
          <w:sz w:val="24"/>
          <w:szCs w:val="20"/>
          <w:highlight w:val="none"/>
        </w:rPr>
      </w:pPr>
    </w:p>
    <w:p w14:paraId="5FB325DC">
      <w:pPr>
        <w:snapToGrid w:val="0"/>
        <w:spacing w:before="120" w:beforeLines="50" w:after="50"/>
        <w:rPr>
          <w:rFonts w:hint="eastAsia" w:ascii="宋体" w:hAnsi="宋体" w:cs="宋体"/>
          <w:bCs/>
          <w:color w:val="auto"/>
          <w:sz w:val="24"/>
          <w:szCs w:val="20"/>
          <w:highlight w:val="none"/>
        </w:rPr>
      </w:pPr>
    </w:p>
    <w:p w14:paraId="389BED7B">
      <w:pPr>
        <w:snapToGrid w:val="0"/>
        <w:spacing w:before="120" w:beforeLines="50" w:after="50"/>
        <w:rPr>
          <w:rFonts w:hint="eastAsia" w:ascii="宋体" w:hAnsi="宋体" w:cs="宋体"/>
          <w:bCs/>
          <w:color w:val="auto"/>
          <w:sz w:val="24"/>
          <w:szCs w:val="20"/>
          <w:highlight w:val="none"/>
        </w:rPr>
      </w:pPr>
    </w:p>
    <w:p w14:paraId="3B352B41">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7CD8B76E">
      <w:pPr>
        <w:snapToGrid w:val="0"/>
        <w:spacing w:before="120" w:beforeLines="50" w:after="50"/>
        <w:ind w:firstLine="720" w:firstLineChars="225"/>
        <w:rPr>
          <w:rFonts w:hint="eastAsia" w:ascii="宋体" w:hAnsi="宋体" w:cs="宋体"/>
          <w:bCs/>
          <w:color w:val="auto"/>
          <w:sz w:val="32"/>
          <w:szCs w:val="32"/>
          <w:highlight w:val="none"/>
        </w:rPr>
      </w:pPr>
    </w:p>
    <w:p w14:paraId="28F43FE5">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49624E7B">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1202D19E">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D7D773F">
      <w:pPr>
        <w:snapToGrid w:val="0"/>
        <w:spacing w:before="120" w:beforeLines="50" w:after="50"/>
        <w:ind w:firstLine="720" w:firstLineChars="225"/>
        <w:rPr>
          <w:rFonts w:hint="eastAsia" w:ascii="宋体" w:hAnsi="宋体" w:cs="宋体"/>
          <w:bCs/>
          <w:color w:val="auto"/>
          <w:sz w:val="32"/>
          <w:szCs w:val="32"/>
          <w:highlight w:val="none"/>
        </w:rPr>
      </w:pPr>
    </w:p>
    <w:p w14:paraId="554D11CE">
      <w:pPr>
        <w:pStyle w:val="8"/>
        <w:snapToGrid w:val="0"/>
        <w:spacing w:before="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9ABC6CD">
      <w:pPr>
        <w:pStyle w:val="8"/>
        <w:snapToGrid w:val="0"/>
        <w:spacing w:before="50" w:after="50"/>
        <w:ind w:firstLine="720" w:firstLineChars="225"/>
        <w:rPr>
          <w:rFonts w:hint="eastAsia" w:ascii="宋体" w:hAnsi="宋体" w:cs="宋体"/>
          <w:bCs/>
          <w:color w:val="auto"/>
          <w:sz w:val="32"/>
          <w:szCs w:val="32"/>
          <w:highlight w:val="none"/>
        </w:rPr>
      </w:pPr>
    </w:p>
    <w:p w14:paraId="0086EF45">
      <w:pPr>
        <w:pStyle w:val="8"/>
        <w:snapToGrid w:val="0"/>
        <w:spacing w:before="50" w:after="50"/>
        <w:ind w:firstLine="720" w:firstLineChars="225"/>
        <w:rPr>
          <w:rFonts w:hint="eastAsia" w:ascii="宋体" w:hAnsi="宋体" w:cs="宋体"/>
          <w:bCs/>
          <w:color w:val="auto"/>
          <w:sz w:val="32"/>
          <w:szCs w:val="32"/>
          <w:highlight w:val="none"/>
        </w:rPr>
      </w:pPr>
    </w:p>
    <w:p w14:paraId="611253F1">
      <w:pPr>
        <w:pStyle w:val="8"/>
        <w:snapToGrid w:val="0"/>
        <w:spacing w:before="50" w:after="50"/>
        <w:ind w:firstLine="720" w:firstLineChars="225"/>
        <w:rPr>
          <w:rFonts w:hint="eastAsia" w:ascii="宋体" w:hAnsi="宋体" w:cs="宋体"/>
          <w:bCs/>
          <w:color w:val="auto"/>
          <w:sz w:val="32"/>
          <w:szCs w:val="32"/>
          <w:highlight w:val="none"/>
        </w:rPr>
      </w:pPr>
    </w:p>
    <w:p w14:paraId="2029D9D5">
      <w:pPr>
        <w:pStyle w:val="8"/>
        <w:snapToGrid w:val="0"/>
        <w:spacing w:before="50" w:after="50"/>
        <w:ind w:firstLine="1280" w:firstLineChars="400"/>
        <w:rPr>
          <w:rFonts w:hint="eastAsia" w:ascii="宋体" w:hAnsi="宋体" w:cs="宋体"/>
          <w:bCs/>
          <w:color w:val="auto"/>
          <w:sz w:val="32"/>
          <w:szCs w:val="32"/>
          <w:highlight w:val="none"/>
        </w:rPr>
      </w:pPr>
    </w:p>
    <w:p w14:paraId="24176A46">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0E4D2BCE">
      <w:pPr>
        <w:snapToGrid w:val="0"/>
        <w:spacing w:before="120" w:beforeLines="50" w:after="50" w:line="360" w:lineRule="auto"/>
        <w:jc w:val="center"/>
        <w:rPr>
          <w:rFonts w:hint="eastAsia" w:ascii="宋体" w:hAnsi="宋体" w:cs="宋体"/>
          <w:b/>
          <w:color w:val="auto"/>
          <w:kern w:val="0"/>
          <w:sz w:val="36"/>
          <w:szCs w:val="36"/>
          <w:highlight w:val="none"/>
        </w:rPr>
      </w:pPr>
      <w:r>
        <w:rPr>
          <w:rFonts w:hint="eastAsia" w:ascii="宋体" w:hAnsi="宋体" w:cs="宋体"/>
          <w:color w:val="auto"/>
          <w:sz w:val="24"/>
          <w:highlight w:val="none"/>
        </w:rPr>
        <w:br w:type="page"/>
      </w:r>
      <w:r>
        <w:rPr>
          <w:rFonts w:hint="eastAsia" w:ascii="宋体" w:hAnsi="宋体" w:cs="宋体"/>
          <w:b/>
          <w:bCs/>
          <w:color w:val="auto"/>
          <w:sz w:val="28"/>
          <w:szCs w:val="28"/>
          <w:highlight w:val="none"/>
        </w:rPr>
        <w:t xml:space="preserve"> </w:t>
      </w:r>
      <w:r>
        <w:rPr>
          <w:rFonts w:hint="eastAsia" w:ascii="宋体" w:hAnsi="宋体" w:cs="宋体"/>
          <w:b/>
          <w:color w:val="auto"/>
          <w:kern w:val="0"/>
          <w:sz w:val="32"/>
          <w:szCs w:val="32"/>
          <w:highlight w:val="none"/>
        </w:rPr>
        <w:t>资格证明文件目录</w:t>
      </w:r>
    </w:p>
    <w:p w14:paraId="690AE900">
      <w:pPr>
        <w:snapToGrid w:val="0"/>
        <w:spacing w:line="360" w:lineRule="auto"/>
        <w:rPr>
          <w:rFonts w:hint="eastAsia" w:ascii="宋体" w:hAnsi="宋体" w:cs="宋体"/>
          <w:color w:val="auto"/>
          <w:kern w:val="0"/>
          <w:sz w:val="24"/>
          <w:highlight w:val="none"/>
        </w:rPr>
      </w:pPr>
    </w:p>
    <w:p w14:paraId="659AE717">
      <w:pPr>
        <w:snapToGrid w:val="0"/>
        <w:spacing w:before="120" w:beforeLines="50" w:after="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根据竞争性谈判文件规定及供应商提供的材料自行编写目录（部分格式后附）。</w:t>
      </w:r>
    </w:p>
    <w:p w14:paraId="174D738D">
      <w:pPr>
        <w:spacing w:line="360" w:lineRule="auto"/>
        <w:rPr>
          <w:rFonts w:hint="eastAsia" w:ascii="宋体" w:hAnsi="宋体" w:cs="宋体"/>
          <w:b/>
          <w:bCs/>
          <w:color w:val="auto"/>
          <w:sz w:val="24"/>
          <w:highlight w:val="none"/>
        </w:rPr>
      </w:pPr>
    </w:p>
    <w:p w14:paraId="7FAB3B50">
      <w:pPr>
        <w:snapToGrid w:val="0"/>
        <w:spacing w:before="120" w:beforeLines="50" w:after="50"/>
        <w:rPr>
          <w:rFonts w:hint="eastAsia" w:ascii="宋体" w:hAnsi="宋体" w:cs="宋体"/>
          <w:color w:val="auto"/>
          <w:sz w:val="24"/>
          <w:szCs w:val="20"/>
          <w:highlight w:val="none"/>
        </w:rPr>
        <w:sectPr>
          <w:pgSz w:w="11911" w:h="16838"/>
          <w:pgMar w:top="1338" w:right="1502" w:bottom="850" w:left="1678" w:header="1077" w:footer="720" w:gutter="0"/>
          <w:cols w:space="720" w:num="1"/>
        </w:sectPr>
      </w:pPr>
    </w:p>
    <w:p w14:paraId="362F9A25">
      <w:pPr>
        <w:spacing w:line="360" w:lineRule="auto"/>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一、供应商为法人或者其他组织的提供其营业执照等证明文件（如营业执照或者事业单位法人证书或者执业许可证等），供应商为自然人的提供其身份证复印件；</w:t>
      </w:r>
    </w:p>
    <w:p w14:paraId="42CA148F">
      <w:pPr>
        <w:spacing w:line="360" w:lineRule="auto"/>
        <w:ind w:firstLine="602" w:firstLineChars="200"/>
        <w:rPr>
          <w:rFonts w:hint="eastAsia" w:ascii="宋体" w:hAnsi="宋体" w:cs="宋体"/>
          <w:b/>
          <w:color w:val="auto"/>
          <w:kern w:val="0"/>
          <w:sz w:val="30"/>
          <w:szCs w:val="30"/>
          <w:highlight w:val="none"/>
        </w:rPr>
      </w:pPr>
    </w:p>
    <w:p w14:paraId="4704FD5F">
      <w:pPr>
        <w:snapToGrid w:val="0"/>
        <w:spacing w:before="120" w:beforeLines="50" w:after="50"/>
        <w:rPr>
          <w:rFonts w:hint="eastAsia" w:ascii="宋体" w:hAnsi="宋体" w:cs="宋体"/>
          <w:color w:val="auto"/>
          <w:sz w:val="24"/>
          <w:szCs w:val="20"/>
          <w:highlight w:val="none"/>
        </w:rPr>
      </w:pPr>
    </w:p>
    <w:p w14:paraId="141E9911">
      <w:pPr>
        <w:spacing w:line="360" w:lineRule="auto"/>
        <w:ind w:firstLine="602" w:firstLineChars="200"/>
        <w:rPr>
          <w:rFonts w:hint="eastAsia" w:ascii="宋体" w:hAnsi="宋体" w:cs="宋体"/>
          <w:b/>
          <w:color w:val="auto"/>
          <w:kern w:val="0"/>
          <w:sz w:val="30"/>
          <w:szCs w:val="30"/>
          <w:highlight w:val="none"/>
        </w:rPr>
      </w:pPr>
    </w:p>
    <w:p w14:paraId="571B65CC">
      <w:pPr>
        <w:spacing w:line="360" w:lineRule="auto"/>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二、供应商依法缴纳税收的相关材料；</w:t>
      </w:r>
    </w:p>
    <w:p w14:paraId="182C0CE8">
      <w:pPr>
        <w:spacing w:line="360" w:lineRule="auto"/>
        <w:ind w:firstLine="602" w:firstLineChars="200"/>
        <w:rPr>
          <w:rFonts w:hint="eastAsia" w:ascii="宋体" w:hAnsi="宋体" w:cs="宋体"/>
          <w:b/>
          <w:color w:val="auto"/>
          <w:kern w:val="0"/>
          <w:sz w:val="30"/>
          <w:szCs w:val="30"/>
          <w:highlight w:val="none"/>
        </w:rPr>
      </w:pPr>
    </w:p>
    <w:p w14:paraId="25E89D5C">
      <w:pPr>
        <w:snapToGrid w:val="0"/>
        <w:spacing w:before="120" w:beforeLines="50" w:after="50"/>
        <w:rPr>
          <w:rFonts w:hint="eastAsia" w:ascii="宋体" w:hAnsi="宋体" w:cs="宋体"/>
          <w:color w:val="auto"/>
          <w:sz w:val="24"/>
          <w:szCs w:val="20"/>
          <w:highlight w:val="none"/>
        </w:rPr>
      </w:pPr>
    </w:p>
    <w:p w14:paraId="2884EDC4">
      <w:pPr>
        <w:spacing w:line="360" w:lineRule="auto"/>
        <w:ind w:firstLine="602" w:firstLineChars="200"/>
        <w:rPr>
          <w:rFonts w:hint="eastAsia" w:ascii="宋体" w:hAnsi="宋体" w:cs="宋体"/>
          <w:b/>
          <w:color w:val="auto"/>
          <w:kern w:val="0"/>
          <w:sz w:val="30"/>
          <w:szCs w:val="30"/>
          <w:highlight w:val="none"/>
        </w:rPr>
      </w:pPr>
    </w:p>
    <w:p w14:paraId="54D571C0">
      <w:pPr>
        <w:spacing w:line="300" w:lineRule="auto"/>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三、供应商依法缴纳社会保障资金的相关材料；</w:t>
      </w:r>
    </w:p>
    <w:p w14:paraId="33FEEE82">
      <w:pPr>
        <w:spacing w:line="360" w:lineRule="auto"/>
        <w:ind w:firstLine="602" w:firstLineChars="200"/>
        <w:rPr>
          <w:rFonts w:hint="eastAsia" w:ascii="宋体" w:hAnsi="宋体" w:cs="宋体"/>
          <w:b/>
          <w:color w:val="auto"/>
          <w:kern w:val="0"/>
          <w:sz w:val="30"/>
          <w:szCs w:val="30"/>
          <w:highlight w:val="none"/>
        </w:rPr>
      </w:pPr>
    </w:p>
    <w:p w14:paraId="5B4D03AF">
      <w:pPr>
        <w:snapToGrid w:val="0"/>
        <w:spacing w:before="120" w:beforeLines="50" w:after="50"/>
        <w:rPr>
          <w:rFonts w:hint="eastAsia" w:ascii="宋体" w:hAnsi="宋体" w:cs="宋体"/>
          <w:color w:val="auto"/>
          <w:sz w:val="24"/>
          <w:szCs w:val="20"/>
          <w:highlight w:val="none"/>
        </w:rPr>
      </w:pPr>
    </w:p>
    <w:p w14:paraId="7125C275">
      <w:pPr>
        <w:spacing w:line="360" w:lineRule="auto"/>
        <w:ind w:firstLine="602" w:firstLineChars="200"/>
        <w:rPr>
          <w:rFonts w:hint="eastAsia" w:ascii="宋体" w:hAnsi="宋体" w:cs="宋体"/>
          <w:b/>
          <w:color w:val="auto"/>
          <w:kern w:val="0"/>
          <w:sz w:val="30"/>
          <w:szCs w:val="30"/>
          <w:highlight w:val="none"/>
        </w:rPr>
      </w:pPr>
    </w:p>
    <w:p w14:paraId="76430533">
      <w:pPr>
        <w:spacing w:line="300" w:lineRule="auto"/>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四、供应商财务状况报告；</w:t>
      </w:r>
    </w:p>
    <w:p w14:paraId="62C85CD7">
      <w:pPr>
        <w:spacing w:line="360" w:lineRule="auto"/>
        <w:ind w:firstLine="602" w:firstLineChars="200"/>
        <w:rPr>
          <w:rFonts w:hint="eastAsia" w:ascii="宋体" w:hAnsi="宋体" w:cs="宋体"/>
          <w:b/>
          <w:color w:val="auto"/>
          <w:kern w:val="0"/>
          <w:sz w:val="30"/>
          <w:szCs w:val="30"/>
          <w:highlight w:val="none"/>
        </w:rPr>
      </w:pPr>
    </w:p>
    <w:p w14:paraId="2555184A">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84A17E4">
      <w:pPr>
        <w:snapToGrid w:val="0"/>
        <w:spacing w:before="120" w:beforeLines="50" w:after="50" w:line="360" w:lineRule="auto"/>
        <w:jc w:val="center"/>
        <w:rPr>
          <w:rFonts w:hint="eastAsia" w:ascii="宋体" w:hAnsi="宋体" w:cs="宋体"/>
          <w:b/>
          <w:color w:val="auto"/>
          <w:sz w:val="24"/>
          <w:highlight w:val="none"/>
        </w:rPr>
      </w:pPr>
    </w:p>
    <w:p w14:paraId="2E26BA51">
      <w:pPr>
        <w:spacing w:line="300" w:lineRule="auto"/>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br w:type="page"/>
      </w:r>
      <w:r>
        <w:rPr>
          <w:rFonts w:hint="eastAsia" w:ascii="宋体" w:hAnsi="宋体" w:cs="宋体"/>
          <w:b/>
          <w:color w:val="auto"/>
          <w:kern w:val="0"/>
          <w:sz w:val="30"/>
          <w:szCs w:val="30"/>
          <w:highlight w:val="none"/>
        </w:rPr>
        <w:t>五、供应商直接控股、管理关系信息表</w:t>
      </w:r>
    </w:p>
    <w:p w14:paraId="39150057">
      <w:pPr>
        <w:spacing w:line="360" w:lineRule="auto"/>
        <w:contextualSpacing/>
        <w:jc w:val="center"/>
        <w:rPr>
          <w:rFonts w:hint="eastAsia" w:ascii="宋体" w:hAnsi="宋体" w:cs="宋体"/>
          <w:b/>
          <w:color w:val="auto"/>
          <w:kern w:val="0"/>
          <w:sz w:val="30"/>
          <w:szCs w:val="30"/>
          <w:highlight w:val="none"/>
        </w:rPr>
      </w:pPr>
    </w:p>
    <w:p w14:paraId="53E4EEDD">
      <w:pPr>
        <w:spacing w:line="360" w:lineRule="auto"/>
        <w:contextualSpacing/>
        <w:jc w:val="center"/>
        <w:rPr>
          <w:rFonts w:hint="eastAsia" w:ascii="宋体" w:hAnsi="宋体" w:cs="宋体"/>
          <w:b/>
          <w:color w:val="auto"/>
          <w:sz w:val="24"/>
          <w:highlight w:val="none"/>
        </w:rPr>
      </w:pPr>
      <w:r>
        <w:rPr>
          <w:rFonts w:hint="eastAsia" w:ascii="宋体" w:hAnsi="宋体" w:cs="宋体"/>
          <w:b/>
          <w:color w:val="auto"/>
          <w:kern w:val="0"/>
          <w:sz w:val="30"/>
          <w:szCs w:val="30"/>
          <w:highlight w:val="none"/>
        </w:rPr>
        <w:t>供应商直接控股股东信息</w:t>
      </w:r>
    </w:p>
    <w:tbl>
      <w:tblPr>
        <w:tblStyle w:val="35"/>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71E9423">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7E4289">
            <w:pPr>
              <w:widowControl/>
              <w:spacing w:line="400" w:lineRule="exact"/>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2A2715">
            <w:pPr>
              <w:widowControl/>
              <w:spacing w:line="400" w:lineRule="exact"/>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51E6C4">
            <w:pPr>
              <w:widowControl/>
              <w:spacing w:line="400" w:lineRule="exact"/>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7786DF">
            <w:pPr>
              <w:widowControl/>
              <w:spacing w:line="400" w:lineRule="exact"/>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4D52B1">
            <w:pPr>
              <w:widowControl/>
              <w:spacing w:line="400" w:lineRule="exact"/>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E62D99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AE1782">
            <w:pPr>
              <w:widowControl/>
              <w:spacing w:line="400" w:lineRule="exact"/>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0A56A8">
            <w:pPr>
              <w:widowControl/>
              <w:spacing w:line="400" w:lineRule="exact"/>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E2A2F6">
            <w:pPr>
              <w:widowControl/>
              <w:spacing w:line="400" w:lineRule="exact"/>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B19E21">
            <w:pPr>
              <w:widowControl/>
              <w:spacing w:line="400" w:lineRule="exact"/>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3CA6C7">
            <w:pPr>
              <w:widowControl/>
              <w:spacing w:line="400" w:lineRule="exact"/>
              <w:contextualSpacing/>
              <w:jc w:val="center"/>
              <w:rPr>
                <w:rFonts w:hint="eastAsia" w:ascii="宋体" w:hAnsi="宋体" w:cs="宋体"/>
                <w:color w:val="auto"/>
                <w:kern w:val="0"/>
                <w:sz w:val="24"/>
                <w:highlight w:val="none"/>
              </w:rPr>
            </w:pPr>
          </w:p>
        </w:tc>
      </w:tr>
      <w:tr w14:paraId="274E195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58C5C5">
            <w:pPr>
              <w:widowControl/>
              <w:spacing w:line="400" w:lineRule="exact"/>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B51155">
            <w:pPr>
              <w:widowControl/>
              <w:spacing w:line="400" w:lineRule="exact"/>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A0EB84">
            <w:pPr>
              <w:widowControl/>
              <w:spacing w:line="400" w:lineRule="exact"/>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05144">
            <w:pPr>
              <w:widowControl/>
              <w:spacing w:line="400" w:lineRule="exact"/>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33D806">
            <w:pPr>
              <w:widowControl/>
              <w:spacing w:line="400" w:lineRule="exact"/>
              <w:contextualSpacing/>
              <w:jc w:val="center"/>
              <w:rPr>
                <w:rFonts w:hint="eastAsia" w:ascii="宋体" w:hAnsi="宋体" w:cs="宋体"/>
                <w:color w:val="auto"/>
                <w:kern w:val="0"/>
                <w:sz w:val="24"/>
                <w:highlight w:val="none"/>
              </w:rPr>
            </w:pPr>
          </w:p>
        </w:tc>
      </w:tr>
      <w:tr w14:paraId="0D13CEE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39CF6A">
            <w:pPr>
              <w:widowControl/>
              <w:spacing w:line="400" w:lineRule="exact"/>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97090E">
            <w:pPr>
              <w:widowControl/>
              <w:spacing w:line="400" w:lineRule="exact"/>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8FA177">
            <w:pPr>
              <w:widowControl/>
              <w:spacing w:line="400" w:lineRule="exact"/>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AAB184">
            <w:pPr>
              <w:widowControl/>
              <w:spacing w:line="400" w:lineRule="exact"/>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AE25E2">
            <w:pPr>
              <w:widowControl/>
              <w:spacing w:line="400" w:lineRule="exact"/>
              <w:contextualSpacing/>
              <w:jc w:val="center"/>
              <w:rPr>
                <w:rFonts w:hint="eastAsia" w:ascii="宋体" w:hAnsi="宋体" w:cs="宋体"/>
                <w:color w:val="auto"/>
                <w:kern w:val="0"/>
                <w:sz w:val="24"/>
                <w:highlight w:val="none"/>
              </w:rPr>
            </w:pPr>
          </w:p>
        </w:tc>
      </w:tr>
      <w:tr w14:paraId="7FB90F5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A441C8">
            <w:pPr>
              <w:widowControl/>
              <w:spacing w:line="400" w:lineRule="exact"/>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E8230">
            <w:pPr>
              <w:widowControl/>
              <w:spacing w:line="400" w:lineRule="exact"/>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E92C49">
            <w:pPr>
              <w:widowControl/>
              <w:spacing w:line="400" w:lineRule="exact"/>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023788">
            <w:pPr>
              <w:widowControl/>
              <w:spacing w:line="400" w:lineRule="exact"/>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5B449">
            <w:pPr>
              <w:widowControl/>
              <w:spacing w:line="400" w:lineRule="exact"/>
              <w:contextualSpacing/>
              <w:jc w:val="center"/>
              <w:rPr>
                <w:rFonts w:hint="eastAsia" w:ascii="宋体" w:hAnsi="宋体" w:cs="宋体"/>
                <w:color w:val="auto"/>
                <w:kern w:val="0"/>
                <w:sz w:val="24"/>
                <w:highlight w:val="none"/>
              </w:rPr>
            </w:pPr>
          </w:p>
        </w:tc>
      </w:tr>
    </w:tbl>
    <w:p w14:paraId="47950AA9">
      <w:pPr>
        <w:spacing w:before="120" w:beforeLines="50" w:line="360" w:lineRule="auto"/>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w:t>
      </w:r>
    </w:p>
    <w:p w14:paraId="0CC4968F">
      <w:pPr>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82FA7F5">
      <w:pPr>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345AA288">
      <w:pPr>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4CDC8D9C">
      <w:pPr>
        <w:snapToGrid w:val="0"/>
        <w:spacing w:line="360" w:lineRule="auto"/>
        <w:jc w:val="left"/>
        <w:rPr>
          <w:rFonts w:hint="eastAsia" w:ascii="宋体" w:hAnsi="宋体" w:cs="宋体"/>
          <w:color w:val="auto"/>
          <w:sz w:val="24"/>
          <w:highlight w:val="none"/>
        </w:rPr>
      </w:pPr>
    </w:p>
    <w:p w14:paraId="0BA57BCA">
      <w:pPr>
        <w:snapToGrid w:val="0"/>
        <w:spacing w:line="360" w:lineRule="auto"/>
        <w:jc w:val="left"/>
        <w:rPr>
          <w:rFonts w:hint="eastAsia" w:ascii="宋体" w:hAnsi="宋体" w:cs="宋体"/>
          <w:color w:val="auto"/>
          <w:sz w:val="24"/>
          <w:highlight w:val="none"/>
        </w:rPr>
      </w:pPr>
    </w:p>
    <w:p w14:paraId="1FC731E2">
      <w:pPr>
        <w:snapToGrid w:val="0"/>
        <w:spacing w:line="360" w:lineRule="auto"/>
        <w:jc w:val="left"/>
        <w:rPr>
          <w:rFonts w:hint="eastAsia" w:ascii="宋体" w:hAnsi="宋体" w:cs="宋体"/>
          <w:color w:val="auto"/>
          <w:sz w:val="24"/>
          <w:highlight w:val="none"/>
        </w:rPr>
      </w:pPr>
    </w:p>
    <w:p w14:paraId="36C567DF">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D0DD899">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0FA6569">
      <w:pPr>
        <w:snapToGrid w:val="0"/>
        <w:jc w:val="center"/>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br w:type="page"/>
      </w:r>
      <w:r>
        <w:rPr>
          <w:rFonts w:hint="eastAsia" w:ascii="宋体" w:hAnsi="宋体" w:cs="宋体"/>
          <w:b/>
          <w:color w:val="auto"/>
          <w:kern w:val="0"/>
          <w:sz w:val="30"/>
          <w:szCs w:val="30"/>
          <w:highlight w:val="none"/>
        </w:rPr>
        <w:t>供应商直接管理关系信息表</w:t>
      </w:r>
    </w:p>
    <w:p w14:paraId="2CF0963A">
      <w:pPr>
        <w:snapToGrid w:val="0"/>
        <w:spacing w:line="360" w:lineRule="auto"/>
        <w:jc w:val="center"/>
        <w:rPr>
          <w:rFonts w:hint="eastAsia" w:ascii="宋体" w:hAnsi="宋体" w:cs="宋体"/>
          <w:b/>
          <w:color w:val="auto"/>
          <w:sz w:val="24"/>
          <w:highlight w:val="none"/>
        </w:rPr>
      </w:pPr>
    </w:p>
    <w:tbl>
      <w:tblPr>
        <w:tblStyle w:val="35"/>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D7811E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27CF20">
            <w:pPr>
              <w:widowControl/>
              <w:spacing w:line="400" w:lineRule="exact"/>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1C44BB">
            <w:pPr>
              <w:widowControl/>
              <w:spacing w:line="400" w:lineRule="exact"/>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47B838">
            <w:pPr>
              <w:widowControl/>
              <w:spacing w:line="400" w:lineRule="exact"/>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FF46E1">
            <w:pPr>
              <w:widowControl/>
              <w:spacing w:line="400" w:lineRule="exact"/>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2E0FFD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C01591">
            <w:pPr>
              <w:widowControl/>
              <w:spacing w:line="400" w:lineRule="exact"/>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DD74AA">
            <w:pPr>
              <w:widowControl/>
              <w:spacing w:line="400" w:lineRule="exact"/>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A2FEB5">
            <w:pPr>
              <w:widowControl/>
              <w:spacing w:line="400" w:lineRule="exact"/>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F41869">
            <w:pPr>
              <w:widowControl/>
              <w:spacing w:line="400" w:lineRule="exact"/>
              <w:contextualSpacing/>
              <w:jc w:val="center"/>
              <w:rPr>
                <w:rFonts w:hint="eastAsia" w:ascii="宋体" w:hAnsi="宋体" w:cs="宋体"/>
                <w:color w:val="auto"/>
                <w:kern w:val="0"/>
                <w:sz w:val="24"/>
                <w:highlight w:val="none"/>
              </w:rPr>
            </w:pPr>
          </w:p>
        </w:tc>
      </w:tr>
      <w:tr w14:paraId="3ACBB80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AA560F">
            <w:pPr>
              <w:widowControl/>
              <w:spacing w:line="400" w:lineRule="exact"/>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237156">
            <w:pPr>
              <w:widowControl/>
              <w:spacing w:line="400" w:lineRule="exact"/>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741C8A">
            <w:pPr>
              <w:widowControl/>
              <w:spacing w:line="400" w:lineRule="exact"/>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1BCEA2">
            <w:pPr>
              <w:widowControl/>
              <w:spacing w:line="400" w:lineRule="exact"/>
              <w:contextualSpacing/>
              <w:jc w:val="center"/>
              <w:rPr>
                <w:rFonts w:hint="eastAsia" w:ascii="宋体" w:hAnsi="宋体" w:cs="宋体"/>
                <w:color w:val="auto"/>
                <w:kern w:val="0"/>
                <w:sz w:val="24"/>
                <w:highlight w:val="none"/>
              </w:rPr>
            </w:pPr>
          </w:p>
        </w:tc>
      </w:tr>
      <w:tr w14:paraId="390FB45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3B20FD">
            <w:pPr>
              <w:widowControl/>
              <w:spacing w:line="400" w:lineRule="exact"/>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977B67">
            <w:pPr>
              <w:widowControl/>
              <w:spacing w:line="400" w:lineRule="exact"/>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50484">
            <w:pPr>
              <w:widowControl/>
              <w:spacing w:line="400" w:lineRule="exact"/>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30523F">
            <w:pPr>
              <w:widowControl/>
              <w:spacing w:line="400" w:lineRule="exact"/>
              <w:contextualSpacing/>
              <w:jc w:val="center"/>
              <w:rPr>
                <w:rFonts w:hint="eastAsia" w:ascii="宋体" w:hAnsi="宋体" w:cs="宋体"/>
                <w:color w:val="auto"/>
                <w:kern w:val="0"/>
                <w:sz w:val="24"/>
                <w:highlight w:val="none"/>
              </w:rPr>
            </w:pPr>
          </w:p>
        </w:tc>
      </w:tr>
      <w:tr w14:paraId="1DB277F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FA1074">
            <w:pPr>
              <w:widowControl/>
              <w:spacing w:line="400" w:lineRule="exact"/>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A3EE8B">
            <w:pPr>
              <w:widowControl/>
              <w:spacing w:line="400" w:lineRule="exact"/>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B6AFC7">
            <w:pPr>
              <w:widowControl/>
              <w:spacing w:line="400" w:lineRule="exact"/>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B31052">
            <w:pPr>
              <w:widowControl/>
              <w:spacing w:line="400" w:lineRule="exact"/>
              <w:contextualSpacing/>
              <w:jc w:val="center"/>
              <w:rPr>
                <w:rFonts w:hint="eastAsia" w:ascii="宋体" w:hAnsi="宋体" w:cs="宋体"/>
                <w:color w:val="auto"/>
                <w:kern w:val="0"/>
                <w:sz w:val="24"/>
                <w:highlight w:val="none"/>
              </w:rPr>
            </w:pPr>
          </w:p>
        </w:tc>
      </w:tr>
    </w:tbl>
    <w:p w14:paraId="2CE48157">
      <w:pPr>
        <w:spacing w:before="120" w:beforeLines="50"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w:t>
      </w:r>
    </w:p>
    <w:p w14:paraId="46E80246">
      <w:pPr>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087E28AD">
      <w:pPr>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5F4AB92A">
      <w:pPr>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512F2C8B">
      <w:pPr>
        <w:spacing w:line="360" w:lineRule="auto"/>
        <w:contextualSpacing/>
        <w:jc w:val="left"/>
        <w:rPr>
          <w:rFonts w:hint="eastAsia" w:ascii="宋体" w:hAnsi="宋体" w:cs="宋体"/>
          <w:color w:val="auto"/>
          <w:sz w:val="24"/>
          <w:highlight w:val="none"/>
        </w:rPr>
      </w:pPr>
    </w:p>
    <w:p w14:paraId="778F9B51">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B9F4741">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7FDE525">
      <w:pPr>
        <w:spacing w:line="360" w:lineRule="auto"/>
        <w:ind w:right="480" w:firstLine="240" w:firstLineChars="100"/>
        <w:contextualSpacing/>
        <w:jc w:val="center"/>
        <w:rPr>
          <w:rFonts w:hint="eastAsia" w:ascii="宋体" w:hAnsi="宋体" w:cs="宋体"/>
          <w:color w:val="auto"/>
          <w:sz w:val="28"/>
          <w:szCs w:val="28"/>
          <w:highlight w:val="none"/>
        </w:rPr>
      </w:pPr>
      <w:r>
        <w:rPr>
          <w:rFonts w:hint="eastAsia" w:ascii="宋体" w:hAnsi="宋体" w:cs="宋体"/>
          <w:color w:val="auto"/>
          <w:sz w:val="24"/>
          <w:highlight w:val="none"/>
        </w:rPr>
        <w:t xml:space="preserve">                                  </w:t>
      </w:r>
    </w:p>
    <w:p w14:paraId="4D3CA76F">
      <w:pPr>
        <w:spacing w:line="320" w:lineRule="exact"/>
        <w:jc w:val="left"/>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rPr>
        <w:t>六、资格声明；</w:t>
      </w:r>
    </w:p>
    <w:p w14:paraId="0100B975">
      <w:pPr>
        <w:spacing w:line="320" w:lineRule="exact"/>
        <w:jc w:val="center"/>
        <w:rPr>
          <w:rFonts w:hint="eastAsia" w:ascii="宋体" w:hAnsi="宋体" w:cs="宋体"/>
          <w:b/>
          <w:color w:val="auto"/>
          <w:sz w:val="32"/>
          <w:szCs w:val="32"/>
          <w:highlight w:val="none"/>
        </w:rPr>
      </w:pPr>
    </w:p>
    <w:p w14:paraId="126FE4FC">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资格声明</w:t>
      </w:r>
    </w:p>
    <w:p w14:paraId="7D19FD0C">
      <w:pPr>
        <w:spacing w:line="320" w:lineRule="exact"/>
        <w:jc w:val="center"/>
        <w:rPr>
          <w:rFonts w:hint="eastAsia" w:ascii="宋体" w:hAnsi="宋体" w:cs="宋体"/>
          <w:color w:val="auto"/>
          <w:sz w:val="24"/>
          <w:szCs w:val="20"/>
          <w:highlight w:val="none"/>
        </w:rPr>
      </w:pPr>
    </w:p>
    <w:p w14:paraId="3EBBEDA1">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4AB39915">
      <w:pPr>
        <w:wordWrap w:val="0"/>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 xml:space="preserve">           （供应商名称）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389AE3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7F0384C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2CD92EB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0A2C16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6C205E5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1E483BE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（2）已详细审查全部谈判文件，包括澄清或者更正公告（如有）；</w:t>
      </w:r>
    </w:p>
    <w:p w14:paraId="6DB8931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6A2F4A3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（4）响应谈判文件规定的竞标有效期。</w:t>
      </w:r>
    </w:p>
    <w:p w14:paraId="0D7C0B0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FA00F0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7207EAF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7A167AF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BC6333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DE2C2B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1328A2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7661DE0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名单、重大税收违法失信主体名单、严重失信主体名单、政府采购严重违法失信行为记录名单，完全符合《中华人民共和国政府采购法》第二十二条规定的供应商资格条件，我方对此声明负全部法律责任。</w:t>
      </w:r>
    </w:p>
    <w:p w14:paraId="224633C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6.根据《中华人民共和国政府采购法实施条例》第五十条要求对政府采购合同进行公告，但政府采购合同中涉及国家秘密、商业秘密的内容除外。我方对本次响应文件进行注明如下：（两项内容中必须选择一项）</w:t>
      </w:r>
    </w:p>
    <w:p w14:paraId="7E462C7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A0F52C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013B340">
      <w:pPr>
        <w:spacing w:line="360" w:lineRule="auto"/>
        <w:ind w:firstLine="480" w:firstLineChars="200"/>
        <w:contextualSpacing/>
        <w:rPr>
          <w:rFonts w:hint="eastAsia" w:ascii="宋体" w:hAnsi="宋体" w:cs="宋体"/>
          <w:color w:val="auto"/>
          <w:kern w:val="0"/>
          <w:sz w:val="24"/>
          <w:highlight w:val="none"/>
          <w:u w:val="single"/>
        </w:rPr>
      </w:pPr>
      <w:r>
        <w:rPr>
          <w:rFonts w:hint="eastAsia" w:ascii="宋体" w:hAnsi="宋体" w:cs="宋体"/>
          <w:color w:val="auto"/>
          <w:kern w:val="0"/>
          <w:sz w:val="24"/>
          <w:highlight w:val="none"/>
        </w:rPr>
        <w:t>7.与本谈判有关的一切正式往来信函请寄：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邮政编号：</w:t>
      </w:r>
      <w:r>
        <w:rPr>
          <w:rFonts w:hint="eastAsia" w:ascii="宋体" w:hAnsi="宋体" w:cs="宋体"/>
          <w:color w:val="auto"/>
          <w:kern w:val="0"/>
          <w:sz w:val="24"/>
          <w:highlight w:val="none"/>
          <w:u w:val="single"/>
        </w:rPr>
        <w:t xml:space="preserve">        </w:t>
      </w:r>
    </w:p>
    <w:p w14:paraId="6BBB8914">
      <w:pPr>
        <w:spacing w:line="360" w:lineRule="auto"/>
        <w:ind w:firstLine="480" w:firstLineChars="200"/>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电话/传真：</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电子函件：</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7D90341F">
      <w:pPr>
        <w:pStyle w:val="17"/>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1CBCEFE5">
      <w:pPr>
        <w:pStyle w:val="17"/>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2F1D796B">
      <w:pPr>
        <w:pStyle w:val="17"/>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23CB4F58">
      <w:pPr>
        <w:pStyle w:val="17"/>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471BD5A1">
      <w:pPr>
        <w:pStyle w:val="17"/>
        <w:tabs>
          <w:tab w:val="left" w:pos="939"/>
        </w:tabs>
        <w:spacing w:line="360" w:lineRule="auto"/>
        <w:ind w:left="0" w:leftChars="0" w:firstLine="480" w:firstLineChars="200"/>
        <w:rPr>
          <w:rFonts w:hint="eastAsia" w:ascii="宋体" w:hAnsi="宋体" w:cs="宋体"/>
          <w:color w:val="auto"/>
          <w:sz w:val="24"/>
          <w:highlight w:val="none"/>
        </w:rPr>
      </w:pPr>
    </w:p>
    <w:p w14:paraId="35950919">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0DB8A2D">
      <w:pPr>
        <w:autoSpaceDE w:val="0"/>
        <w:autoSpaceDN w:val="0"/>
        <w:spacing w:line="360" w:lineRule="auto"/>
        <w:ind w:firstLine="6120" w:firstLineChars="2550"/>
        <w:rPr>
          <w:rFonts w:hint="eastAsia" w:ascii="宋体" w:hAnsi="宋体" w:cs="宋体"/>
          <w:color w:val="auto"/>
          <w:kern w:val="0"/>
          <w:sz w:val="24"/>
          <w:highlight w:val="none"/>
          <w:lang w:val="zh-CN"/>
        </w:rPr>
        <w:sectPr>
          <w:pgSz w:w="11911" w:h="16838"/>
          <w:pgMar w:top="1338" w:right="1502" w:bottom="850" w:left="1678" w:header="1077" w:footer="720" w:gutter="0"/>
          <w:cols w:space="720" w:num="1"/>
        </w:sectPr>
      </w:pPr>
      <w:r>
        <w:rPr>
          <w:rFonts w:hint="eastAsia" w:ascii="宋体" w:hAnsi="宋体" w:cs="宋体"/>
          <w:color w:val="auto"/>
          <w:kern w:val="0"/>
          <w:sz w:val="24"/>
          <w:highlight w:val="none"/>
          <w:lang w:val="zh-CN"/>
        </w:rPr>
        <w:t>日期：  年  月   日</w:t>
      </w:r>
    </w:p>
    <w:p w14:paraId="78C64B12">
      <w:pPr>
        <w:pStyle w:val="109"/>
        <w:spacing w:before="120" w:beforeLines="50" w:line="360" w:lineRule="auto"/>
        <w:ind w:firstLine="0" w:firstLineChars="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七、建设工程项目管理承诺书</w:t>
      </w:r>
    </w:p>
    <w:p w14:paraId="3630160E">
      <w:pPr>
        <w:spacing w:line="360" w:lineRule="auto"/>
        <w:jc w:val="center"/>
        <w:rPr>
          <w:rFonts w:hint="eastAsia" w:ascii="宋体" w:hAnsi="宋体" w:cs="宋体"/>
          <w:color w:val="auto"/>
          <w:sz w:val="24"/>
          <w:highlight w:val="none"/>
        </w:rPr>
      </w:pPr>
      <w:r>
        <w:rPr>
          <w:rFonts w:hint="eastAsia" w:ascii="宋体" w:hAnsi="宋体" w:cs="宋体"/>
          <w:b/>
          <w:color w:val="auto"/>
          <w:kern w:val="0"/>
          <w:sz w:val="30"/>
          <w:szCs w:val="30"/>
          <w:highlight w:val="none"/>
        </w:rPr>
        <w:t>建设工程项目管理承诺书</w:t>
      </w:r>
    </w:p>
    <w:p w14:paraId="4023FFC6">
      <w:pPr>
        <w:spacing w:line="54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（采购人名称）</w:t>
      </w:r>
      <w:r>
        <w:rPr>
          <w:rFonts w:hint="eastAsia" w:ascii="宋体" w:hAnsi="宋体" w:cs="宋体"/>
          <w:color w:val="auto"/>
          <w:sz w:val="24"/>
          <w:highlight w:val="none"/>
        </w:rPr>
        <w:t>：</w:t>
      </w:r>
    </w:p>
    <w:p w14:paraId="10695113">
      <w:pPr>
        <w:spacing w:line="520" w:lineRule="exact"/>
        <w:ind w:left="-10" w:firstLine="520" w:firstLineChars="217"/>
        <w:rPr>
          <w:rFonts w:hint="eastAsia" w:ascii="宋体" w:hAnsi="宋体" w:cs="宋体"/>
          <w:color w:val="auto"/>
          <w:sz w:val="24"/>
          <w:highlight w:val="none"/>
        </w:rPr>
      </w:pPr>
      <w:r>
        <w:rPr>
          <w:rFonts w:hint="eastAsia" w:ascii="宋体" w:hAnsi="宋体" w:cs="宋体"/>
          <w:color w:val="auto"/>
          <w:sz w:val="24"/>
          <w:highlight w:val="none"/>
        </w:rPr>
        <w:t>作为参与</w:t>
      </w:r>
      <w:r>
        <w:rPr>
          <w:rFonts w:hint="eastAsia" w:ascii="宋体" w:hAnsi="宋体" w:cs="宋体"/>
          <w:color w:val="auto"/>
          <w:sz w:val="24"/>
          <w:highlight w:val="none"/>
          <w:u w:val="single"/>
        </w:rPr>
        <w:t>        （项目名称）</w:t>
      </w:r>
      <w:r>
        <w:rPr>
          <w:rFonts w:hint="eastAsia" w:ascii="宋体" w:hAnsi="宋体" w:cs="宋体"/>
          <w:color w:val="auto"/>
          <w:sz w:val="24"/>
          <w:highlight w:val="none"/>
        </w:rPr>
        <w:t>项目的投标方，根据国家、自治区相关文件规定，我方在此向采购人承诺：</w:t>
      </w:r>
    </w:p>
    <w:p w14:paraId="34AB722F">
      <w:pPr>
        <w:spacing w:line="520" w:lineRule="exact"/>
        <w:ind w:left="-10" w:firstLine="520" w:firstLineChars="217"/>
        <w:rPr>
          <w:rFonts w:hint="eastAsia"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一旦中标，我方保证按照政府相关部门的规定，在项目开工前</w:t>
      </w:r>
      <w:r>
        <w:rPr>
          <w:rFonts w:hint="eastAsia" w:ascii="宋体" w:hAnsi="宋体" w:cs="宋体"/>
          <w:color w:val="auto"/>
          <w:sz w:val="24"/>
          <w:highlight w:val="none"/>
          <w:lang w:eastAsia="zh-CN"/>
        </w:rPr>
        <w:t>设立</w:t>
      </w:r>
      <w:r>
        <w:rPr>
          <w:rFonts w:hint="eastAsia" w:ascii="宋体" w:hAnsi="宋体" w:cs="宋体"/>
          <w:color w:val="auto"/>
          <w:sz w:val="24"/>
          <w:highlight w:val="none"/>
        </w:rPr>
        <w:t>农民工工资支付专用账户。严格按照《保障农民工工资支付条例》规定，存储工资保证金，专项用于支付本工程提供劳动的农民工被拖欠的工资。按照与农民工依法约定的工资支付周期和具体支付日期支付工资，保证每月至少向农民工足额支付一次工资。</w:t>
      </w:r>
    </w:p>
    <w:p w14:paraId="6565735C">
      <w:pPr>
        <w:spacing w:line="520" w:lineRule="exact"/>
        <w:ind w:left="-10" w:firstLine="520" w:firstLineChars="217"/>
        <w:rPr>
          <w:rFonts w:hint="eastAsia" w:ascii="宋体" w:hAnsi="宋体" w:cs="宋体"/>
          <w:color w:val="auto"/>
          <w:sz w:val="24"/>
          <w:highlight w:val="none"/>
        </w:rPr>
      </w:pPr>
      <w:r>
        <w:rPr>
          <w:rFonts w:hint="eastAsia" w:ascii="宋体" w:hAnsi="宋体" w:cs="宋体"/>
          <w:color w:val="auto"/>
          <w:sz w:val="24"/>
          <w:highlight w:val="none"/>
        </w:rPr>
        <w:t>2.一旦中标，我方保证在施工过程中，严格执行《广西壮族自治区建筑工程安全防护、文明施工措施费及使用管理细则》（桂建质〔2015〕16号）的有关规定，确保建设工程各项安全防护、文明施工措施落实到位。如我方在该项目的承包中出现未按桂建质〔2015〕16号文规定执行的情形，我方愿意按照相关规定接受建设单位及有关主管部门的处罚。</w:t>
      </w:r>
    </w:p>
    <w:p w14:paraId="7CE9AB48">
      <w:pPr>
        <w:spacing w:line="520" w:lineRule="exact"/>
        <w:ind w:left="-2" w:leftChars="-1" w:firstLine="513" w:firstLineChars="214"/>
        <w:rPr>
          <w:rFonts w:hint="eastAsia" w:ascii="宋体" w:hAnsi="宋体" w:cs="宋体"/>
          <w:color w:val="auto"/>
          <w:sz w:val="24"/>
          <w:highlight w:val="none"/>
        </w:rPr>
      </w:pPr>
      <w:r>
        <w:rPr>
          <w:rFonts w:hint="eastAsia" w:ascii="宋体" w:hAnsi="宋体" w:cs="宋体"/>
          <w:color w:val="auto"/>
          <w:sz w:val="24"/>
          <w:highlight w:val="none"/>
        </w:rPr>
        <w:t>3.一旦中标，我方保证在施工过程中，严格执行散装水泥和预拌混凝土（或商品混凝土）管理的有关规定，确保建设工程按规定使用散装水泥和预拌混凝土。如我方在该项目的承包中出现未按规定执行的情形，我方愿意按照相关规定接受建设单位及有关主管部门的处罚。</w:t>
      </w:r>
    </w:p>
    <w:p w14:paraId="61A5268D">
      <w:pPr>
        <w:spacing w:line="520" w:lineRule="exact"/>
        <w:ind w:left="-10" w:firstLine="520" w:firstLineChars="217"/>
        <w:rPr>
          <w:rFonts w:hint="eastAsia" w:ascii="宋体" w:hAnsi="宋体" w:cs="宋体"/>
          <w:color w:val="auto"/>
          <w:highlight w:val="none"/>
        </w:rPr>
      </w:pPr>
      <w:r>
        <w:rPr>
          <w:rFonts w:hint="eastAsia" w:ascii="宋体" w:hAnsi="宋体" w:cs="宋体"/>
          <w:color w:val="auto"/>
          <w:sz w:val="24"/>
          <w:highlight w:val="none"/>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96C1389">
      <w:pPr>
        <w:spacing w:line="520" w:lineRule="exact"/>
        <w:ind w:left="-2" w:leftChars="-1" w:firstLine="449" w:firstLineChars="214"/>
        <w:rPr>
          <w:rFonts w:hint="eastAsia" w:ascii="宋体" w:hAnsi="宋体" w:cs="宋体"/>
          <w:color w:val="auto"/>
          <w:highlight w:val="none"/>
        </w:rPr>
      </w:pPr>
    </w:p>
    <w:p w14:paraId="3C5278B4">
      <w:pPr>
        <w:pStyle w:val="17"/>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722141D">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036378B">
      <w:pPr>
        <w:autoSpaceDE w:val="0"/>
        <w:autoSpaceDN w:val="0"/>
        <w:spacing w:line="360" w:lineRule="auto"/>
        <w:ind w:firstLine="6120" w:firstLineChars="2550"/>
        <w:rPr>
          <w:rFonts w:hint="eastAsia" w:ascii="宋体" w:hAnsi="宋体" w:cs="宋体"/>
          <w:color w:val="auto"/>
          <w:kern w:val="0"/>
          <w:sz w:val="24"/>
          <w:highlight w:val="none"/>
          <w:lang w:val="zh-CN"/>
        </w:rPr>
        <w:sectPr>
          <w:pgSz w:w="11911" w:h="16838"/>
          <w:pgMar w:top="1338" w:right="1502" w:bottom="850" w:left="1678" w:header="1077" w:footer="720" w:gutter="0"/>
          <w:cols w:space="720" w:num="1"/>
          <w:docGrid w:linePitch="1" w:charSpace="0"/>
        </w:sectPr>
      </w:pPr>
      <w:r>
        <w:rPr>
          <w:rFonts w:hint="eastAsia" w:ascii="宋体" w:hAnsi="宋体" w:cs="宋体"/>
          <w:color w:val="auto"/>
          <w:kern w:val="0"/>
          <w:sz w:val="24"/>
          <w:highlight w:val="none"/>
          <w:lang w:val="zh-CN"/>
        </w:rPr>
        <w:t>日期：  年  月   日</w:t>
      </w:r>
    </w:p>
    <w:p w14:paraId="4B563BA6">
      <w:pPr>
        <w:spacing w:line="360" w:lineRule="auto"/>
        <w:jc w:val="center"/>
        <w:rPr>
          <w:rFonts w:hint="eastAsia" w:ascii="宋体" w:hAnsi="宋体" w:cs="宋体"/>
          <w:color w:val="auto"/>
          <w:highlight w:val="none"/>
        </w:rPr>
      </w:pPr>
      <w:r>
        <w:rPr>
          <w:rFonts w:hint="eastAsia" w:ascii="宋体" w:hAnsi="宋体" w:cs="宋体"/>
          <w:b/>
          <w:bCs/>
          <w:color w:val="auto"/>
          <w:sz w:val="28"/>
          <w:szCs w:val="28"/>
          <w:highlight w:val="none"/>
        </w:rPr>
        <w:t>广西壮族自治区建筑工程安全文明施工措施项目清单内容</w:t>
      </w:r>
    </w:p>
    <w:p w14:paraId="1E42F92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（桂建质〔2015〕16号文附件一）</w:t>
      </w:r>
    </w:p>
    <w:p w14:paraId="5CB216DD">
      <w:pPr>
        <w:pStyle w:val="111"/>
        <w:spacing w:line="240" w:lineRule="atLeas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广西壮族自治区</w:t>
      </w:r>
    </w:p>
    <w:p w14:paraId="6AD1F0F5">
      <w:pPr>
        <w:pStyle w:val="111"/>
        <w:spacing w:line="240" w:lineRule="atLeast"/>
        <w:jc w:val="center"/>
        <w:rPr>
          <w:rFonts w:hint="eastAsia" w:ascii="宋体" w:hAnsi="宋体" w:cs="宋体"/>
          <w:b/>
          <w:bCs/>
          <w:color w:val="auto"/>
          <w:w w:val="90"/>
          <w:sz w:val="24"/>
          <w:szCs w:val="24"/>
          <w:highlight w:val="none"/>
        </w:rPr>
      </w:pPr>
      <w:r>
        <w:rPr>
          <w:rFonts w:hint="eastAsia" w:ascii="宋体" w:hAnsi="宋体" w:cs="宋体"/>
          <w:b/>
          <w:bCs/>
          <w:color w:val="auto"/>
          <w:w w:val="90"/>
          <w:sz w:val="24"/>
          <w:szCs w:val="24"/>
          <w:highlight w:val="none"/>
        </w:rPr>
        <w:t>建设工程安全文明施工措施项目清单内容</w:t>
      </w:r>
    </w:p>
    <w:p w14:paraId="1DC1A01E">
      <w:pPr>
        <w:pStyle w:val="111"/>
        <w:spacing w:line="240" w:lineRule="atLeast"/>
        <w:ind w:firstLine="546"/>
        <w:jc w:val="center"/>
        <w:rPr>
          <w:rFonts w:hint="eastAsia" w:ascii="宋体" w:hAnsi="宋体" w:cs="宋体"/>
          <w:b/>
          <w:bCs/>
          <w:color w:val="auto"/>
          <w:w w:val="90"/>
          <w:sz w:val="24"/>
          <w:szCs w:val="24"/>
          <w:highlight w:val="none"/>
        </w:rPr>
      </w:pP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79A760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738" w:type="dxa"/>
            <w:tcBorders>
              <w:top w:val="single" w:color="auto" w:sz="12" w:space="0"/>
            </w:tcBorders>
            <w:noWrap w:val="0"/>
            <w:vAlign w:val="center"/>
          </w:tcPr>
          <w:p w14:paraId="6D593D06">
            <w:pPr>
              <w:pStyle w:val="111"/>
              <w:spacing w:line="300" w:lineRule="exact"/>
              <w:jc w:val="center"/>
              <w:rPr>
                <w:rFonts w:hint="eastAsia" w:ascii="宋体" w:hAnsi="宋体" w:cs="宋体"/>
                <w:b/>
                <w:bCs/>
                <w:color w:val="auto"/>
                <w:highlight w:val="none"/>
              </w:rPr>
            </w:pPr>
            <w:r>
              <w:rPr>
                <w:rFonts w:hint="eastAsia" w:ascii="宋体" w:hAnsi="宋体" w:cs="宋体"/>
                <w:b/>
                <w:bCs/>
                <w:color w:val="auto"/>
                <w:highlight w:val="none"/>
              </w:rPr>
              <w:t>类别</w:t>
            </w:r>
          </w:p>
        </w:tc>
        <w:tc>
          <w:tcPr>
            <w:tcW w:w="2070" w:type="dxa"/>
            <w:gridSpan w:val="2"/>
            <w:tcBorders>
              <w:top w:val="single" w:color="auto" w:sz="12" w:space="0"/>
            </w:tcBorders>
            <w:noWrap w:val="0"/>
            <w:vAlign w:val="center"/>
          </w:tcPr>
          <w:p w14:paraId="5AAB4ADE">
            <w:pPr>
              <w:pStyle w:val="111"/>
              <w:spacing w:line="300" w:lineRule="exact"/>
              <w:jc w:val="center"/>
              <w:rPr>
                <w:rFonts w:hint="eastAsia" w:ascii="宋体" w:hAnsi="宋体" w:cs="宋体"/>
                <w:b/>
                <w:bCs/>
                <w:color w:val="auto"/>
                <w:highlight w:val="none"/>
              </w:rPr>
            </w:pPr>
            <w:r>
              <w:rPr>
                <w:rFonts w:hint="eastAsia" w:ascii="宋体" w:hAnsi="宋体" w:cs="宋体"/>
                <w:b/>
                <w:bCs/>
                <w:color w:val="auto"/>
                <w:highlight w:val="none"/>
              </w:rPr>
              <w:t>项目名称</w:t>
            </w:r>
          </w:p>
        </w:tc>
        <w:tc>
          <w:tcPr>
            <w:tcW w:w="6645" w:type="dxa"/>
            <w:tcBorders>
              <w:top w:val="single" w:color="auto" w:sz="12" w:space="0"/>
            </w:tcBorders>
            <w:noWrap w:val="0"/>
            <w:vAlign w:val="center"/>
          </w:tcPr>
          <w:p w14:paraId="3F3FE039">
            <w:pPr>
              <w:pStyle w:val="111"/>
              <w:spacing w:line="300" w:lineRule="exact"/>
              <w:jc w:val="center"/>
              <w:rPr>
                <w:rFonts w:hint="eastAsia" w:ascii="宋体" w:hAnsi="宋体" w:cs="宋体"/>
                <w:b/>
                <w:bCs/>
                <w:color w:val="auto"/>
                <w:highlight w:val="none"/>
              </w:rPr>
            </w:pPr>
            <w:r>
              <w:rPr>
                <w:rFonts w:hint="eastAsia" w:ascii="宋体" w:hAnsi="宋体" w:cs="宋体"/>
                <w:b/>
                <w:bCs/>
                <w:color w:val="auto"/>
                <w:highlight w:val="none"/>
              </w:rPr>
              <w:t>主要内容和要求</w:t>
            </w:r>
          </w:p>
        </w:tc>
      </w:tr>
      <w:tr w14:paraId="476AC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noWrap w:val="0"/>
            <w:vAlign w:val="center"/>
          </w:tcPr>
          <w:p w14:paraId="6C70AA28">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文明</w:t>
            </w:r>
          </w:p>
          <w:p w14:paraId="1589BF9A">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施工</w:t>
            </w:r>
          </w:p>
          <w:p w14:paraId="3E61F14D">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与</w:t>
            </w:r>
          </w:p>
          <w:p w14:paraId="1AF6458F">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环境</w:t>
            </w:r>
          </w:p>
          <w:p w14:paraId="6D0AA4BB">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保护</w:t>
            </w:r>
          </w:p>
        </w:tc>
        <w:tc>
          <w:tcPr>
            <w:tcW w:w="2070" w:type="dxa"/>
            <w:gridSpan w:val="2"/>
            <w:noWrap w:val="0"/>
            <w:vAlign w:val="center"/>
          </w:tcPr>
          <w:p w14:paraId="1897BA4F">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安全警示</w:t>
            </w:r>
          </w:p>
          <w:p w14:paraId="6B54C476">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标志牌</w:t>
            </w:r>
          </w:p>
        </w:tc>
        <w:tc>
          <w:tcPr>
            <w:tcW w:w="6645" w:type="dxa"/>
            <w:noWrap w:val="0"/>
            <w:vAlign w:val="center"/>
          </w:tcPr>
          <w:p w14:paraId="18FBF0BB">
            <w:pPr>
              <w:pStyle w:val="111"/>
              <w:spacing w:line="300" w:lineRule="exact"/>
              <w:rPr>
                <w:rFonts w:hint="eastAsia" w:ascii="宋体" w:hAnsi="宋体" w:cs="宋体"/>
                <w:color w:val="auto"/>
                <w:highlight w:val="none"/>
              </w:rPr>
            </w:pPr>
            <w:r>
              <w:rPr>
                <w:rFonts w:hint="eastAsia" w:ascii="宋体" w:hAnsi="宋体" w:cs="宋体"/>
                <w:color w:val="auto"/>
                <w:highlight w:val="none"/>
              </w:rPr>
              <w:t>在易发伤亡事故（或危险）处设置明显的、符合国家标准要求的安全警示标志牌。</w:t>
            </w:r>
          </w:p>
        </w:tc>
      </w:tr>
      <w:tr w14:paraId="32ECF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7348E692">
            <w:pPr>
              <w:pStyle w:val="111"/>
              <w:spacing w:line="300" w:lineRule="exact"/>
              <w:jc w:val="center"/>
              <w:rPr>
                <w:rFonts w:hint="eastAsia" w:ascii="宋体" w:hAnsi="宋体" w:cs="宋体"/>
                <w:color w:val="auto"/>
                <w:highlight w:val="none"/>
              </w:rPr>
            </w:pPr>
          </w:p>
        </w:tc>
        <w:tc>
          <w:tcPr>
            <w:tcW w:w="2070" w:type="dxa"/>
            <w:gridSpan w:val="2"/>
            <w:noWrap w:val="0"/>
            <w:vAlign w:val="center"/>
          </w:tcPr>
          <w:p w14:paraId="0CBC41E1">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现场围挡</w:t>
            </w:r>
          </w:p>
        </w:tc>
        <w:tc>
          <w:tcPr>
            <w:tcW w:w="6645" w:type="dxa"/>
            <w:noWrap w:val="0"/>
            <w:vAlign w:val="center"/>
          </w:tcPr>
          <w:p w14:paraId="06CD8B9D">
            <w:pPr>
              <w:pStyle w:val="111"/>
              <w:spacing w:line="300" w:lineRule="exact"/>
              <w:rPr>
                <w:rFonts w:hint="eastAsia" w:ascii="宋体" w:hAnsi="宋体" w:cs="宋体"/>
                <w:color w:val="auto"/>
                <w:highlight w:val="none"/>
              </w:rPr>
            </w:pPr>
            <w:r>
              <w:rPr>
                <w:rFonts w:hint="eastAsia" w:ascii="宋体" w:hAnsi="宋体" w:cs="宋体"/>
                <w:color w:val="auto"/>
                <w:highlight w:val="none"/>
              </w:rPr>
              <w:t>1. 现场采用封闭围挡，高度不小于1.8m。</w:t>
            </w:r>
          </w:p>
          <w:p w14:paraId="7A915EEC">
            <w:pPr>
              <w:pStyle w:val="111"/>
              <w:spacing w:line="300" w:lineRule="exact"/>
              <w:rPr>
                <w:rFonts w:hint="eastAsia" w:ascii="宋体" w:hAnsi="宋体" w:cs="宋体"/>
                <w:color w:val="auto"/>
                <w:highlight w:val="none"/>
              </w:rPr>
            </w:pPr>
            <w:r>
              <w:rPr>
                <w:rFonts w:hint="eastAsia" w:ascii="宋体" w:hAnsi="宋体" w:cs="宋体"/>
                <w:color w:val="auto"/>
                <w:highlight w:val="none"/>
              </w:rPr>
              <w:t>2. 围挡材料可用彩色、定型钢板，砌块等墙体。</w:t>
            </w:r>
          </w:p>
        </w:tc>
      </w:tr>
      <w:tr w14:paraId="24CF8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0DAB7CE8">
            <w:pPr>
              <w:pStyle w:val="111"/>
              <w:spacing w:line="300" w:lineRule="exact"/>
              <w:jc w:val="center"/>
              <w:rPr>
                <w:rFonts w:hint="eastAsia" w:ascii="宋体" w:hAnsi="宋体" w:cs="宋体"/>
                <w:color w:val="auto"/>
                <w:highlight w:val="none"/>
              </w:rPr>
            </w:pPr>
          </w:p>
        </w:tc>
        <w:tc>
          <w:tcPr>
            <w:tcW w:w="2070" w:type="dxa"/>
            <w:gridSpan w:val="2"/>
            <w:noWrap w:val="0"/>
            <w:vAlign w:val="center"/>
          </w:tcPr>
          <w:p w14:paraId="071D3C3D">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七牌二图</w:t>
            </w:r>
          </w:p>
        </w:tc>
        <w:tc>
          <w:tcPr>
            <w:tcW w:w="6645" w:type="dxa"/>
            <w:noWrap w:val="0"/>
            <w:vAlign w:val="center"/>
          </w:tcPr>
          <w:p w14:paraId="5C685E9E">
            <w:pPr>
              <w:pStyle w:val="111"/>
              <w:spacing w:line="300" w:lineRule="exact"/>
              <w:rPr>
                <w:rFonts w:hint="eastAsia" w:ascii="宋体" w:hAnsi="宋体" w:cs="宋体"/>
                <w:color w:val="auto"/>
                <w:highlight w:val="none"/>
              </w:rPr>
            </w:pPr>
            <w:r>
              <w:rPr>
                <w:rFonts w:hint="eastAsia" w:ascii="宋体" w:hAnsi="宋体" w:cs="宋体"/>
                <w:color w:val="auto"/>
                <w:highlight w:val="none"/>
              </w:rPr>
              <w:t>在进门处悬挂工程概况、现场出入制度、管理人员名单及监督电话、安全生产规定、文明施工、消防保卫、节能公示等七牌以及施工现场总平面图、工程效果图。</w:t>
            </w:r>
          </w:p>
        </w:tc>
      </w:tr>
      <w:tr w14:paraId="75D83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8" w:type="dxa"/>
            <w:vMerge w:val="continue"/>
            <w:noWrap w:val="0"/>
            <w:vAlign w:val="center"/>
          </w:tcPr>
          <w:p w14:paraId="73AECB4F">
            <w:pPr>
              <w:pStyle w:val="111"/>
              <w:spacing w:line="300" w:lineRule="exact"/>
              <w:jc w:val="center"/>
              <w:rPr>
                <w:rFonts w:hint="eastAsia" w:ascii="宋体" w:hAnsi="宋体" w:cs="宋体"/>
                <w:color w:val="auto"/>
                <w:highlight w:val="none"/>
              </w:rPr>
            </w:pPr>
          </w:p>
        </w:tc>
        <w:tc>
          <w:tcPr>
            <w:tcW w:w="2070" w:type="dxa"/>
            <w:gridSpan w:val="2"/>
            <w:noWrap w:val="0"/>
            <w:vAlign w:val="center"/>
          </w:tcPr>
          <w:p w14:paraId="0133BFF9">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企业标志</w:t>
            </w:r>
          </w:p>
        </w:tc>
        <w:tc>
          <w:tcPr>
            <w:tcW w:w="6645" w:type="dxa"/>
            <w:noWrap w:val="0"/>
            <w:vAlign w:val="center"/>
          </w:tcPr>
          <w:p w14:paraId="6E1323A0">
            <w:pPr>
              <w:pStyle w:val="111"/>
              <w:spacing w:line="300" w:lineRule="exact"/>
              <w:rPr>
                <w:rFonts w:hint="eastAsia" w:ascii="宋体" w:hAnsi="宋体" w:cs="宋体"/>
                <w:color w:val="auto"/>
                <w:highlight w:val="none"/>
              </w:rPr>
            </w:pPr>
            <w:r>
              <w:rPr>
                <w:rFonts w:hint="eastAsia" w:ascii="宋体" w:hAnsi="宋体" w:cs="宋体"/>
                <w:color w:val="auto"/>
                <w:highlight w:val="none"/>
              </w:rPr>
              <w:t>现场出入的大门应设有本企业标志或企业标识。</w:t>
            </w:r>
          </w:p>
        </w:tc>
      </w:tr>
      <w:tr w14:paraId="2E925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5E56FF28">
            <w:pPr>
              <w:pStyle w:val="111"/>
              <w:spacing w:line="300" w:lineRule="exact"/>
              <w:jc w:val="center"/>
              <w:rPr>
                <w:rFonts w:hint="eastAsia" w:ascii="宋体" w:hAnsi="宋体" w:cs="宋体"/>
                <w:color w:val="auto"/>
                <w:highlight w:val="none"/>
              </w:rPr>
            </w:pPr>
          </w:p>
        </w:tc>
        <w:tc>
          <w:tcPr>
            <w:tcW w:w="2070" w:type="dxa"/>
            <w:gridSpan w:val="2"/>
            <w:noWrap w:val="0"/>
            <w:vAlign w:val="center"/>
          </w:tcPr>
          <w:p w14:paraId="6DD39B35">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场容场貌</w:t>
            </w:r>
          </w:p>
        </w:tc>
        <w:tc>
          <w:tcPr>
            <w:tcW w:w="6645" w:type="dxa"/>
            <w:noWrap w:val="0"/>
            <w:vAlign w:val="center"/>
          </w:tcPr>
          <w:p w14:paraId="393789B3">
            <w:pPr>
              <w:pStyle w:val="111"/>
              <w:spacing w:line="300" w:lineRule="exact"/>
              <w:rPr>
                <w:rFonts w:hint="eastAsia" w:ascii="宋体" w:hAnsi="宋体" w:cs="宋体"/>
                <w:color w:val="auto"/>
                <w:highlight w:val="none"/>
              </w:rPr>
            </w:pPr>
            <w:r>
              <w:rPr>
                <w:rFonts w:hint="eastAsia" w:ascii="宋体" w:hAnsi="宋体" w:cs="宋体"/>
                <w:color w:val="auto"/>
                <w:highlight w:val="none"/>
              </w:rPr>
              <w:t>1. 道路畅通。</w:t>
            </w:r>
          </w:p>
          <w:p w14:paraId="502F3479">
            <w:pPr>
              <w:pStyle w:val="111"/>
              <w:spacing w:line="300" w:lineRule="exact"/>
              <w:rPr>
                <w:rFonts w:hint="eastAsia" w:ascii="宋体" w:hAnsi="宋体" w:cs="宋体"/>
                <w:color w:val="auto"/>
                <w:highlight w:val="none"/>
              </w:rPr>
            </w:pPr>
            <w:r>
              <w:rPr>
                <w:rFonts w:hint="eastAsia" w:ascii="宋体" w:hAnsi="宋体" w:cs="宋体"/>
                <w:color w:val="auto"/>
                <w:highlight w:val="none"/>
              </w:rPr>
              <w:t>2. 排水设施齐全畅通。</w:t>
            </w:r>
          </w:p>
          <w:p w14:paraId="35A451FD">
            <w:pPr>
              <w:pStyle w:val="111"/>
              <w:spacing w:line="300" w:lineRule="exact"/>
              <w:rPr>
                <w:rFonts w:hint="eastAsia" w:ascii="宋体" w:hAnsi="宋体" w:cs="宋体"/>
                <w:color w:val="auto"/>
                <w:highlight w:val="none"/>
              </w:rPr>
            </w:pPr>
            <w:r>
              <w:rPr>
                <w:rFonts w:hint="eastAsia" w:ascii="宋体" w:hAnsi="宋体" w:cs="宋体"/>
                <w:color w:val="auto"/>
                <w:highlight w:val="none"/>
              </w:rPr>
              <w:t>3. 工地地面硬化处理（办公区、生活区、现场道路、材料堆放、混凝土搅拌、砂浆搅拌、钢筋加工等场地和外脚手架基础等）。</w:t>
            </w:r>
          </w:p>
        </w:tc>
      </w:tr>
      <w:tr w14:paraId="27545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12391D0F">
            <w:pPr>
              <w:pStyle w:val="111"/>
              <w:spacing w:line="300" w:lineRule="exact"/>
              <w:jc w:val="center"/>
              <w:rPr>
                <w:rFonts w:hint="eastAsia" w:ascii="宋体" w:hAnsi="宋体" w:cs="宋体"/>
                <w:color w:val="auto"/>
                <w:highlight w:val="none"/>
              </w:rPr>
            </w:pPr>
          </w:p>
        </w:tc>
        <w:tc>
          <w:tcPr>
            <w:tcW w:w="2070" w:type="dxa"/>
            <w:gridSpan w:val="2"/>
            <w:noWrap w:val="0"/>
            <w:vAlign w:val="center"/>
          </w:tcPr>
          <w:p w14:paraId="075534AD">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材料堆放</w:t>
            </w:r>
          </w:p>
        </w:tc>
        <w:tc>
          <w:tcPr>
            <w:tcW w:w="6645" w:type="dxa"/>
            <w:noWrap w:val="0"/>
            <w:vAlign w:val="center"/>
          </w:tcPr>
          <w:p w14:paraId="37183C2F">
            <w:pPr>
              <w:pStyle w:val="111"/>
              <w:numPr>
                <w:ilvl w:val="0"/>
                <w:numId w:val="1"/>
              </w:numPr>
              <w:spacing w:line="300" w:lineRule="exact"/>
              <w:rPr>
                <w:rFonts w:hint="eastAsia" w:ascii="宋体" w:hAnsi="宋体" w:cs="宋体"/>
                <w:color w:val="auto"/>
                <w:highlight w:val="none"/>
              </w:rPr>
            </w:pPr>
            <w:r>
              <w:rPr>
                <w:rFonts w:hint="eastAsia" w:ascii="宋体" w:hAnsi="宋体" w:cs="宋体"/>
                <w:color w:val="auto"/>
                <w:highlight w:val="none"/>
              </w:rPr>
              <w:t>材料、构件、料具等堆放时，应有名称、品种、规格等标牌。</w:t>
            </w:r>
          </w:p>
          <w:p w14:paraId="0E8D1102">
            <w:pPr>
              <w:pStyle w:val="111"/>
              <w:spacing w:line="300" w:lineRule="exact"/>
              <w:rPr>
                <w:rFonts w:hint="eastAsia" w:ascii="宋体" w:hAnsi="宋体" w:cs="宋体"/>
                <w:color w:val="auto"/>
                <w:highlight w:val="none"/>
              </w:rPr>
            </w:pPr>
            <w:r>
              <w:rPr>
                <w:rFonts w:hint="eastAsia" w:ascii="宋体" w:hAnsi="宋体" w:cs="宋体"/>
                <w:color w:val="auto"/>
                <w:highlight w:val="none"/>
              </w:rPr>
              <w:t>2. 水泥和其他易飞扬细颗粒建筑材料应封闭存放或采取覆盖等措施。</w:t>
            </w:r>
          </w:p>
          <w:p w14:paraId="08B774EB">
            <w:pPr>
              <w:pStyle w:val="111"/>
              <w:spacing w:line="300" w:lineRule="exact"/>
              <w:rPr>
                <w:rFonts w:hint="eastAsia" w:ascii="宋体" w:hAnsi="宋体" w:cs="宋体"/>
                <w:color w:val="auto"/>
                <w:highlight w:val="none"/>
              </w:rPr>
            </w:pPr>
            <w:r>
              <w:rPr>
                <w:rFonts w:hint="eastAsia" w:ascii="宋体" w:hAnsi="宋体" w:cs="宋体"/>
                <w:color w:val="auto"/>
                <w:highlight w:val="none"/>
              </w:rPr>
              <w:t>3. 易燃、易爆和有毒有害物品分类存放。</w:t>
            </w:r>
          </w:p>
        </w:tc>
      </w:tr>
      <w:tr w14:paraId="461F5B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noWrap w:val="0"/>
            <w:vAlign w:val="center"/>
          </w:tcPr>
          <w:p w14:paraId="18BB29C3">
            <w:pPr>
              <w:pStyle w:val="111"/>
              <w:spacing w:line="300" w:lineRule="exact"/>
              <w:jc w:val="center"/>
              <w:rPr>
                <w:rFonts w:hint="eastAsia" w:ascii="宋体" w:hAnsi="宋体" w:cs="宋体"/>
                <w:color w:val="auto"/>
                <w:highlight w:val="none"/>
              </w:rPr>
            </w:pPr>
          </w:p>
        </w:tc>
        <w:tc>
          <w:tcPr>
            <w:tcW w:w="2070" w:type="dxa"/>
            <w:gridSpan w:val="2"/>
            <w:noWrap w:val="0"/>
            <w:vAlign w:val="center"/>
          </w:tcPr>
          <w:p w14:paraId="57D81586">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现场防火</w:t>
            </w:r>
          </w:p>
        </w:tc>
        <w:tc>
          <w:tcPr>
            <w:tcW w:w="6645" w:type="dxa"/>
            <w:noWrap w:val="0"/>
            <w:vAlign w:val="center"/>
          </w:tcPr>
          <w:p w14:paraId="3774D932">
            <w:pPr>
              <w:pStyle w:val="111"/>
              <w:spacing w:line="300" w:lineRule="exact"/>
              <w:rPr>
                <w:rFonts w:hint="eastAsia" w:ascii="宋体" w:hAnsi="宋体" w:cs="宋体"/>
                <w:color w:val="auto"/>
                <w:highlight w:val="none"/>
              </w:rPr>
            </w:pPr>
            <w:r>
              <w:rPr>
                <w:rFonts w:hint="eastAsia" w:ascii="宋体" w:hAnsi="宋体" w:cs="宋体"/>
                <w:color w:val="auto"/>
                <w:highlight w:val="none"/>
              </w:rPr>
              <w:t>消防器材配置合理，符合消防要求。</w:t>
            </w:r>
          </w:p>
        </w:tc>
      </w:tr>
      <w:tr w14:paraId="785BB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10214C31">
            <w:pPr>
              <w:pStyle w:val="111"/>
              <w:spacing w:line="300" w:lineRule="exact"/>
              <w:jc w:val="center"/>
              <w:rPr>
                <w:rFonts w:hint="eastAsia" w:ascii="宋体" w:hAnsi="宋体" w:cs="宋体"/>
                <w:color w:val="auto"/>
                <w:highlight w:val="none"/>
              </w:rPr>
            </w:pPr>
          </w:p>
        </w:tc>
        <w:tc>
          <w:tcPr>
            <w:tcW w:w="2070" w:type="dxa"/>
            <w:gridSpan w:val="2"/>
            <w:noWrap w:val="0"/>
            <w:vAlign w:val="center"/>
          </w:tcPr>
          <w:p w14:paraId="0BA4A4CB">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垃圾清运</w:t>
            </w:r>
          </w:p>
        </w:tc>
        <w:tc>
          <w:tcPr>
            <w:tcW w:w="6645" w:type="dxa"/>
            <w:noWrap w:val="0"/>
            <w:vAlign w:val="center"/>
          </w:tcPr>
          <w:p w14:paraId="7478ECCD">
            <w:pPr>
              <w:pStyle w:val="111"/>
              <w:spacing w:line="300" w:lineRule="exact"/>
              <w:rPr>
                <w:rFonts w:hint="eastAsia" w:ascii="宋体" w:hAnsi="宋体" w:cs="宋体"/>
                <w:color w:val="auto"/>
                <w:highlight w:val="none"/>
              </w:rPr>
            </w:pPr>
            <w:r>
              <w:rPr>
                <w:rFonts w:hint="eastAsia" w:ascii="宋体" w:hAnsi="宋体" w:cs="宋体"/>
                <w:color w:val="auto"/>
                <w:highlight w:val="none"/>
              </w:rPr>
              <w:t>1. 施工现场应设置密闭式垃圾站，施工垃圾、生活垃圾应分类存放。</w:t>
            </w:r>
          </w:p>
          <w:p w14:paraId="27E9EDFB">
            <w:pPr>
              <w:pStyle w:val="111"/>
              <w:spacing w:line="300" w:lineRule="exact"/>
              <w:rPr>
                <w:rFonts w:hint="eastAsia" w:ascii="宋体" w:hAnsi="宋体" w:cs="宋体"/>
                <w:color w:val="auto"/>
                <w:highlight w:val="none"/>
              </w:rPr>
            </w:pPr>
            <w:r>
              <w:rPr>
                <w:rFonts w:hint="eastAsia" w:ascii="宋体" w:hAnsi="宋体" w:cs="宋体"/>
                <w:color w:val="auto"/>
                <w:highlight w:val="none"/>
              </w:rPr>
              <w:t>2. 施工垃圾必须采用相应容器或管道运输。</w:t>
            </w:r>
          </w:p>
        </w:tc>
      </w:tr>
      <w:tr w14:paraId="5BC49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0C582497">
            <w:pPr>
              <w:pStyle w:val="111"/>
              <w:spacing w:line="300" w:lineRule="exact"/>
              <w:jc w:val="center"/>
              <w:rPr>
                <w:rFonts w:hint="eastAsia" w:ascii="宋体" w:hAnsi="宋体" w:cs="宋体"/>
                <w:color w:val="auto"/>
                <w:highlight w:val="none"/>
              </w:rPr>
            </w:pPr>
          </w:p>
        </w:tc>
        <w:tc>
          <w:tcPr>
            <w:tcW w:w="2070" w:type="dxa"/>
            <w:gridSpan w:val="2"/>
            <w:noWrap w:val="0"/>
            <w:vAlign w:val="center"/>
          </w:tcPr>
          <w:p w14:paraId="7F25F404">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宣传栏、环保及不扰民措施</w:t>
            </w:r>
          </w:p>
        </w:tc>
        <w:tc>
          <w:tcPr>
            <w:tcW w:w="6645" w:type="dxa"/>
            <w:noWrap w:val="0"/>
            <w:vAlign w:val="center"/>
          </w:tcPr>
          <w:p w14:paraId="6BEC8C05">
            <w:pPr>
              <w:pStyle w:val="111"/>
              <w:spacing w:line="300" w:lineRule="exact"/>
              <w:rPr>
                <w:rFonts w:hint="eastAsia" w:ascii="宋体" w:hAnsi="宋体" w:cs="宋体"/>
                <w:color w:val="auto"/>
                <w:highlight w:val="none"/>
              </w:rPr>
            </w:pPr>
            <w:r>
              <w:rPr>
                <w:rFonts w:hint="eastAsia" w:ascii="宋体" w:hAnsi="宋体" w:cs="宋体"/>
                <w:color w:val="auto"/>
                <w:highlight w:val="none"/>
              </w:rPr>
              <w:t>宣传栏、安全宣传标语等，洗车（防止污染市区道路）、粉尘、噪声控制和排污（污水、废气）措施等。</w:t>
            </w:r>
          </w:p>
        </w:tc>
      </w:tr>
      <w:tr w14:paraId="16EC1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noWrap w:val="0"/>
            <w:vAlign w:val="center"/>
          </w:tcPr>
          <w:p w14:paraId="0EEB455C">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临时设施</w:t>
            </w:r>
          </w:p>
        </w:tc>
        <w:tc>
          <w:tcPr>
            <w:tcW w:w="2070" w:type="dxa"/>
            <w:gridSpan w:val="2"/>
            <w:noWrap w:val="0"/>
            <w:vAlign w:val="center"/>
          </w:tcPr>
          <w:p w14:paraId="30B1E4D5">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现场办公</w:t>
            </w:r>
          </w:p>
          <w:p w14:paraId="32CDB27F">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生活设施</w:t>
            </w:r>
          </w:p>
        </w:tc>
        <w:tc>
          <w:tcPr>
            <w:tcW w:w="6645" w:type="dxa"/>
            <w:noWrap w:val="0"/>
            <w:vAlign w:val="center"/>
          </w:tcPr>
          <w:p w14:paraId="50E63BF2">
            <w:pPr>
              <w:pStyle w:val="111"/>
              <w:spacing w:line="300" w:lineRule="exact"/>
              <w:rPr>
                <w:rFonts w:hint="eastAsia" w:ascii="宋体" w:hAnsi="宋体" w:cs="宋体"/>
                <w:color w:val="auto"/>
                <w:highlight w:val="none"/>
              </w:rPr>
            </w:pPr>
            <w:r>
              <w:rPr>
                <w:rFonts w:hint="eastAsia" w:ascii="宋体" w:hAnsi="宋体" w:cs="宋体"/>
                <w:color w:val="auto"/>
                <w:highlight w:val="none"/>
              </w:rPr>
              <w:t>1. 施工现场办公、生活区与作业区分开设置，保持安全距离。</w:t>
            </w:r>
          </w:p>
          <w:p w14:paraId="35FE4888">
            <w:pPr>
              <w:pStyle w:val="111"/>
              <w:spacing w:line="300" w:lineRule="exact"/>
              <w:rPr>
                <w:rFonts w:hint="eastAsia" w:ascii="宋体" w:hAnsi="宋体" w:cs="宋体"/>
                <w:color w:val="auto"/>
                <w:highlight w:val="none"/>
              </w:rPr>
            </w:pPr>
            <w:r>
              <w:rPr>
                <w:rFonts w:hint="eastAsia" w:ascii="宋体" w:hAnsi="宋体" w:cs="宋体"/>
                <w:color w:val="auto"/>
                <w:highlight w:val="none"/>
              </w:rPr>
              <w:t>2. 工地办公室、现场宿舍、食堂、厕所、饮水、沐浴、休息场所等符合卫生、消防安全要求。</w:t>
            </w:r>
          </w:p>
        </w:tc>
      </w:tr>
      <w:tr w14:paraId="125357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2B69682D">
            <w:pPr>
              <w:pStyle w:val="111"/>
              <w:spacing w:line="300" w:lineRule="exact"/>
              <w:jc w:val="center"/>
              <w:rPr>
                <w:rFonts w:hint="eastAsia" w:ascii="宋体" w:hAnsi="宋体" w:cs="宋体"/>
                <w:color w:val="auto"/>
                <w:highlight w:val="none"/>
              </w:rPr>
            </w:pPr>
          </w:p>
        </w:tc>
        <w:tc>
          <w:tcPr>
            <w:tcW w:w="525" w:type="dxa"/>
            <w:vMerge w:val="restart"/>
            <w:noWrap w:val="0"/>
            <w:vAlign w:val="center"/>
          </w:tcPr>
          <w:p w14:paraId="0143452D">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施工现场</w:t>
            </w:r>
          </w:p>
          <w:p w14:paraId="6D6954DE">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临时用电</w:t>
            </w:r>
          </w:p>
        </w:tc>
        <w:tc>
          <w:tcPr>
            <w:tcW w:w="1545" w:type="dxa"/>
            <w:noWrap w:val="0"/>
            <w:vAlign w:val="center"/>
          </w:tcPr>
          <w:p w14:paraId="2C612FAE">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配电线路</w:t>
            </w:r>
          </w:p>
        </w:tc>
        <w:tc>
          <w:tcPr>
            <w:tcW w:w="6645" w:type="dxa"/>
            <w:noWrap w:val="0"/>
            <w:vAlign w:val="center"/>
          </w:tcPr>
          <w:p w14:paraId="44DC18FA">
            <w:pPr>
              <w:pStyle w:val="111"/>
              <w:spacing w:line="300" w:lineRule="exact"/>
              <w:rPr>
                <w:rFonts w:hint="eastAsia" w:ascii="宋体" w:hAnsi="宋体" w:cs="宋体"/>
                <w:color w:val="auto"/>
                <w:highlight w:val="none"/>
              </w:rPr>
            </w:pPr>
            <w:r>
              <w:rPr>
                <w:rFonts w:hint="eastAsia" w:ascii="宋体" w:hAnsi="宋体" w:cs="宋体"/>
                <w:color w:val="auto"/>
                <w:highlight w:val="none"/>
              </w:rPr>
              <w:t>1. 按照TN-S系统要求配备五芯电缆、四芯电缆和三芯电缆。</w:t>
            </w:r>
          </w:p>
          <w:p w14:paraId="1F460429">
            <w:pPr>
              <w:pStyle w:val="111"/>
              <w:spacing w:line="300" w:lineRule="exact"/>
              <w:rPr>
                <w:rFonts w:hint="eastAsia" w:ascii="宋体" w:hAnsi="宋体" w:cs="宋体"/>
                <w:color w:val="auto"/>
                <w:highlight w:val="none"/>
              </w:rPr>
            </w:pPr>
            <w:r>
              <w:rPr>
                <w:rFonts w:hint="eastAsia" w:ascii="宋体" w:hAnsi="宋体" w:cs="宋体"/>
                <w:color w:val="auto"/>
                <w:highlight w:val="none"/>
              </w:rPr>
              <w:t>2. 按要求架设临时用电线路的电杆、横担、瓷夹、瓷瓶等，或电缆埋地的地沟。</w:t>
            </w:r>
          </w:p>
          <w:p w14:paraId="636D3278">
            <w:pPr>
              <w:pStyle w:val="111"/>
              <w:spacing w:line="300" w:lineRule="exact"/>
              <w:rPr>
                <w:rFonts w:hint="eastAsia" w:ascii="宋体" w:hAnsi="宋体" w:cs="宋体"/>
                <w:color w:val="auto"/>
                <w:highlight w:val="none"/>
              </w:rPr>
            </w:pPr>
            <w:r>
              <w:rPr>
                <w:rFonts w:hint="eastAsia" w:ascii="宋体" w:hAnsi="宋体" w:cs="宋体"/>
                <w:color w:val="auto"/>
                <w:highlight w:val="none"/>
              </w:rPr>
              <w:t>3. 对靠近施工现场的外电线路，设置木质、塑料等绝缘体的防护设施。</w:t>
            </w:r>
          </w:p>
        </w:tc>
      </w:tr>
      <w:tr w14:paraId="57997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5E981EC3">
            <w:pPr>
              <w:pStyle w:val="111"/>
              <w:spacing w:line="300" w:lineRule="exact"/>
              <w:jc w:val="center"/>
              <w:rPr>
                <w:rFonts w:hint="eastAsia" w:ascii="宋体" w:hAnsi="宋体" w:cs="宋体"/>
                <w:color w:val="auto"/>
                <w:highlight w:val="none"/>
              </w:rPr>
            </w:pPr>
          </w:p>
        </w:tc>
        <w:tc>
          <w:tcPr>
            <w:tcW w:w="525" w:type="dxa"/>
            <w:vMerge w:val="continue"/>
            <w:noWrap w:val="0"/>
            <w:vAlign w:val="center"/>
          </w:tcPr>
          <w:p w14:paraId="2487D152">
            <w:pPr>
              <w:pStyle w:val="111"/>
              <w:spacing w:line="300" w:lineRule="exact"/>
              <w:jc w:val="center"/>
              <w:rPr>
                <w:rFonts w:hint="eastAsia" w:ascii="宋体" w:hAnsi="宋体" w:cs="宋体"/>
                <w:color w:val="auto"/>
                <w:highlight w:val="none"/>
              </w:rPr>
            </w:pPr>
          </w:p>
        </w:tc>
        <w:tc>
          <w:tcPr>
            <w:tcW w:w="1545" w:type="dxa"/>
            <w:noWrap w:val="0"/>
            <w:vAlign w:val="center"/>
          </w:tcPr>
          <w:p w14:paraId="280C61EB">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配电箱</w:t>
            </w:r>
          </w:p>
          <w:p w14:paraId="6992B9B1">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开关箱</w:t>
            </w:r>
          </w:p>
        </w:tc>
        <w:tc>
          <w:tcPr>
            <w:tcW w:w="6645" w:type="dxa"/>
            <w:noWrap w:val="0"/>
            <w:vAlign w:val="center"/>
          </w:tcPr>
          <w:p w14:paraId="245F023A">
            <w:pPr>
              <w:pStyle w:val="111"/>
              <w:spacing w:line="300" w:lineRule="exact"/>
              <w:rPr>
                <w:rFonts w:hint="eastAsia" w:ascii="宋体" w:hAnsi="宋体" w:cs="宋体"/>
                <w:color w:val="auto"/>
                <w:highlight w:val="none"/>
              </w:rPr>
            </w:pPr>
            <w:r>
              <w:rPr>
                <w:rFonts w:hint="eastAsia" w:ascii="宋体" w:hAnsi="宋体" w:cs="宋体"/>
                <w:color w:val="auto"/>
                <w:highlight w:val="none"/>
              </w:rPr>
              <w:t>1. 按三级配电要求，配备总配电箱、分配电箱、开关箱三类（铁质）标准电箱，开关箱应符合“一机、一箱、一闸、一漏”，三类电箱中的各类电器应是合格品。</w:t>
            </w:r>
          </w:p>
          <w:p w14:paraId="6EA73BED">
            <w:pPr>
              <w:pStyle w:val="111"/>
              <w:spacing w:line="300" w:lineRule="exact"/>
              <w:rPr>
                <w:rFonts w:hint="eastAsia" w:ascii="宋体" w:hAnsi="宋体" w:cs="宋体"/>
                <w:color w:val="auto"/>
                <w:highlight w:val="none"/>
              </w:rPr>
            </w:pPr>
            <w:r>
              <w:rPr>
                <w:rFonts w:hint="eastAsia" w:ascii="宋体" w:hAnsi="宋体" w:cs="宋体"/>
                <w:color w:val="auto"/>
                <w:highlight w:val="none"/>
              </w:rPr>
              <w:t>2. 按两级保护的要求，选取符合容量要求和质量合格的总配电箱和开关箱中的漏电保护器。</w:t>
            </w:r>
          </w:p>
          <w:p w14:paraId="4A45CE0C">
            <w:pPr>
              <w:pStyle w:val="111"/>
              <w:spacing w:line="300" w:lineRule="exact"/>
              <w:rPr>
                <w:rFonts w:hint="eastAsia" w:ascii="宋体" w:hAnsi="宋体" w:cs="宋体"/>
                <w:color w:val="auto"/>
                <w:highlight w:val="none"/>
              </w:rPr>
            </w:pPr>
            <w:r>
              <w:rPr>
                <w:rFonts w:hint="eastAsia" w:ascii="宋体" w:hAnsi="宋体" w:cs="宋体"/>
                <w:color w:val="auto"/>
                <w:highlight w:val="none"/>
              </w:rPr>
              <w:t>3. 对大型、落地式分配电箱、开关箱设置防护棚和通透式围挡。</w:t>
            </w:r>
          </w:p>
        </w:tc>
      </w:tr>
      <w:tr w14:paraId="2B8D9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38" w:type="dxa"/>
            <w:vMerge w:val="continue"/>
            <w:noWrap w:val="0"/>
            <w:vAlign w:val="center"/>
          </w:tcPr>
          <w:p w14:paraId="0838AE69">
            <w:pPr>
              <w:pStyle w:val="111"/>
              <w:spacing w:line="300" w:lineRule="exact"/>
              <w:jc w:val="center"/>
              <w:rPr>
                <w:rFonts w:hint="eastAsia" w:ascii="宋体" w:hAnsi="宋体" w:cs="宋体"/>
                <w:color w:val="auto"/>
                <w:highlight w:val="none"/>
              </w:rPr>
            </w:pPr>
          </w:p>
        </w:tc>
        <w:tc>
          <w:tcPr>
            <w:tcW w:w="525" w:type="dxa"/>
            <w:vMerge w:val="continue"/>
            <w:noWrap w:val="0"/>
            <w:vAlign w:val="center"/>
          </w:tcPr>
          <w:p w14:paraId="17309F85">
            <w:pPr>
              <w:pStyle w:val="111"/>
              <w:spacing w:line="300" w:lineRule="exact"/>
              <w:jc w:val="center"/>
              <w:rPr>
                <w:rFonts w:hint="eastAsia" w:ascii="宋体" w:hAnsi="宋体" w:cs="宋体"/>
                <w:color w:val="auto"/>
                <w:highlight w:val="none"/>
              </w:rPr>
            </w:pPr>
          </w:p>
        </w:tc>
        <w:tc>
          <w:tcPr>
            <w:tcW w:w="1545" w:type="dxa"/>
            <w:noWrap w:val="0"/>
            <w:vAlign w:val="center"/>
          </w:tcPr>
          <w:p w14:paraId="22D46EA4">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接地装置</w:t>
            </w:r>
          </w:p>
        </w:tc>
        <w:tc>
          <w:tcPr>
            <w:tcW w:w="6645" w:type="dxa"/>
            <w:noWrap w:val="0"/>
            <w:vAlign w:val="center"/>
          </w:tcPr>
          <w:p w14:paraId="408C1F8E">
            <w:pPr>
              <w:pStyle w:val="111"/>
              <w:spacing w:line="300" w:lineRule="exact"/>
              <w:rPr>
                <w:rFonts w:hint="eastAsia" w:ascii="宋体" w:hAnsi="宋体" w:cs="宋体"/>
                <w:color w:val="auto"/>
                <w:highlight w:val="none"/>
              </w:rPr>
            </w:pPr>
            <w:r>
              <w:rPr>
                <w:rFonts w:hint="eastAsia" w:ascii="宋体" w:hAnsi="宋体" w:cs="宋体"/>
                <w:color w:val="auto"/>
                <w:highlight w:val="none"/>
              </w:rPr>
              <w:t>施工现场应设置不少于三处的重复接地装置。</w:t>
            </w:r>
          </w:p>
        </w:tc>
      </w:tr>
      <w:tr w14:paraId="612853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38" w:type="dxa"/>
            <w:vMerge w:val="continue"/>
            <w:noWrap w:val="0"/>
            <w:vAlign w:val="center"/>
          </w:tcPr>
          <w:p w14:paraId="5A6A4FAC">
            <w:pPr>
              <w:pStyle w:val="111"/>
              <w:spacing w:line="300" w:lineRule="exact"/>
              <w:jc w:val="center"/>
              <w:rPr>
                <w:rFonts w:hint="eastAsia" w:ascii="宋体" w:hAnsi="宋体" w:cs="宋体"/>
                <w:color w:val="auto"/>
                <w:highlight w:val="none"/>
              </w:rPr>
            </w:pPr>
          </w:p>
        </w:tc>
        <w:tc>
          <w:tcPr>
            <w:tcW w:w="525" w:type="dxa"/>
            <w:vMerge w:val="continue"/>
            <w:noWrap w:val="0"/>
            <w:vAlign w:val="center"/>
          </w:tcPr>
          <w:p w14:paraId="40504E48">
            <w:pPr>
              <w:pStyle w:val="111"/>
              <w:spacing w:line="300" w:lineRule="exact"/>
              <w:jc w:val="center"/>
              <w:rPr>
                <w:rFonts w:hint="eastAsia" w:ascii="宋体" w:hAnsi="宋体" w:cs="宋体"/>
                <w:color w:val="auto"/>
                <w:highlight w:val="none"/>
              </w:rPr>
            </w:pPr>
          </w:p>
        </w:tc>
        <w:tc>
          <w:tcPr>
            <w:tcW w:w="1545" w:type="dxa"/>
            <w:noWrap w:val="0"/>
            <w:vAlign w:val="center"/>
          </w:tcPr>
          <w:p w14:paraId="6736AD66">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现场变配电装置</w:t>
            </w:r>
          </w:p>
        </w:tc>
        <w:tc>
          <w:tcPr>
            <w:tcW w:w="6645" w:type="dxa"/>
            <w:noWrap w:val="0"/>
            <w:vAlign w:val="center"/>
          </w:tcPr>
          <w:p w14:paraId="5BB6A65E">
            <w:pPr>
              <w:pStyle w:val="111"/>
              <w:spacing w:line="300" w:lineRule="exact"/>
              <w:rPr>
                <w:rFonts w:hint="eastAsia" w:ascii="宋体" w:hAnsi="宋体" w:cs="宋体"/>
                <w:color w:val="auto"/>
                <w:highlight w:val="none"/>
              </w:rPr>
            </w:pPr>
            <w:r>
              <w:rPr>
                <w:rFonts w:hint="eastAsia" w:ascii="宋体" w:hAnsi="宋体" w:cs="宋体"/>
                <w:color w:val="auto"/>
                <w:highlight w:val="none"/>
              </w:rPr>
              <w:t>总配电房建筑材料必须达到消防防火要求，室内做硬地坪、电缆沟。</w:t>
            </w:r>
          </w:p>
        </w:tc>
      </w:tr>
      <w:tr w14:paraId="098F8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38" w:type="dxa"/>
            <w:noWrap w:val="0"/>
            <w:vAlign w:val="center"/>
          </w:tcPr>
          <w:p w14:paraId="477C3B01">
            <w:pPr>
              <w:pStyle w:val="111"/>
              <w:spacing w:line="300" w:lineRule="exact"/>
              <w:jc w:val="center"/>
              <w:rPr>
                <w:rFonts w:hint="eastAsia" w:ascii="宋体" w:hAnsi="宋体" w:cs="宋体"/>
                <w:b/>
                <w:bCs/>
                <w:color w:val="auto"/>
                <w:highlight w:val="none"/>
              </w:rPr>
            </w:pPr>
            <w:r>
              <w:rPr>
                <w:rFonts w:hint="eastAsia" w:ascii="宋体" w:hAnsi="宋体" w:cs="宋体"/>
                <w:b/>
                <w:bCs/>
                <w:color w:val="auto"/>
                <w:highlight w:val="none"/>
              </w:rPr>
              <w:t>类别</w:t>
            </w:r>
          </w:p>
        </w:tc>
        <w:tc>
          <w:tcPr>
            <w:tcW w:w="2070" w:type="dxa"/>
            <w:gridSpan w:val="2"/>
            <w:noWrap w:val="0"/>
            <w:vAlign w:val="center"/>
          </w:tcPr>
          <w:p w14:paraId="1F7B3002">
            <w:pPr>
              <w:pStyle w:val="111"/>
              <w:spacing w:line="300" w:lineRule="exact"/>
              <w:jc w:val="center"/>
              <w:rPr>
                <w:rFonts w:hint="eastAsia" w:ascii="宋体" w:hAnsi="宋体" w:cs="宋体"/>
                <w:b/>
                <w:bCs/>
                <w:color w:val="auto"/>
                <w:highlight w:val="none"/>
              </w:rPr>
            </w:pPr>
            <w:r>
              <w:rPr>
                <w:rFonts w:hint="eastAsia" w:ascii="宋体" w:hAnsi="宋体" w:cs="宋体"/>
                <w:b/>
                <w:bCs/>
                <w:color w:val="auto"/>
                <w:highlight w:val="none"/>
              </w:rPr>
              <w:t>项目名称</w:t>
            </w:r>
          </w:p>
        </w:tc>
        <w:tc>
          <w:tcPr>
            <w:tcW w:w="6645" w:type="dxa"/>
            <w:noWrap w:val="0"/>
            <w:vAlign w:val="center"/>
          </w:tcPr>
          <w:p w14:paraId="03D718B1">
            <w:pPr>
              <w:pStyle w:val="111"/>
              <w:spacing w:line="300" w:lineRule="exact"/>
              <w:jc w:val="center"/>
              <w:rPr>
                <w:rFonts w:hint="eastAsia" w:ascii="宋体" w:hAnsi="宋体" w:cs="宋体"/>
                <w:b/>
                <w:bCs/>
                <w:color w:val="auto"/>
                <w:highlight w:val="none"/>
              </w:rPr>
            </w:pPr>
            <w:r>
              <w:rPr>
                <w:rFonts w:hint="eastAsia" w:ascii="宋体" w:hAnsi="宋体" w:cs="宋体"/>
                <w:b/>
                <w:bCs/>
                <w:color w:val="auto"/>
                <w:highlight w:val="none"/>
              </w:rPr>
              <w:t>主要内容和要求</w:t>
            </w:r>
          </w:p>
        </w:tc>
      </w:tr>
      <w:tr w14:paraId="0BFF7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noWrap w:val="0"/>
            <w:vAlign w:val="center"/>
          </w:tcPr>
          <w:p w14:paraId="708FA4FF">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安全施工</w:t>
            </w:r>
          </w:p>
        </w:tc>
        <w:tc>
          <w:tcPr>
            <w:tcW w:w="525" w:type="dxa"/>
            <w:vMerge w:val="restart"/>
            <w:noWrap w:val="0"/>
            <w:vAlign w:val="center"/>
          </w:tcPr>
          <w:p w14:paraId="22F6F5C1">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高处作业防护</w:t>
            </w:r>
          </w:p>
        </w:tc>
        <w:tc>
          <w:tcPr>
            <w:tcW w:w="1545" w:type="dxa"/>
            <w:noWrap w:val="0"/>
            <w:vAlign w:val="center"/>
          </w:tcPr>
          <w:p w14:paraId="55E9FE61">
            <w:pPr>
              <w:pStyle w:val="111"/>
              <w:spacing w:line="300" w:lineRule="exact"/>
              <w:rPr>
                <w:rFonts w:hint="eastAsia" w:ascii="宋体" w:hAnsi="宋体" w:cs="宋体"/>
                <w:color w:val="auto"/>
                <w:highlight w:val="none"/>
              </w:rPr>
            </w:pPr>
            <w:r>
              <w:rPr>
                <w:rFonts w:hint="eastAsia" w:ascii="宋体" w:hAnsi="宋体" w:cs="宋体"/>
                <w:color w:val="auto"/>
                <w:highlight w:val="none"/>
              </w:rPr>
              <w:t>楼层、屋面、阳台等临边</w:t>
            </w:r>
          </w:p>
        </w:tc>
        <w:tc>
          <w:tcPr>
            <w:tcW w:w="6645" w:type="dxa"/>
            <w:noWrap w:val="0"/>
            <w:vAlign w:val="center"/>
          </w:tcPr>
          <w:p w14:paraId="0CB1AB03">
            <w:pPr>
              <w:pStyle w:val="111"/>
              <w:spacing w:line="300" w:lineRule="exact"/>
              <w:rPr>
                <w:rFonts w:hint="eastAsia" w:ascii="宋体" w:hAnsi="宋体" w:cs="宋体"/>
                <w:color w:val="auto"/>
                <w:highlight w:val="none"/>
              </w:rPr>
            </w:pPr>
            <w:r>
              <w:rPr>
                <w:rFonts w:hint="eastAsia" w:ascii="宋体" w:hAnsi="宋体" w:cs="宋体"/>
                <w:color w:val="auto"/>
                <w:highlight w:val="none"/>
              </w:rPr>
              <w:t>设两道防护栏杆和18cm高的踢脚板，用密目式安全立网全封闭。</w:t>
            </w:r>
          </w:p>
        </w:tc>
      </w:tr>
      <w:tr w14:paraId="5628C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18D77E60">
            <w:pPr>
              <w:pStyle w:val="111"/>
              <w:spacing w:line="300" w:lineRule="exact"/>
              <w:jc w:val="center"/>
              <w:rPr>
                <w:rFonts w:hint="eastAsia" w:ascii="宋体" w:hAnsi="宋体" w:cs="宋体"/>
                <w:color w:val="auto"/>
                <w:highlight w:val="none"/>
              </w:rPr>
            </w:pPr>
          </w:p>
        </w:tc>
        <w:tc>
          <w:tcPr>
            <w:tcW w:w="525" w:type="dxa"/>
            <w:vMerge w:val="continue"/>
            <w:noWrap w:val="0"/>
            <w:vAlign w:val="center"/>
          </w:tcPr>
          <w:p w14:paraId="1E37B773">
            <w:pPr>
              <w:pStyle w:val="111"/>
              <w:spacing w:line="300" w:lineRule="exact"/>
              <w:jc w:val="center"/>
              <w:rPr>
                <w:rFonts w:hint="eastAsia" w:ascii="宋体" w:hAnsi="宋体" w:cs="宋体"/>
                <w:color w:val="auto"/>
                <w:highlight w:val="none"/>
              </w:rPr>
            </w:pPr>
          </w:p>
        </w:tc>
        <w:tc>
          <w:tcPr>
            <w:tcW w:w="1545" w:type="dxa"/>
            <w:noWrap w:val="0"/>
            <w:vAlign w:val="center"/>
          </w:tcPr>
          <w:p w14:paraId="63623A11">
            <w:pPr>
              <w:pStyle w:val="111"/>
              <w:spacing w:line="300" w:lineRule="exact"/>
              <w:rPr>
                <w:rFonts w:hint="eastAsia" w:ascii="宋体" w:hAnsi="宋体" w:cs="宋体"/>
                <w:color w:val="auto"/>
                <w:highlight w:val="none"/>
              </w:rPr>
            </w:pPr>
            <w:r>
              <w:rPr>
                <w:rFonts w:hint="eastAsia" w:ascii="宋体" w:hAnsi="宋体" w:cs="宋体"/>
                <w:color w:val="auto"/>
                <w:highlight w:val="none"/>
              </w:rPr>
              <w:t>通道口</w:t>
            </w:r>
          </w:p>
        </w:tc>
        <w:tc>
          <w:tcPr>
            <w:tcW w:w="6645" w:type="dxa"/>
            <w:noWrap w:val="0"/>
            <w:vAlign w:val="center"/>
          </w:tcPr>
          <w:p w14:paraId="3ABA6FA1">
            <w:pPr>
              <w:pStyle w:val="111"/>
              <w:spacing w:line="300" w:lineRule="exact"/>
              <w:rPr>
                <w:rFonts w:hint="eastAsia" w:ascii="宋体" w:hAnsi="宋体" w:cs="宋体"/>
                <w:color w:val="auto"/>
                <w:highlight w:val="none"/>
              </w:rPr>
            </w:pPr>
            <w:r>
              <w:rPr>
                <w:rFonts w:hint="eastAsia" w:ascii="宋体" w:hAnsi="宋体" w:cs="宋体"/>
                <w:color w:val="auto"/>
                <w:highlight w:val="none"/>
              </w:rPr>
              <w:t>设防护棚，防护棚应为不小于5cm厚的木板或两道相距50cm的竹笆。两侧应沿栏杆架用密目式安全网封闭。</w:t>
            </w:r>
          </w:p>
        </w:tc>
      </w:tr>
      <w:tr w14:paraId="2EB25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37A3D2E3">
            <w:pPr>
              <w:pStyle w:val="111"/>
              <w:spacing w:line="300" w:lineRule="exact"/>
              <w:jc w:val="center"/>
              <w:rPr>
                <w:rFonts w:hint="eastAsia" w:ascii="宋体" w:hAnsi="宋体" w:cs="宋体"/>
                <w:color w:val="auto"/>
                <w:highlight w:val="none"/>
              </w:rPr>
            </w:pPr>
          </w:p>
        </w:tc>
        <w:tc>
          <w:tcPr>
            <w:tcW w:w="525" w:type="dxa"/>
            <w:vMerge w:val="continue"/>
            <w:noWrap w:val="0"/>
            <w:vAlign w:val="center"/>
          </w:tcPr>
          <w:p w14:paraId="3F77A309">
            <w:pPr>
              <w:pStyle w:val="111"/>
              <w:spacing w:line="300" w:lineRule="exact"/>
              <w:jc w:val="center"/>
              <w:rPr>
                <w:rFonts w:hint="eastAsia" w:ascii="宋体" w:hAnsi="宋体" w:cs="宋体"/>
                <w:color w:val="auto"/>
                <w:highlight w:val="none"/>
              </w:rPr>
            </w:pPr>
          </w:p>
        </w:tc>
        <w:tc>
          <w:tcPr>
            <w:tcW w:w="1545" w:type="dxa"/>
            <w:noWrap w:val="0"/>
            <w:vAlign w:val="center"/>
          </w:tcPr>
          <w:p w14:paraId="53C009B1">
            <w:pPr>
              <w:pStyle w:val="111"/>
              <w:spacing w:line="300" w:lineRule="exact"/>
              <w:rPr>
                <w:rFonts w:hint="eastAsia" w:ascii="宋体" w:hAnsi="宋体" w:cs="宋体"/>
                <w:color w:val="auto"/>
                <w:highlight w:val="none"/>
              </w:rPr>
            </w:pPr>
            <w:r>
              <w:rPr>
                <w:rFonts w:hint="eastAsia" w:ascii="宋体" w:hAnsi="宋体" w:cs="宋体"/>
                <w:color w:val="auto"/>
                <w:highlight w:val="none"/>
              </w:rPr>
              <w:t>预留洞口</w:t>
            </w:r>
          </w:p>
        </w:tc>
        <w:tc>
          <w:tcPr>
            <w:tcW w:w="6645" w:type="dxa"/>
            <w:noWrap w:val="0"/>
            <w:vAlign w:val="center"/>
          </w:tcPr>
          <w:p w14:paraId="0191C1A4">
            <w:pPr>
              <w:pStyle w:val="111"/>
              <w:spacing w:line="300" w:lineRule="exact"/>
              <w:rPr>
                <w:rFonts w:hint="eastAsia" w:ascii="宋体" w:hAnsi="宋体" w:cs="宋体"/>
                <w:color w:val="auto"/>
                <w:highlight w:val="none"/>
              </w:rPr>
            </w:pPr>
            <w:r>
              <w:rPr>
                <w:rFonts w:hint="eastAsia" w:ascii="宋体" w:hAnsi="宋体" w:cs="宋体"/>
                <w:color w:val="auto"/>
                <w:highlight w:val="none"/>
              </w:rPr>
              <w:t>用硬质材料全封闭，短边超过1.5m长的洞口，除封闭外四周还应设有防护栏杆。</w:t>
            </w:r>
          </w:p>
        </w:tc>
      </w:tr>
      <w:tr w14:paraId="28CF4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38" w:type="dxa"/>
            <w:vMerge w:val="continue"/>
            <w:noWrap w:val="0"/>
            <w:vAlign w:val="center"/>
          </w:tcPr>
          <w:p w14:paraId="0CE36603">
            <w:pPr>
              <w:pStyle w:val="111"/>
              <w:spacing w:line="300" w:lineRule="exact"/>
              <w:jc w:val="center"/>
              <w:rPr>
                <w:rFonts w:hint="eastAsia" w:ascii="宋体" w:hAnsi="宋体" w:cs="宋体"/>
                <w:color w:val="auto"/>
                <w:highlight w:val="none"/>
              </w:rPr>
            </w:pPr>
          </w:p>
        </w:tc>
        <w:tc>
          <w:tcPr>
            <w:tcW w:w="525" w:type="dxa"/>
            <w:vMerge w:val="continue"/>
            <w:noWrap w:val="0"/>
            <w:vAlign w:val="center"/>
          </w:tcPr>
          <w:p w14:paraId="1944BF6C">
            <w:pPr>
              <w:pStyle w:val="111"/>
              <w:spacing w:line="300" w:lineRule="exact"/>
              <w:jc w:val="center"/>
              <w:rPr>
                <w:rFonts w:hint="eastAsia" w:ascii="宋体" w:hAnsi="宋体" w:cs="宋体"/>
                <w:color w:val="auto"/>
                <w:highlight w:val="none"/>
              </w:rPr>
            </w:pPr>
          </w:p>
        </w:tc>
        <w:tc>
          <w:tcPr>
            <w:tcW w:w="1545" w:type="dxa"/>
            <w:noWrap w:val="0"/>
            <w:vAlign w:val="center"/>
          </w:tcPr>
          <w:p w14:paraId="21A58E86">
            <w:pPr>
              <w:pStyle w:val="111"/>
              <w:spacing w:line="300" w:lineRule="exact"/>
              <w:rPr>
                <w:rFonts w:hint="eastAsia" w:ascii="宋体" w:hAnsi="宋体" w:cs="宋体"/>
                <w:color w:val="auto"/>
                <w:highlight w:val="none"/>
              </w:rPr>
            </w:pPr>
            <w:r>
              <w:rPr>
                <w:rFonts w:hint="eastAsia" w:ascii="宋体" w:hAnsi="宋体" w:cs="宋体"/>
                <w:color w:val="auto"/>
                <w:highlight w:val="none"/>
              </w:rPr>
              <w:t>电梯井口</w:t>
            </w:r>
          </w:p>
        </w:tc>
        <w:tc>
          <w:tcPr>
            <w:tcW w:w="6645" w:type="dxa"/>
            <w:noWrap w:val="0"/>
            <w:vAlign w:val="center"/>
          </w:tcPr>
          <w:p w14:paraId="22800F5E">
            <w:pPr>
              <w:pStyle w:val="111"/>
              <w:spacing w:line="300" w:lineRule="exact"/>
              <w:rPr>
                <w:rFonts w:hint="eastAsia" w:ascii="宋体" w:hAnsi="宋体" w:cs="宋体"/>
                <w:color w:val="auto"/>
                <w:highlight w:val="none"/>
              </w:rPr>
            </w:pPr>
            <w:r>
              <w:rPr>
                <w:rFonts w:hint="eastAsia" w:ascii="宋体" w:hAnsi="宋体" w:cs="宋体"/>
                <w:color w:val="auto"/>
                <w:highlight w:val="none"/>
              </w:rPr>
              <w:t>设置定型化、工具化的防护门，在电梯井内每隔2层（不大于10m）设置一道水平防护。</w:t>
            </w:r>
          </w:p>
        </w:tc>
      </w:tr>
      <w:tr w14:paraId="3C2A97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6BF1F0AE">
            <w:pPr>
              <w:pStyle w:val="111"/>
              <w:spacing w:line="300" w:lineRule="exact"/>
              <w:jc w:val="center"/>
              <w:rPr>
                <w:rFonts w:hint="eastAsia" w:ascii="宋体" w:hAnsi="宋体" w:cs="宋体"/>
                <w:color w:val="auto"/>
                <w:highlight w:val="none"/>
              </w:rPr>
            </w:pPr>
          </w:p>
        </w:tc>
        <w:tc>
          <w:tcPr>
            <w:tcW w:w="525" w:type="dxa"/>
            <w:vMerge w:val="continue"/>
            <w:noWrap w:val="0"/>
            <w:vAlign w:val="center"/>
          </w:tcPr>
          <w:p w14:paraId="6422C982">
            <w:pPr>
              <w:pStyle w:val="111"/>
              <w:spacing w:line="300" w:lineRule="exact"/>
              <w:jc w:val="center"/>
              <w:rPr>
                <w:rFonts w:hint="eastAsia" w:ascii="宋体" w:hAnsi="宋体" w:cs="宋体"/>
                <w:color w:val="auto"/>
                <w:highlight w:val="none"/>
              </w:rPr>
            </w:pPr>
          </w:p>
        </w:tc>
        <w:tc>
          <w:tcPr>
            <w:tcW w:w="1545" w:type="dxa"/>
            <w:noWrap w:val="0"/>
            <w:vAlign w:val="center"/>
          </w:tcPr>
          <w:p w14:paraId="2C4D953E">
            <w:pPr>
              <w:pStyle w:val="111"/>
              <w:spacing w:line="300" w:lineRule="exact"/>
              <w:rPr>
                <w:rFonts w:hint="eastAsia" w:ascii="宋体" w:hAnsi="宋体" w:cs="宋体"/>
                <w:color w:val="auto"/>
                <w:highlight w:val="none"/>
              </w:rPr>
            </w:pPr>
            <w:r>
              <w:rPr>
                <w:rFonts w:hint="eastAsia" w:ascii="宋体" w:hAnsi="宋体" w:cs="宋体"/>
                <w:color w:val="auto"/>
                <w:highlight w:val="none"/>
              </w:rPr>
              <w:t>楼梯边</w:t>
            </w:r>
          </w:p>
        </w:tc>
        <w:tc>
          <w:tcPr>
            <w:tcW w:w="6645" w:type="dxa"/>
            <w:noWrap w:val="0"/>
            <w:vAlign w:val="center"/>
          </w:tcPr>
          <w:p w14:paraId="3070C634">
            <w:pPr>
              <w:pStyle w:val="111"/>
              <w:spacing w:line="300" w:lineRule="exact"/>
              <w:rPr>
                <w:rFonts w:hint="eastAsia" w:ascii="宋体" w:hAnsi="宋体" w:cs="宋体"/>
                <w:color w:val="auto"/>
                <w:highlight w:val="none"/>
              </w:rPr>
            </w:pPr>
            <w:r>
              <w:rPr>
                <w:rFonts w:hint="eastAsia" w:ascii="宋体" w:hAnsi="宋体" w:cs="宋体"/>
                <w:color w:val="auto"/>
                <w:highlight w:val="none"/>
              </w:rPr>
              <w:t>设1.2m高的定型化、工具化的防护栏，18cm高的踢脚板。</w:t>
            </w:r>
          </w:p>
        </w:tc>
      </w:tr>
      <w:tr w14:paraId="2F1EE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3162B0A5">
            <w:pPr>
              <w:pStyle w:val="111"/>
              <w:spacing w:line="300" w:lineRule="exact"/>
              <w:jc w:val="center"/>
              <w:rPr>
                <w:rFonts w:hint="eastAsia" w:ascii="宋体" w:hAnsi="宋体" w:cs="宋体"/>
                <w:color w:val="auto"/>
                <w:highlight w:val="none"/>
              </w:rPr>
            </w:pPr>
          </w:p>
        </w:tc>
        <w:tc>
          <w:tcPr>
            <w:tcW w:w="525" w:type="dxa"/>
            <w:vMerge w:val="continue"/>
            <w:noWrap w:val="0"/>
            <w:vAlign w:val="center"/>
          </w:tcPr>
          <w:p w14:paraId="5F9C8183">
            <w:pPr>
              <w:pStyle w:val="111"/>
              <w:spacing w:line="300" w:lineRule="exact"/>
              <w:jc w:val="center"/>
              <w:rPr>
                <w:rFonts w:hint="eastAsia" w:ascii="宋体" w:hAnsi="宋体" w:cs="宋体"/>
                <w:color w:val="auto"/>
                <w:highlight w:val="none"/>
              </w:rPr>
            </w:pPr>
          </w:p>
        </w:tc>
        <w:tc>
          <w:tcPr>
            <w:tcW w:w="1545" w:type="dxa"/>
            <w:noWrap w:val="0"/>
            <w:vAlign w:val="center"/>
          </w:tcPr>
          <w:p w14:paraId="16F50E90">
            <w:pPr>
              <w:pStyle w:val="111"/>
              <w:spacing w:line="300" w:lineRule="exact"/>
              <w:rPr>
                <w:rFonts w:hint="eastAsia" w:ascii="宋体" w:hAnsi="宋体" w:cs="宋体"/>
                <w:color w:val="auto"/>
                <w:highlight w:val="none"/>
              </w:rPr>
            </w:pPr>
            <w:r>
              <w:rPr>
                <w:rFonts w:hint="eastAsia" w:ascii="宋体" w:hAnsi="宋体" w:cs="宋体"/>
                <w:color w:val="auto"/>
                <w:highlight w:val="none"/>
              </w:rPr>
              <w:t>垂直方向交叉作业</w:t>
            </w:r>
          </w:p>
        </w:tc>
        <w:tc>
          <w:tcPr>
            <w:tcW w:w="6645" w:type="dxa"/>
            <w:noWrap w:val="0"/>
            <w:vAlign w:val="center"/>
          </w:tcPr>
          <w:p w14:paraId="1945B4FF">
            <w:pPr>
              <w:pStyle w:val="111"/>
              <w:spacing w:line="300" w:lineRule="exact"/>
              <w:rPr>
                <w:rFonts w:hint="eastAsia" w:ascii="宋体" w:hAnsi="宋体" w:cs="宋体"/>
                <w:color w:val="auto"/>
                <w:highlight w:val="none"/>
              </w:rPr>
            </w:pPr>
            <w:r>
              <w:rPr>
                <w:rFonts w:hint="eastAsia" w:ascii="宋体" w:hAnsi="宋体" w:cs="宋体"/>
                <w:color w:val="auto"/>
                <w:highlight w:val="none"/>
              </w:rPr>
              <w:t>设置防护隔离棚或其他设施。</w:t>
            </w:r>
          </w:p>
        </w:tc>
      </w:tr>
      <w:tr w14:paraId="504A2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4F3E2C2C">
            <w:pPr>
              <w:pStyle w:val="111"/>
              <w:spacing w:line="300" w:lineRule="exact"/>
              <w:jc w:val="center"/>
              <w:rPr>
                <w:rFonts w:hint="eastAsia" w:ascii="宋体" w:hAnsi="宋体" w:cs="宋体"/>
                <w:color w:val="auto"/>
                <w:highlight w:val="none"/>
              </w:rPr>
            </w:pPr>
          </w:p>
        </w:tc>
        <w:tc>
          <w:tcPr>
            <w:tcW w:w="525" w:type="dxa"/>
            <w:vMerge w:val="continue"/>
            <w:noWrap w:val="0"/>
            <w:vAlign w:val="center"/>
          </w:tcPr>
          <w:p w14:paraId="4A6EB450">
            <w:pPr>
              <w:pStyle w:val="111"/>
              <w:spacing w:line="300" w:lineRule="exact"/>
              <w:jc w:val="center"/>
              <w:rPr>
                <w:rFonts w:hint="eastAsia" w:ascii="宋体" w:hAnsi="宋体" w:cs="宋体"/>
                <w:color w:val="auto"/>
                <w:highlight w:val="none"/>
              </w:rPr>
            </w:pPr>
          </w:p>
        </w:tc>
        <w:tc>
          <w:tcPr>
            <w:tcW w:w="1545" w:type="dxa"/>
            <w:noWrap w:val="0"/>
            <w:vAlign w:val="center"/>
          </w:tcPr>
          <w:p w14:paraId="04C64763">
            <w:pPr>
              <w:pStyle w:val="111"/>
              <w:spacing w:line="300" w:lineRule="exact"/>
              <w:rPr>
                <w:rFonts w:hint="eastAsia" w:ascii="宋体" w:hAnsi="宋体" w:cs="宋体"/>
                <w:color w:val="auto"/>
                <w:highlight w:val="none"/>
              </w:rPr>
            </w:pPr>
            <w:r>
              <w:rPr>
                <w:rFonts w:hint="eastAsia" w:ascii="宋体" w:hAnsi="宋体" w:cs="宋体"/>
                <w:color w:val="auto"/>
                <w:highlight w:val="none"/>
              </w:rPr>
              <w:t>高处作业</w:t>
            </w:r>
          </w:p>
        </w:tc>
        <w:tc>
          <w:tcPr>
            <w:tcW w:w="6645" w:type="dxa"/>
            <w:noWrap w:val="0"/>
            <w:vAlign w:val="center"/>
          </w:tcPr>
          <w:p w14:paraId="76A33BB0">
            <w:pPr>
              <w:pStyle w:val="111"/>
              <w:spacing w:line="300" w:lineRule="exact"/>
              <w:rPr>
                <w:rFonts w:hint="eastAsia" w:ascii="宋体" w:hAnsi="宋体" w:cs="宋体"/>
                <w:color w:val="auto"/>
                <w:highlight w:val="none"/>
              </w:rPr>
            </w:pPr>
            <w:r>
              <w:rPr>
                <w:rFonts w:hint="eastAsia" w:ascii="宋体" w:hAnsi="宋体" w:cs="宋体"/>
                <w:color w:val="auto"/>
                <w:highlight w:val="none"/>
              </w:rPr>
              <w:t>有悬挂安全带的悬索或其他设施，有操作平台，有上下的梯子或其他形式的通道。</w:t>
            </w:r>
          </w:p>
        </w:tc>
      </w:tr>
      <w:tr w14:paraId="6EC04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7AC17E02">
            <w:pPr>
              <w:pStyle w:val="111"/>
              <w:spacing w:line="300" w:lineRule="exact"/>
              <w:jc w:val="center"/>
              <w:rPr>
                <w:rFonts w:hint="eastAsia" w:ascii="宋体" w:hAnsi="宋体" w:cs="宋体"/>
                <w:color w:val="auto"/>
                <w:highlight w:val="none"/>
              </w:rPr>
            </w:pPr>
          </w:p>
        </w:tc>
        <w:tc>
          <w:tcPr>
            <w:tcW w:w="525" w:type="dxa"/>
            <w:vMerge w:val="continue"/>
            <w:noWrap w:val="0"/>
            <w:vAlign w:val="center"/>
          </w:tcPr>
          <w:p w14:paraId="40AC6308">
            <w:pPr>
              <w:pStyle w:val="111"/>
              <w:spacing w:line="300" w:lineRule="exact"/>
              <w:jc w:val="center"/>
              <w:rPr>
                <w:rFonts w:hint="eastAsia" w:ascii="宋体" w:hAnsi="宋体" w:cs="宋体"/>
                <w:color w:val="auto"/>
                <w:highlight w:val="none"/>
              </w:rPr>
            </w:pPr>
          </w:p>
        </w:tc>
        <w:tc>
          <w:tcPr>
            <w:tcW w:w="1545" w:type="dxa"/>
            <w:noWrap w:val="0"/>
            <w:vAlign w:val="center"/>
          </w:tcPr>
          <w:p w14:paraId="40B80412">
            <w:pPr>
              <w:pStyle w:val="111"/>
              <w:spacing w:line="300" w:lineRule="exact"/>
              <w:rPr>
                <w:rFonts w:hint="eastAsia" w:ascii="宋体" w:hAnsi="宋体" w:cs="宋体"/>
                <w:color w:val="auto"/>
                <w:highlight w:val="none"/>
              </w:rPr>
            </w:pPr>
            <w:r>
              <w:rPr>
                <w:rFonts w:hint="eastAsia" w:ascii="宋体" w:hAnsi="宋体" w:cs="宋体"/>
                <w:color w:val="auto"/>
                <w:highlight w:val="none"/>
              </w:rPr>
              <w:t>基坑、物料平台</w:t>
            </w:r>
          </w:p>
        </w:tc>
        <w:tc>
          <w:tcPr>
            <w:tcW w:w="6645" w:type="dxa"/>
            <w:noWrap w:val="0"/>
            <w:vAlign w:val="center"/>
          </w:tcPr>
          <w:p w14:paraId="655B0862">
            <w:pPr>
              <w:pStyle w:val="111"/>
              <w:spacing w:line="300" w:lineRule="exact"/>
              <w:rPr>
                <w:rFonts w:hint="eastAsia" w:ascii="宋体" w:hAnsi="宋体" w:cs="宋体"/>
                <w:color w:val="auto"/>
                <w:highlight w:val="none"/>
              </w:rPr>
            </w:pPr>
            <w:r>
              <w:rPr>
                <w:rFonts w:hint="eastAsia" w:ascii="宋体" w:hAnsi="宋体" w:cs="宋体"/>
                <w:color w:val="auto"/>
                <w:highlight w:val="none"/>
              </w:rPr>
              <w:t>设1.2m高标准化的防护栏，用密目式安全立网封闭，悬挂标识。</w:t>
            </w:r>
          </w:p>
        </w:tc>
      </w:tr>
      <w:tr w14:paraId="7BC4EA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650CA407">
            <w:pPr>
              <w:pStyle w:val="111"/>
              <w:spacing w:line="300" w:lineRule="exact"/>
              <w:jc w:val="center"/>
              <w:rPr>
                <w:rFonts w:hint="eastAsia" w:ascii="宋体" w:hAnsi="宋体" w:cs="宋体"/>
                <w:color w:val="auto"/>
                <w:highlight w:val="none"/>
              </w:rPr>
            </w:pPr>
          </w:p>
        </w:tc>
        <w:tc>
          <w:tcPr>
            <w:tcW w:w="2070" w:type="dxa"/>
            <w:gridSpan w:val="2"/>
            <w:noWrap w:val="0"/>
            <w:vAlign w:val="center"/>
          </w:tcPr>
          <w:p w14:paraId="53A634E8">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安全防护用品</w:t>
            </w:r>
          </w:p>
        </w:tc>
        <w:tc>
          <w:tcPr>
            <w:tcW w:w="6645" w:type="dxa"/>
            <w:noWrap w:val="0"/>
            <w:vAlign w:val="center"/>
          </w:tcPr>
          <w:p w14:paraId="3B49E8F9">
            <w:pPr>
              <w:pStyle w:val="111"/>
              <w:spacing w:line="300" w:lineRule="exact"/>
              <w:rPr>
                <w:rFonts w:hint="eastAsia" w:ascii="宋体" w:hAnsi="宋体" w:cs="宋体"/>
                <w:color w:val="auto"/>
                <w:highlight w:val="none"/>
              </w:rPr>
            </w:pPr>
            <w:r>
              <w:rPr>
                <w:rFonts w:hint="eastAsia" w:ascii="宋体" w:hAnsi="宋体" w:cs="宋体"/>
                <w:color w:val="auto"/>
                <w:highlight w:val="none"/>
              </w:rPr>
              <w:t>安全帽、安全带、特种作业人员（电工、焊工、架子工等）防护服装、用品等。</w:t>
            </w:r>
          </w:p>
        </w:tc>
      </w:tr>
      <w:tr w14:paraId="72F46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38" w:type="dxa"/>
            <w:vMerge w:val="restart"/>
            <w:noWrap w:val="0"/>
            <w:vAlign w:val="center"/>
          </w:tcPr>
          <w:p w14:paraId="19155E33">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其他</w:t>
            </w:r>
          </w:p>
        </w:tc>
        <w:tc>
          <w:tcPr>
            <w:tcW w:w="525" w:type="dxa"/>
            <w:vMerge w:val="restart"/>
            <w:noWrap w:val="0"/>
            <w:vAlign w:val="center"/>
          </w:tcPr>
          <w:p w14:paraId="715FB699">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机械设备防护</w:t>
            </w:r>
          </w:p>
        </w:tc>
        <w:tc>
          <w:tcPr>
            <w:tcW w:w="1545" w:type="dxa"/>
            <w:noWrap w:val="0"/>
            <w:vAlign w:val="center"/>
          </w:tcPr>
          <w:p w14:paraId="043B15FC">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中小型机械</w:t>
            </w:r>
          </w:p>
        </w:tc>
        <w:tc>
          <w:tcPr>
            <w:tcW w:w="6645" w:type="dxa"/>
            <w:noWrap w:val="0"/>
            <w:vAlign w:val="center"/>
          </w:tcPr>
          <w:p w14:paraId="1620080A">
            <w:pPr>
              <w:pStyle w:val="111"/>
              <w:spacing w:line="300" w:lineRule="exact"/>
              <w:rPr>
                <w:rFonts w:hint="eastAsia" w:ascii="宋体" w:hAnsi="宋体" w:cs="宋体"/>
                <w:color w:val="auto"/>
                <w:highlight w:val="none"/>
              </w:rPr>
            </w:pPr>
            <w:r>
              <w:rPr>
                <w:rFonts w:hint="eastAsia" w:ascii="宋体" w:hAnsi="宋体" w:cs="宋体"/>
                <w:color w:val="auto"/>
                <w:highlight w:val="none"/>
              </w:rPr>
              <w:t>设防护棚（同通道口防护并有防雨措施）。</w:t>
            </w:r>
          </w:p>
        </w:tc>
      </w:tr>
      <w:tr w14:paraId="4103C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131B0DDC">
            <w:pPr>
              <w:pStyle w:val="111"/>
              <w:spacing w:line="300" w:lineRule="exact"/>
              <w:jc w:val="center"/>
              <w:rPr>
                <w:rFonts w:hint="eastAsia" w:ascii="宋体" w:hAnsi="宋体" w:cs="宋体"/>
                <w:color w:val="auto"/>
                <w:highlight w:val="none"/>
              </w:rPr>
            </w:pPr>
          </w:p>
        </w:tc>
        <w:tc>
          <w:tcPr>
            <w:tcW w:w="525" w:type="dxa"/>
            <w:vMerge w:val="continue"/>
            <w:noWrap w:val="0"/>
            <w:vAlign w:val="center"/>
          </w:tcPr>
          <w:p w14:paraId="74518769">
            <w:pPr>
              <w:pStyle w:val="111"/>
              <w:spacing w:line="300" w:lineRule="exact"/>
              <w:jc w:val="center"/>
              <w:rPr>
                <w:rFonts w:hint="eastAsia" w:ascii="宋体" w:hAnsi="宋体" w:cs="宋体"/>
                <w:color w:val="auto"/>
                <w:highlight w:val="none"/>
              </w:rPr>
            </w:pPr>
          </w:p>
        </w:tc>
        <w:tc>
          <w:tcPr>
            <w:tcW w:w="1545" w:type="dxa"/>
            <w:noWrap w:val="0"/>
            <w:vAlign w:val="center"/>
          </w:tcPr>
          <w:p w14:paraId="756D298F">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垂直运输设备</w:t>
            </w:r>
          </w:p>
        </w:tc>
        <w:tc>
          <w:tcPr>
            <w:tcW w:w="6645" w:type="dxa"/>
            <w:noWrap w:val="0"/>
            <w:vAlign w:val="center"/>
          </w:tcPr>
          <w:p w14:paraId="61A88AC4">
            <w:pPr>
              <w:pStyle w:val="111"/>
              <w:spacing w:line="300" w:lineRule="exact"/>
              <w:rPr>
                <w:rFonts w:hint="eastAsia" w:ascii="宋体" w:hAnsi="宋体" w:cs="宋体"/>
                <w:color w:val="auto"/>
                <w:highlight w:val="none"/>
              </w:rPr>
            </w:pPr>
            <w:r>
              <w:rPr>
                <w:rFonts w:hint="eastAsia" w:ascii="宋体" w:hAnsi="宋体" w:cs="宋体"/>
                <w:color w:val="auto"/>
                <w:highlight w:val="none"/>
              </w:rPr>
              <w:t>1. 垂直运输设备检测、检验、日常维护、保养等。</w:t>
            </w:r>
          </w:p>
          <w:p w14:paraId="0F960F5D">
            <w:pPr>
              <w:pStyle w:val="111"/>
              <w:spacing w:line="300" w:lineRule="exact"/>
              <w:rPr>
                <w:rFonts w:hint="eastAsia" w:ascii="宋体" w:hAnsi="宋体" w:cs="宋体"/>
                <w:color w:val="auto"/>
                <w:highlight w:val="none"/>
              </w:rPr>
            </w:pPr>
            <w:r>
              <w:rPr>
                <w:rFonts w:hint="eastAsia" w:ascii="宋体" w:hAnsi="宋体" w:cs="宋体"/>
                <w:color w:val="auto"/>
                <w:highlight w:val="none"/>
              </w:rPr>
              <w:t>2. 物料提升机、施工电梯等物料平台搭设、外侧用密目式安全立网全封闭，有安全通道、安全防护门、防护棚等。</w:t>
            </w:r>
          </w:p>
        </w:tc>
      </w:tr>
      <w:tr w14:paraId="207AA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noWrap w:val="0"/>
            <w:vAlign w:val="center"/>
          </w:tcPr>
          <w:p w14:paraId="071D0DA0">
            <w:pPr>
              <w:pStyle w:val="111"/>
              <w:spacing w:line="300" w:lineRule="exact"/>
              <w:jc w:val="center"/>
              <w:rPr>
                <w:rFonts w:hint="eastAsia" w:ascii="宋体" w:hAnsi="宋体" w:cs="宋体"/>
                <w:color w:val="auto"/>
                <w:highlight w:val="none"/>
              </w:rPr>
            </w:pPr>
          </w:p>
        </w:tc>
        <w:tc>
          <w:tcPr>
            <w:tcW w:w="2070" w:type="dxa"/>
            <w:gridSpan w:val="2"/>
            <w:noWrap w:val="0"/>
            <w:vAlign w:val="center"/>
          </w:tcPr>
          <w:p w14:paraId="196297A8">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专家论证审查</w:t>
            </w:r>
          </w:p>
        </w:tc>
        <w:tc>
          <w:tcPr>
            <w:tcW w:w="6645" w:type="dxa"/>
            <w:noWrap w:val="0"/>
            <w:vAlign w:val="center"/>
          </w:tcPr>
          <w:p w14:paraId="2FC638C1">
            <w:pPr>
              <w:pStyle w:val="111"/>
              <w:spacing w:line="300" w:lineRule="exact"/>
              <w:rPr>
                <w:rFonts w:hint="eastAsia" w:ascii="宋体" w:hAnsi="宋体" w:cs="宋体"/>
                <w:color w:val="auto"/>
                <w:highlight w:val="none"/>
              </w:rPr>
            </w:pPr>
            <w:r>
              <w:rPr>
                <w:rFonts w:hint="eastAsia" w:ascii="宋体" w:hAnsi="宋体" w:cs="宋体"/>
                <w:color w:val="auto"/>
                <w:highlight w:val="none"/>
              </w:rPr>
              <w:t>超过一定规模的危险性较大分部分项工程专家论证审查。</w:t>
            </w:r>
          </w:p>
        </w:tc>
      </w:tr>
      <w:tr w14:paraId="3F4A80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noWrap w:val="0"/>
            <w:vAlign w:val="center"/>
          </w:tcPr>
          <w:p w14:paraId="443E05E4">
            <w:pPr>
              <w:pStyle w:val="111"/>
              <w:spacing w:line="300" w:lineRule="exact"/>
              <w:jc w:val="center"/>
              <w:rPr>
                <w:rFonts w:hint="eastAsia" w:ascii="宋体" w:hAnsi="宋体" w:cs="宋体"/>
                <w:color w:val="auto"/>
                <w:highlight w:val="none"/>
              </w:rPr>
            </w:pPr>
          </w:p>
        </w:tc>
        <w:tc>
          <w:tcPr>
            <w:tcW w:w="2070" w:type="dxa"/>
            <w:gridSpan w:val="2"/>
            <w:noWrap w:val="0"/>
            <w:vAlign w:val="center"/>
          </w:tcPr>
          <w:p w14:paraId="467D625A">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应急救援预案</w:t>
            </w:r>
          </w:p>
        </w:tc>
        <w:tc>
          <w:tcPr>
            <w:tcW w:w="6645" w:type="dxa"/>
            <w:noWrap w:val="0"/>
            <w:vAlign w:val="center"/>
          </w:tcPr>
          <w:p w14:paraId="4A33B0F3">
            <w:pPr>
              <w:pStyle w:val="111"/>
              <w:spacing w:line="300" w:lineRule="exact"/>
              <w:rPr>
                <w:rFonts w:hint="eastAsia" w:ascii="宋体" w:hAnsi="宋体" w:cs="宋体"/>
                <w:color w:val="auto"/>
                <w:highlight w:val="none"/>
              </w:rPr>
            </w:pPr>
            <w:r>
              <w:rPr>
                <w:rFonts w:hint="eastAsia" w:ascii="宋体" w:hAnsi="宋体" w:cs="宋体"/>
                <w:color w:val="auto"/>
                <w:highlight w:val="none"/>
              </w:rPr>
              <w:t>救援器材准备及演练等。</w:t>
            </w:r>
          </w:p>
        </w:tc>
      </w:tr>
      <w:tr w14:paraId="0E37F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bottom w:val="single" w:color="auto" w:sz="12" w:space="0"/>
            </w:tcBorders>
            <w:noWrap w:val="0"/>
            <w:vAlign w:val="center"/>
          </w:tcPr>
          <w:p w14:paraId="4C234CFC">
            <w:pPr>
              <w:pStyle w:val="111"/>
              <w:spacing w:line="300" w:lineRule="exact"/>
              <w:jc w:val="center"/>
              <w:rPr>
                <w:rFonts w:hint="eastAsia" w:ascii="宋体" w:hAnsi="宋体" w:cs="宋体"/>
                <w:color w:val="auto"/>
                <w:highlight w:val="none"/>
              </w:rPr>
            </w:pPr>
          </w:p>
        </w:tc>
        <w:tc>
          <w:tcPr>
            <w:tcW w:w="2070" w:type="dxa"/>
            <w:gridSpan w:val="2"/>
            <w:tcBorders>
              <w:bottom w:val="single" w:color="auto" w:sz="12" w:space="0"/>
            </w:tcBorders>
            <w:noWrap w:val="0"/>
            <w:vAlign w:val="center"/>
          </w:tcPr>
          <w:p w14:paraId="0682BEF0">
            <w:pPr>
              <w:pStyle w:val="111"/>
              <w:spacing w:line="300" w:lineRule="exact"/>
              <w:jc w:val="center"/>
              <w:rPr>
                <w:rFonts w:hint="eastAsia" w:ascii="宋体" w:hAnsi="宋体" w:cs="宋体"/>
                <w:color w:val="auto"/>
                <w:highlight w:val="none"/>
              </w:rPr>
            </w:pPr>
            <w:r>
              <w:rPr>
                <w:rFonts w:hint="eastAsia" w:ascii="宋体" w:hAnsi="宋体" w:cs="宋体"/>
                <w:color w:val="auto"/>
                <w:highlight w:val="none"/>
              </w:rPr>
              <w:t>非正常情况施工</w:t>
            </w:r>
          </w:p>
        </w:tc>
        <w:tc>
          <w:tcPr>
            <w:tcW w:w="6645" w:type="dxa"/>
            <w:tcBorders>
              <w:bottom w:val="single" w:color="auto" w:sz="12" w:space="0"/>
            </w:tcBorders>
            <w:noWrap w:val="0"/>
            <w:vAlign w:val="center"/>
          </w:tcPr>
          <w:p w14:paraId="08D31F65">
            <w:pPr>
              <w:pStyle w:val="111"/>
              <w:spacing w:line="300" w:lineRule="exact"/>
              <w:rPr>
                <w:rFonts w:hint="eastAsia" w:ascii="宋体" w:hAnsi="宋体" w:cs="宋体"/>
                <w:color w:val="auto"/>
                <w:highlight w:val="none"/>
              </w:rPr>
            </w:pPr>
            <w:r>
              <w:rPr>
                <w:rFonts w:hint="eastAsia" w:ascii="宋体" w:hAnsi="宋体" w:cs="宋体"/>
                <w:color w:val="auto"/>
                <w:highlight w:val="none"/>
              </w:rPr>
              <w:t>其他特殊情况下的防护费用，如：城市主干道、人流密集、河边等处施工及文物、古建筑、古树保护等。</w:t>
            </w:r>
          </w:p>
        </w:tc>
      </w:tr>
    </w:tbl>
    <w:p w14:paraId="5AB9CC82">
      <w:pPr>
        <w:pStyle w:val="111"/>
        <w:spacing w:line="240" w:lineRule="atLeast"/>
        <w:ind w:firstLine="546"/>
        <w:jc w:val="center"/>
        <w:rPr>
          <w:rFonts w:hint="eastAsia" w:ascii="宋体" w:hAnsi="宋体" w:cs="宋体"/>
          <w:b/>
          <w:bCs/>
          <w:color w:val="auto"/>
          <w:w w:val="90"/>
          <w:sz w:val="24"/>
          <w:szCs w:val="24"/>
          <w:highlight w:val="none"/>
        </w:rPr>
      </w:pPr>
    </w:p>
    <w:p w14:paraId="700CCB3B">
      <w:pPr>
        <w:spacing w:before="120" w:beforeLines="50"/>
        <w:ind w:firstLine="420" w:firstLineChars="200"/>
        <w:rPr>
          <w:rFonts w:hint="eastAsia" w:ascii="宋体" w:hAnsi="宋体" w:cs="宋体"/>
          <w:color w:val="auto"/>
          <w:highlight w:val="none"/>
        </w:rPr>
      </w:pPr>
      <w:r>
        <w:rPr>
          <w:rFonts w:hint="eastAsia" w:ascii="宋体" w:hAnsi="宋体" w:cs="宋体"/>
          <w:color w:val="auto"/>
          <w:highlight w:val="none"/>
        </w:rPr>
        <w:t>注：本表所列建筑工程安全文明施工费，是依据现行法律法规及标准规范确定的。如法律法规和标准规范修订，本表所列项目应按照修订后的法律法规和标准规范进行调整。</w:t>
      </w:r>
    </w:p>
    <w:p w14:paraId="1EA4C936">
      <w:pPr>
        <w:pStyle w:val="2"/>
        <w:rPr>
          <w:rFonts w:hint="eastAsia" w:ascii="宋体" w:hAnsi="宋体" w:cs="宋体"/>
          <w:color w:val="auto"/>
          <w:highlight w:val="none"/>
          <w:lang w:val="zh-CN"/>
        </w:rPr>
        <w:sectPr>
          <w:pgSz w:w="11911" w:h="16838"/>
          <w:pgMar w:top="1338" w:right="1502" w:bottom="850" w:left="1678" w:header="1077" w:footer="720" w:gutter="0"/>
          <w:cols w:space="720" w:num="1"/>
          <w:docGrid w:linePitch="1" w:charSpace="0"/>
        </w:sectPr>
      </w:pPr>
    </w:p>
    <w:p w14:paraId="1D78C61E">
      <w:pPr>
        <w:pStyle w:val="109"/>
        <w:spacing w:line="400" w:lineRule="exact"/>
        <w:ind w:firstLine="0" w:firstLineChars="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八、本项目为专门面向中小企业项目，供应商应为中型企业或小型企业或微型企业或监狱企业或残疾人福利性单位；</w:t>
      </w:r>
    </w:p>
    <w:p w14:paraId="439820A4">
      <w:pPr>
        <w:pStyle w:val="109"/>
        <w:spacing w:line="360" w:lineRule="auto"/>
        <w:ind w:firstLine="0" w:firstLineChars="0"/>
        <w:jc w:val="center"/>
        <w:rPr>
          <w:rFonts w:hint="eastAsia" w:ascii="宋体" w:hAnsi="宋体" w:eastAsia="宋体" w:cs="宋体"/>
          <w:b/>
          <w:color w:val="auto"/>
          <w:kern w:val="0"/>
          <w:sz w:val="30"/>
          <w:szCs w:val="30"/>
          <w:highlight w:val="none"/>
        </w:rPr>
      </w:pPr>
    </w:p>
    <w:p w14:paraId="112FE7FB">
      <w:pPr>
        <w:spacing w:line="300" w:lineRule="auto"/>
        <w:jc w:val="center"/>
        <w:rPr>
          <w:rFonts w:hint="eastAsia" w:ascii="宋体" w:hAnsi="宋体" w:cs="宋体"/>
          <w:color w:val="auto"/>
          <w:sz w:val="44"/>
          <w:szCs w:val="44"/>
          <w:highlight w:val="none"/>
        </w:rPr>
      </w:pPr>
      <w:r>
        <w:rPr>
          <w:rFonts w:hint="eastAsia" w:ascii="宋体" w:hAnsi="宋体" w:cs="宋体"/>
          <w:b/>
          <w:color w:val="auto"/>
          <w:sz w:val="32"/>
          <w:szCs w:val="32"/>
          <w:highlight w:val="none"/>
        </w:rPr>
        <w:t>中小企业声明函（工程）</w:t>
      </w:r>
    </w:p>
    <w:p w14:paraId="6696FB96">
      <w:pPr>
        <w:wordWrap w:val="0"/>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（单位名称）的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（项目名称）采购活动，工程全部由符合政策要求的中小企业承接。相关企业（含联合体中的中小企业、签订分包意向协议的中小企业）的具体情况如下：</w:t>
      </w:r>
    </w:p>
    <w:p w14:paraId="7C6AD21A">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人，营业收入为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7D69ADD3">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人，营业收入为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26EDA7F1">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p>
    <w:p w14:paraId="5170BCF3">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1E22D802">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5E4CA797">
      <w:pPr>
        <w:spacing w:line="520" w:lineRule="exact"/>
        <w:rPr>
          <w:rFonts w:hint="eastAsia" w:ascii="宋体" w:hAnsi="宋体" w:cs="宋体"/>
          <w:color w:val="auto"/>
          <w:sz w:val="24"/>
          <w:highlight w:val="none"/>
        </w:rPr>
      </w:pPr>
    </w:p>
    <w:p w14:paraId="74FA0A2E">
      <w:pPr>
        <w:pStyle w:val="2"/>
        <w:spacing w:after="0" w:line="360" w:lineRule="auto"/>
        <w:ind w:left="3960" w:right="1808"/>
        <w:contextualSpacing/>
        <w:rPr>
          <w:rFonts w:hint="eastAsia" w:ascii="宋体" w:hAnsi="宋体" w:cs="宋体"/>
          <w:color w:val="auto"/>
          <w:sz w:val="24"/>
          <w:highlight w:val="none"/>
        </w:rPr>
      </w:pPr>
    </w:p>
    <w:p w14:paraId="05D6C3F1">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43BCBC1">
      <w:pP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F7F5EFE">
      <w:pPr>
        <w:pStyle w:val="2"/>
        <w:spacing w:after="0" w:line="360" w:lineRule="auto"/>
        <w:ind w:left="3960" w:right="1808"/>
        <w:contextualSpacing/>
        <w:rPr>
          <w:rFonts w:hint="eastAsia" w:ascii="宋体" w:hAnsi="宋体" w:cs="宋体"/>
          <w:color w:val="auto"/>
          <w:highlight w:val="none"/>
        </w:rPr>
      </w:pPr>
    </w:p>
    <w:p w14:paraId="1E343BB9">
      <w:pPr>
        <w:spacing w:line="360" w:lineRule="auto"/>
        <w:ind w:firstLine="480" w:firstLineChars="200"/>
        <w:contextualSpacing/>
        <w:jc w:val="left"/>
        <w:rPr>
          <w:rFonts w:hint="eastAsia" w:ascii="宋体" w:hAnsi="宋体" w:cs="宋体"/>
          <w:color w:val="auto"/>
          <w:sz w:val="24"/>
          <w:highlight w:val="none"/>
        </w:rPr>
        <w:sectPr>
          <w:pgSz w:w="11911" w:h="16838"/>
          <w:pgMar w:top="1338" w:right="1502" w:bottom="850" w:left="1678" w:header="1077" w:footer="720" w:gutter="0"/>
          <w:cols w:space="720" w:num="1"/>
          <w:docGrid w:linePitch="1" w:charSpace="0"/>
        </w:sect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5EE7073">
      <w:pPr>
        <w:spacing w:line="5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残疾人福利性单位声明函</w:t>
      </w:r>
    </w:p>
    <w:p w14:paraId="6D90A0FC">
      <w:pPr>
        <w:spacing w:line="520" w:lineRule="exact"/>
        <w:rPr>
          <w:rFonts w:hint="eastAsia" w:ascii="宋体" w:hAnsi="宋体" w:cs="宋体"/>
          <w:color w:val="auto"/>
          <w:sz w:val="32"/>
          <w:szCs w:val="32"/>
          <w:highlight w:val="none"/>
        </w:rPr>
      </w:pPr>
    </w:p>
    <w:p w14:paraId="3989083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94FA2D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6AC7DA84">
      <w:pPr>
        <w:spacing w:line="360" w:lineRule="auto"/>
        <w:contextualSpacing/>
        <w:rPr>
          <w:rFonts w:hint="eastAsia" w:ascii="宋体" w:hAnsi="宋体" w:cs="宋体"/>
          <w:color w:val="auto"/>
          <w:sz w:val="24"/>
          <w:highlight w:val="none"/>
        </w:rPr>
      </w:pPr>
    </w:p>
    <w:p w14:paraId="74BD1EC3">
      <w:pPr>
        <w:spacing w:line="360" w:lineRule="auto"/>
        <w:contextualSpacing/>
        <w:rPr>
          <w:rFonts w:hint="eastAsia" w:ascii="宋体" w:hAnsi="宋体" w:cs="宋体"/>
          <w:color w:val="auto"/>
          <w:sz w:val="24"/>
          <w:highlight w:val="none"/>
        </w:rPr>
      </w:pPr>
    </w:p>
    <w:p w14:paraId="12AC6F81">
      <w:pPr>
        <w:spacing w:line="360" w:lineRule="auto"/>
        <w:contextualSpacing/>
        <w:rPr>
          <w:rFonts w:hint="eastAsia" w:ascii="宋体" w:hAnsi="宋体" w:cs="宋体"/>
          <w:color w:val="auto"/>
          <w:sz w:val="24"/>
          <w:highlight w:val="none"/>
        </w:rPr>
      </w:pPr>
    </w:p>
    <w:p w14:paraId="15F54C5F">
      <w:pPr>
        <w:spacing w:line="360" w:lineRule="auto"/>
        <w:ind w:firstLine="2400" w:firstLineChars="1000"/>
        <w:contextualSpacing/>
        <w:rPr>
          <w:rFonts w:hint="eastAsia" w:ascii="宋体" w:hAnsi="宋体" w:cs="宋体"/>
          <w:color w:val="auto"/>
          <w:sz w:val="24"/>
          <w:highlight w:val="none"/>
        </w:rPr>
      </w:pPr>
      <w:r>
        <w:rPr>
          <w:rFonts w:hint="eastAsia" w:ascii="宋体" w:hAnsi="宋体" w:cs="宋体"/>
          <w:color w:val="auto"/>
          <w:sz w:val="24"/>
          <w:highlight w:val="none"/>
        </w:rPr>
        <w:t>供应商名称（电子签章）：</w:t>
      </w:r>
    </w:p>
    <w:p w14:paraId="4305E5D0">
      <w:pPr>
        <w:spacing w:before="120" w:beforeLines="50" w:line="360" w:lineRule="auto"/>
        <w:ind w:firstLine="4320" w:firstLineChars="1800"/>
        <w:contextualSpacing/>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1945F923">
      <w:pPr>
        <w:spacing w:line="360" w:lineRule="auto"/>
        <w:contextualSpacing/>
        <w:rPr>
          <w:rFonts w:hint="eastAsia" w:ascii="宋体" w:hAnsi="宋体" w:cs="宋体"/>
          <w:color w:val="auto"/>
          <w:sz w:val="24"/>
          <w:highlight w:val="none"/>
        </w:rPr>
      </w:pPr>
    </w:p>
    <w:p w14:paraId="59F49757">
      <w:pPr>
        <w:spacing w:line="360" w:lineRule="auto"/>
        <w:contextualSpacing/>
        <w:rPr>
          <w:rFonts w:hint="eastAsia" w:ascii="宋体" w:hAnsi="宋体" w:cs="宋体"/>
          <w:color w:val="auto"/>
          <w:sz w:val="24"/>
          <w:highlight w:val="none"/>
        </w:rPr>
      </w:pPr>
    </w:p>
    <w:p w14:paraId="5896B11B">
      <w:pPr>
        <w:spacing w:line="360" w:lineRule="auto"/>
        <w:contextualSpacing/>
        <w:rPr>
          <w:rFonts w:hint="eastAsia" w:ascii="宋体" w:hAnsi="宋体" w:cs="宋体"/>
          <w:color w:val="auto"/>
          <w:sz w:val="24"/>
          <w:highlight w:val="none"/>
        </w:rPr>
      </w:pPr>
    </w:p>
    <w:p w14:paraId="2442495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F02D085">
      <w:pPr>
        <w:spacing w:line="520" w:lineRule="exact"/>
        <w:jc w:val="center"/>
        <w:rPr>
          <w:rFonts w:hint="eastAsia" w:ascii="宋体" w:hAnsi="宋体" w:cs="宋体"/>
          <w:color w:val="auto"/>
          <w:sz w:val="24"/>
          <w:highlight w:val="none"/>
        </w:rPr>
      </w:pPr>
    </w:p>
    <w:p w14:paraId="556DA0EB">
      <w:pPr>
        <w:spacing w:line="520" w:lineRule="exact"/>
        <w:jc w:val="center"/>
        <w:rPr>
          <w:rFonts w:hint="eastAsia" w:ascii="宋体" w:hAnsi="宋体" w:cs="宋体"/>
          <w:color w:val="auto"/>
          <w:sz w:val="24"/>
          <w:highlight w:val="none"/>
        </w:rPr>
      </w:pPr>
    </w:p>
    <w:p w14:paraId="36F1E632">
      <w:pPr>
        <w:spacing w:line="520" w:lineRule="exact"/>
        <w:jc w:val="center"/>
        <w:rPr>
          <w:rFonts w:hint="eastAsia" w:ascii="宋体" w:hAnsi="宋体" w:cs="宋体"/>
          <w:color w:val="auto"/>
          <w:sz w:val="24"/>
          <w:highlight w:val="none"/>
        </w:rPr>
      </w:pPr>
    </w:p>
    <w:p w14:paraId="3DE64F93">
      <w:pPr>
        <w:spacing w:line="520" w:lineRule="exact"/>
        <w:jc w:val="center"/>
        <w:rPr>
          <w:rFonts w:hint="eastAsia" w:ascii="宋体" w:hAnsi="宋体" w:cs="宋体"/>
          <w:color w:val="auto"/>
          <w:sz w:val="24"/>
          <w:highlight w:val="none"/>
        </w:rPr>
      </w:pPr>
    </w:p>
    <w:p w14:paraId="27B1710E">
      <w:pPr>
        <w:spacing w:line="520" w:lineRule="exact"/>
        <w:jc w:val="center"/>
        <w:rPr>
          <w:rFonts w:hint="eastAsia" w:ascii="宋体" w:hAnsi="宋体" w:cs="宋体"/>
          <w:color w:val="auto"/>
          <w:sz w:val="24"/>
          <w:highlight w:val="none"/>
        </w:rPr>
      </w:pPr>
    </w:p>
    <w:p w14:paraId="2DB5D44E">
      <w:pPr>
        <w:spacing w:line="520" w:lineRule="exact"/>
        <w:jc w:val="center"/>
        <w:rPr>
          <w:rFonts w:hint="eastAsia" w:ascii="宋体" w:hAnsi="宋体" w:cs="宋体"/>
          <w:color w:val="auto"/>
          <w:sz w:val="24"/>
          <w:highlight w:val="none"/>
        </w:rPr>
      </w:pPr>
    </w:p>
    <w:p w14:paraId="1F4D0EF1">
      <w:pPr>
        <w:spacing w:line="520" w:lineRule="exact"/>
        <w:jc w:val="center"/>
        <w:rPr>
          <w:rFonts w:hint="eastAsia" w:ascii="宋体" w:hAnsi="宋体" w:cs="宋体"/>
          <w:color w:val="auto"/>
          <w:sz w:val="24"/>
          <w:highlight w:val="none"/>
        </w:rPr>
      </w:pPr>
    </w:p>
    <w:p w14:paraId="35EB1522">
      <w:pPr>
        <w:spacing w:line="5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监狱企业证明</w:t>
      </w:r>
    </w:p>
    <w:p w14:paraId="05F8FD3D">
      <w:pPr>
        <w:spacing w:line="520" w:lineRule="exact"/>
        <w:ind w:firstLine="480" w:firstLineChars="200"/>
        <w:jc w:val="left"/>
        <w:rPr>
          <w:rFonts w:hint="eastAsia" w:ascii="宋体" w:hAnsi="宋体" w:cs="宋体"/>
          <w:color w:val="auto"/>
          <w:sz w:val="24"/>
          <w:highlight w:val="none"/>
        </w:rPr>
      </w:pPr>
    </w:p>
    <w:p w14:paraId="43B11C75">
      <w:pPr>
        <w:spacing w:line="5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提供由省级以上监狱管理局、戒毒管理局（含新疆生产建设兵团）出具的属于监狱企业的证明文件。</w:t>
      </w:r>
    </w:p>
    <w:p w14:paraId="7C88F588">
      <w:pPr>
        <w:spacing w:line="520" w:lineRule="exact"/>
        <w:jc w:val="center"/>
        <w:rPr>
          <w:rFonts w:hint="eastAsia" w:ascii="宋体" w:hAnsi="宋体" w:cs="宋体"/>
          <w:color w:val="auto"/>
          <w:sz w:val="24"/>
          <w:highlight w:val="none"/>
        </w:rPr>
      </w:pPr>
    </w:p>
    <w:p w14:paraId="48F08598">
      <w:pPr>
        <w:spacing w:line="360" w:lineRule="auto"/>
        <w:jc w:val="center"/>
        <w:rPr>
          <w:rFonts w:hint="eastAsia" w:ascii="宋体" w:hAnsi="宋体" w:cs="宋体"/>
          <w:b/>
          <w:bCs/>
          <w:color w:val="auto"/>
          <w:sz w:val="44"/>
          <w:szCs w:val="44"/>
          <w:highlight w:val="none"/>
        </w:rPr>
      </w:pPr>
    </w:p>
    <w:p w14:paraId="1083CBAC">
      <w:pPr>
        <w:spacing w:line="360" w:lineRule="auto"/>
        <w:ind w:firstLine="2400" w:firstLineChars="1000"/>
        <w:contextualSpacing/>
        <w:rPr>
          <w:rFonts w:hint="eastAsia" w:ascii="宋体" w:hAnsi="宋体" w:cs="宋体"/>
          <w:color w:val="auto"/>
          <w:sz w:val="24"/>
          <w:highlight w:val="none"/>
        </w:rPr>
      </w:pPr>
      <w:r>
        <w:rPr>
          <w:rFonts w:hint="eastAsia" w:ascii="宋体" w:hAnsi="宋体" w:cs="宋体"/>
          <w:color w:val="auto"/>
          <w:sz w:val="24"/>
          <w:highlight w:val="none"/>
        </w:rPr>
        <w:t>供应商名称（电子签章）：</w:t>
      </w:r>
    </w:p>
    <w:p w14:paraId="7E677CBB">
      <w:pPr>
        <w:spacing w:before="120" w:beforeLines="50" w:line="360" w:lineRule="auto"/>
        <w:ind w:firstLine="4320" w:firstLineChars="1800"/>
        <w:contextualSpacing/>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0ED91D69">
      <w:pPr>
        <w:pStyle w:val="112"/>
        <w:ind w:firstLine="480"/>
        <w:rPr>
          <w:rFonts w:hint="eastAsia" w:ascii="宋体" w:hAnsi="宋体" w:eastAsia="宋体" w:cs="宋体"/>
          <w:color w:val="auto"/>
          <w:highlight w:val="none"/>
          <w:lang w:eastAsia="zh-CN"/>
        </w:rPr>
        <w:sectPr>
          <w:pgSz w:w="11911" w:h="16838"/>
          <w:pgMar w:top="1338" w:right="1502" w:bottom="850" w:left="1678" w:header="1077" w:footer="720" w:gutter="0"/>
          <w:cols w:space="720" w:num="1"/>
          <w:docGrid w:linePitch="1" w:charSpace="0"/>
        </w:sectPr>
      </w:pPr>
    </w:p>
    <w:p w14:paraId="39CB36B5">
      <w:pPr>
        <w:pStyle w:val="109"/>
        <w:spacing w:line="400" w:lineRule="exact"/>
        <w:ind w:firstLine="0" w:firstLineChars="0"/>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rPr>
        <w:t>九、供应商具备建筑工程施工总承包三级（含三级）以上或机电工程施工总承包三级（含三级）以上资质，且具有有效的安全生产许可证；</w:t>
      </w:r>
    </w:p>
    <w:p w14:paraId="31E8AECA">
      <w:pPr>
        <w:autoSpaceDE w:val="0"/>
        <w:autoSpaceDN w:val="0"/>
        <w:spacing w:line="360" w:lineRule="auto"/>
        <w:ind w:left="4365" w:leftChars="1850" w:hanging="480" w:hangingChars="200"/>
        <w:rPr>
          <w:rFonts w:hint="eastAsia" w:ascii="宋体" w:hAnsi="宋体" w:cs="宋体"/>
          <w:color w:val="auto"/>
          <w:kern w:val="0"/>
          <w:sz w:val="24"/>
          <w:highlight w:val="none"/>
        </w:rPr>
      </w:pPr>
    </w:p>
    <w:p w14:paraId="11D7F9A1">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F70918B">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1D0D98B">
      <w:pPr>
        <w:pStyle w:val="109"/>
        <w:spacing w:line="400" w:lineRule="exact"/>
        <w:ind w:firstLine="0" w:firstLineChars="0"/>
        <w:rPr>
          <w:rFonts w:hint="eastAsia" w:ascii="宋体" w:hAnsi="宋体" w:eastAsia="宋体" w:cs="宋体"/>
          <w:b/>
          <w:color w:val="auto"/>
          <w:kern w:val="0"/>
          <w:sz w:val="30"/>
          <w:szCs w:val="30"/>
          <w:highlight w:val="none"/>
        </w:rPr>
      </w:pPr>
    </w:p>
    <w:p w14:paraId="1174B661">
      <w:pPr>
        <w:pStyle w:val="109"/>
        <w:spacing w:line="400" w:lineRule="exact"/>
        <w:ind w:firstLine="0" w:firstLineChars="0"/>
        <w:rPr>
          <w:rFonts w:hint="eastAsia" w:ascii="宋体" w:hAnsi="宋体" w:eastAsia="宋体" w:cs="宋体"/>
          <w:b/>
          <w:color w:val="auto"/>
          <w:kern w:val="0"/>
          <w:sz w:val="30"/>
          <w:szCs w:val="30"/>
          <w:highlight w:val="none"/>
        </w:rPr>
      </w:pPr>
    </w:p>
    <w:p w14:paraId="31177614">
      <w:pPr>
        <w:pStyle w:val="109"/>
        <w:spacing w:line="400" w:lineRule="exact"/>
        <w:ind w:firstLine="0" w:firstLineChars="0"/>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rPr>
        <w:t>十、拟投入本项目的项目经理的建筑工程专业二级（含）以上或机电工程专业二级（含）以上注册建造师执业资格证、有效的安全生产考核合格证书（B类）复印件以及供应商单位为该项目经理于2025年5月至响应文件递交截止时间内其中一个月依法缴纳社会保险的证明材料及相关材料的复印件；</w:t>
      </w:r>
    </w:p>
    <w:p w14:paraId="4F1623F7">
      <w:pPr>
        <w:autoSpaceDE w:val="0"/>
        <w:autoSpaceDN w:val="0"/>
        <w:spacing w:line="360" w:lineRule="auto"/>
        <w:ind w:left="4365" w:leftChars="1850" w:hanging="480" w:hangingChars="200"/>
        <w:rPr>
          <w:rFonts w:hint="eastAsia" w:ascii="宋体" w:hAnsi="宋体" w:cs="宋体"/>
          <w:color w:val="auto"/>
          <w:kern w:val="0"/>
          <w:sz w:val="24"/>
          <w:highlight w:val="none"/>
        </w:rPr>
      </w:pPr>
    </w:p>
    <w:p w14:paraId="78C30589">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6ACC229">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40C4E4D">
      <w:pPr>
        <w:autoSpaceDE w:val="0"/>
        <w:autoSpaceDN w:val="0"/>
        <w:spacing w:line="400" w:lineRule="exact"/>
        <w:jc w:val="left"/>
        <w:rPr>
          <w:rFonts w:hint="eastAsia" w:ascii="宋体" w:hAnsi="宋体" w:cs="宋体"/>
          <w:b/>
          <w:color w:val="auto"/>
          <w:spacing w:val="6"/>
          <w:kern w:val="0"/>
          <w:sz w:val="30"/>
          <w:szCs w:val="30"/>
          <w:highlight w:val="none"/>
        </w:rPr>
      </w:pPr>
    </w:p>
    <w:p w14:paraId="4835E5DC">
      <w:pPr>
        <w:autoSpaceDE w:val="0"/>
        <w:autoSpaceDN w:val="0"/>
        <w:spacing w:line="400" w:lineRule="exact"/>
        <w:jc w:val="left"/>
        <w:rPr>
          <w:rFonts w:hint="eastAsia" w:ascii="宋体" w:hAnsi="宋体" w:cs="宋体"/>
          <w:b/>
          <w:color w:val="auto"/>
          <w:spacing w:val="6"/>
          <w:kern w:val="0"/>
          <w:sz w:val="30"/>
          <w:szCs w:val="30"/>
          <w:highlight w:val="none"/>
        </w:rPr>
      </w:pPr>
    </w:p>
    <w:p w14:paraId="0EA9CBD3">
      <w:pPr>
        <w:numPr>
          <w:ilvl w:val="0"/>
          <w:numId w:val="0"/>
        </w:numPr>
        <w:autoSpaceDE w:val="0"/>
        <w:autoSpaceDN w:val="0"/>
        <w:spacing w:line="400" w:lineRule="exact"/>
        <w:jc w:val="left"/>
        <w:rPr>
          <w:rFonts w:hint="eastAsia" w:ascii="宋体" w:hAnsi="宋体" w:cs="宋体"/>
          <w:b/>
          <w:color w:val="auto"/>
          <w:spacing w:val="6"/>
          <w:kern w:val="0"/>
          <w:sz w:val="30"/>
          <w:szCs w:val="30"/>
          <w:highlight w:val="none"/>
        </w:rPr>
      </w:pPr>
      <w:r>
        <w:rPr>
          <w:rFonts w:hint="eastAsia" w:ascii="宋体" w:hAnsi="宋体" w:cs="宋体"/>
          <w:b/>
          <w:color w:val="auto"/>
          <w:spacing w:val="6"/>
          <w:kern w:val="0"/>
          <w:sz w:val="30"/>
          <w:szCs w:val="30"/>
          <w:highlight w:val="none"/>
          <w:lang w:val="en-US" w:eastAsia="zh-CN" w:bidi="ar-SA"/>
        </w:rPr>
        <w:t>十一、</w:t>
      </w:r>
      <w:r>
        <w:rPr>
          <w:rFonts w:hint="eastAsia" w:ascii="宋体" w:hAnsi="宋体" w:cs="宋体"/>
          <w:b/>
          <w:color w:val="auto"/>
          <w:spacing w:val="6"/>
          <w:kern w:val="0"/>
          <w:sz w:val="30"/>
          <w:szCs w:val="30"/>
          <w:highlight w:val="none"/>
        </w:rPr>
        <w:t>项目经理无在建项目承诺书；</w:t>
      </w:r>
    </w:p>
    <w:p w14:paraId="69512EB4">
      <w:pPr>
        <w:autoSpaceDE w:val="0"/>
        <w:autoSpaceDN w:val="0"/>
        <w:spacing w:line="360" w:lineRule="auto"/>
        <w:ind w:left="4365" w:leftChars="1850" w:hanging="480" w:hangingChars="200"/>
        <w:rPr>
          <w:rFonts w:hint="eastAsia" w:ascii="宋体" w:hAnsi="宋体" w:cs="宋体"/>
          <w:color w:val="auto"/>
          <w:kern w:val="0"/>
          <w:sz w:val="24"/>
          <w:highlight w:val="none"/>
        </w:rPr>
      </w:pPr>
    </w:p>
    <w:p w14:paraId="40658D1C">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59C0BA9">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3EE07B3">
      <w:pPr>
        <w:pStyle w:val="109"/>
        <w:spacing w:line="400" w:lineRule="exact"/>
        <w:ind w:firstLine="0" w:firstLineChars="0"/>
        <w:rPr>
          <w:rFonts w:hint="eastAsia" w:ascii="宋体" w:hAnsi="宋体" w:eastAsia="宋体" w:cs="宋体"/>
          <w:b/>
          <w:color w:val="auto"/>
          <w:kern w:val="0"/>
          <w:sz w:val="30"/>
          <w:szCs w:val="30"/>
          <w:highlight w:val="none"/>
        </w:rPr>
      </w:pPr>
    </w:p>
    <w:p w14:paraId="2E8C926B">
      <w:pPr>
        <w:pStyle w:val="109"/>
        <w:spacing w:line="400" w:lineRule="exact"/>
        <w:ind w:firstLine="0" w:firstLineChars="0"/>
        <w:rPr>
          <w:rFonts w:hint="eastAsia" w:ascii="宋体" w:hAnsi="宋体" w:eastAsia="宋体" w:cs="宋体"/>
          <w:b/>
          <w:color w:val="auto"/>
          <w:kern w:val="0"/>
          <w:sz w:val="30"/>
          <w:szCs w:val="30"/>
          <w:highlight w:val="none"/>
        </w:rPr>
      </w:pPr>
    </w:p>
    <w:p w14:paraId="73B816A1">
      <w:pPr>
        <w:numPr>
          <w:ilvl w:val="0"/>
          <w:numId w:val="0"/>
        </w:numPr>
        <w:autoSpaceDE w:val="0"/>
        <w:autoSpaceDN w:val="0"/>
        <w:spacing w:line="400" w:lineRule="exact"/>
        <w:jc w:val="left"/>
        <w:rPr>
          <w:rFonts w:hint="eastAsia" w:ascii="宋体" w:hAnsi="宋体" w:cs="宋体"/>
          <w:b/>
          <w:color w:val="auto"/>
          <w:spacing w:val="6"/>
          <w:kern w:val="0"/>
          <w:sz w:val="30"/>
          <w:szCs w:val="30"/>
          <w:highlight w:val="none"/>
          <w:lang w:val="zh-CN"/>
        </w:rPr>
      </w:pPr>
      <w:r>
        <w:rPr>
          <w:rFonts w:hint="eastAsia" w:ascii="宋体" w:hAnsi="宋体" w:cs="宋体"/>
          <w:b/>
          <w:color w:val="auto"/>
          <w:spacing w:val="6"/>
          <w:kern w:val="0"/>
          <w:sz w:val="30"/>
          <w:szCs w:val="30"/>
          <w:highlight w:val="none"/>
          <w:lang w:val="zh-CN" w:eastAsia="zh-CN" w:bidi="ar-SA"/>
        </w:rPr>
        <w:t>十二、</w:t>
      </w:r>
      <w:r>
        <w:rPr>
          <w:rFonts w:hint="eastAsia" w:ascii="宋体" w:hAnsi="宋体" w:cs="宋体"/>
          <w:b/>
          <w:color w:val="auto"/>
          <w:spacing w:val="6"/>
          <w:kern w:val="0"/>
          <w:sz w:val="30"/>
          <w:szCs w:val="30"/>
          <w:highlight w:val="none"/>
        </w:rPr>
        <w:t>拟投入本项目的专职安全生产管理人员的安全生产考核合格证书（C类）复印件及供应商单位为该专职安全生产管理人员于2025年5月至响应文件递交截止时间内其中一个月依法缴纳社会保险的证明材料及相关材料的复印件；</w:t>
      </w:r>
    </w:p>
    <w:p w14:paraId="34BA0B43">
      <w:pPr>
        <w:autoSpaceDE w:val="0"/>
        <w:autoSpaceDN w:val="0"/>
        <w:spacing w:line="360" w:lineRule="auto"/>
        <w:ind w:left="4365" w:leftChars="1850" w:hanging="480" w:hangingChars="200"/>
        <w:rPr>
          <w:rFonts w:hint="eastAsia" w:ascii="宋体" w:hAnsi="宋体" w:cs="宋体"/>
          <w:color w:val="auto"/>
          <w:kern w:val="0"/>
          <w:sz w:val="24"/>
          <w:highlight w:val="none"/>
        </w:rPr>
      </w:pPr>
    </w:p>
    <w:p w14:paraId="0286AE76">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DCC8299">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7F3CD9F">
      <w:pPr>
        <w:keepNext/>
        <w:keepLines/>
        <w:spacing w:line="400" w:lineRule="exact"/>
        <w:jc w:val="left"/>
        <w:rPr>
          <w:rFonts w:hint="eastAsia" w:ascii="宋体" w:hAnsi="宋体" w:cs="宋体"/>
          <w:b/>
          <w:color w:val="auto"/>
          <w:spacing w:val="6"/>
          <w:kern w:val="0"/>
          <w:sz w:val="30"/>
          <w:szCs w:val="30"/>
          <w:highlight w:val="none"/>
        </w:rPr>
      </w:pPr>
      <w:r>
        <w:rPr>
          <w:rFonts w:hint="eastAsia" w:ascii="宋体" w:hAnsi="宋体" w:cs="宋体"/>
          <w:b/>
          <w:color w:val="auto"/>
          <w:spacing w:val="6"/>
          <w:kern w:val="0"/>
          <w:sz w:val="30"/>
          <w:szCs w:val="30"/>
          <w:highlight w:val="none"/>
        </w:rPr>
        <w:br w:type="page"/>
      </w:r>
      <w:r>
        <w:rPr>
          <w:rFonts w:hint="eastAsia" w:ascii="宋体" w:hAnsi="宋体" w:cs="宋体"/>
          <w:b/>
          <w:color w:val="auto"/>
          <w:spacing w:val="6"/>
          <w:kern w:val="0"/>
          <w:sz w:val="30"/>
          <w:szCs w:val="30"/>
          <w:highlight w:val="none"/>
        </w:rPr>
        <w:t>十</w:t>
      </w:r>
      <w:r>
        <w:rPr>
          <w:rFonts w:hint="eastAsia" w:ascii="宋体" w:hAnsi="宋体" w:cs="宋体"/>
          <w:b/>
          <w:color w:val="auto"/>
          <w:spacing w:val="6"/>
          <w:kern w:val="0"/>
          <w:sz w:val="30"/>
          <w:szCs w:val="30"/>
          <w:highlight w:val="none"/>
          <w:lang w:val="en-US" w:eastAsia="zh-CN"/>
        </w:rPr>
        <w:t>三</w:t>
      </w:r>
      <w:r>
        <w:rPr>
          <w:rFonts w:hint="eastAsia" w:ascii="宋体" w:hAnsi="宋体" w:cs="宋体"/>
          <w:b/>
          <w:color w:val="auto"/>
          <w:spacing w:val="6"/>
          <w:kern w:val="0"/>
          <w:sz w:val="30"/>
          <w:szCs w:val="30"/>
          <w:highlight w:val="none"/>
        </w:rPr>
        <w:t>、除谈判文件规定必须提供以外，供应商认为需要提供的其他证明材料。</w:t>
      </w:r>
    </w:p>
    <w:p w14:paraId="1635504C">
      <w:pPr>
        <w:pStyle w:val="4"/>
        <w:jc w:val="center"/>
        <w:rPr>
          <w:rFonts w:hint="eastAsia" w:ascii="宋体" w:hAnsi="宋体" w:cs="宋体"/>
          <w:b w:val="0"/>
          <w:color w:val="auto"/>
          <w:highlight w:val="none"/>
        </w:rPr>
      </w:pPr>
      <w:r>
        <w:rPr>
          <w:rFonts w:hint="eastAsia" w:ascii="宋体" w:hAnsi="宋体" w:cs="宋体"/>
          <w:color w:val="auto"/>
          <w:highlight w:val="none"/>
        </w:rPr>
        <w:br w:type="page"/>
      </w:r>
      <w:bookmarkStart w:id="74" w:name="_Toc5011"/>
      <w:r>
        <w:rPr>
          <w:rFonts w:hint="eastAsia" w:ascii="宋体" w:hAnsi="宋体" w:cs="宋体"/>
          <w:color w:val="auto"/>
          <w:highlight w:val="none"/>
        </w:rPr>
        <w:t>第三节 商务技术文件格式</w:t>
      </w:r>
      <w:bookmarkEnd w:id="74"/>
    </w:p>
    <w:p w14:paraId="0BD5F764">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sz w:val="24"/>
          <w:szCs w:val="32"/>
          <w:highlight w:val="none"/>
        </w:rPr>
        <w:t>全流程电子文件</w:t>
      </w:r>
    </w:p>
    <w:p w14:paraId="7E22A9F7">
      <w:pPr>
        <w:snapToGrid w:val="0"/>
        <w:spacing w:before="120" w:beforeLines="50" w:after="50"/>
        <w:rPr>
          <w:rFonts w:hint="eastAsia" w:ascii="宋体" w:hAnsi="宋体" w:cs="宋体"/>
          <w:color w:val="auto"/>
          <w:sz w:val="24"/>
          <w:szCs w:val="20"/>
          <w:highlight w:val="none"/>
        </w:rPr>
      </w:pPr>
    </w:p>
    <w:p w14:paraId="3EB4B2DA">
      <w:pPr>
        <w:snapToGrid w:val="0"/>
        <w:spacing w:before="120" w:beforeLines="50" w:after="50"/>
        <w:rPr>
          <w:rFonts w:hint="eastAsia" w:ascii="宋体" w:hAnsi="宋体" w:cs="宋体"/>
          <w:color w:val="auto"/>
          <w:sz w:val="24"/>
          <w:szCs w:val="20"/>
          <w:highlight w:val="none"/>
        </w:rPr>
      </w:pPr>
    </w:p>
    <w:p w14:paraId="56ADBB6B">
      <w:pPr>
        <w:snapToGrid w:val="0"/>
        <w:spacing w:before="120" w:beforeLines="50" w:after="50"/>
        <w:rPr>
          <w:rFonts w:hint="eastAsia" w:ascii="宋体" w:hAnsi="宋体" w:cs="宋体"/>
          <w:color w:val="auto"/>
          <w:sz w:val="24"/>
          <w:szCs w:val="20"/>
          <w:highlight w:val="none"/>
        </w:rPr>
      </w:pPr>
    </w:p>
    <w:p w14:paraId="6BB52054">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
          <w:color w:val="auto"/>
          <w:sz w:val="44"/>
          <w:szCs w:val="44"/>
          <w:highlight w:val="none"/>
        </w:rPr>
        <w:t>商务技术文件</w:t>
      </w:r>
    </w:p>
    <w:p w14:paraId="35CE6A95">
      <w:pPr>
        <w:snapToGrid w:val="0"/>
        <w:spacing w:before="120" w:beforeLines="50" w:after="50"/>
        <w:rPr>
          <w:rFonts w:hint="eastAsia" w:ascii="宋体" w:hAnsi="宋体" w:cs="宋体"/>
          <w:bCs/>
          <w:color w:val="auto"/>
          <w:sz w:val="24"/>
          <w:szCs w:val="20"/>
          <w:highlight w:val="none"/>
        </w:rPr>
      </w:pPr>
    </w:p>
    <w:p w14:paraId="4B6C22C4">
      <w:pPr>
        <w:snapToGrid w:val="0"/>
        <w:spacing w:before="120" w:beforeLines="50" w:after="50"/>
        <w:rPr>
          <w:rFonts w:hint="eastAsia" w:ascii="宋体" w:hAnsi="宋体" w:cs="宋体"/>
          <w:bCs/>
          <w:color w:val="auto"/>
          <w:sz w:val="24"/>
          <w:szCs w:val="20"/>
          <w:highlight w:val="none"/>
        </w:rPr>
      </w:pPr>
    </w:p>
    <w:p w14:paraId="2D4DBA6B">
      <w:pPr>
        <w:snapToGrid w:val="0"/>
        <w:spacing w:before="120" w:beforeLines="50" w:after="50"/>
        <w:rPr>
          <w:rFonts w:hint="eastAsia" w:ascii="宋体" w:hAnsi="宋体" w:cs="宋体"/>
          <w:bCs/>
          <w:color w:val="auto"/>
          <w:sz w:val="24"/>
          <w:szCs w:val="20"/>
          <w:highlight w:val="none"/>
        </w:rPr>
      </w:pPr>
    </w:p>
    <w:p w14:paraId="2B7114C1">
      <w:pPr>
        <w:snapToGrid w:val="0"/>
        <w:spacing w:before="120" w:beforeLines="50" w:after="50"/>
        <w:rPr>
          <w:rFonts w:hint="eastAsia" w:ascii="宋体" w:hAnsi="宋体" w:cs="宋体"/>
          <w:bCs/>
          <w:color w:val="auto"/>
          <w:sz w:val="24"/>
          <w:szCs w:val="20"/>
          <w:highlight w:val="none"/>
        </w:rPr>
      </w:pPr>
    </w:p>
    <w:p w14:paraId="37CE7F57">
      <w:pPr>
        <w:snapToGrid w:val="0"/>
        <w:spacing w:before="120" w:beforeLines="50" w:after="50"/>
        <w:rPr>
          <w:rFonts w:hint="eastAsia" w:ascii="宋体" w:hAnsi="宋体" w:cs="宋体"/>
          <w:bCs/>
          <w:color w:val="auto"/>
          <w:sz w:val="24"/>
          <w:szCs w:val="20"/>
          <w:highlight w:val="none"/>
        </w:rPr>
      </w:pPr>
    </w:p>
    <w:p w14:paraId="0833F99C">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49EC212">
      <w:pPr>
        <w:snapToGrid w:val="0"/>
        <w:spacing w:before="120" w:beforeLines="50" w:after="50"/>
        <w:ind w:firstLine="720" w:firstLineChars="225"/>
        <w:rPr>
          <w:rFonts w:hint="eastAsia" w:ascii="宋体" w:hAnsi="宋体" w:cs="宋体"/>
          <w:bCs/>
          <w:color w:val="auto"/>
          <w:sz w:val="32"/>
          <w:szCs w:val="32"/>
          <w:highlight w:val="none"/>
        </w:rPr>
      </w:pPr>
    </w:p>
    <w:p w14:paraId="3BF4662B">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4039893E">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A86CA00">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FD1B2F3">
      <w:pPr>
        <w:snapToGrid w:val="0"/>
        <w:spacing w:before="120" w:beforeLines="50" w:after="50"/>
        <w:ind w:firstLine="720" w:firstLineChars="225"/>
        <w:rPr>
          <w:rFonts w:hint="eastAsia" w:ascii="宋体" w:hAnsi="宋体" w:cs="宋体"/>
          <w:bCs/>
          <w:color w:val="auto"/>
          <w:sz w:val="32"/>
          <w:szCs w:val="32"/>
          <w:highlight w:val="none"/>
        </w:rPr>
      </w:pPr>
    </w:p>
    <w:p w14:paraId="37765300">
      <w:pPr>
        <w:pStyle w:val="8"/>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C13F800">
      <w:pPr>
        <w:pStyle w:val="8"/>
        <w:snapToGrid w:val="0"/>
        <w:spacing w:before="50" w:after="50"/>
        <w:ind w:firstLine="720" w:firstLineChars="225"/>
        <w:rPr>
          <w:rFonts w:hint="eastAsia" w:ascii="宋体" w:hAnsi="宋体" w:cs="宋体"/>
          <w:bCs/>
          <w:color w:val="auto"/>
          <w:sz w:val="32"/>
          <w:szCs w:val="32"/>
          <w:highlight w:val="none"/>
        </w:rPr>
      </w:pPr>
    </w:p>
    <w:p w14:paraId="1A1A7C53">
      <w:pPr>
        <w:pStyle w:val="8"/>
        <w:snapToGrid w:val="0"/>
        <w:spacing w:before="50" w:after="50"/>
        <w:ind w:firstLine="720" w:firstLineChars="225"/>
        <w:rPr>
          <w:rFonts w:hint="eastAsia" w:ascii="宋体" w:hAnsi="宋体" w:cs="宋体"/>
          <w:bCs/>
          <w:color w:val="auto"/>
          <w:sz w:val="32"/>
          <w:szCs w:val="32"/>
          <w:highlight w:val="none"/>
        </w:rPr>
      </w:pPr>
    </w:p>
    <w:p w14:paraId="390A6A9A">
      <w:pPr>
        <w:pStyle w:val="8"/>
        <w:snapToGrid w:val="0"/>
        <w:spacing w:before="50" w:after="50"/>
        <w:ind w:firstLine="1280" w:firstLineChars="400"/>
        <w:rPr>
          <w:rFonts w:hint="eastAsia" w:ascii="宋体" w:hAnsi="宋体" w:cs="宋体"/>
          <w:bCs/>
          <w:color w:val="auto"/>
          <w:sz w:val="32"/>
          <w:szCs w:val="32"/>
          <w:highlight w:val="none"/>
        </w:rPr>
      </w:pPr>
    </w:p>
    <w:p w14:paraId="43F8C89E">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1713B372">
      <w:pPr>
        <w:jc w:val="center"/>
        <w:rPr>
          <w:rFonts w:hint="eastAsia" w:ascii="宋体" w:hAnsi="宋体" w:cs="宋体"/>
          <w:b/>
          <w:color w:val="auto"/>
          <w:kern w:val="0"/>
          <w:sz w:val="28"/>
          <w:szCs w:val="28"/>
          <w:highlight w:val="none"/>
        </w:rPr>
      </w:pPr>
      <w:r>
        <w:rPr>
          <w:rFonts w:hint="eastAsia" w:ascii="宋体" w:hAnsi="宋体" w:cs="宋体"/>
          <w:color w:val="auto"/>
          <w:sz w:val="24"/>
          <w:highlight w:val="none"/>
        </w:rPr>
        <w:br w:type="page"/>
      </w:r>
      <w:r>
        <w:rPr>
          <w:rFonts w:hint="eastAsia" w:ascii="宋体" w:hAnsi="宋体" w:cs="宋体"/>
          <w:b/>
          <w:color w:val="auto"/>
          <w:kern w:val="0"/>
          <w:sz w:val="28"/>
          <w:szCs w:val="28"/>
          <w:highlight w:val="none"/>
        </w:rPr>
        <w:t>商务技术文件目录</w:t>
      </w:r>
    </w:p>
    <w:p w14:paraId="39959327">
      <w:pPr>
        <w:jc w:val="center"/>
        <w:rPr>
          <w:rFonts w:hint="eastAsia" w:ascii="宋体" w:hAnsi="宋体" w:cs="宋体"/>
          <w:b/>
          <w:color w:val="auto"/>
          <w:kern w:val="0"/>
          <w:sz w:val="28"/>
          <w:szCs w:val="28"/>
          <w:highlight w:val="none"/>
        </w:rPr>
      </w:pPr>
    </w:p>
    <w:p w14:paraId="32FD80B7">
      <w:pPr>
        <w:snapToGrid w:val="0"/>
        <w:spacing w:before="120" w:beforeLines="50" w:after="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根据竞争性谈判文件规定及供应商提供的材料自行编写目录（部分格式后附）。</w:t>
      </w:r>
    </w:p>
    <w:p w14:paraId="1189A767">
      <w:pPr>
        <w:spacing w:line="360" w:lineRule="auto"/>
        <w:rPr>
          <w:rFonts w:hint="eastAsia" w:ascii="宋体" w:hAnsi="宋体" w:cs="宋体"/>
          <w:b/>
          <w:bCs/>
          <w:color w:val="auto"/>
          <w:sz w:val="24"/>
          <w:highlight w:val="none"/>
        </w:rPr>
      </w:pPr>
    </w:p>
    <w:p w14:paraId="188EA79C">
      <w:pPr>
        <w:snapToGrid w:val="0"/>
        <w:spacing w:before="120" w:beforeLines="50" w:after="50" w:line="360" w:lineRule="auto"/>
        <w:ind w:left="142" w:firstLine="640" w:firstLineChars="200"/>
        <w:jc w:val="left"/>
        <w:rPr>
          <w:rFonts w:hint="eastAsia" w:ascii="宋体" w:hAnsi="宋体" w:cs="宋体"/>
          <w:color w:val="auto"/>
          <w:sz w:val="32"/>
          <w:szCs w:val="32"/>
          <w:highlight w:val="none"/>
        </w:rPr>
      </w:pPr>
    </w:p>
    <w:p w14:paraId="525CA96A">
      <w:pPr>
        <w:spacing w:line="520" w:lineRule="exact"/>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一、无串通竞标行为的承诺函</w:t>
      </w:r>
    </w:p>
    <w:p w14:paraId="2ED69E60">
      <w:pPr>
        <w:spacing w:line="520" w:lineRule="exact"/>
        <w:jc w:val="center"/>
        <w:rPr>
          <w:rFonts w:hint="eastAsia" w:ascii="宋体" w:hAnsi="宋体" w:cs="宋体"/>
          <w:color w:val="auto"/>
          <w:sz w:val="44"/>
          <w:szCs w:val="44"/>
          <w:highlight w:val="none"/>
        </w:rPr>
      </w:pPr>
    </w:p>
    <w:p w14:paraId="3BAB4652">
      <w:pPr>
        <w:spacing w:line="520" w:lineRule="exact"/>
        <w:jc w:val="center"/>
        <w:rPr>
          <w:rFonts w:hint="eastAsia" w:ascii="宋体" w:hAnsi="宋体" w:cs="宋体"/>
          <w:color w:val="auto"/>
          <w:sz w:val="32"/>
          <w:szCs w:val="32"/>
          <w:highlight w:val="none"/>
        </w:rPr>
      </w:pPr>
      <w:r>
        <w:rPr>
          <w:rFonts w:hint="eastAsia" w:ascii="宋体" w:hAnsi="宋体" w:cs="宋体"/>
          <w:b/>
          <w:bCs/>
          <w:color w:val="auto"/>
          <w:sz w:val="32"/>
          <w:szCs w:val="32"/>
          <w:highlight w:val="none"/>
        </w:rPr>
        <w:t>无串通竞标行为的承诺函</w:t>
      </w:r>
    </w:p>
    <w:p w14:paraId="2392744B">
      <w:pPr>
        <w:spacing w:line="360" w:lineRule="auto"/>
        <w:contextualSpacing/>
        <w:rPr>
          <w:rFonts w:hint="eastAsia" w:ascii="宋体" w:hAnsi="宋体" w:cs="宋体"/>
          <w:color w:val="auto"/>
          <w:sz w:val="32"/>
          <w:szCs w:val="32"/>
          <w:highlight w:val="none"/>
        </w:rPr>
      </w:pPr>
    </w:p>
    <w:p w14:paraId="1569BFD3">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50B9F7A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1.不同供应商的响应文件由同一单位或者个人编制；</w:t>
      </w:r>
    </w:p>
    <w:p w14:paraId="4A88BC6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622605F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3D5BD45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2D3A882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5.不同供应商的响应文件相互混装；</w:t>
      </w:r>
    </w:p>
    <w:p w14:paraId="02A1E55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6.不同供应商的谈判保证金从同一单位或者个人账户转出。</w:t>
      </w:r>
    </w:p>
    <w:p w14:paraId="3F584D7F">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5790601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218817E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626B06E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1B3108D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445D276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20FEB05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5E557CB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300E17C3">
      <w:pPr>
        <w:spacing w:line="360" w:lineRule="auto"/>
        <w:ind w:firstLine="480" w:firstLineChars="200"/>
        <w:contextualSpacing/>
        <w:rPr>
          <w:rFonts w:hint="eastAsia" w:ascii="宋体" w:hAnsi="宋体" w:cs="宋体"/>
          <w:color w:val="auto"/>
          <w:sz w:val="24"/>
          <w:highlight w:val="none"/>
        </w:rPr>
      </w:pPr>
    </w:p>
    <w:p w14:paraId="01C2164F">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50513B29">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7CC2E45">
      <w:pPr>
        <w:spacing w:line="520" w:lineRule="exact"/>
        <w:ind w:firstLine="6360" w:firstLineChars="2650"/>
        <w:jc w:val="left"/>
        <w:rPr>
          <w:rFonts w:hint="eastAsia"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6F725248">
      <w:pPr>
        <w:spacing w:line="520" w:lineRule="exact"/>
        <w:jc w:val="center"/>
        <w:rPr>
          <w:rFonts w:hint="eastAsia" w:ascii="宋体" w:hAnsi="宋体" w:cs="宋体"/>
          <w:bCs/>
          <w:color w:val="auto"/>
          <w:sz w:val="44"/>
          <w:szCs w:val="44"/>
          <w:highlight w:val="none"/>
        </w:rPr>
      </w:pPr>
    </w:p>
    <w:p w14:paraId="39DBF253">
      <w:pPr>
        <w:spacing w:line="5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法定代表人证明书</w:t>
      </w:r>
    </w:p>
    <w:p w14:paraId="0ADD65EE">
      <w:pPr>
        <w:spacing w:line="360" w:lineRule="auto"/>
        <w:ind w:left="540"/>
        <w:contextualSpacing/>
        <w:rPr>
          <w:rFonts w:hint="eastAsia" w:ascii="宋体" w:hAnsi="宋体" w:cs="宋体"/>
          <w:color w:val="auto"/>
          <w:sz w:val="32"/>
          <w:szCs w:val="32"/>
          <w:highlight w:val="none"/>
        </w:rPr>
      </w:pPr>
    </w:p>
    <w:p w14:paraId="6955CC4F">
      <w:pPr>
        <w:spacing w:line="7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3F2449D0">
      <w:pPr>
        <w:spacing w:line="7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8A863AC">
      <w:pPr>
        <w:spacing w:line="7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5B8BB1D0">
      <w:pPr>
        <w:spacing w:line="700" w:lineRule="exact"/>
        <w:ind w:firstLine="480" w:firstLineChars="200"/>
        <w:contextualSpacing/>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1A0A7383">
      <w:pPr>
        <w:spacing w:line="7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02217AAB">
      <w:pPr>
        <w:spacing w:line="7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w:t>
      </w:r>
      <w:r>
        <w:rPr>
          <w:rFonts w:hint="eastAsia" w:ascii="宋体" w:hAnsi="宋体" w:cs="宋体"/>
          <w:color w:val="auto"/>
          <w:sz w:val="24"/>
          <w:highlight w:val="none"/>
        </w:rPr>
        <w:t>的法定代表人。</w:t>
      </w:r>
    </w:p>
    <w:p w14:paraId="15E3292A">
      <w:pPr>
        <w:spacing w:line="7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特此证明。</w:t>
      </w:r>
    </w:p>
    <w:p w14:paraId="5EE4277E">
      <w:pPr>
        <w:spacing w:line="360" w:lineRule="auto"/>
        <w:ind w:left="540"/>
        <w:contextualSpacing/>
        <w:rPr>
          <w:rFonts w:hint="eastAsia" w:ascii="宋体" w:hAnsi="宋体" w:cs="宋体"/>
          <w:color w:val="auto"/>
          <w:sz w:val="24"/>
          <w:highlight w:val="none"/>
        </w:rPr>
      </w:pPr>
    </w:p>
    <w:p w14:paraId="4BC07675">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4FF5C620">
      <w:pPr>
        <w:spacing w:line="360" w:lineRule="auto"/>
        <w:ind w:left="540"/>
        <w:contextualSpacing/>
        <w:rPr>
          <w:rFonts w:hint="eastAsia" w:ascii="宋体" w:hAnsi="宋体" w:cs="宋体"/>
          <w:color w:val="auto"/>
          <w:sz w:val="24"/>
          <w:highlight w:val="none"/>
        </w:rPr>
      </w:pPr>
    </w:p>
    <w:p w14:paraId="4A463341">
      <w:pPr>
        <w:pStyle w:val="6"/>
        <w:rPr>
          <w:rFonts w:hint="eastAsia" w:ascii="宋体" w:hAnsi="宋体" w:eastAsia="宋体" w:cs="宋体"/>
          <w:color w:val="auto"/>
          <w:highlight w:val="none"/>
        </w:rPr>
      </w:pPr>
    </w:p>
    <w:p w14:paraId="6127EEE3">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32B4DD2">
      <w:pPr>
        <w:spacing w:line="360" w:lineRule="auto"/>
        <w:contextualSpacing/>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4FDCFA30">
      <w:pPr>
        <w:spacing w:line="360" w:lineRule="auto"/>
        <w:contextualSpacing/>
        <w:jc w:val="left"/>
        <w:rPr>
          <w:rFonts w:hint="eastAsia" w:ascii="宋体" w:hAnsi="宋体" w:cs="宋体"/>
          <w:color w:val="auto"/>
          <w:sz w:val="24"/>
          <w:highlight w:val="none"/>
        </w:rPr>
      </w:pPr>
    </w:p>
    <w:p w14:paraId="25B2D1BB">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1AD2905F">
      <w:pPr>
        <w:spacing w:line="360" w:lineRule="auto"/>
        <w:ind w:firstLine="480" w:firstLineChars="200"/>
        <w:contextualSpacing/>
        <w:jc w:val="left"/>
        <w:rPr>
          <w:rFonts w:hint="eastAsia" w:ascii="宋体" w:hAnsi="宋体" w:cs="宋体"/>
          <w:color w:val="auto"/>
          <w:sz w:val="24"/>
          <w:highlight w:val="none"/>
        </w:rPr>
        <w:sectPr>
          <w:pgSz w:w="11911" w:h="16838"/>
          <w:pgMar w:top="1338" w:right="1502" w:bottom="850" w:left="1678" w:header="1077" w:footer="720" w:gutter="0"/>
          <w:cols w:space="720" w:num="1"/>
        </w:sectPr>
      </w:pPr>
      <w:r>
        <w:rPr>
          <w:rFonts w:hint="eastAsia" w:ascii="宋体" w:hAnsi="宋体" w:cs="宋体"/>
          <w:color w:val="auto"/>
          <w:sz w:val="24"/>
          <w:highlight w:val="none"/>
        </w:rPr>
        <w:t>2.供应商为其他组织或者自然人时，本谈判文件规定的法定代表人指负责人或者自然人。本谈判文件所称负责人是指参加竞标的其他组织营业执照上的负责人，本谈判文件所称自然人是指参与竞标的自然人本人。</w:t>
      </w:r>
    </w:p>
    <w:p w14:paraId="3E8C6625">
      <w:pPr>
        <w:spacing w:line="360" w:lineRule="auto"/>
        <w:ind w:firstLine="482" w:firstLineChars="200"/>
        <w:contextualSpacing/>
        <w:jc w:val="left"/>
        <w:rPr>
          <w:rFonts w:hint="eastAsia" w:ascii="宋体" w:hAnsi="宋体" w:cs="宋体"/>
          <w:color w:val="auto"/>
          <w:sz w:val="24"/>
          <w:highlight w:val="none"/>
        </w:rPr>
      </w:pPr>
      <w:r>
        <w:rPr>
          <w:rFonts w:hint="eastAsia" w:ascii="宋体" w:hAnsi="宋体" w:cs="宋体"/>
          <w:b/>
          <w:color w:val="auto"/>
          <w:sz w:val="24"/>
          <w:highlight w:val="none"/>
        </w:rPr>
        <w:t>附件：</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73BA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1" w:hRule="atLeast"/>
        </w:trPr>
        <w:tc>
          <w:tcPr>
            <w:tcW w:w="8946" w:type="dxa"/>
            <w:noWrap w:val="0"/>
            <w:vAlign w:val="top"/>
          </w:tcPr>
          <w:p w14:paraId="3E543F78">
            <w:pPr>
              <w:spacing w:line="360" w:lineRule="auto"/>
              <w:contextualSpacing/>
              <w:jc w:val="left"/>
              <w:rPr>
                <w:rFonts w:hint="eastAsia" w:ascii="宋体" w:hAnsi="宋体" w:cs="宋体"/>
                <w:b/>
                <w:color w:val="auto"/>
                <w:sz w:val="24"/>
                <w:highlight w:val="none"/>
              </w:rPr>
            </w:pPr>
          </w:p>
          <w:p w14:paraId="44961808">
            <w:pPr>
              <w:spacing w:line="360" w:lineRule="auto"/>
              <w:contextualSpacing/>
              <w:jc w:val="left"/>
              <w:rPr>
                <w:rFonts w:hint="eastAsia" w:ascii="宋体" w:hAnsi="宋体" w:cs="宋体"/>
                <w:color w:val="auto"/>
                <w:sz w:val="24"/>
                <w:highlight w:val="none"/>
              </w:rPr>
            </w:pPr>
            <w:r>
              <w:rPr>
                <w:rFonts w:hint="eastAsia" w:ascii="宋体" w:hAnsi="宋体" w:cs="宋体"/>
                <w:b/>
                <w:color w:val="auto"/>
                <w:sz w:val="24"/>
                <w:highlight w:val="none"/>
              </w:rPr>
              <w:t>法定代表人身份证复印件粘贴处（正、反面）</w:t>
            </w:r>
          </w:p>
        </w:tc>
      </w:tr>
    </w:tbl>
    <w:p w14:paraId="71D8D44B">
      <w:pPr>
        <w:spacing w:line="360" w:lineRule="auto"/>
        <w:ind w:firstLine="480" w:firstLineChars="200"/>
        <w:contextualSpacing/>
        <w:jc w:val="left"/>
        <w:rPr>
          <w:rFonts w:hint="eastAsia" w:ascii="宋体" w:hAnsi="宋体" w:cs="宋体"/>
          <w:color w:val="auto"/>
          <w:sz w:val="24"/>
          <w:highlight w:val="none"/>
        </w:rPr>
        <w:sectPr>
          <w:headerReference r:id="rId11" w:type="default"/>
          <w:pgSz w:w="11911" w:h="16838"/>
          <w:pgMar w:top="1338" w:right="1502" w:bottom="850" w:left="1678" w:header="1077" w:footer="720" w:gutter="0"/>
          <w:cols w:space="720" w:num="1"/>
        </w:sectPr>
      </w:pPr>
    </w:p>
    <w:p w14:paraId="1F397487">
      <w:pPr>
        <w:snapToGrid w:val="0"/>
        <w:spacing w:line="360" w:lineRule="auto"/>
        <w:rPr>
          <w:rFonts w:hint="eastAsia" w:ascii="宋体" w:hAnsi="宋体" w:cs="宋体"/>
          <w:bCs/>
          <w:color w:val="auto"/>
          <w:sz w:val="44"/>
          <w:szCs w:val="44"/>
          <w:highlight w:val="none"/>
        </w:rPr>
      </w:pPr>
      <w:r>
        <w:rPr>
          <w:rFonts w:hint="eastAsia" w:ascii="宋体" w:hAnsi="宋体" w:cs="宋体"/>
          <w:b/>
          <w:color w:val="auto"/>
          <w:sz w:val="30"/>
          <w:szCs w:val="30"/>
          <w:highlight w:val="none"/>
        </w:rPr>
        <w:t>三、法定代表人授权委托书及委托代理人有效身份证正反面复印件</w:t>
      </w:r>
    </w:p>
    <w:p w14:paraId="1511FC4A">
      <w:pPr>
        <w:spacing w:line="500" w:lineRule="exact"/>
        <w:jc w:val="center"/>
        <w:rPr>
          <w:rFonts w:hint="eastAsia" w:ascii="宋体" w:hAnsi="宋体" w:cs="宋体"/>
          <w:color w:val="auto"/>
          <w:sz w:val="44"/>
          <w:szCs w:val="44"/>
          <w:highlight w:val="none"/>
        </w:rPr>
      </w:pPr>
    </w:p>
    <w:p w14:paraId="6DD2EFB5">
      <w:pPr>
        <w:spacing w:line="5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授权委托书（非联合体竞标格式）</w:t>
      </w:r>
    </w:p>
    <w:p w14:paraId="2807C600">
      <w:pPr>
        <w:spacing w:line="5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（如有委托时）</w:t>
      </w:r>
    </w:p>
    <w:p w14:paraId="1F0446B6">
      <w:pPr>
        <w:spacing w:line="520" w:lineRule="exact"/>
        <w:rPr>
          <w:rFonts w:hint="eastAsia" w:ascii="宋体" w:hAnsi="宋体" w:cs="宋体"/>
          <w:color w:val="auto"/>
          <w:sz w:val="32"/>
          <w:szCs w:val="32"/>
          <w:highlight w:val="none"/>
        </w:rPr>
      </w:pPr>
    </w:p>
    <w:p w14:paraId="50F9502E">
      <w:pPr>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D35432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1AD259A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7CFD299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6C0457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4183001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附：法定代表人有效身份证正反面及委托代理人有效身份证正反面复印件</w:t>
      </w:r>
    </w:p>
    <w:p w14:paraId="3795C891">
      <w:pPr>
        <w:spacing w:line="360" w:lineRule="auto"/>
        <w:rPr>
          <w:rFonts w:hint="eastAsia" w:ascii="宋体" w:hAnsi="宋体" w:cs="宋体"/>
          <w:color w:val="auto"/>
          <w:sz w:val="24"/>
          <w:highlight w:val="none"/>
        </w:rPr>
      </w:pPr>
    </w:p>
    <w:p w14:paraId="702A3A3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58596E61">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3273CA9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4EE8773">
      <w:pPr>
        <w:spacing w:line="360" w:lineRule="auto"/>
        <w:ind w:firstLine="3840" w:firstLineChars="160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6EAABD84">
      <w:pPr>
        <w:spacing w:line="360" w:lineRule="auto"/>
        <w:contextualSpacing/>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768BD5B9">
      <w:pPr>
        <w:spacing w:line="360" w:lineRule="auto"/>
        <w:rPr>
          <w:rFonts w:hint="eastAsia" w:ascii="宋体" w:hAnsi="宋体" w:cs="宋体"/>
          <w:color w:val="auto"/>
          <w:sz w:val="24"/>
          <w:highlight w:val="none"/>
        </w:rPr>
      </w:pPr>
    </w:p>
    <w:p w14:paraId="1B12D1DA">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0855EAA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2.供应商为其他组织或者自然人时，本谈判文件规定的法定代表人指负责人或者自然人。本谈判文件所称负责人是指参加竞标的其他组织营业执照上的负责人，本谈判文件所称自然人是指参与竞标的自然人本人。</w:t>
      </w:r>
    </w:p>
    <w:p w14:paraId="06F351C0">
      <w:pPr>
        <w:spacing w:line="360" w:lineRule="auto"/>
        <w:ind w:firstLine="480" w:firstLineChars="200"/>
        <w:jc w:val="left"/>
        <w:rPr>
          <w:rFonts w:hint="eastAsia" w:ascii="宋体" w:hAnsi="宋体" w:cs="宋体"/>
          <w:color w:val="auto"/>
          <w:sz w:val="24"/>
          <w:highlight w:val="none"/>
        </w:rPr>
        <w:sectPr>
          <w:pgSz w:w="11911" w:h="16838"/>
          <w:pgMar w:top="1338" w:right="1502" w:bottom="850" w:left="1678" w:header="1077" w:footer="720" w:gutter="0"/>
          <w:cols w:space="720" w:num="1"/>
          <w:docGrid w:linePitch="1" w:charSpace="0"/>
        </w:sectPr>
      </w:pPr>
      <w:r>
        <w:rPr>
          <w:rFonts w:hint="eastAsia" w:ascii="宋体" w:hAnsi="宋体" w:cs="宋体"/>
          <w:color w:val="auto"/>
          <w:sz w:val="24"/>
          <w:highlight w:val="none"/>
        </w:rPr>
        <w:t>3.法人、其他组织竞标时“我方”是指“我单位”，自然人竞标时“我方”是指“本人”。</w:t>
      </w:r>
    </w:p>
    <w:p w14:paraId="5E443688">
      <w:pPr>
        <w:spacing w:line="360" w:lineRule="auto"/>
        <w:ind w:firstLine="482" w:firstLineChars="200"/>
        <w:contextualSpacing/>
        <w:jc w:val="left"/>
        <w:rPr>
          <w:rFonts w:hint="eastAsia" w:ascii="宋体" w:hAnsi="宋体" w:cs="宋体"/>
          <w:color w:val="auto"/>
          <w:sz w:val="24"/>
          <w:highlight w:val="none"/>
        </w:rPr>
      </w:pPr>
      <w:r>
        <w:rPr>
          <w:rFonts w:hint="eastAsia" w:ascii="宋体" w:hAnsi="宋体" w:cs="宋体"/>
          <w:b/>
          <w:color w:val="auto"/>
          <w:sz w:val="24"/>
          <w:highlight w:val="none"/>
        </w:rPr>
        <w:t>附件：</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1BB2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3" w:hRule="atLeast"/>
        </w:trPr>
        <w:tc>
          <w:tcPr>
            <w:tcW w:w="8946" w:type="dxa"/>
            <w:noWrap w:val="0"/>
            <w:vAlign w:val="top"/>
          </w:tcPr>
          <w:p w14:paraId="25203268">
            <w:pPr>
              <w:spacing w:line="360" w:lineRule="auto"/>
              <w:contextualSpacing/>
              <w:jc w:val="left"/>
              <w:rPr>
                <w:rFonts w:hint="eastAsia" w:ascii="宋体" w:hAnsi="宋体" w:cs="宋体"/>
                <w:b/>
                <w:color w:val="auto"/>
                <w:sz w:val="24"/>
                <w:highlight w:val="none"/>
              </w:rPr>
            </w:pPr>
          </w:p>
          <w:p w14:paraId="43026469">
            <w:pPr>
              <w:spacing w:line="360" w:lineRule="auto"/>
              <w:contextualSpacing/>
              <w:jc w:val="left"/>
              <w:rPr>
                <w:rFonts w:hint="eastAsia" w:ascii="宋体" w:hAnsi="宋体" w:cs="宋体"/>
                <w:color w:val="auto"/>
                <w:sz w:val="24"/>
                <w:highlight w:val="none"/>
              </w:rPr>
            </w:pPr>
            <w:r>
              <w:rPr>
                <w:rFonts w:hint="eastAsia" w:ascii="宋体" w:hAnsi="宋体" w:cs="宋体"/>
                <w:b/>
                <w:color w:val="auto"/>
                <w:sz w:val="24"/>
                <w:highlight w:val="none"/>
              </w:rPr>
              <w:t>法定代表人身份证正反面复印件粘贴处（正、反面）</w:t>
            </w:r>
          </w:p>
        </w:tc>
      </w:tr>
      <w:tr w14:paraId="5E2C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0" w:hRule="atLeast"/>
        </w:trPr>
        <w:tc>
          <w:tcPr>
            <w:tcW w:w="8946" w:type="dxa"/>
            <w:noWrap w:val="0"/>
            <w:vAlign w:val="top"/>
          </w:tcPr>
          <w:p w14:paraId="223ED869">
            <w:pPr>
              <w:spacing w:line="360" w:lineRule="auto"/>
              <w:contextualSpacing/>
              <w:jc w:val="left"/>
              <w:rPr>
                <w:rFonts w:hint="eastAsia" w:ascii="宋体" w:hAnsi="宋体" w:cs="宋体"/>
                <w:b/>
                <w:color w:val="auto"/>
                <w:sz w:val="24"/>
                <w:highlight w:val="none"/>
              </w:rPr>
            </w:pPr>
          </w:p>
          <w:p w14:paraId="41E308EB">
            <w:pPr>
              <w:spacing w:line="360" w:lineRule="auto"/>
              <w:contextualSpacing/>
              <w:jc w:val="left"/>
              <w:rPr>
                <w:rFonts w:hint="eastAsia" w:ascii="宋体" w:hAnsi="宋体" w:cs="宋体"/>
                <w:b/>
                <w:color w:val="auto"/>
                <w:sz w:val="24"/>
                <w:highlight w:val="none"/>
              </w:rPr>
            </w:pPr>
            <w:r>
              <w:rPr>
                <w:rFonts w:hint="eastAsia" w:ascii="宋体" w:hAnsi="宋体" w:cs="宋体"/>
                <w:b/>
                <w:color w:val="auto"/>
                <w:sz w:val="24"/>
                <w:highlight w:val="none"/>
              </w:rPr>
              <w:t>委托代理人身份证正反面复印件粘贴处（正、反面）</w:t>
            </w:r>
          </w:p>
        </w:tc>
      </w:tr>
    </w:tbl>
    <w:p w14:paraId="549C1229">
      <w:pPr>
        <w:pStyle w:val="2"/>
        <w:rPr>
          <w:rFonts w:hint="eastAsia"/>
          <w:highlight w:val="none"/>
        </w:rPr>
        <w:sectPr>
          <w:pgSz w:w="11911" w:h="16838"/>
          <w:pgMar w:top="1338" w:right="1502" w:bottom="850" w:left="1678" w:header="1077" w:footer="720" w:gutter="0"/>
          <w:cols w:space="720" w:num="1"/>
          <w:docGrid w:linePitch="1" w:charSpace="0"/>
        </w:sectPr>
      </w:pPr>
    </w:p>
    <w:p w14:paraId="5649EFB6">
      <w:pPr>
        <w:spacing w:line="5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授权委托书（联合体竞标格式）</w:t>
      </w:r>
    </w:p>
    <w:p w14:paraId="23657FED">
      <w:pPr>
        <w:spacing w:line="5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（如有委托时）</w:t>
      </w:r>
    </w:p>
    <w:p w14:paraId="09794697">
      <w:pPr>
        <w:spacing w:line="500" w:lineRule="exact"/>
        <w:jc w:val="center"/>
        <w:rPr>
          <w:rFonts w:hint="eastAsia" w:ascii="宋体" w:hAnsi="宋体" w:cs="宋体"/>
          <w:color w:val="auto"/>
          <w:sz w:val="44"/>
          <w:szCs w:val="44"/>
          <w:highlight w:val="none"/>
        </w:rPr>
      </w:pPr>
    </w:p>
    <w:p w14:paraId="3D1A52F6">
      <w:pPr>
        <w:spacing w:line="500" w:lineRule="exact"/>
        <w:jc w:val="center"/>
        <w:rPr>
          <w:rFonts w:hint="eastAsia" w:ascii="宋体" w:hAnsi="宋体" w:cs="宋体"/>
          <w:color w:val="auto"/>
          <w:sz w:val="32"/>
          <w:szCs w:val="32"/>
          <w:highlight w:val="none"/>
        </w:rPr>
      </w:pPr>
    </w:p>
    <w:p w14:paraId="1A6A11D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656657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1944008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51E63BF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01682C8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A390E20">
      <w:pPr>
        <w:spacing w:line="360" w:lineRule="auto"/>
        <w:ind w:firstLine="1560" w:firstLineChars="650"/>
        <w:rPr>
          <w:rFonts w:hint="eastAsia" w:ascii="宋体" w:hAnsi="宋体" w:cs="宋体"/>
          <w:color w:val="auto"/>
          <w:sz w:val="24"/>
          <w:highlight w:val="none"/>
        </w:rPr>
      </w:pPr>
      <w:r>
        <w:rPr>
          <w:rFonts w:hint="eastAsia" w:ascii="宋体" w:hAnsi="宋体" w:cs="宋体"/>
          <w:color w:val="auto"/>
          <w:sz w:val="24"/>
          <w:highlight w:val="none"/>
        </w:rPr>
        <w:t>牵头人法定代表人（签字或盖章）：</w:t>
      </w:r>
    </w:p>
    <w:p w14:paraId="60A2062F">
      <w:pPr>
        <w:spacing w:line="360" w:lineRule="auto"/>
        <w:ind w:firstLine="3000" w:firstLineChars="1250"/>
        <w:rPr>
          <w:rFonts w:hint="eastAsia" w:ascii="宋体" w:hAnsi="宋体" w:cs="宋体"/>
          <w:color w:val="auto"/>
          <w:sz w:val="24"/>
          <w:highlight w:val="none"/>
        </w:rPr>
      </w:pPr>
      <w:r>
        <w:rPr>
          <w:rFonts w:hint="eastAsia" w:ascii="宋体" w:hAnsi="宋体" w:cs="宋体"/>
          <w:color w:val="auto"/>
          <w:sz w:val="24"/>
          <w:highlight w:val="none"/>
        </w:rPr>
        <w:t>牵头人（电子签章）：</w:t>
      </w:r>
    </w:p>
    <w:p w14:paraId="040A6EBE">
      <w:pPr>
        <w:spacing w:line="360" w:lineRule="auto"/>
        <w:ind w:firstLine="3840" w:firstLineChars="160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52C74ED2">
      <w:pPr>
        <w:spacing w:line="360" w:lineRule="auto"/>
        <w:rPr>
          <w:rFonts w:hint="eastAsia" w:ascii="宋体" w:hAnsi="宋体" w:cs="宋体"/>
          <w:color w:val="auto"/>
          <w:sz w:val="24"/>
          <w:highlight w:val="none"/>
        </w:rPr>
      </w:pPr>
    </w:p>
    <w:p w14:paraId="3193EEC3">
      <w:pPr>
        <w:spacing w:line="360" w:lineRule="auto"/>
        <w:ind w:firstLine="3120" w:firstLineChars="1300"/>
        <w:rPr>
          <w:rFonts w:hint="eastAsia" w:ascii="宋体" w:hAnsi="宋体" w:cs="宋体"/>
          <w:color w:val="auto"/>
          <w:sz w:val="24"/>
          <w:highlight w:val="none"/>
        </w:rPr>
      </w:pPr>
      <w:r>
        <w:rPr>
          <w:rFonts w:hint="eastAsia" w:ascii="宋体" w:hAnsi="宋体" w:cs="宋体"/>
          <w:color w:val="auto"/>
          <w:sz w:val="24"/>
          <w:highlight w:val="none"/>
        </w:rPr>
        <w:t>被授权人（签字）：</w:t>
      </w:r>
    </w:p>
    <w:p w14:paraId="16B26264">
      <w:pPr>
        <w:spacing w:line="360" w:lineRule="auto"/>
        <w:ind w:firstLine="3840" w:firstLineChars="160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69DB2828">
      <w:pPr>
        <w:spacing w:line="360" w:lineRule="auto"/>
        <w:rPr>
          <w:rFonts w:hint="eastAsia" w:ascii="宋体" w:hAnsi="宋体" w:cs="宋体"/>
          <w:color w:val="auto"/>
          <w:sz w:val="24"/>
          <w:highlight w:val="none"/>
        </w:rPr>
      </w:pPr>
    </w:p>
    <w:p w14:paraId="199E0264">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w:t>
      </w:r>
    </w:p>
    <w:p w14:paraId="2D1A964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61FCC6B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66DD437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3.供应商为其他组织或者自然人时，本谈判文件规定的法定代表人指负责人或者自然人。本谈判文件所称负责人是指参加竞标的其他组织营业执照上的负责人，本谈判文件所称自然人是指参与竞标的自然人本人。</w:t>
      </w:r>
    </w:p>
    <w:p w14:paraId="358883C6">
      <w:pPr>
        <w:spacing w:line="360" w:lineRule="auto"/>
        <w:ind w:firstLine="480" w:firstLineChars="200"/>
        <w:jc w:val="left"/>
        <w:rPr>
          <w:rFonts w:hint="eastAsia" w:ascii="宋体" w:hAnsi="宋体" w:cs="宋体"/>
          <w:color w:val="auto"/>
          <w:szCs w:val="21"/>
          <w:highlight w:val="none"/>
        </w:rPr>
      </w:pPr>
      <w:r>
        <w:rPr>
          <w:rFonts w:hint="eastAsia" w:ascii="宋体" w:hAnsi="宋体" w:cs="宋体"/>
          <w:color w:val="auto"/>
          <w:sz w:val="24"/>
          <w:highlight w:val="none"/>
        </w:rPr>
        <w:t>4.法人、其他组织竞标时“我方”是指“我单位”，自然人竞标时“我方”是指“本人”。</w:t>
      </w:r>
    </w:p>
    <w:p w14:paraId="69D51740">
      <w:pPr>
        <w:spacing w:line="300" w:lineRule="auto"/>
        <w:rPr>
          <w:rFonts w:hint="eastAsia" w:ascii="宋体" w:hAnsi="宋体" w:cs="宋体"/>
          <w:b/>
          <w:color w:val="auto"/>
          <w:kern w:val="0"/>
          <w:sz w:val="30"/>
          <w:szCs w:val="30"/>
          <w:highlight w:val="none"/>
        </w:rPr>
      </w:pPr>
      <w:r>
        <w:rPr>
          <w:rFonts w:hint="eastAsia" w:ascii="宋体" w:hAnsi="宋体" w:cs="宋体"/>
          <w:b/>
          <w:color w:val="auto"/>
          <w:sz w:val="30"/>
          <w:szCs w:val="30"/>
          <w:highlight w:val="none"/>
        </w:rPr>
        <w:t>四、</w:t>
      </w:r>
      <w:r>
        <w:rPr>
          <w:rFonts w:hint="eastAsia" w:ascii="宋体" w:hAnsi="宋体" w:cs="宋体"/>
          <w:b/>
          <w:color w:val="auto"/>
          <w:kern w:val="0"/>
          <w:sz w:val="30"/>
          <w:szCs w:val="30"/>
          <w:highlight w:val="none"/>
        </w:rPr>
        <w:t>谈判保证金提交凭证；</w:t>
      </w:r>
    </w:p>
    <w:p w14:paraId="7124F74A">
      <w:pPr>
        <w:snapToGrid w:val="0"/>
        <w:spacing w:line="360" w:lineRule="auto"/>
        <w:rPr>
          <w:rFonts w:hint="eastAsia" w:ascii="宋体" w:hAnsi="宋体" w:cs="宋体"/>
          <w:b/>
          <w:color w:val="auto"/>
          <w:sz w:val="30"/>
          <w:szCs w:val="30"/>
          <w:highlight w:val="none"/>
        </w:rPr>
      </w:pPr>
    </w:p>
    <w:p w14:paraId="3A5C7DE8">
      <w:pPr>
        <w:spacing w:before="120" w:beforeLines="50" w:line="360" w:lineRule="auto"/>
        <w:rPr>
          <w:rFonts w:hint="eastAsia" w:ascii="宋体" w:hAnsi="宋体" w:cs="宋体"/>
          <w:color w:val="auto"/>
          <w:kern w:val="0"/>
          <w:sz w:val="24"/>
          <w:highlight w:val="none"/>
        </w:rPr>
      </w:pPr>
      <w:r>
        <w:rPr>
          <w:rFonts w:hint="eastAsia" w:ascii="宋体" w:hAnsi="宋体" w:cs="宋体"/>
          <w:b/>
          <w:color w:val="auto"/>
          <w:sz w:val="30"/>
          <w:szCs w:val="30"/>
          <w:highlight w:val="none"/>
        </w:rPr>
        <w:br w:type="page"/>
      </w:r>
      <w:r>
        <w:rPr>
          <w:rFonts w:hint="eastAsia" w:ascii="宋体" w:hAnsi="宋体" w:cs="宋体"/>
          <w:b/>
          <w:color w:val="auto"/>
          <w:sz w:val="30"/>
          <w:szCs w:val="30"/>
          <w:highlight w:val="none"/>
        </w:rPr>
        <w:t>五、供应商基本情况表</w:t>
      </w:r>
    </w:p>
    <w:p w14:paraId="44F1AA11">
      <w:pPr>
        <w:spacing w:line="480" w:lineRule="auto"/>
        <w:jc w:val="center"/>
        <w:rPr>
          <w:rFonts w:hint="eastAsia" w:ascii="宋体" w:hAnsi="宋体" w:cs="宋体"/>
          <w:color w:val="auto"/>
          <w:sz w:val="24"/>
          <w:highlight w:val="none"/>
        </w:rPr>
      </w:pPr>
      <w:r>
        <w:rPr>
          <w:rFonts w:hint="eastAsia" w:ascii="宋体" w:hAnsi="宋体" w:cs="宋体"/>
          <w:b/>
          <w:bCs/>
          <w:color w:val="auto"/>
          <w:sz w:val="28"/>
          <w:szCs w:val="28"/>
          <w:highlight w:val="none"/>
        </w:rPr>
        <w:t>供应商基本情况表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012"/>
        <w:gridCol w:w="1081"/>
        <w:gridCol w:w="1184"/>
        <w:gridCol w:w="112"/>
        <w:gridCol w:w="1246"/>
        <w:gridCol w:w="322"/>
        <w:gridCol w:w="765"/>
        <w:gridCol w:w="1619"/>
      </w:tblGrid>
      <w:tr w14:paraId="18CA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2B323869">
            <w:pPr>
              <w:jc w:val="center"/>
              <w:rPr>
                <w:rFonts w:hint="eastAsia" w:ascii="宋体" w:hAnsi="宋体" w:cs="宋体"/>
                <w:color w:val="auto"/>
                <w:sz w:val="24"/>
                <w:highlight w:val="none"/>
              </w:rPr>
            </w:pPr>
            <w:r>
              <w:rPr>
                <w:rFonts w:hint="eastAsia" w:ascii="宋体" w:hAnsi="宋体" w:cs="宋体"/>
                <w:color w:val="auto"/>
                <w:sz w:val="24"/>
                <w:highlight w:val="none"/>
              </w:rPr>
              <w:t>供应商名称</w:t>
            </w:r>
          </w:p>
        </w:tc>
        <w:tc>
          <w:tcPr>
            <w:tcW w:w="7341" w:type="dxa"/>
            <w:gridSpan w:val="8"/>
            <w:noWrap w:val="0"/>
            <w:vAlign w:val="center"/>
          </w:tcPr>
          <w:p w14:paraId="52D16635">
            <w:pPr>
              <w:jc w:val="center"/>
              <w:rPr>
                <w:rFonts w:hint="eastAsia" w:ascii="宋体" w:hAnsi="宋体" w:cs="宋体"/>
                <w:color w:val="auto"/>
                <w:sz w:val="24"/>
                <w:highlight w:val="none"/>
              </w:rPr>
            </w:pPr>
          </w:p>
        </w:tc>
      </w:tr>
      <w:tr w14:paraId="34F2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4752C244">
            <w:pPr>
              <w:jc w:val="center"/>
              <w:rPr>
                <w:rFonts w:hint="eastAsia" w:ascii="宋体" w:hAnsi="宋体" w:cs="宋体"/>
                <w:color w:val="auto"/>
                <w:sz w:val="24"/>
                <w:highlight w:val="none"/>
              </w:rPr>
            </w:pPr>
            <w:r>
              <w:rPr>
                <w:rFonts w:hint="eastAsia" w:ascii="宋体" w:hAnsi="宋体" w:cs="宋体"/>
                <w:color w:val="auto"/>
                <w:sz w:val="24"/>
                <w:highlight w:val="none"/>
              </w:rPr>
              <w:t>注册地址</w:t>
            </w:r>
          </w:p>
        </w:tc>
        <w:tc>
          <w:tcPr>
            <w:tcW w:w="3389" w:type="dxa"/>
            <w:gridSpan w:val="4"/>
            <w:noWrap w:val="0"/>
            <w:vAlign w:val="center"/>
          </w:tcPr>
          <w:p w14:paraId="270572AE">
            <w:pPr>
              <w:jc w:val="center"/>
              <w:rPr>
                <w:rFonts w:hint="eastAsia" w:ascii="宋体" w:hAnsi="宋体" w:cs="宋体"/>
                <w:color w:val="auto"/>
                <w:sz w:val="24"/>
                <w:highlight w:val="none"/>
              </w:rPr>
            </w:pPr>
          </w:p>
        </w:tc>
        <w:tc>
          <w:tcPr>
            <w:tcW w:w="1246" w:type="dxa"/>
            <w:noWrap w:val="0"/>
            <w:vAlign w:val="center"/>
          </w:tcPr>
          <w:p w14:paraId="7FB6B66D">
            <w:pPr>
              <w:jc w:val="center"/>
              <w:rPr>
                <w:rFonts w:hint="eastAsia" w:ascii="宋体" w:hAnsi="宋体" w:cs="宋体"/>
                <w:color w:val="auto"/>
                <w:sz w:val="24"/>
                <w:highlight w:val="none"/>
              </w:rPr>
            </w:pPr>
            <w:r>
              <w:rPr>
                <w:rFonts w:hint="eastAsia" w:ascii="宋体" w:hAnsi="宋体" w:cs="宋体"/>
                <w:color w:val="auto"/>
                <w:sz w:val="24"/>
                <w:highlight w:val="none"/>
              </w:rPr>
              <w:t>邮政编码</w:t>
            </w:r>
          </w:p>
        </w:tc>
        <w:tc>
          <w:tcPr>
            <w:tcW w:w="2706" w:type="dxa"/>
            <w:gridSpan w:val="3"/>
            <w:noWrap w:val="0"/>
            <w:vAlign w:val="center"/>
          </w:tcPr>
          <w:p w14:paraId="798C5674">
            <w:pPr>
              <w:jc w:val="center"/>
              <w:rPr>
                <w:rFonts w:hint="eastAsia" w:ascii="宋体" w:hAnsi="宋体" w:cs="宋体"/>
                <w:color w:val="auto"/>
                <w:sz w:val="24"/>
                <w:highlight w:val="none"/>
              </w:rPr>
            </w:pPr>
          </w:p>
        </w:tc>
      </w:tr>
      <w:tr w14:paraId="4529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noWrap w:val="0"/>
            <w:vAlign w:val="center"/>
          </w:tcPr>
          <w:p w14:paraId="33D4C415">
            <w:pPr>
              <w:jc w:val="center"/>
              <w:rPr>
                <w:rFonts w:hint="eastAsia" w:ascii="宋体" w:hAnsi="宋体" w:cs="宋体"/>
                <w:color w:val="auto"/>
                <w:sz w:val="24"/>
                <w:highlight w:val="none"/>
              </w:rPr>
            </w:pPr>
            <w:r>
              <w:rPr>
                <w:rFonts w:hint="eastAsia" w:ascii="宋体" w:hAnsi="宋体" w:cs="宋体"/>
                <w:color w:val="auto"/>
                <w:sz w:val="24"/>
                <w:highlight w:val="none"/>
              </w:rPr>
              <w:t>联系方式</w:t>
            </w:r>
          </w:p>
        </w:tc>
        <w:tc>
          <w:tcPr>
            <w:tcW w:w="1012" w:type="dxa"/>
            <w:noWrap w:val="0"/>
            <w:vAlign w:val="center"/>
          </w:tcPr>
          <w:p w14:paraId="5D4F8AB4">
            <w:pPr>
              <w:jc w:val="center"/>
              <w:rPr>
                <w:rFonts w:hint="eastAsia" w:ascii="宋体" w:hAnsi="宋体" w:cs="宋体"/>
                <w:color w:val="auto"/>
                <w:sz w:val="24"/>
                <w:highlight w:val="none"/>
              </w:rPr>
            </w:pPr>
            <w:r>
              <w:rPr>
                <w:rFonts w:hint="eastAsia" w:ascii="宋体" w:hAnsi="宋体" w:cs="宋体"/>
                <w:color w:val="auto"/>
                <w:sz w:val="24"/>
                <w:highlight w:val="none"/>
              </w:rPr>
              <w:t>联系人</w:t>
            </w:r>
          </w:p>
        </w:tc>
        <w:tc>
          <w:tcPr>
            <w:tcW w:w="2377" w:type="dxa"/>
            <w:gridSpan w:val="3"/>
            <w:noWrap w:val="0"/>
            <w:vAlign w:val="center"/>
          </w:tcPr>
          <w:p w14:paraId="09CE7190">
            <w:pPr>
              <w:jc w:val="center"/>
              <w:rPr>
                <w:rFonts w:hint="eastAsia" w:ascii="宋体" w:hAnsi="宋体" w:cs="宋体"/>
                <w:color w:val="auto"/>
                <w:sz w:val="24"/>
                <w:highlight w:val="none"/>
              </w:rPr>
            </w:pPr>
          </w:p>
        </w:tc>
        <w:tc>
          <w:tcPr>
            <w:tcW w:w="1246" w:type="dxa"/>
            <w:noWrap w:val="0"/>
            <w:vAlign w:val="center"/>
          </w:tcPr>
          <w:p w14:paraId="045A08D1">
            <w:pPr>
              <w:jc w:val="center"/>
              <w:rPr>
                <w:rFonts w:hint="eastAsia" w:ascii="宋体" w:hAnsi="宋体" w:cs="宋体"/>
                <w:color w:val="auto"/>
                <w:sz w:val="24"/>
                <w:highlight w:val="none"/>
              </w:rPr>
            </w:pPr>
            <w:r>
              <w:rPr>
                <w:rFonts w:hint="eastAsia" w:ascii="宋体" w:hAnsi="宋体" w:cs="宋体"/>
                <w:color w:val="auto"/>
                <w:sz w:val="24"/>
                <w:highlight w:val="none"/>
              </w:rPr>
              <w:t>电  话</w:t>
            </w:r>
          </w:p>
        </w:tc>
        <w:tc>
          <w:tcPr>
            <w:tcW w:w="2706" w:type="dxa"/>
            <w:gridSpan w:val="3"/>
            <w:noWrap w:val="0"/>
            <w:vAlign w:val="center"/>
          </w:tcPr>
          <w:p w14:paraId="43BF17BD">
            <w:pPr>
              <w:jc w:val="center"/>
              <w:rPr>
                <w:rFonts w:hint="eastAsia" w:ascii="宋体" w:hAnsi="宋体" w:cs="宋体"/>
                <w:color w:val="auto"/>
                <w:sz w:val="24"/>
                <w:highlight w:val="none"/>
              </w:rPr>
            </w:pPr>
          </w:p>
        </w:tc>
      </w:tr>
      <w:tr w14:paraId="1F2D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noWrap w:val="0"/>
            <w:vAlign w:val="center"/>
          </w:tcPr>
          <w:p w14:paraId="7D1EE796">
            <w:pPr>
              <w:jc w:val="center"/>
              <w:rPr>
                <w:rFonts w:hint="eastAsia" w:ascii="宋体" w:hAnsi="宋体" w:cs="宋体"/>
                <w:color w:val="auto"/>
                <w:sz w:val="24"/>
                <w:highlight w:val="none"/>
              </w:rPr>
            </w:pPr>
          </w:p>
        </w:tc>
        <w:tc>
          <w:tcPr>
            <w:tcW w:w="1012" w:type="dxa"/>
            <w:noWrap w:val="0"/>
            <w:vAlign w:val="center"/>
          </w:tcPr>
          <w:p w14:paraId="21C00230">
            <w:pPr>
              <w:jc w:val="center"/>
              <w:rPr>
                <w:rFonts w:hint="eastAsia" w:ascii="宋体" w:hAnsi="宋体" w:cs="宋体"/>
                <w:color w:val="auto"/>
                <w:sz w:val="24"/>
                <w:highlight w:val="none"/>
              </w:rPr>
            </w:pPr>
            <w:r>
              <w:rPr>
                <w:rFonts w:hint="eastAsia" w:ascii="宋体" w:hAnsi="宋体" w:cs="宋体"/>
                <w:color w:val="auto"/>
                <w:sz w:val="24"/>
                <w:highlight w:val="none"/>
              </w:rPr>
              <w:t>传  真</w:t>
            </w:r>
          </w:p>
        </w:tc>
        <w:tc>
          <w:tcPr>
            <w:tcW w:w="2377" w:type="dxa"/>
            <w:gridSpan w:val="3"/>
            <w:noWrap w:val="0"/>
            <w:vAlign w:val="center"/>
          </w:tcPr>
          <w:p w14:paraId="251FEE43">
            <w:pPr>
              <w:jc w:val="center"/>
              <w:rPr>
                <w:rFonts w:hint="eastAsia" w:ascii="宋体" w:hAnsi="宋体" w:cs="宋体"/>
                <w:color w:val="auto"/>
                <w:sz w:val="24"/>
                <w:highlight w:val="none"/>
              </w:rPr>
            </w:pPr>
          </w:p>
        </w:tc>
        <w:tc>
          <w:tcPr>
            <w:tcW w:w="1246" w:type="dxa"/>
            <w:noWrap w:val="0"/>
            <w:vAlign w:val="center"/>
          </w:tcPr>
          <w:p w14:paraId="099DE290">
            <w:pPr>
              <w:jc w:val="center"/>
              <w:rPr>
                <w:rFonts w:hint="eastAsia" w:ascii="宋体" w:hAnsi="宋体" w:cs="宋体"/>
                <w:color w:val="auto"/>
                <w:sz w:val="24"/>
                <w:highlight w:val="none"/>
              </w:rPr>
            </w:pPr>
            <w:r>
              <w:rPr>
                <w:rFonts w:hint="eastAsia" w:ascii="宋体" w:hAnsi="宋体" w:cs="宋体"/>
                <w:color w:val="auto"/>
                <w:sz w:val="24"/>
                <w:highlight w:val="none"/>
              </w:rPr>
              <w:t>网  址</w:t>
            </w:r>
          </w:p>
        </w:tc>
        <w:tc>
          <w:tcPr>
            <w:tcW w:w="2706" w:type="dxa"/>
            <w:gridSpan w:val="3"/>
            <w:noWrap w:val="0"/>
            <w:vAlign w:val="center"/>
          </w:tcPr>
          <w:p w14:paraId="1AB7B81F">
            <w:pPr>
              <w:jc w:val="center"/>
              <w:rPr>
                <w:rFonts w:hint="eastAsia" w:ascii="宋体" w:hAnsi="宋体" w:cs="宋体"/>
                <w:color w:val="auto"/>
                <w:sz w:val="24"/>
                <w:highlight w:val="none"/>
              </w:rPr>
            </w:pPr>
          </w:p>
        </w:tc>
      </w:tr>
      <w:tr w14:paraId="4343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1C06E161">
            <w:pPr>
              <w:jc w:val="center"/>
              <w:rPr>
                <w:rFonts w:hint="eastAsia" w:ascii="宋体" w:hAnsi="宋体" w:cs="宋体"/>
                <w:color w:val="auto"/>
                <w:sz w:val="24"/>
                <w:highlight w:val="none"/>
              </w:rPr>
            </w:pPr>
            <w:r>
              <w:rPr>
                <w:rFonts w:hint="eastAsia" w:ascii="宋体" w:hAnsi="宋体" w:cs="宋体"/>
                <w:color w:val="auto"/>
                <w:sz w:val="24"/>
                <w:highlight w:val="none"/>
              </w:rPr>
              <w:t>统一社会信用代码</w:t>
            </w:r>
          </w:p>
        </w:tc>
        <w:tc>
          <w:tcPr>
            <w:tcW w:w="7341" w:type="dxa"/>
            <w:gridSpan w:val="8"/>
            <w:noWrap w:val="0"/>
            <w:vAlign w:val="center"/>
          </w:tcPr>
          <w:p w14:paraId="611AFE1E">
            <w:pPr>
              <w:jc w:val="center"/>
              <w:rPr>
                <w:rFonts w:hint="eastAsia" w:ascii="宋体" w:hAnsi="宋体" w:cs="宋体"/>
                <w:color w:val="auto"/>
                <w:sz w:val="24"/>
                <w:highlight w:val="none"/>
              </w:rPr>
            </w:pPr>
          </w:p>
        </w:tc>
      </w:tr>
      <w:tr w14:paraId="4671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65A3A4F2">
            <w:pPr>
              <w:jc w:val="center"/>
              <w:rPr>
                <w:rFonts w:hint="eastAsia" w:ascii="宋体" w:hAnsi="宋体" w:cs="宋体"/>
                <w:color w:val="auto"/>
                <w:sz w:val="24"/>
                <w:highlight w:val="none"/>
              </w:rPr>
            </w:pPr>
            <w:r>
              <w:rPr>
                <w:rFonts w:hint="eastAsia" w:ascii="宋体" w:hAnsi="宋体" w:cs="宋体"/>
                <w:color w:val="auto"/>
                <w:sz w:val="24"/>
                <w:highlight w:val="none"/>
              </w:rPr>
              <w:t>法定代表人</w:t>
            </w:r>
          </w:p>
        </w:tc>
        <w:tc>
          <w:tcPr>
            <w:tcW w:w="1012" w:type="dxa"/>
            <w:noWrap w:val="0"/>
            <w:vAlign w:val="center"/>
          </w:tcPr>
          <w:p w14:paraId="084C50C6">
            <w:pPr>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3945" w:type="dxa"/>
            <w:gridSpan w:val="5"/>
            <w:noWrap w:val="0"/>
            <w:vAlign w:val="center"/>
          </w:tcPr>
          <w:p w14:paraId="2D581FBE">
            <w:pPr>
              <w:jc w:val="center"/>
              <w:rPr>
                <w:rFonts w:hint="eastAsia" w:ascii="宋体" w:hAnsi="宋体" w:cs="宋体"/>
                <w:color w:val="auto"/>
                <w:sz w:val="24"/>
                <w:highlight w:val="none"/>
              </w:rPr>
            </w:pPr>
          </w:p>
        </w:tc>
        <w:tc>
          <w:tcPr>
            <w:tcW w:w="765" w:type="dxa"/>
            <w:noWrap w:val="0"/>
            <w:vAlign w:val="center"/>
          </w:tcPr>
          <w:p w14:paraId="043BF846">
            <w:pPr>
              <w:jc w:val="center"/>
              <w:rPr>
                <w:rFonts w:hint="eastAsia" w:ascii="宋体" w:hAnsi="宋体" w:cs="宋体"/>
                <w:color w:val="auto"/>
                <w:sz w:val="24"/>
                <w:highlight w:val="none"/>
              </w:rPr>
            </w:pPr>
            <w:r>
              <w:rPr>
                <w:rFonts w:hint="eastAsia" w:ascii="宋体" w:hAnsi="宋体" w:cs="宋体"/>
                <w:color w:val="auto"/>
                <w:sz w:val="24"/>
                <w:highlight w:val="none"/>
              </w:rPr>
              <w:t>电话</w:t>
            </w:r>
          </w:p>
        </w:tc>
        <w:tc>
          <w:tcPr>
            <w:tcW w:w="1619" w:type="dxa"/>
            <w:noWrap w:val="0"/>
            <w:vAlign w:val="center"/>
          </w:tcPr>
          <w:p w14:paraId="78C674A9">
            <w:pPr>
              <w:jc w:val="center"/>
              <w:rPr>
                <w:rFonts w:hint="eastAsia" w:ascii="宋体" w:hAnsi="宋体" w:cs="宋体"/>
                <w:color w:val="auto"/>
                <w:sz w:val="24"/>
                <w:highlight w:val="none"/>
              </w:rPr>
            </w:pPr>
          </w:p>
        </w:tc>
      </w:tr>
      <w:tr w14:paraId="62D1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1854EA8E">
            <w:pPr>
              <w:jc w:val="center"/>
              <w:rPr>
                <w:rFonts w:hint="eastAsia" w:ascii="宋体" w:hAnsi="宋体" w:cs="宋体"/>
                <w:color w:val="auto"/>
                <w:sz w:val="24"/>
                <w:highlight w:val="none"/>
              </w:rPr>
            </w:pPr>
            <w:r>
              <w:rPr>
                <w:rFonts w:hint="eastAsia" w:ascii="宋体" w:hAnsi="宋体" w:cs="宋体"/>
                <w:color w:val="auto"/>
                <w:sz w:val="24"/>
                <w:highlight w:val="none"/>
              </w:rPr>
              <w:t>技术负责人</w:t>
            </w:r>
          </w:p>
        </w:tc>
        <w:tc>
          <w:tcPr>
            <w:tcW w:w="1012" w:type="dxa"/>
            <w:noWrap w:val="0"/>
            <w:vAlign w:val="center"/>
          </w:tcPr>
          <w:p w14:paraId="0C544361">
            <w:pPr>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081" w:type="dxa"/>
            <w:noWrap w:val="0"/>
            <w:vAlign w:val="center"/>
          </w:tcPr>
          <w:p w14:paraId="73ED2D5B">
            <w:pPr>
              <w:jc w:val="center"/>
              <w:rPr>
                <w:rFonts w:hint="eastAsia" w:ascii="宋体" w:hAnsi="宋体" w:cs="宋体"/>
                <w:color w:val="auto"/>
                <w:sz w:val="24"/>
                <w:highlight w:val="none"/>
              </w:rPr>
            </w:pPr>
          </w:p>
        </w:tc>
        <w:tc>
          <w:tcPr>
            <w:tcW w:w="1184" w:type="dxa"/>
            <w:noWrap w:val="0"/>
            <w:vAlign w:val="center"/>
          </w:tcPr>
          <w:p w14:paraId="2A0067AF">
            <w:pPr>
              <w:jc w:val="center"/>
              <w:rPr>
                <w:rFonts w:hint="eastAsia" w:ascii="宋体" w:hAnsi="宋体" w:cs="宋体"/>
                <w:color w:val="auto"/>
                <w:sz w:val="24"/>
                <w:highlight w:val="none"/>
              </w:rPr>
            </w:pPr>
            <w:r>
              <w:rPr>
                <w:rFonts w:hint="eastAsia" w:ascii="宋体" w:hAnsi="宋体" w:cs="宋体"/>
                <w:color w:val="auto"/>
                <w:sz w:val="24"/>
                <w:highlight w:val="none"/>
              </w:rPr>
              <w:t>技术职称</w:t>
            </w:r>
          </w:p>
        </w:tc>
        <w:tc>
          <w:tcPr>
            <w:tcW w:w="1680" w:type="dxa"/>
            <w:gridSpan w:val="3"/>
            <w:noWrap w:val="0"/>
            <w:vAlign w:val="center"/>
          </w:tcPr>
          <w:p w14:paraId="6571F9D5">
            <w:pPr>
              <w:jc w:val="center"/>
              <w:rPr>
                <w:rFonts w:hint="eastAsia" w:ascii="宋体" w:hAnsi="宋体" w:cs="宋体"/>
                <w:color w:val="auto"/>
                <w:sz w:val="24"/>
                <w:highlight w:val="none"/>
              </w:rPr>
            </w:pPr>
          </w:p>
        </w:tc>
        <w:tc>
          <w:tcPr>
            <w:tcW w:w="765" w:type="dxa"/>
            <w:noWrap w:val="0"/>
            <w:vAlign w:val="center"/>
          </w:tcPr>
          <w:p w14:paraId="5C96075B">
            <w:pPr>
              <w:jc w:val="center"/>
              <w:rPr>
                <w:rFonts w:hint="eastAsia" w:ascii="宋体" w:hAnsi="宋体" w:cs="宋体"/>
                <w:color w:val="auto"/>
                <w:sz w:val="24"/>
                <w:highlight w:val="none"/>
              </w:rPr>
            </w:pPr>
            <w:r>
              <w:rPr>
                <w:rFonts w:hint="eastAsia" w:ascii="宋体" w:hAnsi="宋体" w:cs="宋体"/>
                <w:color w:val="auto"/>
                <w:sz w:val="24"/>
                <w:highlight w:val="none"/>
              </w:rPr>
              <w:t>电话</w:t>
            </w:r>
          </w:p>
        </w:tc>
        <w:tc>
          <w:tcPr>
            <w:tcW w:w="1619" w:type="dxa"/>
            <w:noWrap w:val="0"/>
            <w:vAlign w:val="center"/>
          </w:tcPr>
          <w:p w14:paraId="2D89A2CD">
            <w:pPr>
              <w:jc w:val="center"/>
              <w:rPr>
                <w:rFonts w:hint="eastAsia" w:ascii="宋体" w:hAnsi="宋体" w:cs="宋体"/>
                <w:color w:val="auto"/>
                <w:sz w:val="24"/>
                <w:highlight w:val="none"/>
              </w:rPr>
            </w:pPr>
          </w:p>
        </w:tc>
      </w:tr>
      <w:tr w14:paraId="09D0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45A12A3F">
            <w:pPr>
              <w:jc w:val="center"/>
              <w:rPr>
                <w:rFonts w:hint="eastAsia" w:ascii="宋体" w:hAnsi="宋体" w:cs="宋体"/>
                <w:color w:val="auto"/>
                <w:sz w:val="24"/>
                <w:highlight w:val="none"/>
              </w:rPr>
            </w:pPr>
            <w:r>
              <w:rPr>
                <w:rFonts w:hint="eastAsia" w:ascii="宋体" w:hAnsi="宋体" w:cs="宋体"/>
                <w:color w:val="auto"/>
                <w:sz w:val="24"/>
                <w:highlight w:val="none"/>
              </w:rPr>
              <w:t>成立时间</w:t>
            </w:r>
          </w:p>
        </w:tc>
        <w:tc>
          <w:tcPr>
            <w:tcW w:w="2093" w:type="dxa"/>
            <w:gridSpan w:val="2"/>
            <w:noWrap w:val="0"/>
            <w:vAlign w:val="center"/>
          </w:tcPr>
          <w:p w14:paraId="402C4E37">
            <w:pPr>
              <w:jc w:val="center"/>
              <w:rPr>
                <w:rFonts w:hint="eastAsia" w:ascii="宋体" w:hAnsi="宋体" w:cs="宋体"/>
                <w:color w:val="auto"/>
                <w:sz w:val="24"/>
                <w:highlight w:val="none"/>
              </w:rPr>
            </w:pPr>
          </w:p>
        </w:tc>
        <w:tc>
          <w:tcPr>
            <w:tcW w:w="5248" w:type="dxa"/>
            <w:gridSpan w:val="6"/>
            <w:noWrap w:val="0"/>
            <w:vAlign w:val="center"/>
          </w:tcPr>
          <w:p w14:paraId="5B9019DD">
            <w:pPr>
              <w:jc w:val="center"/>
              <w:rPr>
                <w:rFonts w:hint="eastAsia" w:ascii="宋体" w:hAnsi="宋体" w:cs="宋体"/>
                <w:color w:val="auto"/>
                <w:sz w:val="24"/>
                <w:highlight w:val="none"/>
              </w:rPr>
            </w:pPr>
            <w:r>
              <w:rPr>
                <w:rFonts w:hint="eastAsia" w:ascii="宋体" w:hAnsi="宋体" w:cs="宋体"/>
                <w:color w:val="auto"/>
                <w:sz w:val="24"/>
                <w:highlight w:val="none"/>
              </w:rPr>
              <w:t>员工总人数：</w:t>
            </w:r>
          </w:p>
        </w:tc>
      </w:tr>
      <w:tr w14:paraId="4CB9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AEFE471">
            <w:pPr>
              <w:jc w:val="center"/>
              <w:rPr>
                <w:rFonts w:hint="eastAsia" w:ascii="宋体" w:hAnsi="宋体" w:cs="宋体"/>
                <w:color w:val="auto"/>
                <w:sz w:val="24"/>
                <w:highlight w:val="none"/>
              </w:rPr>
            </w:pPr>
            <w:r>
              <w:rPr>
                <w:rFonts w:hint="eastAsia" w:ascii="宋体" w:hAnsi="宋体" w:cs="宋体"/>
                <w:color w:val="auto"/>
                <w:sz w:val="24"/>
                <w:highlight w:val="none"/>
              </w:rPr>
              <w:t>资质等级</w:t>
            </w:r>
          </w:p>
        </w:tc>
        <w:tc>
          <w:tcPr>
            <w:tcW w:w="2093" w:type="dxa"/>
            <w:gridSpan w:val="2"/>
            <w:noWrap w:val="0"/>
            <w:vAlign w:val="center"/>
          </w:tcPr>
          <w:p w14:paraId="7E44EFB4">
            <w:pPr>
              <w:jc w:val="center"/>
              <w:rPr>
                <w:rFonts w:hint="eastAsia" w:ascii="宋体" w:hAnsi="宋体" w:cs="宋体"/>
                <w:color w:val="auto"/>
                <w:sz w:val="24"/>
                <w:highlight w:val="none"/>
              </w:rPr>
            </w:pPr>
          </w:p>
        </w:tc>
        <w:tc>
          <w:tcPr>
            <w:tcW w:w="1184" w:type="dxa"/>
            <w:vMerge w:val="restart"/>
            <w:noWrap w:val="0"/>
            <w:vAlign w:val="center"/>
          </w:tcPr>
          <w:p w14:paraId="0B66273B">
            <w:pPr>
              <w:jc w:val="center"/>
              <w:rPr>
                <w:rFonts w:hint="eastAsia" w:ascii="宋体" w:hAnsi="宋体" w:cs="宋体"/>
                <w:color w:val="auto"/>
                <w:sz w:val="24"/>
                <w:highlight w:val="none"/>
              </w:rPr>
            </w:pPr>
            <w:r>
              <w:rPr>
                <w:rFonts w:hint="eastAsia" w:ascii="宋体" w:hAnsi="宋体" w:cs="宋体"/>
                <w:color w:val="auto"/>
                <w:sz w:val="24"/>
                <w:highlight w:val="none"/>
              </w:rPr>
              <w:t>其中</w:t>
            </w:r>
          </w:p>
        </w:tc>
        <w:tc>
          <w:tcPr>
            <w:tcW w:w="1680" w:type="dxa"/>
            <w:gridSpan w:val="3"/>
            <w:noWrap w:val="0"/>
            <w:vAlign w:val="center"/>
          </w:tcPr>
          <w:p w14:paraId="2CFBBB2C">
            <w:pPr>
              <w:jc w:val="center"/>
              <w:rPr>
                <w:rFonts w:hint="eastAsia" w:ascii="宋体" w:hAnsi="宋体" w:cs="宋体"/>
                <w:color w:val="auto"/>
                <w:sz w:val="24"/>
                <w:highlight w:val="none"/>
              </w:rPr>
            </w:pPr>
            <w:r>
              <w:rPr>
                <w:rFonts w:hint="eastAsia" w:ascii="宋体" w:hAnsi="宋体" w:cs="宋体"/>
                <w:color w:val="auto"/>
                <w:sz w:val="24"/>
                <w:highlight w:val="none"/>
              </w:rPr>
              <w:t>项目经理</w:t>
            </w:r>
          </w:p>
        </w:tc>
        <w:tc>
          <w:tcPr>
            <w:tcW w:w="2384" w:type="dxa"/>
            <w:gridSpan w:val="2"/>
            <w:noWrap w:val="0"/>
            <w:vAlign w:val="center"/>
          </w:tcPr>
          <w:p w14:paraId="130CBF3E">
            <w:pPr>
              <w:jc w:val="center"/>
              <w:rPr>
                <w:rFonts w:hint="eastAsia" w:ascii="宋体" w:hAnsi="宋体" w:cs="宋体"/>
                <w:color w:val="auto"/>
                <w:sz w:val="24"/>
                <w:highlight w:val="none"/>
              </w:rPr>
            </w:pPr>
          </w:p>
        </w:tc>
      </w:tr>
      <w:tr w14:paraId="44BC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20A2D678">
            <w:pPr>
              <w:jc w:val="center"/>
              <w:rPr>
                <w:rFonts w:hint="eastAsia" w:ascii="宋体" w:hAnsi="宋体" w:cs="宋体"/>
                <w:color w:val="auto"/>
                <w:sz w:val="24"/>
                <w:highlight w:val="none"/>
              </w:rPr>
            </w:pPr>
            <w:r>
              <w:rPr>
                <w:rFonts w:hint="eastAsia" w:ascii="宋体" w:hAnsi="宋体" w:cs="宋体"/>
                <w:color w:val="auto"/>
                <w:sz w:val="24"/>
                <w:highlight w:val="none"/>
              </w:rPr>
              <w:t>安全生产许可证号</w:t>
            </w:r>
          </w:p>
        </w:tc>
        <w:tc>
          <w:tcPr>
            <w:tcW w:w="2093" w:type="dxa"/>
            <w:gridSpan w:val="2"/>
            <w:noWrap w:val="0"/>
            <w:vAlign w:val="center"/>
          </w:tcPr>
          <w:p w14:paraId="40CAA73A">
            <w:pPr>
              <w:jc w:val="center"/>
              <w:rPr>
                <w:rFonts w:hint="eastAsia" w:ascii="宋体" w:hAnsi="宋体" w:cs="宋体"/>
                <w:color w:val="auto"/>
                <w:sz w:val="24"/>
                <w:highlight w:val="none"/>
              </w:rPr>
            </w:pPr>
          </w:p>
        </w:tc>
        <w:tc>
          <w:tcPr>
            <w:tcW w:w="1184" w:type="dxa"/>
            <w:vMerge w:val="continue"/>
            <w:noWrap w:val="0"/>
            <w:vAlign w:val="center"/>
          </w:tcPr>
          <w:p w14:paraId="350407E3">
            <w:pPr>
              <w:jc w:val="center"/>
              <w:rPr>
                <w:rFonts w:hint="eastAsia" w:ascii="宋体" w:hAnsi="宋体" w:cs="宋体"/>
                <w:color w:val="auto"/>
                <w:sz w:val="24"/>
                <w:highlight w:val="none"/>
              </w:rPr>
            </w:pPr>
          </w:p>
        </w:tc>
        <w:tc>
          <w:tcPr>
            <w:tcW w:w="1680" w:type="dxa"/>
            <w:gridSpan w:val="3"/>
            <w:noWrap w:val="0"/>
            <w:vAlign w:val="center"/>
          </w:tcPr>
          <w:p w14:paraId="62CF749A">
            <w:pPr>
              <w:jc w:val="center"/>
              <w:rPr>
                <w:rFonts w:hint="eastAsia" w:ascii="宋体" w:hAnsi="宋体" w:cs="宋体"/>
                <w:color w:val="auto"/>
                <w:sz w:val="24"/>
                <w:highlight w:val="none"/>
              </w:rPr>
            </w:pPr>
            <w:r>
              <w:rPr>
                <w:rFonts w:hint="eastAsia" w:ascii="宋体" w:hAnsi="宋体" w:cs="宋体"/>
                <w:color w:val="auto"/>
                <w:sz w:val="24"/>
                <w:highlight w:val="none"/>
              </w:rPr>
              <w:t>高级职称人员</w:t>
            </w:r>
          </w:p>
        </w:tc>
        <w:tc>
          <w:tcPr>
            <w:tcW w:w="2384" w:type="dxa"/>
            <w:gridSpan w:val="2"/>
            <w:noWrap w:val="0"/>
            <w:vAlign w:val="center"/>
          </w:tcPr>
          <w:p w14:paraId="7D223D8B">
            <w:pPr>
              <w:jc w:val="center"/>
              <w:rPr>
                <w:rFonts w:hint="eastAsia" w:ascii="宋体" w:hAnsi="宋体" w:cs="宋体"/>
                <w:color w:val="auto"/>
                <w:sz w:val="24"/>
                <w:highlight w:val="none"/>
              </w:rPr>
            </w:pPr>
          </w:p>
        </w:tc>
      </w:tr>
      <w:tr w14:paraId="6547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10C68F20">
            <w:pPr>
              <w:jc w:val="center"/>
              <w:rPr>
                <w:rFonts w:hint="eastAsia" w:ascii="宋体" w:hAnsi="宋体" w:cs="宋体"/>
                <w:color w:val="auto"/>
                <w:sz w:val="24"/>
                <w:highlight w:val="none"/>
              </w:rPr>
            </w:pPr>
            <w:r>
              <w:rPr>
                <w:rFonts w:hint="eastAsia" w:ascii="宋体" w:hAnsi="宋体" w:cs="宋体"/>
                <w:color w:val="auto"/>
                <w:sz w:val="24"/>
                <w:highlight w:val="none"/>
              </w:rPr>
              <w:t>注册资金</w:t>
            </w:r>
          </w:p>
        </w:tc>
        <w:tc>
          <w:tcPr>
            <w:tcW w:w="2093" w:type="dxa"/>
            <w:gridSpan w:val="2"/>
            <w:noWrap w:val="0"/>
            <w:vAlign w:val="center"/>
          </w:tcPr>
          <w:p w14:paraId="19D39287">
            <w:pPr>
              <w:jc w:val="center"/>
              <w:rPr>
                <w:rFonts w:hint="eastAsia" w:ascii="宋体" w:hAnsi="宋体" w:cs="宋体"/>
                <w:color w:val="auto"/>
                <w:sz w:val="24"/>
                <w:highlight w:val="none"/>
              </w:rPr>
            </w:pPr>
          </w:p>
        </w:tc>
        <w:tc>
          <w:tcPr>
            <w:tcW w:w="1184" w:type="dxa"/>
            <w:vMerge w:val="continue"/>
            <w:noWrap w:val="0"/>
            <w:vAlign w:val="center"/>
          </w:tcPr>
          <w:p w14:paraId="06C353AB">
            <w:pPr>
              <w:jc w:val="center"/>
              <w:rPr>
                <w:rFonts w:hint="eastAsia" w:ascii="宋体" w:hAnsi="宋体" w:cs="宋体"/>
                <w:color w:val="auto"/>
                <w:sz w:val="24"/>
                <w:highlight w:val="none"/>
              </w:rPr>
            </w:pPr>
          </w:p>
        </w:tc>
        <w:tc>
          <w:tcPr>
            <w:tcW w:w="1680" w:type="dxa"/>
            <w:gridSpan w:val="3"/>
            <w:noWrap w:val="0"/>
            <w:vAlign w:val="center"/>
          </w:tcPr>
          <w:p w14:paraId="5E7244FC">
            <w:pPr>
              <w:jc w:val="center"/>
              <w:rPr>
                <w:rFonts w:hint="eastAsia" w:ascii="宋体" w:hAnsi="宋体" w:cs="宋体"/>
                <w:color w:val="auto"/>
                <w:sz w:val="24"/>
                <w:highlight w:val="none"/>
              </w:rPr>
            </w:pPr>
            <w:r>
              <w:rPr>
                <w:rFonts w:hint="eastAsia" w:ascii="宋体" w:hAnsi="宋体" w:cs="宋体"/>
                <w:color w:val="auto"/>
                <w:sz w:val="24"/>
                <w:highlight w:val="none"/>
              </w:rPr>
              <w:t>中级职称人员</w:t>
            </w:r>
          </w:p>
        </w:tc>
        <w:tc>
          <w:tcPr>
            <w:tcW w:w="2384" w:type="dxa"/>
            <w:gridSpan w:val="2"/>
            <w:noWrap w:val="0"/>
            <w:vAlign w:val="center"/>
          </w:tcPr>
          <w:p w14:paraId="2B413013">
            <w:pPr>
              <w:jc w:val="center"/>
              <w:rPr>
                <w:rFonts w:hint="eastAsia" w:ascii="宋体" w:hAnsi="宋体" w:cs="宋体"/>
                <w:color w:val="auto"/>
                <w:sz w:val="24"/>
                <w:highlight w:val="none"/>
              </w:rPr>
            </w:pPr>
          </w:p>
        </w:tc>
      </w:tr>
      <w:tr w14:paraId="4BE4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90B056A">
            <w:pPr>
              <w:jc w:val="center"/>
              <w:rPr>
                <w:rFonts w:hint="eastAsia" w:ascii="宋体" w:hAnsi="宋体" w:cs="宋体"/>
                <w:color w:val="auto"/>
                <w:sz w:val="24"/>
                <w:highlight w:val="none"/>
              </w:rPr>
            </w:pPr>
            <w:r>
              <w:rPr>
                <w:rFonts w:hint="eastAsia" w:ascii="宋体" w:hAnsi="宋体" w:cs="宋体"/>
                <w:color w:val="auto"/>
                <w:sz w:val="24"/>
                <w:highlight w:val="none"/>
              </w:rPr>
              <w:t>开户银行</w:t>
            </w:r>
          </w:p>
        </w:tc>
        <w:tc>
          <w:tcPr>
            <w:tcW w:w="2093" w:type="dxa"/>
            <w:gridSpan w:val="2"/>
            <w:noWrap w:val="0"/>
            <w:vAlign w:val="center"/>
          </w:tcPr>
          <w:p w14:paraId="4D6661D5">
            <w:pPr>
              <w:jc w:val="center"/>
              <w:rPr>
                <w:rFonts w:hint="eastAsia" w:ascii="宋体" w:hAnsi="宋体" w:cs="宋体"/>
                <w:color w:val="auto"/>
                <w:sz w:val="24"/>
                <w:highlight w:val="none"/>
              </w:rPr>
            </w:pPr>
          </w:p>
        </w:tc>
        <w:tc>
          <w:tcPr>
            <w:tcW w:w="1184" w:type="dxa"/>
            <w:vMerge w:val="continue"/>
            <w:noWrap w:val="0"/>
            <w:vAlign w:val="center"/>
          </w:tcPr>
          <w:p w14:paraId="37C3EDD0">
            <w:pPr>
              <w:jc w:val="center"/>
              <w:rPr>
                <w:rFonts w:hint="eastAsia" w:ascii="宋体" w:hAnsi="宋体" w:cs="宋体"/>
                <w:color w:val="auto"/>
                <w:sz w:val="24"/>
                <w:highlight w:val="none"/>
              </w:rPr>
            </w:pPr>
          </w:p>
        </w:tc>
        <w:tc>
          <w:tcPr>
            <w:tcW w:w="1680" w:type="dxa"/>
            <w:gridSpan w:val="3"/>
            <w:noWrap w:val="0"/>
            <w:vAlign w:val="center"/>
          </w:tcPr>
          <w:p w14:paraId="69129DD1">
            <w:pPr>
              <w:jc w:val="center"/>
              <w:rPr>
                <w:rFonts w:hint="eastAsia" w:ascii="宋体" w:hAnsi="宋体" w:cs="宋体"/>
                <w:color w:val="auto"/>
                <w:sz w:val="24"/>
                <w:highlight w:val="none"/>
              </w:rPr>
            </w:pPr>
            <w:r>
              <w:rPr>
                <w:rFonts w:hint="eastAsia" w:ascii="宋体" w:hAnsi="宋体" w:cs="宋体"/>
                <w:color w:val="auto"/>
                <w:sz w:val="24"/>
                <w:highlight w:val="none"/>
              </w:rPr>
              <w:t>初级职称人员</w:t>
            </w:r>
          </w:p>
        </w:tc>
        <w:tc>
          <w:tcPr>
            <w:tcW w:w="2384" w:type="dxa"/>
            <w:gridSpan w:val="2"/>
            <w:noWrap w:val="0"/>
            <w:vAlign w:val="center"/>
          </w:tcPr>
          <w:p w14:paraId="4B47A877">
            <w:pPr>
              <w:jc w:val="center"/>
              <w:rPr>
                <w:rFonts w:hint="eastAsia" w:ascii="宋体" w:hAnsi="宋体" w:cs="宋体"/>
                <w:color w:val="auto"/>
                <w:sz w:val="24"/>
                <w:highlight w:val="none"/>
              </w:rPr>
            </w:pPr>
          </w:p>
        </w:tc>
      </w:tr>
      <w:tr w14:paraId="1A17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6A1BD87">
            <w:pPr>
              <w:jc w:val="center"/>
              <w:rPr>
                <w:rFonts w:hint="eastAsia" w:ascii="宋体" w:hAnsi="宋体" w:cs="宋体"/>
                <w:color w:val="auto"/>
                <w:sz w:val="24"/>
                <w:highlight w:val="none"/>
              </w:rPr>
            </w:pPr>
            <w:r>
              <w:rPr>
                <w:rFonts w:hint="eastAsia" w:ascii="宋体" w:hAnsi="宋体" w:cs="宋体"/>
                <w:color w:val="auto"/>
                <w:sz w:val="24"/>
                <w:highlight w:val="none"/>
              </w:rPr>
              <w:t>账号</w:t>
            </w:r>
          </w:p>
        </w:tc>
        <w:tc>
          <w:tcPr>
            <w:tcW w:w="2093" w:type="dxa"/>
            <w:gridSpan w:val="2"/>
            <w:noWrap w:val="0"/>
            <w:vAlign w:val="center"/>
          </w:tcPr>
          <w:p w14:paraId="1E5634A0">
            <w:pPr>
              <w:jc w:val="center"/>
              <w:rPr>
                <w:rFonts w:hint="eastAsia" w:ascii="宋体" w:hAnsi="宋体" w:cs="宋体"/>
                <w:color w:val="auto"/>
                <w:sz w:val="24"/>
                <w:highlight w:val="none"/>
              </w:rPr>
            </w:pPr>
          </w:p>
        </w:tc>
        <w:tc>
          <w:tcPr>
            <w:tcW w:w="1184" w:type="dxa"/>
            <w:vMerge w:val="continue"/>
            <w:noWrap w:val="0"/>
            <w:vAlign w:val="center"/>
          </w:tcPr>
          <w:p w14:paraId="74014F74">
            <w:pPr>
              <w:jc w:val="center"/>
              <w:rPr>
                <w:rFonts w:hint="eastAsia" w:ascii="宋体" w:hAnsi="宋体" w:cs="宋体"/>
                <w:color w:val="auto"/>
                <w:sz w:val="24"/>
                <w:highlight w:val="none"/>
              </w:rPr>
            </w:pPr>
          </w:p>
        </w:tc>
        <w:tc>
          <w:tcPr>
            <w:tcW w:w="1680" w:type="dxa"/>
            <w:gridSpan w:val="3"/>
            <w:noWrap w:val="0"/>
            <w:vAlign w:val="center"/>
          </w:tcPr>
          <w:p w14:paraId="53A5CBD7">
            <w:pPr>
              <w:jc w:val="center"/>
              <w:rPr>
                <w:rFonts w:hint="eastAsia" w:ascii="宋体" w:hAnsi="宋体" w:cs="宋体"/>
                <w:color w:val="auto"/>
                <w:sz w:val="24"/>
                <w:highlight w:val="none"/>
              </w:rPr>
            </w:pPr>
            <w:r>
              <w:rPr>
                <w:rFonts w:hint="eastAsia" w:ascii="宋体" w:hAnsi="宋体" w:cs="宋体"/>
                <w:color w:val="auto"/>
                <w:sz w:val="24"/>
                <w:highlight w:val="none"/>
              </w:rPr>
              <w:t>技  工</w:t>
            </w:r>
          </w:p>
        </w:tc>
        <w:tc>
          <w:tcPr>
            <w:tcW w:w="2384" w:type="dxa"/>
            <w:gridSpan w:val="2"/>
            <w:noWrap w:val="0"/>
            <w:vAlign w:val="center"/>
          </w:tcPr>
          <w:p w14:paraId="2133EE3C">
            <w:pPr>
              <w:jc w:val="center"/>
              <w:rPr>
                <w:rFonts w:hint="eastAsia" w:ascii="宋体" w:hAnsi="宋体" w:cs="宋体"/>
                <w:color w:val="auto"/>
                <w:sz w:val="24"/>
                <w:highlight w:val="none"/>
              </w:rPr>
            </w:pPr>
          </w:p>
        </w:tc>
      </w:tr>
      <w:tr w14:paraId="00D8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626" w:type="dxa"/>
            <w:noWrap w:val="0"/>
            <w:vAlign w:val="center"/>
          </w:tcPr>
          <w:p w14:paraId="22B27605">
            <w:pPr>
              <w:jc w:val="center"/>
              <w:rPr>
                <w:rFonts w:hint="eastAsia" w:ascii="宋体" w:hAnsi="宋体" w:cs="宋体"/>
                <w:color w:val="auto"/>
                <w:sz w:val="24"/>
                <w:highlight w:val="none"/>
              </w:rPr>
            </w:pPr>
            <w:r>
              <w:rPr>
                <w:rFonts w:hint="eastAsia" w:ascii="宋体" w:hAnsi="宋体" w:cs="宋体"/>
                <w:color w:val="auto"/>
                <w:sz w:val="24"/>
                <w:highlight w:val="none"/>
              </w:rPr>
              <w:t>经营范围</w:t>
            </w:r>
          </w:p>
        </w:tc>
        <w:tc>
          <w:tcPr>
            <w:tcW w:w="7341" w:type="dxa"/>
            <w:gridSpan w:val="8"/>
            <w:noWrap w:val="0"/>
            <w:vAlign w:val="center"/>
          </w:tcPr>
          <w:p w14:paraId="6B7ECDEF">
            <w:pPr>
              <w:jc w:val="center"/>
              <w:rPr>
                <w:rFonts w:hint="eastAsia" w:ascii="宋体" w:hAnsi="宋体" w:cs="宋体"/>
                <w:color w:val="auto"/>
                <w:sz w:val="24"/>
                <w:highlight w:val="none"/>
              </w:rPr>
            </w:pPr>
          </w:p>
        </w:tc>
      </w:tr>
      <w:tr w14:paraId="695B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4F71B941">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c>
          <w:tcPr>
            <w:tcW w:w="7341" w:type="dxa"/>
            <w:gridSpan w:val="8"/>
            <w:noWrap w:val="0"/>
            <w:vAlign w:val="center"/>
          </w:tcPr>
          <w:p w14:paraId="7AB86CC3">
            <w:pPr>
              <w:jc w:val="center"/>
              <w:rPr>
                <w:rFonts w:hint="eastAsia" w:ascii="宋体" w:hAnsi="宋体" w:cs="宋体"/>
                <w:color w:val="auto"/>
                <w:sz w:val="24"/>
                <w:highlight w:val="none"/>
              </w:rPr>
            </w:pPr>
          </w:p>
        </w:tc>
      </w:tr>
    </w:tbl>
    <w:p w14:paraId="0B16F852">
      <w:pPr>
        <w:spacing w:line="360" w:lineRule="auto"/>
        <w:contextualSpacing/>
        <w:rPr>
          <w:rFonts w:hint="eastAsia" w:ascii="宋体" w:hAnsi="宋体" w:cs="宋体"/>
          <w:color w:val="auto"/>
          <w:highlight w:val="none"/>
        </w:rPr>
      </w:pPr>
    </w:p>
    <w:p w14:paraId="36013184">
      <w:pPr>
        <w:pStyle w:val="24"/>
        <w:rPr>
          <w:rFonts w:hint="eastAsia" w:ascii="宋体" w:hAnsi="宋体" w:cs="宋体"/>
          <w:color w:val="auto"/>
          <w:highlight w:val="none"/>
        </w:rPr>
      </w:pPr>
    </w:p>
    <w:p w14:paraId="6CA69189">
      <w:pPr>
        <w:snapToGrid w:val="0"/>
        <w:spacing w:line="360" w:lineRule="auto"/>
        <w:ind w:left="4410" w:leftChars="2100" w:firstLine="6480" w:firstLineChars="27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供供应商名称（电子签章）：</w:t>
      </w:r>
    </w:p>
    <w:p w14:paraId="04177EF0">
      <w:pPr>
        <w:spacing w:line="500" w:lineRule="exact"/>
        <w:jc w:val="center"/>
        <w:rPr>
          <w:rFonts w:hint="eastAsia" w:ascii="宋体" w:hAnsi="宋体" w:cs="宋体"/>
          <w:color w:val="auto"/>
          <w:sz w:val="32"/>
          <w:szCs w:val="32"/>
          <w:highlight w:val="none"/>
        </w:rPr>
        <w:sectPr>
          <w:pgSz w:w="11911" w:h="16838"/>
          <w:pgMar w:top="1338" w:right="1502" w:bottom="850" w:left="1678" w:header="1077" w:footer="720" w:gutter="0"/>
          <w:cols w:space="720" w:num="1"/>
          <w:docGrid w:linePitch="1" w:charSpace="0"/>
        </w:sect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048E0B9">
      <w:pPr>
        <w:keepNext/>
        <w:keepLines/>
        <w:rPr>
          <w:rFonts w:hint="eastAsia" w:ascii="宋体" w:hAnsi="宋体" w:cs="宋体"/>
          <w:b/>
          <w:color w:val="auto"/>
          <w:sz w:val="30"/>
          <w:szCs w:val="30"/>
          <w:highlight w:val="none"/>
        </w:rPr>
      </w:pPr>
      <w:bookmarkStart w:id="75" w:name="_Toc13089"/>
      <w:r>
        <w:rPr>
          <w:rFonts w:hint="eastAsia" w:ascii="宋体" w:hAnsi="宋体" w:cs="宋体"/>
          <w:b/>
          <w:color w:val="auto"/>
          <w:sz w:val="30"/>
          <w:szCs w:val="30"/>
          <w:highlight w:val="none"/>
        </w:rPr>
        <w:t>六、施工组织设计</w:t>
      </w:r>
      <w:bookmarkEnd w:id="75"/>
    </w:p>
    <w:p w14:paraId="06B0F4C0">
      <w:pPr>
        <w:rPr>
          <w:rFonts w:hint="eastAsia" w:ascii="宋体" w:hAnsi="宋体" w:cs="宋体"/>
          <w:color w:val="auto"/>
          <w:highlight w:val="none"/>
        </w:rPr>
      </w:pPr>
    </w:p>
    <w:p w14:paraId="6AC31247">
      <w:pPr>
        <w:spacing w:line="46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施工组织设计</w:t>
      </w:r>
    </w:p>
    <w:p w14:paraId="2FDE010D">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256D98E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2.施工组织设计除采用文字表述外可附下列图表，图表及格式要求附后。</w:t>
      </w:r>
    </w:p>
    <w:p w14:paraId="41C46AFF">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附表一  拟投入本工程的主要施工设备表</w:t>
      </w:r>
    </w:p>
    <w:p w14:paraId="6E60ADB8">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附表二  拟配备本工程的试验和检测仪器设备表</w:t>
      </w:r>
    </w:p>
    <w:p w14:paraId="38ED90E6">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附表三  劳动力计划表</w:t>
      </w:r>
    </w:p>
    <w:p w14:paraId="70BA6167">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附表四  计划开、竣工日期和施工进度网络图</w:t>
      </w:r>
    </w:p>
    <w:p w14:paraId="0F785546">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附表五  施工总平面图</w:t>
      </w:r>
    </w:p>
    <w:p w14:paraId="0347DD10">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附表六  临时用地表</w:t>
      </w:r>
    </w:p>
    <w:p w14:paraId="69D58443">
      <w:pPr>
        <w:spacing w:line="460" w:lineRule="exact"/>
        <w:ind w:firstLine="480" w:firstLineChars="200"/>
        <w:rPr>
          <w:rFonts w:hint="eastAsia" w:ascii="宋体" w:hAnsi="宋体" w:cs="宋体"/>
          <w:color w:val="auto"/>
          <w:sz w:val="24"/>
          <w:highlight w:val="none"/>
        </w:rPr>
      </w:pPr>
    </w:p>
    <w:p w14:paraId="57245362">
      <w:pPr>
        <w:ind w:firstLine="482" w:firstLineChars="200"/>
        <w:rPr>
          <w:rFonts w:hint="eastAsia" w:ascii="宋体" w:hAnsi="宋体" w:cs="宋体"/>
          <w:b/>
          <w:bCs/>
          <w:color w:val="auto"/>
          <w:szCs w:val="21"/>
          <w:highlight w:val="none"/>
        </w:rPr>
      </w:pPr>
      <w:r>
        <w:rPr>
          <w:rFonts w:hint="eastAsia" w:ascii="宋体" w:hAnsi="宋体" w:cs="宋体"/>
          <w:b/>
          <w:bCs/>
          <w:color w:val="auto"/>
          <w:sz w:val="24"/>
          <w:highlight w:val="none"/>
        </w:rPr>
        <w:t>附表一：拟投入本工程的主要施工设备表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86"/>
        <w:gridCol w:w="893"/>
        <w:gridCol w:w="743"/>
        <w:gridCol w:w="744"/>
        <w:gridCol w:w="893"/>
        <w:gridCol w:w="1190"/>
        <w:gridCol w:w="1041"/>
        <w:gridCol w:w="1190"/>
        <w:gridCol w:w="1041"/>
      </w:tblGrid>
      <w:tr w14:paraId="55EA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95" w:type="dxa"/>
            <w:noWrap w:val="0"/>
            <w:vAlign w:val="center"/>
          </w:tcPr>
          <w:p w14:paraId="1AA7BE20">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286" w:type="dxa"/>
            <w:noWrap w:val="0"/>
            <w:vAlign w:val="center"/>
          </w:tcPr>
          <w:p w14:paraId="72D415DC">
            <w:pPr>
              <w:jc w:val="center"/>
              <w:rPr>
                <w:rFonts w:hint="eastAsia" w:ascii="宋体" w:hAnsi="宋体" w:cs="宋体"/>
                <w:color w:val="auto"/>
                <w:sz w:val="24"/>
                <w:highlight w:val="none"/>
              </w:rPr>
            </w:pPr>
            <w:r>
              <w:rPr>
                <w:rFonts w:hint="eastAsia" w:ascii="宋体" w:hAnsi="宋体" w:cs="宋体"/>
                <w:color w:val="auto"/>
                <w:sz w:val="24"/>
                <w:highlight w:val="none"/>
              </w:rPr>
              <w:t>设备名称</w:t>
            </w:r>
          </w:p>
        </w:tc>
        <w:tc>
          <w:tcPr>
            <w:tcW w:w="893" w:type="dxa"/>
            <w:noWrap w:val="0"/>
            <w:vAlign w:val="center"/>
          </w:tcPr>
          <w:p w14:paraId="6090C4C8">
            <w:pPr>
              <w:jc w:val="center"/>
              <w:rPr>
                <w:rFonts w:hint="eastAsia" w:ascii="宋体" w:hAnsi="宋体" w:cs="宋体"/>
                <w:color w:val="auto"/>
                <w:sz w:val="24"/>
                <w:highlight w:val="none"/>
              </w:rPr>
            </w:pPr>
            <w:r>
              <w:rPr>
                <w:rFonts w:hint="eastAsia" w:ascii="宋体" w:hAnsi="宋体" w:cs="宋体"/>
                <w:color w:val="auto"/>
                <w:sz w:val="24"/>
                <w:highlight w:val="none"/>
              </w:rPr>
              <w:t>型号</w:t>
            </w:r>
          </w:p>
          <w:p w14:paraId="46BD5BA7">
            <w:pPr>
              <w:jc w:val="center"/>
              <w:rPr>
                <w:rFonts w:hint="eastAsia" w:ascii="宋体" w:hAnsi="宋体" w:cs="宋体"/>
                <w:color w:val="auto"/>
                <w:sz w:val="24"/>
                <w:highlight w:val="none"/>
              </w:rPr>
            </w:pPr>
            <w:r>
              <w:rPr>
                <w:rFonts w:hint="eastAsia" w:ascii="宋体" w:hAnsi="宋体" w:cs="宋体"/>
                <w:color w:val="auto"/>
                <w:sz w:val="24"/>
                <w:highlight w:val="none"/>
              </w:rPr>
              <w:t>规格</w:t>
            </w:r>
          </w:p>
        </w:tc>
        <w:tc>
          <w:tcPr>
            <w:tcW w:w="743" w:type="dxa"/>
            <w:noWrap w:val="0"/>
            <w:vAlign w:val="center"/>
          </w:tcPr>
          <w:p w14:paraId="0D10293A">
            <w:pPr>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744" w:type="dxa"/>
            <w:noWrap w:val="0"/>
            <w:vAlign w:val="center"/>
          </w:tcPr>
          <w:p w14:paraId="12B4DAE7">
            <w:pPr>
              <w:jc w:val="center"/>
              <w:rPr>
                <w:rFonts w:hint="eastAsia" w:ascii="宋体" w:hAnsi="宋体" w:cs="宋体"/>
                <w:color w:val="auto"/>
                <w:sz w:val="24"/>
                <w:highlight w:val="none"/>
              </w:rPr>
            </w:pPr>
            <w:r>
              <w:rPr>
                <w:rFonts w:hint="eastAsia" w:ascii="宋体" w:hAnsi="宋体" w:cs="宋体"/>
                <w:color w:val="auto"/>
                <w:sz w:val="24"/>
                <w:highlight w:val="none"/>
              </w:rPr>
              <w:t>国别</w:t>
            </w:r>
          </w:p>
          <w:p w14:paraId="5A0D3E1B">
            <w:pPr>
              <w:jc w:val="center"/>
              <w:rPr>
                <w:rFonts w:hint="eastAsia" w:ascii="宋体" w:hAnsi="宋体" w:cs="宋体"/>
                <w:color w:val="auto"/>
                <w:sz w:val="24"/>
                <w:highlight w:val="none"/>
              </w:rPr>
            </w:pPr>
            <w:r>
              <w:rPr>
                <w:rFonts w:hint="eastAsia" w:ascii="宋体" w:hAnsi="宋体" w:cs="宋体"/>
                <w:color w:val="auto"/>
                <w:sz w:val="24"/>
                <w:highlight w:val="none"/>
              </w:rPr>
              <w:t>产地</w:t>
            </w:r>
          </w:p>
        </w:tc>
        <w:tc>
          <w:tcPr>
            <w:tcW w:w="893" w:type="dxa"/>
            <w:noWrap w:val="0"/>
            <w:vAlign w:val="center"/>
          </w:tcPr>
          <w:p w14:paraId="5D597039">
            <w:pPr>
              <w:jc w:val="center"/>
              <w:rPr>
                <w:rFonts w:hint="eastAsia" w:ascii="宋体" w:hAnsi="宋体" w:cs="宋体"/>
                <w:color w:val="auto"/>
                <w:sz w:val="24"/>
                <w:highlight w:val="none"/>
              </w:rPr>
            </w:pPr>
            <w:r>
              <w:rPr>
                <w:rFonts w:hint="eastAsia" w:ascii="宋体" w:hAnsi="宋体" w:cs="宋体"/>
                <w:color w:val="auto"/>
                <w:sz w:val="24"/>
                <w:highlight w:val="none"/>
              </w:rPr>
              <w:t>制造</w:t>
            </w:r>
          </w:p>
          <w:p w14:paraId="32589455">
            <w:pPr>
              <w:jc w:val="center"/>
              <w:rPr>
                <w:rFonts w:hint="eastAsia" w:ascii="宋体" w:hAnsi="宋体" w:cs="宋体"/>
                <w:color w:val="auto"/>
                <w:sz w:val="24"/>
                <w:highlight w:val="none"/>
              </w:rPr>
            </w:pPr>
            <w:r>
              <w:rPr>
                <w:rFonts w:hint="eastAsia" w:ascii="宋体" w:hAnsi="宋体" w:cs="宋体"/>
                <w:color w:val="auto"/>
                <w:sz w:val="24"/>
                <w:highlight w:val="none"/>
              </w:rPr>
              <w:t>年份</w:t>
            </w:r>
          </w:p>
        </w:tc>
        <w:tc>
          <w:tcPr>
            <w:tcW w:w="1190" w:type="dxa"/>
            <w:noWrap w:val="0"/>
            <w:vAlign w:val="center"/>
          </w:tcPr>
          <w:p w14:paraId="0E6BFF71">
            <w:pPr>
              <w:jc w:val="center"/>
              <w:rPr>
                <w:rFonts w:hint="eastAsia" w:ascii="宋体" w:hAnsi="宋体" w:cs="宋体"/>
                <w:color w:val="auto"/>
                <w:sz w:val="24"/>
                <w:highlight w:val="none"/>
              </w:rPr>
            </w:pPr>
            <w:r>
              <w:rPr>
                <w:rFonts w:hint="eastAsia" w:ascii="宋体" w:hAnsi="宋体" w:cs="宋体"/>
                <w:color w:val="auto"/>
                <w:sz w:val="24"/>
                <w:highlight w:val="none"/>
              </w:rPr>
              <w:t>额定功率</w:t>
            </w:r>
          </w:p>
          <w:p w14:paraId="21324024">
            <w:pPr>
              <w:jc w:val="center"/>
              <w:rPr>
                <w:rFonts w:hint="eastAsia" w:ascii="宋体" w:hAnsi="宋体" w:cs="宋体"/>
                <w:color w:val="auto"/>
                <w:sz w:val="24"/>
                <w:highlight w:val="none"/>
              </w:rPr>
            </w:pPr>
            <w:r>
              <w:rPr>
                <w:rFonts w:hint="eastAsia" w:ascii="宋体" w:hAnsi="宋体" w:cs="宋体"/>
                <w:color w:val="auto"/>
                <w:sz w:val="24"/>
                <w:highlight w:val="none"/>
              </w:rPr>
              <w:t>（kW）</w:t>
            </w:r>
          </w:p>
        </w:tc>
        <w:tc>
          <w:tcPr>
            <w:tcW w:w="1041" w:type="dxa"/>
            <w:noWrap w:val="0"/>
            <w:vAlign w:val="center"/>
          </w:tcPr>
          <w:p w14:paraId="57961DD4">
            <w:pPr>
              <w:jc w:val="center"/>
              <w:rPr>
                <w:rFonts w:hint="eastAsia" w:ascii="宋体" w:hAnsi="宋体" w:cs="宋体"/>
                <w:color w:val="auto"/>
                <w:sz w:val="24"/>
                <w:highlight w:val="none"/>
              </w:rPr>
            </w:pPr>
            <w:r>
              <w:rPr>
                <w:rFonts w:hint="eastAsia" w:ascii="宋体" w:hAnsi="宋体" w:cs="宋体"/>
                <w:color w:val="auto"/>
                <w:sz w:val="24"/>
                <w:highlight w:val="none"/>
              </w:rPr>
              <w:t>生产</w:t>
            </w:r>
          </w:p>
          <w:p w14:paraId="2C18F3FE">
            <w:pPr>
              <w:jc w:val="center"/>
              <w:rPr>
                <w:rFonts w:hint="eastAsia" w:ascii="宋体" w:hAnsi="宋体" w:cs="宋体"/>
                <w:color w:val="auto"/>
                <w:sz w:val="24"/>
                <w:highlight w:val="none"/>
              </w:rPr>
            </w:pPr>
            <w:r>
              <w:rPr>
                <w:rFonts w:hint="eastAsia" w:ascii="宋体" w:hAnsi="宋体" w:cs="宋体"/>
                <w:color w:val="auto"/>
                <w:sz w:val="24"/>
                <w:highlight w:val="none"/>
              </w:rPr>
              <w:t>能力</w:t>
            </w:r>
          </w:p>
        </w:tc>
        <w:tc>
          <w:tcPr>
            <w:tcW w:w="1190" w:type="dxa"/>
            <w:noWrap w:val="0"/>
            <w:vAlign w:val="center"/>
          </w:tcPr>
          <w:p w14:paraId="6ADAFE0A">
            <w:pPr>
              <w:jc w:val="center"/>
              <w:rPr>
                <w:rFonts w:hint="eastAsia" w:ascii="宋体" w:hAnsi="宋体" w:cs="宋体"/>
                <w:color w:val="auto"/>
                <w:sz w:val="24"/>
                <w:highlight w:val="none"/>
              </w:rPr>
            </w:pPr>
            <w:r>
              <w:rPr>
                <w:rFonts w:hint="eastAsia" w:ascii="宋体" w:hAnsi="宋体" w:cs="宋体"/>
                <w:color w:val="auto"/>
                <w:sz w:val="24"/>
                <w:highlight w:val="none"/>
              </w:rPr>
              <w:t>用于施</w:t>
            </w:r>
          </w:p>
          <w:p w14:paraId="2AC8E90C">
            <w:pPr>
              <w:jc w:val="center"/>
              <w:rPr>
                <w:rFonts w:hint="eastAsia" w:ascii="宋体" w:hAnsi="宋体" w:cs="宋体"/>
                <w:color w:val="auto"/>
                <w:sz w:val="24"/>
                <w:highlight w:val="none"/>
              </w:rPr>
            </w:pPr>
            <w:r>
              <w:rPr>
                <w:rFonts w:hint="eastAsia" w:ascii="宋体" w:hAnsi="宋体" w:cs="宋体"/>
                <w:color w:val="auto"/>
                <w:sz w:val="24"/>
                <w:highlight w:val="none"/>
              </w:rPr>
              <w:t>工部位</w:t>
            </w:r>
          </w:p>
        </w:tc>
        <w:tc>
          <w:tcPr>
            <w:tcW w:w="1041" w:type="dxa"/>
            <w:noWrap w:val="0"/>
            <w:vAlign w:val="center"/>
          </w:tcPr>
          <w:p w14:paraId="07A79ED2">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29A2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noWrap w:val="0"/>
            <w:vAlign w:val="top"/>
          </w:tcPr>
          <w:p w14:paraId="1B60A2BC">
            <w:pPr>
              <w:spacing w:line="360" w:lineRule="auto"/>
              <w:rPr>
                <w:rFonts w:hint="eastAsia" w:ascii="宋体" w:hAnsi="宋体" w:cs="宋体"/>
                <w:color w:val="auto"/>
                <w:sz w:val="24"/>
                <w:highlight w:val="none"/>
              </w:rPr>
            </w:pPr>
          </w:p>
        </w:tc>
        <w:tc>
          <w:tcPr>
            <w:tcW w:w="1286" w:type="dxa"/>
            <w:noWrap w:val="0"/>
            <w:vAlign w:val="top"/>
          </w:tcPr>
          <w:p w14:paraId="158A0981">
            <w:pPr>
              <w:spacing w:line="360" w:lineRule="auto"/>
              <w:ind w:firstLine="480" w:firstLineChars="200"/>
              <w:rPr>
                <w:rFonts w:hint="eastAsia" w:ascii="宋体" w:hAnsi="宋体" w:cs="宋体"/>
                <w:color w:val="auto"/>
                <w:sz w:val="24"/>
                <w:highlight w:val="none"/>
              </w:rPr>
            </w:pPr>
          </w:p>
        </w:tc>
        <w:tc>
          <w:tcPr>
            <w:tcW w:w="893" w:type="dxa"/>
            <w:noWrap w:val="0"/>
            <w:vAlign w:val="top"/>
          </w:tcPr>
          <w:p w14:paraId="52E9DFE8">
            <w:pPr>
              <w:spacing w:line="360" w:lineRule="auto"/>
              <w:rPr>
                <w:rFonts w:hint="eastAsia" w:ascii="宋体" w:hAnsi="宋体" w:cs="宋体"/>
                <w:color w:val="auto"/>
                <w:sz w:val="24"/>
                <w:highlight w:val="none"/>
              </w:rPr>
            </w:pPr>
          </w:p>
        </w:tc>
        <w:tc>
          <w:tcPr>
            <w:tcW w:w="743" w:type="dxa"/>
            <w:noWrap w:val="0"/>
            <w:vAlign w:val="top"/>
          </w:tcPr>
          <w:p w14:paraId="5B98B815">
            <w:pPr>
              <w:spacing w:line="360" w:lineRule="auto"/>
              <w:rPr>
                <w:rFonts w:hint="eastAsia" w:ascii="宋体" w:hAnsi="宋体" w:cs="宋体"/>
                <w:color w:val="auto"/>
                <w:sz w:val="24"/>
                <w:highlight w:val="none"/>
              </w:rPr>
            </w:pPr>
          </w:p>
        </w:tc>
        <w:tc>
          <w:tcPr>
            <w:tcW w:w="744" w:type="dxa"/>
            <w:noWrap w:val="0"/>
            <w:vAlign w:val="top"/>
          </w:tcPr>
          <w:p w14:paraId="558EEF2B">
            <w:pPr>
              <w:spacing w:line="360" w:lineRule="auto"/>
              <w:rPr>
                <w:rFonts w:hint="eastAsia" w:ascii="宋体" w:hAnsi="宋体" w:cs="宋体"/>
                <w:color w:val="auto"/>
                <w:sz w:val="24"/>
                <w:highlight w:val="none"/>
              </w:rPr>
            </w:pPr>
          </w:p>
        </w:tc>
        <w:tc>
          <w:tcPr>
            <w:tcW w:w="893" w:type="dxa"/>
            <w:noWrap w:val="0"/>
            <w:vAlign w:val="top"/>
          </w:tcPr>
          <w:p w14:paraId="7E980AA1">
            <w:pPr>
              <w:spacing w:line="360" w:lineRule="auto"/>
              <w:rPr>
                <w:rFonts w:hint="eastAsia" w:ascii="宋体" w:hAnsi="宋体" w:cs="宋体"/>
                <w:color w:val="auto"/>
                <w:sz w:val="24"/>
                <w:highlight w:val="none"/>
              </w:rPr>
            </w:pPr>
          </w:p>
        </w:tc>
        <w:tc>
          <w:tcPr>
            <w:tcW w:w="1190" w:type="dxa"/>
            <w:noWrap w:val="0"/>
            <w:vAlign w:val="top"/>
          </w:tcPr>
          <w:p w14:paraId="2D0BACA7">
            <w:pPr>
              <w:spacing w:line="360" w:lineRule="auto"/>
              <w:rPr>
                <w:rFonts w:hint="eastAsia" w:ascii="宋体" w:hAnsi="宋体" w:cs="宋体"/>
                <w:color w:val="auto"/>
                <w:sz w:val="24"/>
                <w:highlight w:val="none"/>
              </w:rPr>
            </w:pPr>
          </w:p>
        </w:tc>
        <w:tc>
          <w:tcPr>
            <w:tcW w:w="1041" w:type="dxa"/>
            <w:noWrap w:val="0"/>
            <w:vAlign w:val="top"/>
          </w:tcPr>
          <w:p w14:paraId="55567EAC">
            <w:pPr>
              <w:spacing w:line="360" w:lineRule="auto"/>
              <w:rPr>
                <w:rFonts w:hint="eastAsia" w:ascii="宋体" w:hAnsi="宋体" w:cs="宋体"/>
                <w:color w:val="auto"/>
                <w:sz w:val="24"/>
                <w:highlight w:val="none"/>
              </w:rPr>
            </w:pPr>
          </w:p>
        </w:tc>
        <w:tc>
          <w:tcPr>
            <w:tcW w:w="1190" w:type="dxa"/>
            <w:noWrap w:val="0"/>
            <w:vAlign w:val="top"/>
          </w:tcPr>
          <w:p w14:paraId="381E3500">
            <w:pPr>
              <w:spacing w:line="360" w:lineRule="auto"/>
              <w:rPr>
                <w:rFonts w:hint="eastAsia" w:ascii="宋体" w:hAnsi="宋体" w:cs="宋体"/>
                <w:color w:val="auto"/>
                <w:sz w:val="24"/>
                <w:highlight w:val="none"/>
              </w:rPr>
            </w:pPr>
          </w:p>
        </w:tc>
        <w:tc>
          <w:tcPr>
            <w:tcW w:w="1041" w:type="dxa"/>
            <w:noWrap w:val="0"/>
            <w:vAlign w:val="top"/>
          </w:tcPr>
          <w:p w14:paraId="17739D3C">
            <w:pPr>
              <w:spacing w:line="360" w:lineRule="auto"/>
              <w:rPr>
                <w:rFonts w:hint="eastAsia" w:ascii="宋体" w:hAnsi="宋体" w:cs="宋体"/>
                <w:color w:val="auto"/>
                <w:sz w:val="24"/>
                <w:highlight w:val="none"/>
              </w:rPr>
            </w:pPr>
          </w:p>
        </w:tc>
      </w:tr>
      <w:tr w14:paraId="39D2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noWrap w:val="0"/>
            <w:vAlign w:val="top"/>
          </w:tcPr>
          <w:p w14:paraId="38FA9F0F">
            <w:pPr>
              <w:spacing w:line="360" w:lineRule="auto"/>
              <w:rPr>
                <w:rFonts w:hint="eastAsia" w:ascii="宋体" w:hAnsi="宋体" w:cs="宋体"/>
                <w:color w:val="auto"/>
                <w:sz w:val="24"/>
                <w:highlight w:val="none"/>
              </w:rPr>
            </w:pPr>
          </w:p>
        </w:tc>
        <w:tc>
          <w:tcPr>
            <w:tcW w:w="1286" w:type="dxa"/>
            <w:noWrap w:val="0"/>
            <w:vAlign w:val="top"/>
          </w:tcPr>
          <w:p w14:paraId="68C1AA12">
            <w:pPr>
              <w:spacing w:line="360" w:lineRule="auto"/>
              <w:rPr>
                <w:rFonts w:hint="eastAsia" w:ascii="宋体" w:hAnsi="宋体" w:cs="宋体"/>
                <w:color w:val="auto"/>
                <w:sz w:val="24"/>
                <w:highlight w:val="none"/>
              </w:rPr>
            </w:pPr>
          </w:p>
        </w:tc>
        <w:tc>
          <w:tcPr>
            <w:tcW w:w="893" w:type="dxa"/>
            <w:noWrap w:val="0"/>
            <w:vAlign w:val="top"/>
          </w:tcPr>
          <w:p w14:paraId="3207EED4">
            <w:pPr>
              <w:spacing w:line="360" w:lineRule="auto"/>
              <w:rPr>
                <w:rFonts w:hint="eastAsia" w:ascii="宋体" w:hAnsi="宋体" w:cs="宋体"/>
                <w:color w:val="auto"/>
                <w:sz w:val="24"/>
                <w:highlight w:val="none"/>
              </w:rPr>
            </w:pPr>
          </w:p>
        </w:tc>
        <w:tc>
          <w:tcPr>
            <w:tcW w:w="743" w:type="dxa"/>
            <w:noWrap w:val="0"/>
            <w:vAlign w:val="top"/>
          </w:tcPr>
          <w:p w14:paraId="09A21EB9">
            <w:pPr>
              <w:spacing w:line="360" w:lineRule="auto"/>
              <w:rPr>
                <w:rFonts w:hint="eastAsia" w:ascii="宋体" w:hAnsi="宋体" w:cs="宋体"/>
                <w:color w:val="auto"/>
                <w:sz w:val="24"/>
                <w:highlight w:val="none"/>
              </w:rPr>
            </w:pPr>
          </w:p>
        </w:tc>
        <w:tc>
          <w:tcPr>
            <w:tcW w:w="744" w:type="dxa"/>
            <w:noWrap w:val="0"/>
            <w:vAlign w:val="top"/>
          </w:tcPr>
          <w:p w14:paraId="6614610F">
            <w:pPr>
              <w:spacing w:line="360" w:lineRule="auto"/>
              <w:rPr>
                <w:rFonts w:hint="eastAsia" w:ascii="宋体" w:hAnsi="宋体" w:cs="宋体"/>
                <w:color w:val="auto"/>
                <w:sz w:val="24"/>
                <w:highlight w:val="none"/>
              </w:rPr>
            </w:pPr>
          </w:p>
        </w:tc>
        <w:tc>
          <w:tcPr>
            <w:tcW w:w="893" w:type="dxa"/>
            <w:noWrap w:val="0"/>
            <w:vAlign w:val="top"/>
          </w:tcPr>
          <w:p w14:paraId="335F0F66">
            <w:pPr>
              <w:spacing w:line="360" w:lineRule="auto"/>
              <w:rPr>
                <w:rFonts w:hint="eastAsia" w:ascii="宋体" w:hAnsi="宋体" w:cs="宋体"/>
                <w:color w:val="auto"/>
                <w:sz w:val="24"/>
                <w:highlight w:val="none"/>
              </w:rPr>
            </w:pPr>
          </w:p>
        </w:tc>
        <w:tc>
          <w:tcPr>
            <w:tcW w:w="1190" w:type="dxa"/>
            <w:noWrap w:val="0"/>
            <w:vAlign w:val="top"/>
          </w:tcPr>
          <w:p w14:paraId="1D3E6EDD">
            <w:pPr>
              <w:spacing w:line="360" w:lineRule="auto"/>
              <w:rPr>
                <w:rFonts w:hint="eastAsia" w:ascii="宋体" w:hAnsi="宋体" w:cs="宋体"/>
                <w:color w:val="auto"/>
                <w:sz w:val="24"/>
                <w:highlight w:val="none"/>
              </w:rPr>
            </w:pPr>
          </w:p>
        </w:tc>
        <w:tc>
          <w:tcPr>
            <w:tcW w:w="1041" w:type="dxa"/>
            <w:noWrap w:val="0"/>
            <w:vAlign w:val="top"/>
          </w:tcPr>
          <w:p w14:paraId="615E0C4F">
            <w:pPr>
              <w:spacing w:line="360" w:lineRule="auto"/>
              <w:rPr>
                <w:rFonts w:hint="eastAsia" w:ascii="宋体" w:hAnsi="宋体" w:cs="宋体"/>
                <w:color w:val="auto"/>
                <w:sz w:val="24"/>
                <w:highlight w:val="none"/>
              </w:rPr>
            </w:pPr>
          </w:p>
        </w:tc>
        <w:tc>
          <w:tcPr>
            <w:tcW w:w="1190" w:type="dxa"/>
            <w:noWrap w:val="0"/>
            <w:vAlign w:val="top"/>
          </w:tcPr>
          <w:p w14:paraId="7718D37D">
            <w:pPr>
              <w:spacing w:line="360" w:lineRule="auto"/>
              <w:rPr>
                <w:rFonts w:hint="eastAsia" w:ascii="宋体" w:hAnsi="宋体" w:cs="宋体"/>
                <w:color w:val="auto"/>
                <w:sz w:val="24"/>
                <w:highlight w:val="none"/>
              </w:rPr>
            </w:pPr>
          </w:p>
        </w:tc>
        <w:tc>
          <w:tcPr>
            <w:tcW w:w="1041" w:type="dxa"/>
            <w:noWrap w:val="0"/>
            <w:vAlign w:val="top"/>
          </w:tcPr>
          <w:p w14:paraId="1AA98530">
            <w:pPr>
              <w:spacing w:line="360" w:lineRule="auto"/>
              <w:rPr>
                <w:rFonts w:hint="eastAsia" w:ascii="宋体" w:hAnsi="宋体" w:cs="宋体"/>
                <w:color w:val="auto"/>
                <w:sz w:val="24"/>
                <w:highlight w:val="none"/>
              </w:rPr>
            </w:pPr>
          </w:p>
        </w:tc>
      </w:tr>
      <w:tr w14:paraId="62A5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noWrap w:val="0"/>
            <w:vAlign w:val="top"/>
          </w:tcPr>
          <w:p w14:paraId="1A11761D">
            <w:pPr>
              <w:spacing w:line="360" w:lineRule="auto"/>
              <w:rPr>
                <w:rFonts w:hint="eastAsia" w:ascii="宋体" w:hAnsi="宋体" w:cs="宋体"/>
                <w:color w:val="auto"/>
                <w:sz w:val="24"/>
                <w:highlight w:val="none"/>
              </w:rPr>
            </w:pPr>
          </w:p>
        </w:tc>
        <w:tc>
          <w:tcPr>
            <w:tcW w:w="1286" w:type="dxa"/>
            <w:noWrap w:val="0"/>
            <w:vAlign w:val="top"/>
          </w:tcPr>
          <w:p w14:paraId="08FFBE97">
            <w:pPr>
              <w:spacing w:line="360" w:lineRule="auto"/>
              <w:rPr>
                <w:rFonts w:hint="eastAsia" w:ascii="宋体" w:hAnsi="宋体" w:cs="宋体"/>
                <w:color w:val="auto"/>
                <w:sz w:val="24"/>
                <w:highlight w:val="none"/>
              </w:rPr>
            </w:pPr>
          </w:p>
        </w:tc>
        <w:tc>
          <w:tcPr>
            <w:tcW w:w="893" w:type="dxa"/>
            <w:noWrap w:val="0"/>
            <w:vAlign w:val="top"/>
          </w:tcPr>
          <w:p w14:paraId="3B0D6331">
            <w:pPr>
              <w:spacing w:line="360" w:lineRule="auto"/>
              <w:rPr>
                <w:rFonts w:hint="eastAsia" w:ascii="宋体" w:hAnsi="宋体" w:cs="宋体"/>
                <w:color w:val="auto"/>
                <w:sz w:val="24"/>
                <w:highlight w:val="none"/>
              </w:rPr>
            </w:pPr>
          </w:p>
        </w:tc>
        <w:tc>
          <w:tcPr>
            <w:tcW w:w="743" w:type="dxa"/>
            <w:noWrap w:val="0"/>
            <w:vAlign w:val="top"/>
          </w:tcPr>
          <w:p w14:paraId="5F4744DF">
            <w:pPr>
              <w:spacing w:line="360" w:lineRule="auto"/>
              <w:rPr>
                <w:rFonts w:hint="eastAsia" w:ascii="宋体" w:hAnsi="宋体" w:cs="宋体"/>
                <w:color w:val="auto"/>
                <w:sz w:val="24"/>
                <w:highlight w:val="none"/>
              </w:rPr>
            </w:pPr>
          </w:p>
        </w:tc>
        <w:tc>
          <w:tcPr>
            <w:tcW w:w="744" w:type="dxa"/>
            <w:noWrap w:val="0"/>
            <w:vAlign w:val="top"/>
          </w:tcPr>
          <w:p w14:paraId="1BFA92D3">
            <w:pPr>
              <w:spacing w:line="360" w:lineRule="auto"/>
              <w:rPr>
                <w:rFonts w:hint="eastAsia" w:ascii="宋体" w:hAnsi="宋体" w:cs="宋体"/>
                <w:color w:val="auto"/>
                <w:sz w:val="24"/>
                <w:highlight w:val="none"/>
              </w:rPr>
            </w:pPr>
          </w:p>
        </w:tc>
        <w:tc>
          <w:tcPr>
            <w:tcW w:w="893" w:type="dxa"/>
            <w:noWrap w:val="0"/>
            <w:vAlign w:val="top"/>
          </w:tcPr>
          <w:p w14:paraId="3F3C5021">
            <w:pPr>
              <w:spacing w:line="360" w:lineRule="auto"/>
              <w:rPr>
                <w:rFonts w:hint="eastAsia" w:ascii="宋体" w:hAnsi="宋体" w:cs="宋体"/>
                <w:color w:val="auto"/>
                <w:sz w:val="24"/>
                <w:highlight w:val="none"/>
              </w:rPr>
            </w:pPr>
          </w:p>
        </w:tc>
        <w:tc>
          <w:tcPr>
            <w:tcW w:w="1190" w:type="dxa"/>
            <w:noWrap w:val="0"/>
            <w:vAlign w:val="top"/>
          </w:tcPr>
          <w:p w14:paraId="5DC234F8">
            <w:pPr>
              <w:spacing w:line="360" w:lineRule="auto"/>
              <w:rPr>
                <w:rFonts w:hint="eastAsia" w:ascii="宋体" w:hAnsi="宋体" w:cs="宋体"/>
                <w:color w:val="auto"/>
                <w:sz w:val="24"/>
                <w:highlight w:val="none"/>
              </w:rPr>
            </w:pPr>
          </w:p>
        </w:tc>
        <w:tc>
          <w:tcPr>
            <w:tcW w:w="1041" w:type="dxa"/>
            <w:noWrap w:val="0"/>
            <w:vAlign w:val="top"/>
          </w:tcPr>
          <w:p w14:paraId="4391F88B">
            <w:pPr>
              <w:spacing w:line="360" w:lineRule="auto"/>
              <w:rPr>
                <w:rFonts w:hint="eastAsia" w:ascii="宋体" w:hAnsi="宋体" w:cs="宋体"/>
                <w:color w:val="auto"/>
                <w:sz w:val="24"/>
                <w:highlight w:val="none"/>
              </w:rPr>
            </w:pPr>
          </w:p>
        </w:tc>
        <w:tc>
          <w:tcPr>
            <w:tcW w:w="1190" w:type="dxa"/>
            <w:noWrap w:val="0"/>
            <w:vAlign w:val="top"/>
          </w:tcPr>
          <w:p w14:paraId="6E28FCEE">
            <w:pPr>
              <w:spacing w:line="360" w:lineRule="auto"/>
              <w:rPr>
                <w:rFonts w:hint="eastAsia" w:ascii="宋体" w:hAnsi="宋体" w:cs="宋体"/>
                <w:color w:val="auto"/>
                <w:sz w:val="24"/>
                <w:highlight w:val="none"/>
              </w:rPr>
            </w:pPr>
          </w:p>
        </w:tc>
        <w:tc>
          <w:tcPr>
            <w:tcW w:w="1041" w:type="dxa"/>
            <w:noWrap w:val="0"/>
            <w:vAlign w:val="top"/>
          </w:tcPr>
          <w:p w14:paraId="4AE71B99">
            <w:pPr>
              <w:spacing w:line="360" w:lineRule="auto"/>
              <w:rPr>
                <w:rFonts w:hint="eastAsia" w:ascii="宋体" w:hAnsi="宋体" w:cs="宋体"/>
                <w:color w:val="auto"/>
                <w:sz w:val="24"/>
                <w:highlight w:val="none"/>
              </w:rPr>
            </w:pPr>
          </w:p>
        </w:tc>
      </w:tr>
      <w:tr w14:paraId="703B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noWrap w:val="0"/>
            <w:vAlign w:val="top"/>
          </w:tcPr>
          <w:p w14:paraId="3E147F63">
            <w:pPr>
              <w:spacing w:line="360" w:lineRule="auto"/>
              <w:rPr>
                <w:rFonts w:hint="eastAsia" w:ascii="宋体" w:hAnsi="宋体" w:cs="宋体"/>
                <w:color w:val="auto"/>
                <w:sz w:val="24"/>
                <w:highlight w:val="none"/>
              </w:rPr>
            </w:pPr>
          </w:p>
        </w:tc>
        <w:tc>
          <w:tcPr>
            <w:tcW w:w="1286" w:type="dxa"/>
            <w:noWrap w:val="0"/>
            <w:vAlign w:val="top"/>
          </w:tcPr>
          <w:p w14:paraId="13EA22F3">
            <w:pPr>
              <w:spacing w:line="360" w:lineRule="auto"/>
              <w:rPr>
                <w:rFonts w:hint="eastAsia" w:ascii="宋体" w:hAnsi="宋体" w:cs="宋体"/>
                <w:color w:val="auto"/>
                <w:sz w:val="24"/>
                <w:highlight w:val="none"/>
              </w:rPr>
            </w:pPr>
          </w:p>
        </w:tc>
        <w:tc>
          <w:tcPr>
            <w:tcW w:w="893" w:type="dxa"/>
            <w:noWrap w:val="0"/>
            <w:vAlign w:val="top"/>
          </w:tcPr>
          <w:p w14:paraId="7A880AB2">
            <w:pPr>
              <w:spacing w:line="360" w:lineRule="auto"/>
              <w:rPr>
                <w:rFonts w:hint="eastAsia" w:ascii="宋体" w:hAnsi="宋体" w:cs="宋体"/>
                <w:color w:val="auto"/>
                <w:sz w:val="24"/>
                <w:highlight w:val="none"/>
              </w:rPr>
            </w:pPr>
          </w:p>
        </w:tc>
        <w:tc>
          <w:tcPr>
            <w:tcW w:w="743" w:type="dxa"/>
            <w:noWrap w:val="0"/>
            <w:vAlign w:val="top"/>
          </w:tcPr>
          <w:p w14:paraId="0643D124">
            <w:pPr>
              <w:spacing w:line="360" w:lineRule="auto"/>
              <w:rPr>
                <w:rFonts w:hint="eastAsia" w:ascii="宋体" w:hAnsi="宋体" w:cs="宋体"/>
                <w:color w:val="auto"/>
                <w:sz w:val="24"/>
                <w:highlight w:val="none"/>
              </w:rPr>
            </w:pPr>
          </w:p>
        </w:tc>
        <w:tc>
          <w:tcPr>
            <w:tcW w:w="744" w:type="dxa"/>
            <w:noWrap w:val="0"/>
            <w:vAlign w:val="top"/>
          </w:tcPr>
          <w:p w14:paraId="138B41B1">
            <w:pPr>
              <w:spacing w:line="360" w:lineRule="auto"/>
              <w:rPr>
                <w:rFonts w:hint="eastAsia" w:ascii="宋体" w:hAnsi="宋体" w:cs="宋体"/>
                <w:color w:val="auto"/>
                <w:sz w:val="24"/>
                <w:highlight w:val="none"/>
              </w:rPr>
            </w:pPr>
          </w:p>
        </w:tc>
        <w:tc>
          <w:tcPr>
            <w:tcW w:w="893" w:type="dxa"/>
            <w:noWrap w:val="0"/>
            <w:vAlign w:val="top"/>
          </w:tcPr>
          <w:p w14:paraId="6EFC3DE8">
            <w:pPr>
              <w:spacing w:line="360" w:lineRule="auto"/>
              <w:rPr>
                <w:rFonts w:hint="eastAsia" w:ascii="宋体" w:hAnsi="宋体" w:cs="宋体"/>
                <w:color w:val="auto"/>
                <w:sz w:val="24"/>
                <w:highlight w:val="none"/>
              </w:rPr>
            </w:pPr>
          </w:p>
        </w:tc>
        <w:tc>
          <w:tcPr>
            <w:tcW w:w="1190" w:type="dxa"/>
            <w:noWrap w:val="0"/>
            <w:vAlign w:val="top"/>
          </w:tcPr>
          <w:p w14:paraId="39B4CD86">
            <w:pPr>
              <w:spacing w:line="360" w:lineRule="auto"/>
              <w:rPr>
                <w:rFonts w:hint="eastAsia" w:ascii="宋体" w:hAnsi="宋体" w:cs="宋体"/>
                <w:color w:val="auto"/>
                <w:sz w:val="24"/>
                <w:highlight w:val="none"/>
              </w:rPr>
            </w:pPr>
          </w:p>
        </w:tc>
        <w:tc>
          <w:tcPr>
            <w:tcW w:w="1041" w:type="dxa"/>
            <w:noWrap w:val="0"/>
            <w:vAlign w:val="top"/>
          </w:tcPr>
          <w:p w14:paraId="406307EC">
            <w:pPr>
              <w:spacing w:line="360" w:lineRule="auto"/>
              <w:rPr>
                <w:rFonts w:hint="eastAsia" w:ascii="宋体" w:hAnsi="宋体" w:cs="宋体"/>
                <w:color w:val="auto"/>
                <w:sz w:val="24"/>
                <w:highlight w:val="none"/>
              </w:rPr>
            </w:pPr>
          </w:p>
        </w:tc>
        <w:tc>
          <w:tcPr>
            <w:tcW w:w="1190" w:type="dxa"/>
            <w:noWrap w:val="0"/>
            <w:vAlign w:val="top"/>
          </w:tcPr>
          <w:p w14:paraId="7D01F94D">
            <w:pPr>
              <w:spacing w:line="360" w:lineRule="auto"/>
              <w:rPr>
                <w:rFonts w:hint="eastAsia" w:ascii="宋体" w:hAnsi="宋体" w:cs="宋体"/>
                <w:color w:val="auto"/>
                <w:sz w:val="24"/>
                <w:highlight w:val="none"/>
              </w:rPr>
            </w:pPr>
          </w:p>
        </w:tc>
        <w:tc>
          <w:tcPr>
            <w:tcW w:w="1041" w:type="dxa"/>
            <w:noWrap w:val="0"/>
            <w:vAlign w:val="top"/>
          </w:tcPr>
          <w:p w14:paraId="61BCEF7A">
            <w:pPr>
              <w:spacing w:line="360" w:lineRule="auto"/>
              <w:rPr>
                <w:rFonts w:hint="eastAsia" w:ascii="宋体" w:hAnsi="宋体" w:cs="宋体"/>
                <w:color w:val="auto"/>
                <w:sz w:val="24"/>
                <w:highlight w:val="none"/>
              </w:rPr>
            </w:pPr>
          </w:p>
        </w:tc>
      </w:tr>
      <w:tr w14:paraId="6996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5" w:type="dxa"/>
            <w:noWrap w:val="0"/>
            <w:vAlign w:val="top"/>
          </w:tcPr>
          <w:p w14:paraId="3AC48D2C">
            <w:pPr>
              <w:spacing w:line="360" w:lineRule="auto"/>
              <w:rPr>
                <w:rFonts w:hint="eastAsia" w:ascii="宋体" w:hAnsi="宋体" w:cs="宋体"/>
                <w:color w:val="auto"/>
                <w:sz w:val="24"/>
                <w:highlight w:val="none"/>
              </w:rPr>
            </w:pPr>
          </w:p>
        </w:tc>
        <w:tc>
          <w:tcPr>
            <w:tcW w:w="1286" w:type="dxa"/>
            <w:noWrap w:val="0"/>
            <w:vAlign w:val="top"/>
          </w:tcPr>
          <w:p w14:paraId="3B3E377A">
            <w:pPr>
              <w:spacing w:line="360" w:lineRule="auto"/>
              <w:rPr>
                <w:rFonts w:hint="eastAsia" w:ascii="宋体" w:hAnsi="宋体" w:cs="宋体"/>
                <w:color w:val="auto"/>
                <w:sz w:val="24"/>
                <w:highlight w:val="none"/>
              </w:rPr>
            </w:pPr>
          </w:p>
        </w:tc>
        <w:tc>
          <w:tcPr>
            <w:tcW w:w="893" w:type="dxa"/>
            <w:noWrap w:val="0"/>
            <w:vAlign w:val="top"/>
          </w:tcPr>
          <w:p w14:paraId="23B333E4">
            <w:pPr>
              <w:spacing w:line="360" w:lineRule="auto"/>
              <w:rPr>
                <w:rFonts w:hint="eastAsia" w:ascii="宋体" w:hAnsi="宋体" w:cs="宋体"/>
                <w:color w:val="auto"/>
                <w:sz w:val="24"/>
                <w:highlight w:val="none"/>
              </w:rPr>
            </w:pPr>
          </w:p>
        </w:tc>
        <w:tc>
          <w:tcPr>
            <w:tcW w:w="743" w:type="dxa"/>
            <w:noWrap w:val="0"/>
            <w:vAlign w:val="top"/>
          </w:tcPr>
          <w:p w14:paraId="6246D0BF">
            <w:pPr>
              <w:spacing w:line="360" w:lineRule="auto"/>
              <w:rPr>
                <w:rFonts w:hint="eastAsia" w:ascii="宋体" w:hAnsi="宋体" w:cs="宋体"/>
                <w:color w:val="auto"/>
                <w:sz w:val="24"/>
                <w:highlight w:val="none"/>
              </w:rPr>
            </w:pPr>
          </w:p>
        </w:tc>
        <w:tc>
          <w:tcPr>
            <w:tcW w:w="744" w:type="dxa"/>
            <w:noWrap w:val="0"/>
            <w:vAlign w:val="top"/>
          </w:tcPr>
          <w:p w14:paraId="6B5424B7">
            <w:pPr>
              <w:spacing w:line="360" w:lineRule="auto"/>
              <w:rPr>
                <w:rFonts w:hint="eastAsia" w:ascii="宋体" w:hAnsi="宋体" w:cs="宋体"/>
                <w:color w:val="auto"/>
                <w:sz w:val="24"/>
                <w:highlight w:val="none"/>
              </w:rPr>
            </w:pPr>
          </w:p>
        </w:tc>
        <w:tc>
          <w:tcPr>
            <w:tcW w:w="893" w:type="dxa"/>
            <w:noWrap w:val="0"/>
            <w:vAlign w:val="top"/>
          </w:tcPr>
          <w:p w14:paraId="1F402767">
            <w:pPr>
              <w:spacing w:line="360" w:lineRule="auto"/>
              <w:rPr>
                <w:rFonts w:hint="eastAsia" w:ascii="宋体" w:hAnsi="宋体" w:cs="宋体"/>
                <w:color w:val="auto"/>
                <w:sz w:val="24"/>
                <w:highlight w:val="none"/>
              </w:rPr>
            </w:pPr>
          </w:p>
        </w:tc>
        <w:tc>
          <w:tcPr>
            <w:tcW w:w="1190" w:type="dxa"/>
            <w:noWrap w:val="0"/>
            <w:vAlign w:val="top"/>
          </w:tcPr>
          <w:p w14:paraId="66B0D513">
            <w:pPr>
              <w:spacing w:line="360" w:lineRule="auto"/>
              <w:rPr>
                <w:rFonts w:hint="eastAsia" w:ascii="宋体" w:hAnsi="宋体" w:cs="宋体"/>
                <w:color w:val="auto"/>
                <w:sz w:val="24"/>
                <w:highlight w:val="none"/>
              </w:rPr>
            </w:pPr>
          </w:p>
        </w:tc>
        <w:tc>
          <w:tcPr>
            <w:tcW w:w="1041" w:type="dxa"/>
            <w:noWrap w:val="0"/>
            <w:vAlign w:val="top"/>
          </w:tcPr>
          <w:p w14:paraId="1F6F764E">
            <w:pPr>
              <w:spacing w:line="360" w:lineRule="auto"/>
              <w:rPr>
                <w:rFonts w:hint="eastAsia" w:ascii="宋体" w:hAnsi="宋体" w:cs="宋体"/>
                <w:color w:val="auto"/>
                <w:sz w:val="24"/>
                <w:highlight w:val="none"/>
              </w:rPr>
            </w:pPr>
          </w:p>
        </w:tc>
        <w:tc>
          <w:tcPr>
            <w:tcW w:w="1190" w:type="dxa"/>
            <w:noWrap w:val="0"/>
            <w:vAlign w:val="top"/>
          </w:tcPr>
          <w:p w14:paraId="67C1601A">
            <w:pPr>
              <w:spacing w:line="360" w:lineRule="auto"/>
              <w:rPr>
                <w:rFonts w:hint="eastAsia" w:ascii="宋体" w:hAnsi="宋体" w:cs="宋体"/>
                <w:color w:val="auto"/>
                <w:sz w:val="24"/>
                <w:highlight w:val="none"/>
              </w:rPr>
            </w:pPr>
          </w:p>
        </w:tc>
        <w:tc>
          <w:tcPr>
            <w:tcW w:w="1041" w:type="dxa"/>
            <w:noWrap w:val="0"/>
            <w:vAlign w:val="top"/>
          </w:tcPr>
          <w:p w14:paraId="05AD86F9">
            <w:pPr>
              <w:spacing w:line="360" w:lineRule="auto"/>
              <w:rPr>
                <w:rFonts w:hint="eastAsia" w:ascii="宋体" w:hAnsi="宋体" w:cs="宋体"/>
                <w:color w:val="auto"/>
                <w:sz w:val="24"/>
                <w:highlight w:val="none"/>
              </w:rPr>
            </w:pPr>
          </w:p>
        </w:tc>
      </w:tr>
    </w:tbl>
    <w:p w14:paraId="0E37C2BF">
      <w:pPr>
        <w:rPr>
          <w:rFonts w:hint="eastAsia" w:ascii="宋体" w:hAnsi="宋体" w:cs="宋体"/>
          <w:color w:val="auto"/>
          <w:szCs w:val="21"/>
          <w:highlight w:val="none"/>
        </w:rPr>
      </w:pPr>
    </w:p>
    <w:p w14:paraId="4EDFC2D6">
      <w:pPr>
        <w:ind w:firstLine="420" w:firstLineChars="200"/>
        <w:rPr>
          <w:rFonts w:hint="eastAsia" w:ascii="宋体" w:hAnsi="宋体" w:cs="宋体"/>
          <w:color w:val="auto"/>
          <w:szCs w:val="21"/>
          <w:highlight w:val="none"/>
        </w:rPr>
      </w:pPr>
    </w:p>
    <w:p w14:paraId="7DA1095D">
      <w:pPr>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附表二：拟配备本工程的试验和检测仪器设备表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755"/>
        <w:gridCol w:w="750"/>
        <w:gridCol w:w="705"/>
        <w:gridCol w:w="855"/>
        <w:gridCol w:w="1185"/>
        <w:gridCol w:w="1530"/>
        <w:gridCol w:w="1094"/>
        <w:gridCol w:w="1095"/>
      </w:tblGrid>
      <w:tr w14:paraId="5F02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718F22CA">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755" w:type="dxa"/>
            <w:noWrap w:val="0"/>
            <w:vAlign w:val="center"/>
          </w:tcPr>
          <w:p w14:paraId="36F0E92D">
            <w:pPr>
              <w:jc w:val="center"/>
              <w:rPr>
                <w:rFonts w:hint="eastAsia" w:ascii="宋体" w:hAnsi="宋体" w:cs="宋体"/>
                <w:color w:val="auto"/>
                <w:sz w:val="24"/>
                <w:highlight w:val="none"/>
              </w:rPr>
            </w:pPr>
            <w:r>
              <w:rPr>
                <w:rFonts w:hint="eastAsia" w:ascii="宋体" w:hAnsi="宋体" w:cs="宋体"/>
                <w:color w:val="auto"/>
                <w:sz w:val="24"/>
                <w:highlight w:val="none"/>
              </w:rPr>
              <w:t>仪器设备名称</w:t>
            </w:r>
          </w:p>
        </w:tc>
        <w:tc>
          <w:tcPr>
            <w:tcW w:w="750" w:type="dxa"/>
            <w:noWrap w:val="0"/>
            <w:vAlign w:val="center"/>
          </w:tcPr>
          <w:p w14:paraId="50A1C667">
            <w:pPr>
              <w:jc w:val="center"/>
              <w:rPr>
                <w:rFonts w:hint="eastAsia" w:ascii="宋体" w:hAnsi="宋体" w:cs="宋体"/>
                <w:color w:val="auto"/>
                <w:sz w:val="24"/>
                <w:highlight w:val="none"/>
              </w:rPr>
            </w:pPr>
            <w:r>
              <w:rPr>
                <w:rFonts w:hint="eastAsia" w:ascii="宋体" w:hAnsi="宋体" w:cs="宋体"/>
                <w:color w:val="auto"/>
                <w:sz w:val="24"/>
                <w:highlight w:val="none"/>
              </w:rPr>
              <w:t>型号</w:t>
            </w:r>
          </w:p>
          <w:p w14:paraId="3930DDA8">
            <w:pPr>
              <w:jc w:val="center"/>
              <w:rPr>
                <w:rFonts w:hint="eastAsia" w:ascii="宋体" w:hAnsi="宋体" w:cs="宋体"/>
                <w:color w:val="auto"/>
                <w:sz w:val="24"/>
                <w:highlight w:val="none"/>
              </w:rPr>
            </w:pPr>
            <w:r>
              <w:rPr>
                <w:rFonts w:hint="eastAsia" w:ascii="宋体" w:hAnsi="宋体" w:cs="宋体"/>
                <w:color w:val="auto"/>
                <w:sz w:val="24"/>
                <w:highlight w:val="none"/>
              </w:rPr>
              <w:t>规格</w:t>
            </w:r>
          </w:p>
        </w:tc>
        <w:tc>
          <w:tcPr>
            <w:tcW w:w="705" w:type="dxa"/>
            <w:noWrap w:val="0"/>
            <w:vAlign w:val="center"/>
          </w:tcPr>
          <w:p w14:paraId="296B5AB9">
            <w:pPr>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855" w:type="dxa"/>
            <w:noWrap w:val="0"/>
            <w:vAlign w:val="center"/>
          </w:tcPr>
          <w:p w14:paraId="223D3959">
            <w:pPr>
              <w:jc w:val="center"/>
              <w:rPr>
                <w:rFonts w:hint="eastAsia" w:ascii="宋体" w:hAnsi="宋体" w:cs="宋体"/>
                <w:color w:val="auto"/>
                <w:sz w:val="24"/>
                <w:highlight w:val="none"/>
              </w:rPr>
            </w:pPr>
            <w:r>
              <w:rPr>
                <w:rFonts w:hint="eastAsia" w:ascii="宋体" w:hAnsi="宋体" w:cs="宋体"/>
                <w:color w:val="auto"/>
                <w:sz w:val="24"/>
                <w:highlight w:val="none"/>
              </w:rPr>
              <w:t>国别</w:t>
            </w:r>
          </w:p>
          <w:p w14:paraId="42B155A3">
            <w:pPr>
              <w:jc w:val="center"/>
              <w:rPr>
                <w:rFonts w:hint="eastAsia" w:ascii="宋体" w:hAnsi="宋体" w:cs="宋体"/>
                <w:color w:val="auto"/>
                <w:sz w:val="24"/>
                <w:highlight w:val="none"/>
              </w:rPr>
            </w:pPr>
            <w:r>
              <w:rPr>
                <w:rFonts w:hint="eastAsia" w:ascii="宋体" w:hAnsi="宋体" w:cs="宋体"/>
                <w:color w:val="auto"/>
                <w:sz w:val="24"/>
                <w:highlight w:val="none"/>
              </w:rPr>
              <w:t>产地</w:t>
            </w:r>
          </w:p>
        </w:tc>
        <w:tc>
          <w:tcPr>
            <w:tcW w:w="1185" w:type="dxa"/>
            <w:noWrap w:val="0"/>
            <w:vAlign w:val="center"/>
          </w:tcPr>
          <w:p w14:paraId="58865AC6">
            <w:pPr>
              <w:jc w:val="center"/>
              <w:rPr>
                <w:rFonts w:hint="eastAsia" w:ascii="宋体" w:hAnsi="宋体" w:cs="宋体"/>
                <w:color w:val="auto"/>
                <w:sz w:val="24"/>
                <w:highlight w:val="none"/>
              </w:rPr>
            </w:pPr>
            <w:r>
              <w:rPr>
                <w:rFonts w:hint="eastAsia" w:ascii="宋体" w:hAnsi="宋体" w:cs="宋体"/>
                <w:color w:val="auto"/>
                <w:sz w:val="24"/>
                <w:highlight w:val="none"/>
              </w:rPr>
              <w:t>制造年份</w:t>
            </w:r>
          </w:p>
        </w:tc>
        <w:tc>
          <w:tcPr>
            <w:tcW w:w="1530" w:type="dxa"/>
            <w:noWrap w:val="0"/>
            <w:vAlign w:val="center"/>
          </w:tcPr>
          <w:p w14:paraId="37CA4A4D">
            <w:pPr>
              <w:jc w:val="center"/>
              <w:rPr>
                <w:rFonts w:hint="eastAsia" w:ascii="宋体" w:hAnsi="宋体" w:cs="宋体"/>
                <w:color w:val="auto"/>
                <w:sz w:val="24"/>
                <w:highlight w:val="none"/>
              </w:rPr>
            </w:pPr>
            <w:r>
              <w:rPr>
                <w:rFonts w:hint="eastAsia" w:ascii="宋体" w:hAnsi="宋体" w:cs="宋体"/>
                <w:color w:val="auto"/>
                <w:sz w:val="24"/>
                <w:highlight w:val="none"/>
              </w:rPr>
              <w:t>已使用</w:t>
            </w:r>
          </w:p>
          <w:p w14:paraId="12869360">
            <w:pPr>
              <w:jc w:val="center"/>
              <w:rPr>
                <w:rFonts w:hint="eastAsia" w:ascii="宋体" w:hAnsi="宋体" w:cs="宋体"/>
                <w:color w:val="auto"/>
                <w:sz w:val="24"/>
                <w:highlight w:val="none"/>
              </w:rPr>
            </w:pPr>
            <w:r>
              <w:rPr>
                <w:rFonts w:hint="eastAsia" w:ascii="宋体" w:hAnsi="宋体" w:cs="宋体"/>
                <w:color w:val="auto"/>
                <w:sz w:val="24"/>
                <w:highlight w:val="none"/>
              </w:rPr>
              <w:t>台时数</w:t>
            </w:r>
          </w:p>
        </w:tc>
        <w:tc>
          <w:tcPr>
            <w:tcW w:w="1094" w:type="dxa"/>
            <w:noWrap w:val="0"/>
            <w:vAlign w:val="center"/>
          </w:tcPr>
          <w:p w14:paraId="1ED3DC40">
            <w:pPr>
              <w:jc w:val="center"/>
              <w:rPr>
                <w:rFonts w:hint="eastAsia" w:ascii="宋体" w:hAnsi="宋体" w:cs="宋体"/>
                <w:color w:val="auto"/>
                <w:sz w:val="24"/>
                <w:highlight w:val="none"/>
              </w:rPr>
            </w:pPr>
            <w:r>
              <w:rPr>
                <w:rFonts w:hint="eastAsia" w:ascii="宋体" w:hAnsi="宋体" w:cs="宋体"/>
                <w:color w:val="auto"/>
                <w:sz w:val="24"/>
                <w:highlight w:val="none"/>
              </w:rPr>
              <w:t>用途</w:t>
            </w:r>
          </w:p>
        </w:tc>
        <w:tc>
          <w:tcPr>
            <w:tcW w:w="1095" w:type="dxa"/>
            <w:noWrap w:val="0"/>
            <w:vAlign w:val="center"/>
          </w:tcPr>
          <w:p w14:paraId="4B9C5E14">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5C4B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26E6B9B0">
            <w:pPr>
              <w:spacing w:line="360" w:lineRule="auto"/>
              <w:ind w:firstLine="480" w:firstLineChars="200"/>
              <w:rPr>
                <w:rFonts w:hint="eastAsia" w:ascii="宋体" w:hAnsi="宋体" w:cs="宋体"/>
                <w:color w:val="auto"/>
                <w:sz w:val="24"/>
                <w:highlight w:val="none"/>
              </w:rPr>
            </w:pPr>
          </w:p>
        </w:tc>
        <w:tc>
          <w:tcPr>
            <w:tcW w:w="1755" w:type="dxa"/>
            <w:noWrap w:val="0"/>
            <w:vAlign w:val="center"/>
          </w:tcPr>
          <w:p w14:paraId="3818AAC4">
            <w:pPr>
              <w:spacing w:line="360" w:lineRule="auto"/>
              <w:ind w:firstLine="480" w:firstLineChars="200"/>
              <w:rPr>
                <w:rFonts w:hint="eastAsia" w:ascii="宋体" w:hAnsi="宋体" w:cs="宋体"/>
                <w:color w:val="auto"/>
                <w:sz w:val="24"/>
                <w:highlight w:val="none"/>
              </w:rPr>
            </w:pPr>
          </w:p>
        </w:tc>
        <w:tc>
          <w:tcPr>
            <w:tcW w:w="750" w:type="dxa"/>
            <w:noWrap w:val="0"/>
            <w:vAlign w:val="center"/>
          </w:tcPr>
          <w:p w14:paraId="32A3F6E2">
            <w:pPr>
              <w:spacing w:line="360" w:lineRule="auto"/>
              <w:ind w:firstLine="480" w:firstLineChars="200"/>
              <w:rPr>
                <w:rFonts w:hint="eastAsia" w:ascii="宋体" w:hAnsi="宋体" w:cs="宋体"/>
                <w:color w:val="auto"/>
                <w:sz w:val="24"/>
                <w:highlight w:val="none"/>
              </w:rPr>
            </w:pPr>
          </w:p>
        </w:tc>
        <w:tc>
          <w:tcPr>
            <w:tcW w:w="705" w:type="dxa"/>
            <w:noWrap w:val="0"/>
            <w:vAlign w:val="center"/>
          </w:tcPr>
          <w:p w14:paraId="26CEECE2">
            <w:pPr>
              <w:spacing w:line="360" w:lineRule="auto"/>
              <w:ind w:firstLine="480" w:firstLineChars="200"/>
              <w:rPr>
                <w:rFonts w:hint="eastAsia" w:ascii="宋体" w:hAnsi="宋体" w:cs="宋体"/>
                <w:color w:val="auto"/>
                <w:sz w:val="24"/>
                <w:highlight w:val="none"/>
              </w:rPr>
            </w:pPr>
          </w:p>
        </w:tc>
        <w:tc>
          <w:tcPr>
            <w:tcW w:w="855" w:type="dxa"/>
            <w:noWrap w:val="0"/>
            <w:vAlign w:val="center"/>
          </w:tcPr>
          <w:p w14:paraId="38EB52A6">
            <w:pPr>
              <w:spacing w:line="360" w:lineRule="auto"/>
              <w:ind w:firstLine="480" w:firstLineChars="200"/>
              <w:rPr>
                <w:rFonts w:hint="eastAsia" w:ascii="宋体" w:hAnsi="宋体" w:cs="宋体"/>
                <w:color w:val="auto"/>
                <w:sz w:val="24"/>
                <w:highlight w:val="none"/>
              </w:rPr>
            </w:pPr>
          </w:p>
        </w:tc>
        <w:tc>
          <w:tcPr>
            <w:tcW w:w="1185" w:type="dxa"/>
            <w:noWrap w:val="0"/>
            <w:vAlign w:val="center"/>
          </w:tcPr>
          <w:p w14:paraId="38517A9C">
            <w:pPr>
              <w:spacing w:line="360" w:lineRule="auto"/>
              <w:ind w:firstLine="480" w:firstLineChars="200"/>
              <w:rPr>
                <w:rFonts w:hint="eastAsia" w:ascii="宋体" w:hAnsi="宋体" w:cs="宋体"/>
                <w:color w:val="auto"/>
                <w:sz w:val="24"/>
                <w:highlight w:val="none"/>
              </w:rPr>
            </w:pPr>
          </w:p>
        </w:tc>
        <w:tc>
          <w:tcPr>
            <w:tcW w:w="1530" w:type="dxa"/>
            <w:noWrap w:val="0"/>
            <w:vAlign w:val="center"/>
          </w:tcPr>
          <w:p w14:paraId="4E8B103C">
            <w:pPr>
              <w:spacing w:line="360" w:lineRule="auto"/>
              <w:ind w:firstLine="480" w:firstLineChars="200"/>
              <w:rPr>
                <w:rFonts w:hint="eastAsia" w:ascii="宋体" w:hAnsi="宋体" w:cs="宋体"/>
                <w:color w:val="auto"/>
                <w:sz w:val="24"/>
                <w:highlight w:val="none"/>
              </w:rPr>
            </w:pPr>
          </w:p>
        </w:tc>
        <w:tc>
          <w:tcPr>
            <w:tcW w:w="1094" w:type="dxa"/>
            <w:noWrap w:val="0"/>
            <w:vAlign w:val="center"/>
          </w:tcPr>
          <w:p w14:paraId="1EE185AB">
            <w:pPr>
              <w:spacing w:line="360" w:lineRule="auto"/>
              <w:ind w:firstLine="480" w:firstLineChars="200"/>
              <w:rPr>
                <w:rFonts w:hint="eastAsia" w:ascii="宋体" w:hAnsi="宋体" w:cs="宋体"/>
                <w:color w:val="auto"/>
                <w:sz w:val="24"/>
                <w:highlight w:val="none"/>
              </w:rPr>
            </w:pPr>
          </w:p>
        </w:tc>
        <w:tc>
          <w:tcPr>
            <w:tcW w:w="1095" w:type="dxa"/>
            <w:noWrap w:val="0"/>
            <w:vAlign w:val="center"/>
          </w:tcPr>
          <w:p w14:paraId="45454995">
            <w:pPr>
              <w:spacing w:line="360" w:lineRule="auto"/>
              <w:ind w:firstLine="480" w:firstLineChars="200"/>
              <w:rPr>
                <w:rFonts w:hint="eastAsia" w:ascii="宋体" w:hAnsi="宋体" w:cs="宋体"/>
                <w:color w:val="auto"/>
                <w:sz w:val="24"/>
                <w:highlight w:val="none"/>
              </w:rPr>
            </w:pPr>
          </w:p>
        </w:tc>
      </w:tr>
      <w:tr w14:paraId="2C36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1F100B43">
            <w:pPr>
              <w:spacing w:line="360" w:lineRule="auto"/>
              <w:ind w:firstLine="480" w:firstLineChars="200"/>
              <w:rPr>
                <w:rFonts w:hint="eastAsia" w:ascii="宋体" w:hAnsi="宋体" w:cs="宋体"/>
                <w:color w:val="auto"/>
                <w:sz w:val="24"/>
                <w:highlight w:val="none"/>
              </w:rPr>
            </w:pPr>
          </w:p>
        </w:tc>
        <w:tc>
          <w:tcPr>
            <w:tcW w:w="1755" w:type="dxa"/>
            <w:noWrap w:val="0"/>
            <w:vAlign w:val="center"/>
          </w:tcPr>
          <w:p w14:paraId="6F1DC311">
            <w:pPr>
              <w:spacing w:line="360" w:lineRule="auto"/>
              <w:ind w:firstLine="480" w:firstLineChars="200"/>
              <w:rPr>
                <w:rFonts w:hint="eastAsia" w:ascii="宋体" w:hAnsi="宋体" w:cs="宋体"/>
                <w:color w:val="auto"/>
                <w:sz w:val="24"/>
                <w:highlight w:val="none"/>
              </w:rPr>
            </w:pPr>
          </w:p>
        </w:tc>
        <w:tc>
          <w:tcPr>
            <w:tcW w:w="750" w:type="dxa"/>
            <w:noWrap w:val="0"/>
            <w:vAlign w:val="center"/>
          </w:tcPr>
          <w:p w14:paraId="46CD5B56">
            <w:pPr>
              <w:spacing w:line="360" w:lineRule="auto"/>
              <w:ind w:firstLine="480" w:firstLineChars="200"/>
              <w:rPr>
                <w:rFonts w:hint="eastAsia" w:ascii="宋体" w:hAnsi="宋体" w:cs="宋体"/>
                <w:color w:val="auto"/>
                <w:sz w:val="24"/>
                <w:highlight w:val="none"/>
              </w:rPr>
            </w:pPr>
          </w:p>
        </w:tc>
        <w:tc>
          <w:tcPr>
            <w:tcW w:w="705" w:type="dxa"/>
            <w:noWrap w:val="0"/>
            <w:vAlign w:val="center"/>
          </w:tcPr>
          <w:p w14:paraId="4DCBE2EC">
            <w:pPr>
              <w:spacing w:line="360" w:lineRule="auto"/>
              <w:ind w:firstLine="480" w:firstLineChars="200"/>
              <w:rPr>
                <w:rFonts w:hint="eastAsia" w:ascii="宋体" w:hAnsi="宋体" w:cs="宋体"/>
                <w:color w:val="auto"/>
                <w:sz w:val="24"/>
                <w:highlight w:val="none"/>
              </w:rPr>
            </w:pPr>
          </w:p>
        </w:tc>
        <w:tc>
          <w:tcPr>
            <w:tcW w:w="855" w:type="dxa"/>
            <w:noWrap w:val="0"/>
            <w:vAlign w:val="center"/>
          </w:tcPr>
          <w:p w14:paraId="60D5E0F8">
            <w:pPr>
              <w:spacing w:line="360" w:lineRule="auto"/>
              <w:ind w:firstLine="480" w:firstLineChars="200"/>
              <w:rPr>
                <w:rFonts w:hint="eastAsia" w:ascii="宋体" w:hAnsi="宋体" w:cs="宋体"/>
                <w:color w:val="auto"/>
                <w:sz w:val="24"/>
                <w:highlight w:val="none"/>
              </w:rPr>
            </w:pPr>
          </w:p>
        </w:tc>
        <w:tc>
          <w:tcPr>
            <w:tcW w:w="1185" w:type="dxa"/>
            <w:noWrap w:val="0"/>
            <w:vAlign w:val="center"/>
          </w:tcPr>
          <w:p w14:paraId="2F291432">
            <w:pPr>
              <w:spacing w:line="360" w:lineRule="auto"/>
              <w:ind w:firstLine="480" w:firstLineChars="200"/>
              <w:rPr>
                <w:rFonts w:hint="eastAsia" w:ascii="宋体" w:hAnsi="宋体" w:cs="宋体"/>
                <w:color w:val="auto"/>
                <w:sz w:val="24"/>
                <w:highlight w:val="none"/>
              </w:rPr>
            </w:pPr>
          </w:p>
        </w:tc>
        <w:tc>
          <w:tcPr>
            <w:tcW w:w="1530" w:type="dxa"/>
            <w:noWrap w:val="0"/>
            <w:vAlign w:val="center"/>
          </w:tcPr>
          <w:p w14:paraId="7D69C853">
            <w:pPr>
              <w:spacing w:line="360" w:lineRule="auto"/>
              <w:ind w:firstLine="480" w:firstLineChars="200"/>
              <w:rPr>
                <w:rFonts w:hint="eastAsia" w:ascii="宋体" w:hAnsi="宋体" w:cs="宋体"/>
                <w:color w:val="auto"/>
                <w:sz w:val="24"/>
                <w:highlight w:val="none"/>
              </w:rPr>
            </w:pPr>
          </w:p>
        </w:tc>
        <w:tc>
          <w:tcPr>
            <w:tcW w:w="1094" w:type="dxa"/>
            <w:noWrap w:val="0"/>
            <w:vAlign w:val="center"/>
          </w:tcPr>
          <w:p w14:paraId="48283941">
            <w:pPr>
              <w:spacing w:line="360" w:lineRule="auto"/>
              <w:ind w:firstLine="480" w:firstLineChars="200"/>
              <w:rPr>
                <w:rFonts w:hint="eastAsia" w:ascii="宋体" w:hAnsi="宋体" w:cs="宋体"/>
                <w:color w:val="auto"/>
                <w:sz w:val="24"/>
                <w:highlight w:val="none"/>
              </w:rPr>
            </w:pPr>
          </w:p>
        </w:tc>
        <w:tc>
          <w:tcPr>
            <w:tcW w:w="1095" w:type="dxa"/>
            <w:noWrap w:val="0"/>
            <w:vAlign w:val="center"/>
          </w:tcPr>
          <w:p w14:paraId="5779858A">
            <w:pPr>
              <w:spacing w:line="360" w:lineRule="auto"/>
              <w:ind w:firstLine="480" w:firstLineChars="200"/>
              <w:rPr>
                <w:rFonts w:hint="eastAsia" w:ascii="宋体" w:hAnsi="宋体" w:cs="宋体"/>
                <w:color w:val="auto"/>
                <w:sz w:val="24"/>
                <w:highlight w:val="none"/>
              </w:rPr>
            </w:pPr>
          </w:p>
        </w:tc>
      </w:tr>
      <w:tr w14:paraId="79E9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61B14A2C">
            <w:pPr>
              <w:spacing w:line="360" w:lineRule="auto"/>
              <w:ind w:firstLine="480" w:firstLineChars="200"/>
              <w:rPr>
                <w:rFonts w:hint="eastAsia" w:ascii="宋体" w:hAnsi="宋体" w:cs="宋体"/>
                <w:color w:val="auto"/>
                <w:sz w:val="24"/>
                <w:highlight w:val="none"/>
              </w:rPr>
            </w:pPr>
          </w:p>
        </w:tc>
        <w:tc>
          <w:tcPr>
            <w:tcW w:w="1755" w:type="dxa"/>
            <w:noWrap w:val="0"/>
            <w:vAlign w:val="center"/>
          </w:tcPr>
          <w:p w14:paraId="157339D3">
            <w:pPr>
              <w:spacing w:line="360" w:lineRule="auto"/>
              <w:ind w:firstLine="480" w:firstLineChars="200"/>
              <w:rPr>
                <w:rFonts w:hint="eastAsia" w:ascii="宋体" w:hAnsi="宋体" w:cs="宋体"/>
                <w:color w:val="auto"/>
                <w:sz w:val="24"/>
                <w:highlight w:val="none"/>
              </w:rPr>
            </w:pPr>
          </w:p>
        </w:tc>
        <w:tc>
          <w:tcPr>
            <w:tcW w:w="750" w:type="dxa"/>
            <w:noWrap w:val="0"/>
            <w:vAlign w:val="center"/>
          </w:tcPr>
          <w:p w14:paraId="22EF9BF8">
            <w:pPr>
              <w:spacing w:line="360" w:lineRule="auto"/>
              <w:ind w:firstLine="480" w:firstLineChars="200"/>
              <w:rPr>
                <w:rFonts w:hint="eastAsia" w:ascii="宋体" w:hAnsi="宋体" w:cs="宋体"/>
                <w:color w:val="auto"/>
                <w:sz w:val="24"/>
                <w:highlight w:val="none"/>
              </w:rPr>
            </w:pPr>
          </w:p>
        </w:tc>
        <w:tc>
          <w:tcPr>
            <w:tcW w:w="705" w:type="dxa"/>
            <w:noWrap w:val="0"/>
            <w:vAlign w:val="center"/>
          </w:tcPr>
          <w:p w14:paraId="4C306AC9">
            <w:pPr>
              <w:spacing w:line="360" w:lineRule="auto"/>
              <w:ind w:firstLine="480" w:firstLineChars="200"/>
              <w:rPr>
                <w:rFonts w:hint="eastAsia" w:ascii="宋体" w:hAnsi="宋体" w:cs="宋体"/>
                <w:color w:val="auto"/>
                <w:sz w:val="24"/>
                <w:highlight w:val="none"/>
              </w:rPr>
            </w:pPr>
          </w:p>
        </w:tc>
        <w:tc>
          <w:tcPr>
            <w:tcW w:w="855" w:type="dxa"/>
            <w:noWrap w:val="0"/>
            <w:vAlign w:val="center"/>
          </w:tcPr>
          <w:p w14:paraId="73E8C415">
            <w:pPr>
              <w:spacing w:line="360" w:lineRule="auto"/>
              <w:ind w:firstLine="480" w:firstLineChars="200"/>
              <w:rPr>
                <w:rFonts w:hint="eastAsia" w:ascii="宋体" w:hAnsi="宋体" w:cs="宋体"/>
                <w:color w:val="auto"/>
                <w:sz w:val="24"/>
                <w:highlight w:val="none"/>
              </w:rPr>
            </w:pPr>
          </w:p>
        </w:tc>
        <w:tc>
          <w:tcPr>
            <w:tcW w:w="1185" w:type="dxa"/>
            <w:noWrap w:val="0"/>
            <w:vAlign w:val="center"/>
          </w:tcPr>
          <w:p w14:paraId="239DEAD6">
            <w:pPr>
              <w:spacing w:line="360" w:lineRule="auto"/>
              <w:ind w:firstLine="480" w:firstLineChars="200"/>
              <w:rPr>
                <w:rFonts w:hint="eastAsia" w:ascii="宋体" w:hAnsi="宋体" w:cs="宋体"/>
                <w:color w:val="auto"/>
                <w:sz w:val="24"/>
                <w:highlight w:val="none"/>
              </w:rPr>
            </w:pPr>
          </w:p>
        </w:tc>
        <w:tc>
          <w:tcPr>
            <w:tcW w:w="1530" w:type="dxa"/>
            <w:noWrap w:val="0"/>
            <w:vAlign w:val="center"/>
          </w:tcPr>
          <w:p w14:paraId="0C76437D">
            <w:pPr>
              <w:spacing w:line="360" w:lineRule="auto"/>
              <w:ind w:firstLine="480" w:firstLineChars="200"/>
              <w:rPr>
                <w:rFonts w:hint="eastAsia" w:ascii="宋体" w:hAnsi="宋体" w:cs="宋体"/>
                <w:color w:val="auto"/>
                <w:sz w:val="24"/>
                <w:highlight w:val="none"/>
              </w:rPr>
            </w:pPr>
          </w:p>
        </w:tc>
        <w:tc>
          <w:tcPr>
            <w:tcW w:w="1094" w:type="dxa"/>
            <w:noWrap w:val="0"/>
            <w:vAlign w:val="center"/>
          </w:tcPr>
          <w:p w14:paraId="6C0566E4">
            <w:pPr>
              <w:spacing w:line="360" w:lineRule="auto"/>
              <w:ind w:firstLine="480" w:firstLineChars="200"/>
              <w:rPr>
                <w:rFonts w:hint="eastAsia" w:ascii="宋体" w:hAnsi="宋体" w:cs="宋体"/>
                <w:color w:val="auto"/>
                <w:sz w:val="24"/>
                <w:highlight w:val="none"/>
              </w:rPr>
            </w:pPr>
          </w:p>
        </w:tc>
        <w:tc>
          <w:tcPr>
            <w:tcW w:w="1095" w:type="dxa"/>
            <w:noWrap w:val="0"/>
            <w:vAlign w:val="center"/>
          </w:tcPr>
          <w:p w14:paraId="7923F96B">
            <w:pPr>
              <w:spacing w:line="360" w:lineRule="auto"/>
              <w:ind w:firstLine="480" w:firstLineChars="200"/>
              <w:rPr>
                <w:rFonts w:hint="eastAsia" w:ascii="宋体" w:hAnsi="宋体" w:cs="宋体"/>
                <w:color w:val="auto"/>
                <w:sz w:val="24"/>
                <w:highlight w:val="none"/>
              </w:rPr>
            </w:pPr>
          </w:p>
        </w:tc>
      </w:tr>
    </w:tbl>
    <w:p w14:paraId="2BE9E287">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附表三：劳动力计划表</w:t>
      </w:r>
    </w:p>
    <w:p w14:paraId="464DBDE4">
      <w:pPr>
        <w:ind w:firstLine="480" w:firstLineChars="200"/>
        <w:rPr>
          <w:rFonts w:hint="eastAsia" w:ascii="宋体" w:hAnsi="宋体" w:cs="宋体"/>
          <w:color w:val="auto"/>
          <w:sz w:val="24"/>
          <w:highlight w:val="none"/>
        </w:rPr>
      </w:pPr>
    </w:p>
    <w:p w14:paraId="2E32AB75">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单位：人</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0BC9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top"/>
          </w:tcPr>
          <w:p w14:paraId="408AFAAB">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工种</w:t>
            </w:r>
          </w:p>
        </w:tc>
        <w:tc>
          <w:tcPr>
            <w:tcW w:w="8506" w:type="dxa"/>
            <w:gridSpan w:val="7"/>
            <w:noWrap w:val="0"/>
            <w:vAlign w:val="top"/>
          </w:tcPr>
          <w:p w14:paraId="01B21384">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770D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3959A5F0">
            <w:pPr>
              <w:spacing w:line="400" w:lineRule="exact"/>
              <w:jc w:val="center"/>
              <w:rPr>
                <w:rFonts w:hint="eastAsia" w:ascii="宋体" w:hAnsi="宋体" w:cs="宋体"/>
                <w:color w:val="auto"/>
                <w:sz w:val="24"/>
                <w:highlight w:val="none"/>
              </w:rPr>
            </w:pPr>
          </w:p>
        </w:tc>
        <w:tc>
          <w:tcPr>
            <w:tcW w:w="961" w:type="dxa"/>
            <w:noWrap w:val="0"/>
            <w:vAlign w:val="center"/>
          </w:tcPr>
          <w:p w14:paraId="479BDA43">
            <w:pPr>
              <w:spacing w:line="400" w:lineRule="exact"/>
              <w:jc w:val="center"/>
              <w:rPr>
                <w:rFonts w:hint="eastAsia" w:ascii="宋体" w:hAnsi="宋体" w:cs="宋体"/>
                <w:color w:val="auto"/>
                <w:sz w:val="24"/>
                <w:highlight w:val="none"/>
              </w:rPr>
            </w:pPr>
          </w:p>
        </w:tc>
        <w:tc>
          <w:tcPr>
            <w:tcW w:w="1257" w:type="dxa"/>
            <w:noWrap w:val="0"/>
            <w:vAlign w:val="center"/>
          </w:tcPr>
          <w:p w14:paraId="60F603EE">
            <w:pPr>
              <w:spacing w:line="400" w:lineRule="exact"/>
              <w:jc w:val="center"/>
              <w:rPr>
                <w:rFonts w:hint="eastAsia" w:ascii="宋体" w:hAnsi="宋体" w:cs="宋体"/>
                <w:color w:val="auto"/>
                <w:sz w:val="24"/>
                <w:highlight w:val="none"/>
              </w:rPr>
            </w:pPr>
          </w:p>
        </w:tc>
        <w:tc>
          <w:tcPr>
            <w:tcW w:w="1258" w:type="dxa"/>
            <w:noWrap w:val="0"/>
            <w:vAlign w:val="center"/>
          </w:tcPr>
          <w:p w14:paraId="2F6CE25F">
            <w:pPr>
              <w:spacing w:line="400" w:lineRule="exact"/>
              <w:jc w:val="center"/>
              <w:rPr>
                <w:rFonts w:hint="eastAsia" w:ascii="宋体" w:hAnsi="宋体" w:cs="宋体"/>
                <w:color w:val="auto"/>
                <w:sz w:val="24"/>
                <w:highlight w:val="none"/>
              </w:rPr>
            </w:pPr>
          </w:p>
        </w:tc>
        <w:tc>
          <w:tcPr>
            <w:tcW w:w="1257" w:type="dxa"/>
            <w:noWrap w:val="0"/>
            <w:vAlign w:val="center"/>
          </w:tcPr>
          <w:p w14:paraId="62770D48">
            <w:pPr>
              <w:spacing w:line="400" w:lineRule="exact"/>
              <w:jc w:val="center"/>
              <w:rPr>
                <w:rFonts w:hint="eastAsia" w:ascii="宋体" w:hAnsi="宋体" w:cs="宋体"/>
                <w:color w:val="auto"/>
                <w:sz w:val="24"/>
                <w:highlight w:val="none"/>
              </w:rPr>
            </w:pPr>
          </w:p>
        </w:tc>
        <w:tc>
          <w:tcPr>
            <w:tcW w:w="1258" w:type="dxa"/>
            <w:noWrap w:val="0"/>
            <w:vAlign w:val="center"/>
          </w:tcPr>
          <w:p w14:paraId="52780056">
            <w:pPr>
              <w:spacing w:line="400" w:lineRule="exact"/>
              <w:jc w:val="center"/>
              <w:rPr>
                <w:rFonts w:hint="eastAsia" w:ascii="宋体" w:hAnsi="宋体" w:cs="宋体"/>
                <w:color w:val="auto"/>
                <w:sz w:val="24"/>
                <w:highlight w:val="none"/>
              </w:rPr>
            </w:pPr>
          </w:p>
        </w:tc>
        <w:tc>
          <w:tcPr>
            <w:tcW w:w="1257" w:type="dxa"/>
            <w:noWrap w:val="0"/>
            <w:vAlign w:val="center"/>
          </w:tcPr>
          <w:p w14:paraId="505886A7">
            <w:pPr>
              <w:spacing w:line="400" w:lineRule="exact"/>
              <w:jc w:val="center"/>
              <w:rPr>
                <w:rFonts w:hint="eastAsia" w:ascii="宋体" w:hAnsi="宋体" w:cs="宋体"/>
                <w:color w:val="auto"/>
                <w:sz w:val="24"/>
                <w:highlight w:val="none"/>
              </w:rPr>
            </w:pPr>
          </w:p>
        </w:tc>
        <w:tc>
          <w:tcPr>
            <w:tcW w:w="1258" w:type="dxa"/>
            <w:noWrap w:val="0"/>
            <w:vAlign w:val="center"/>
          </w:tcPr>
          <w:p w14:paraId="50950DBB">
            <w:pPr>
              <w:spacing w:line="400" w:lineRule="exact"/>
              <w:jc w:val="center"/>
              <w:rPr>
                <w:rFonts w:hint="eastAsia" w:ascii="宋体" w:hAnsi="宋体" w:cs="宋体"/>
                <w:color w:val="auto"/>
                <w:sz w:val="24"/>
                <w:highlight w:val="none"/>
              </w:rPr>
            </w:pPr>
          </w:p>
        </w:tc>
      </w:tr>
      <w:tr w14:paraId="67C4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0ABCA45">
            <w:pPr>
              <w:spacing w:line="400" w:lineRule="exact"/>
              <w:jc w:val="center"/>
              <w:rPr>
                <w:rFonts w:hint="eastAsia" w:ascii="宋体" w:hAnsi="宋体" w:cs="宋体"/>
                <w:color w:val="auto"/>
                <w:sz w:val="24"/>
                <w:highlight w:val="none"/>
              </w:rPr>
            </w:pPr>
          </w:p>
        </w:tc>
        <w:tc>
          <w:tcPr>
            <w:tcW w:w="961" w:type="dxa"/>
            <w:noWrap w:val="0"/>
            <w:vAlign w:val="center"/>
          </w:tcPr>
          <w:p w14:paraId="6D1169F3">
            <w:pPr>
              <w:spacing w:line="400" w:lineRule="exact"/>
              <w:jc w:val="center"/>
              <w:rPr>
                <w:rFonts w:hint="eastAsia" w:ascii="宋体" w:hAnsi="宋体" w:cs="宋体"/>
                <w:color w:val="auto"/>
                <w:sz w:val="24"/>
                <w:highlight w:val="none"/>
              </w:rPr>
            </w:pPr>
          </w:p>
        </w:tc>
        <w:tc>
          <w:tcPr>
            <w:tcW w:w="1257" w:type="dxa"/>
            <w:noWrap w:val="0"/>
            <w:vAlign w:val="center"/>
          </w:tcPr>
          <w:p w14:paraId="0BD09121">
            <w:pPr>
              <w:spacing w:line="400" w:lineRule="exact"/>
              <w:jc w:val="center"/>
              <w:rPr>
                <w:rFonts w:hint="eastAsia" w:ascii="宋体" w:hAnsi="宋体" w:cs="宋体"/>
                <w:color w:val="auto"/>
                <w:sz w:val="24"/>
                <w:highlight w:val="none"/>
              </w:rPr>
            </w:pPr>
          </w:p>
        </w:tc>
        <w:tc>
          <w:tcPr>
            <w:tcW w:w="1258" w:type="dxa"/>
            <w:noWrap w:val="0"/>
            <w:vAlign w:val="center"/>
          </w:tcPr>
          <w:p w14:paraId="5D0AB21A">
            <w:pPr>
              <w:spacing w:line="400" w:lineRule="exact"/>
              <w:jc w:val="center"/>
              <w:rPr>
                <w:rFonts w:hint="eastAsia" w:ascii="宋体" w:hAnsi="宋体" w:cs="宋体"/>
                <w:color w:val="auto"/>
                <w:sz w:val="24"/>
                <w:highlight w:val="none"/>
              </w:rPr>
            </w:pPr>
          </w:p>
        </w:tc>
        <w:tc>
          <w:tcPr>
            <w:tcW w:w="1257" w:type="dxa"/>
            <w:noWrap w:val="0"/>
            <w:vAlign w:val="center"/>
          </w:tcPr>
          <w:p w14:paraId="1EF94F3E">
            <w:pPr>
              <w:spacing w:line="400" w:lineRule="exact"/>
              <w:jc w:val="center"/>
              <w:rPr>
                <w:rFonts w:hint="eastAsia" w:ascii="宋体" w:hAnsi="宋体" w:cs="宋体"/>
                <w:color w:val="auto"/>
                <w:sz w:val="24"/>
                <w:highlight w:val="none"/>
              </w:rPr>
            </w:pPr>
          </w:p>
        </w:tc>
        <w:tc>
          <w:tcPr>
            <w:tcW w:w="1258" w:type="dxa"/>
            <w:noWrap w:val="0"/>
            <w:vAlign w:val="center"/>
          </w:tcPr>
          <w:p w14:paraId="461D1BB1">
            <w:pPr>
              <w:spacing w:line="400" w:lineRule="exact"/>
              <w:jc w:val="center"/>
              <w:rPr>
                <w:rFonts w:hint="eastAsia" w:ascii="宋体" w:hAnsi="宋体" w:cs="宋体"/>
                <w:color w:val="auto"/>
                <w:sz w:val="24"/>
                <w:highlight w:val="none"/>
              </w:rPr>
            </w:pPr>
          </w:p>
        </w:tc>
        <w:tc>
          <w:tcPr>
            <w:tcW w:w="1257" w:type="dxa"/>
            <w:noWrap w:val="0"/>
            <w:vAlign w:val="center"/>
          </w:tcPr>
          <w:p w14:paraId="6EFF1112">
            <w:pPr>
              <w:spacing w:line="400" w:lineRule="exact"/>
              <w:jc w:val="center"/>
              <w:rPr>
                <w:rFonts w:hint="eastAsia" w:ascii="宋体" w:hAnsi="宋体" w:cs="宋体"/>
                <w:color w:val="auto"/>
                <w:sz w:val="24"/>
                <w:highlight w:val="none"/>
              </w:rPr>
            </w:pPr>
          </w:p>
        </w:tc>
        <w:tc>
          <w:tcPr>
            <w:tcW w:w="1258" w:type="dxa"/>
            <w:noWrap w:val="0"/>
            <w:vAlign w:val="center"/>
          </w:tcPr>
          <w:p w14:paraId="33D875C0">
            <w:pPr>
              <w:spacing w:line="400" w:lineRule="exact"/>
              <w:jc w:val="center"/>
              <w:rPr>
                <w:rFonts w:hint="eastAsia" w:ascii="宋体" w:hAnsi="宋体" w:cs="宋体"/>
                <w:color w:val="auto"/>
                <w:sz w:val="24"/>
                <w:highlight w:val="none"/>
              </w:rPr>
            </w:pPr>
          </w:p>
        </w:tc>
      </w:tr>
      <w:tr w14:paraId="5899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E77C993">
            <w:pPr>
              <w:spacing w:line="400" w:lineRule="exact"/>
              <w:jc w:val="center"/>
              <w:rPr>
                <w:rFonts w:hint="eastAsia" w:ascii="宋体" w:hAnsi="宋体" w:cs="宋体"/>
                <w:color w:val="auto"/>
                <w:sz w:val="24"/>
                <w:highlight w:val="none"/>
              </w:rPr>
            </w:pPr>
          </w:p>
        </w:tc>
        <w:tc>
          <w:tcPr>
            <w:tcW w:w="961" w:type="dxa"/>
            <w:noWrap w:val="0"/>
            <w:vAlign w:val="center"/>
          </w:tcPr>
          <w:p w14:paraId="6C8B4677">
            <w:pPr>
              <w:spacing w:line="400" w:lineRule="exact"/>
              <w:jc w:val="center"/>
              <w:rPr>
                <w:rFonts w:hint="eastAsia" w:ascii="宋体" w:hAnsi="宋体" w:cs="宋体"/>
                <w:color w:val="auto"/>
                <w:sz w:val="24"/>
                <w:highlight w:val="none"/>
              </w:rPr>
            </w:pPr>
          </w:p>
        </w:tc>
        <w:tc>
          <w:tcPr>
            <w:tcW w:w="1257" w:type="dxa"/>
            <w:noWrap w:val="0"/>
            <w:vAlign w:val="center"/>
          </w:tcPr>
          <w:p w14:paraId="3E0F7092">
            <w:pPr>
              <w:spacing w:line="400" w:lineRule="exact"/>
              <w:jc w:val="center"/>
              <w:rPr>
                <w:rFonts w:hint="eastAsia" w:ascii="宋体" w:hAnsi="宋体" w:cs="宋体"/>
                <w:color w:val="auto"/>
                <w:sz w:val="24"/>
                <w:highlight w:val="none"/>
              </w:rPr>
            </w:pPr>
          </w:p>
        </w:tc>
        <w:tc>
          <w:tcPr>
            <w:tcW w:w="1258" w:type="dxa"/>
            <w:noWrap w:val="0"/>
            <w:vAlign w:val="center"/>
          </w:tcPr>
          <w:p w14:paraId="0B9D436E">
            <w:pPr>
              <w:spacing w:line="400" w:lineRule="exact"/>
              <w:jc w:val="center"/>
              <w:rPr>
                <w:rFonts w:hint="eastAsia" w:ascii="宋体" w:hAnsi="宋体" w:cs="宋体"/>
                <w:color w:val="auto"/>
                <w:sz w:val="24"/>
                <w:highlight w:val="none"/>
              </w:rPr>
            </w:pPr>
          </w:p>
        </w:tc>
        <w:tc>
          <w:tcPr>
            <w:tcW w:w="1257" w:type="dxa"/>
            <w:noWrap w:val="0"/>
            <w:vAlign w:val="center"/>
          </w:tcPr>
          <w:p w14:paraId="26A0D47B">
            <w:pPr>
              <w:spacing w:line="400" w:lineRule="exact"/>
              <w:jc w:val="center"/>
              <w:rPr>
                <w:rFonts w:hint="eastAsia" w:ascii="宋体" w:hAnsi="宋体" w:cs="宋体"/>
                <w:color w:val="auto"/>
                <w:sz w:val="24"/>
                <w:highlight w:val="none"/>
              </w:rPr>
            </w:pPr>
          </w:p>
        </w:tc>
        <w:tc>
          <w:tcPr>
            <w:tcW w:w="1258" w:type="dxa"/>
            <w:noWrap w:val="0"/>
            <w:vAlign w:val="center"/>
          </w:tcPr>
          <w:p w14:paraId="059E9727">
            <w:pPr>
              <w:spacing w:line="400" w:lineRule="exact"/>
              <w:jc w:val="center"/>
              <w:rPr>
                <w:rFonts w:hint="eastAsia" w:ascii="宋体" w:hAnsi="宋体" w:cs="宋体"/>
                <w:color w:val="auto"/>
                <w:sz w:val="24"/>
                <w:highlight w:val="none"/>
              </w:rPr>
            </w:pPr>
          </w:p>
        </w:tc>
        <w:tc>
          <w:tcPr>
            <w:tcW w:w="1257" w:type="dxa"/>
            <w:noWrap w:val="0"/>
            <w:vAlign w:val="center"/>
          </w:tcPr>
          <w:p w14:paraId="0DCAAEC1">
            <w:pPr>
              <w:spacing w:line="400" w:lineRule="exact"/>
              <w:jc w:val="center"/>
              <w:rPr>
                <w:rFonts w:hint="eastAsia" w:ascii="宋体" w:hAnsi="宋体" w:cs="宋体"/>
                <w:color w:val="auto"/>
                <w:sz w:val="24"/>
                <w:highlight w:val="none"/>
              </w:rPr>
            </w:pPr>
          </w:p>
        </w:tc>
        <w:tc>
          <w:tcPr>
            <w:tcW w:w="1258" w:type="dxa"/>
            <w:noWrap w:val="0"/>
            <w:vAlign w:val="center"/>
          </w:tcPr>
          <w:p w14:paraId="6701CE6E">
            <w:pPr>
              <w:spacing w:line="400" w:lineRule="exact"/>
              <w:jc w:val="center"/>
              <w:rPr>
                <w:rFonts w:hint="eastAsia" w:ascii="宋体" w:hAnsi="宋体" w:cs="宋体"/>
                <w:color w:val="auto"/>
                <w:sz w:val="24"/>
                <w:highlight w:val="none"/>
              </w:rPr>
            </w:pPr>
          </w:p>
        </w:tc>
      </w:tr>
      <w:tr w14:paraId="617D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391236D0">
            <w:pPr>
              <w:spacing w:line="400" w:lineRule="exact"/>
              <w:jc w:val="center"/>
              <w:rPr>
                <w:rFonts w:hint="eastAsia" w:ascii="宋体" w:hAnsi="宋体" w:cs="宋体"/>
                <w:color w:val="auto"/>
                <w:sz w:val="24"/>
                <w:highlight w:val="none"/>
              </w:rPr>
            </w:pPr>
          </w:p>
        </w:tc>
        <w:tc>
          <w:tcPr>
            <w:tcW w:w="961" w:type="dxa"/>
            <w:noWrap w:val="0"/>
            <w:vAlign w:val="center"/>
          </w:tcPr>
          <w:p w14:paraId="3B3F0B2E">
            <w:pPr>
              <w:spacing w:line="400" w:lineRule="exact"/>
              <w:jc w:val="center"/>
              <w:rPr>
                <w:rFonts w:hint="eastAsia" w:ascii="宋体" w:hAnsi="宋体" w:cs="宋体"/>
                <w:color w:val="auto"/>
                <w:sz w:val="24"/>
                <w:highlight w:val="none"/>
              </w:rPr>
            </w:pPr>
          </w:p>
        </w:tc>
        <w:tc>
          <w:tcPr>
            <w:tcW w:w="1257" w:type="dxa"/>
            <w:noWrap w:val="0"/>
            <w:vAlign w:val="center"/>
          </w:tcPr>
          <w:p w14:paraId="51A09EBA">
            <w:pPr>
              <w:spacing w:line="400" w:lineRule="exact"/>
              <w:jc w:val="center"/>
              <w:rPr>
                <w:rFonts w:hint="eastAsia" w:ascii="宋体" w:hAnsi="宋体" w:cs="宋体"/>
                <w:color w:val="auto"/>
                <w:sz w:val="24"/>
                <w:highlight w:val="none"/>
              </w:rPr>
            </w:pPr>
          </w:p>
        </w:tc>
        <w:tc>
          <w:tcPr>
            <w:tcW w:w="1258" w:type="dxa"/>
            <w:noWrap w:val="0"/>
            <w:vAlign w:val="center"/>
          </w:tcPr>
          <w:p w14:paraId="6185A853">
            <w:pPr>
              <w:spacing w:line="400" w:lineRule="exact"/>
              <w:jc w:val="center"/>
              <w:rPr>
                <w:rFonts w:hint="eastAsia" w:ascii="宋体" w:hAnsi="宋体" w:cs="宋体"/>
                <w:color w:val="auto"/>
                <w:sz w:val="24"/>
                <w:highlight w:val="none"/>
              </w:rPr>
            </w:pPr>
          </w:p>
        </w:tc>
        <w:tc>
          <w:tcPr>
            <w:tcW w:w="1257" w:type="dxa"/>
            <w:noWrap w:val="0"/>
            <w:vAlign w:val="center"/>
          </w:tcPr>
          <w:p w14:paraId="4AFC9AEB">
            <w:pPr>
              <w:spacing w:line="400" w:lineRule="exact"/>
              <w:jc w:val="center"/>
              <w:rPr>
                <w:rFonts w:hint="eastAsia" w:ascii="宋体" w:hAnsi="宋体" w:cs="宋体"/>
                <w:color w:val="auto"/>
                <w:sz w:val="24"/>
                <w:highlight w:val="none"/>
              </w:rPr>
            </w:pPr>
          </w:p>
        </w:tc>
        <w:tc>
          <w:tcPr>
            <w:tcW w:w="1258" w:type="dxa"/>
            <w:noWrap w:val="0"/>
            <w:vAlign w:val="center"/>
          </w:tcPr>
          <w:p w14:paraId="71B6AC1A">
            <w:pPr>
              <w:spacing w:line="400" w:lineRule="exact"/>
              <w:jc w:val="center"/>
              <w:rPr>
                <w:rFonts w:hint="eastAsia" w:ascii="宋体" w:hAnsi="宋体" w:cs="宋体"/>
                <w:color w:val="auto"/>
                <w:sz w:val="24"/>
                <w:highlight w:val="none"/>
              </w:rPr>
            </w:pPr>
          </w:p>
        </w:tc>
        <w:tc>
          <w:tcPr>
            <w:tcW w:w="1257" w:type="dxa"/>
            <w:noWrap w:val="0"/>
            <w:vAlign w:val="center"/>
          </w:tcPr>
          <w:p w14:paraId="742CFEB5">
            <w:pPr>
              <w:spacing w:line="400" w:lineRule="exact"/>
              <w:jc w:val="center"/>
              <w:rPr>
                <w:rFonts w:hint="eastAsia" w:ascii="宋体" w:hAnsi="宋体" w:cs="宋体"/>
                <w:color w:val="auto"/>
                <w:sz w:val="24"/>
                <w:highlight w:val="none"/>
              </w:rPr>
            </w:pPr>
          </w:p>
        </w:tc>
        <w:tc>
          <w:tcPr>
            <w:tcW w:w="1258" w:type="dxa"/>
            <w:noWrap w:val="0"/>
            <w:vAlign w:val="center"/>
          </w:tcPr>
          <w:p w14:paraId="5BFE360D">
            <w:pPr>
              <w:spacing w:line="400" w:lineRule="exact"/>
              <w:jc w:val="center"/>
              <w:rPr>
                <w:rFonts w:hint="eastAsia" w:ascii="宋体" w:hAnsi="宋体" w:cs="宋体"/>
                <w:color w:val="auto"/>
                <w:sz w:val="24"/>
                <w:highlight w:val="none"/>
              </w:rPr>
            </w:pPr>
          </w:p>
        </w:tc>
      </w:tr>
      <w:tr w14:paraId="621D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52D30872">
            <w:pPr>
              <w:spacing w:line="400" w:lineRule="exact"/>
              <w:jc w:val="center"/>
              <w:rPr>
                <w:rFonts w:hint="eastAsia" w:ascii="宋体" w:hAnsi="宋体" w:cs="宋体"/>
                <w:color w:val="auto"/>
                <w:sz w:val="24"/>
                <w:highlight w:val="none"/>
              </w:rPr>
            </w:pPr>
          </w:p>
        </w:tc>
        <w:tc>
          <w:tcPr>
            <w:tcW w:w="961" w:type="dxa"/>
            <w:noWrap w:val="0"/>
            <w:vAlign w:val="center"/>
          </w:tcPr>
          <w:p w14:paraId="1F20777F">
            <w:pPr>
              <w:spacing w:line="400" w:lineRule="exact"/>
              <w:jc w:val="center"/>
              <w:rPr>
                <w:rFonts w:hint="eastAsia" w:ascii="宋体" w:hAnsi="宋体" w:cs="宋体"/>
                <w:color w:val="auto"/>
                <w:sz w:val="24"/>
                <w:highlight w:val="none"/>
              </w:rPr>
            </w:pPr>
          </w:p>
        </w:tc>
        <w:tc>
          <w:tcPr>
            <w:tcW w:w="1257" w:type="dxa"/>
            <w:noWrap w:val="0"/>
            <w:vAlign w:val="center"/>
          </w:tcPr>
          <w:p w14:paraId="355FDD9B">
            <w:pPr>
              <w:spacing w:line="400" w:lineRule="exact"/>
              <w:jc w:val="center"/>
              <w:rPr>
                <w:rFonts w:hint="eastAsia" w:ascii="宋体" w:hAnsi="宋体" w:cs="宋体"/>
                <w:color w:val="auto"/>
                <w:sz w:val="24"/>
                <w:highlight w:val="none"/>
              </w:rPr>
            </w:pPr>
          </w:p>
        </w:tc>
        <w:tc>
          <w:tcPr>
            <w:tcW w:w="1258" w:type="dxa"/>
            <w:noWrap w:val="0"/>
            <w:vAlign w:val="center"/>
          </w:tcPr>
          <w:p w14:paraId="50824B87">
            <w:pPr>
              <w:spacing w:line="400" w:lineRule="exact"/>
              <w:jc w:val="center"/>
              <w:rPr>
                <w:rFonts w:hint="eastAsia" w:ascii="宋体" w:hAnsi="宋体" w:cs="宋体"/>
                <w:color w:val="auto"/>
                <w:sz w:val="24"/>
                <w:highlight w:val="none"/>
              </w:rPr>
            </w:pPr>
          </w:p>
        </w:tc>
        <w:tc>
          <w:tcPr>
            <w:tcW w:w="1257" w:type="dxa"/>
            <w:noWrap w:val="0"/>
            <w:vAlign w:val="center"/>
          </w:tcPr>
          <w:p w14:paraId="59B1410A">
            <w:pPr>
              <w:spacing w:line="400" w:lineRule="exact"/>
              <w:jc w:val="center"/>
              <w:rPr>
                <w:rFonts w:hint="eastAsia" w:ascii="宋体" w:hAnsi="宋体" w:cs="宋体"/>
                <w:color w:val="auto"/>
                <w:sz w:val="24"/>
                <w:highlight w:val="none"/>
              </w:rPr>
            </w:pPr>
          </w:p>
        </w:tc>
        <w:tc>
          <w:tcPr>
            <w:tcW w:w="1258" w:type="dxa"/>
            <w:noWrap w:val="0"/>
            <w:vAlign w:val="center"/>
          </w:tcPr>
          <w:p w14:paraId="32CB3E51">
            <w:pPr>
              <w:spacing w:line="400" w:lineRule="exact"/>
              <w:jc w:val="center"/>
              <w:rPr>
                <w:rFonts w:hint="eastAsia" w:ascii="宋体" w:hAnsi="宋体" w:cs="宋体"/>
                <w:color w:val="auto"/>
                <w:sz w:val="24"/>
                <w:highlight w:val="none"/>
              </w:rPr>
            </w:pPr>
          </w:p>
        </w:tc>
        <w:tc>
          <w:tcPr>
            <w:tcW w:w="1257" w:type="dxa"/>
            <w:noWrap w:val="0"/>
            <w:vAlign w:val="center"/>
          </w:tcPr>
          <w:p w14:paraId="146DB998">
            <w:pPr>
              <w:spacing w:line="400" w:lineRule="exact"/>
              <w:jc w:val="center"/>
              <w:rPr>
                <w:rFonts w:hint="eastAsia" w:ascii="宋体" w:hAnsi="宋体" w:cs="宋体"/>
                <w:color w:val="auto"/>
                <w:sz w:val="24"/>
                <w:highlight w:val="none"/>
              </w:rPr>
            </w:pPr>
          </w:p>
        </w:tc>
        <w:tc>
          <w:tcPr>
            <w:tcW w:w="1258" w:type="dxa"/>
            <w:noWrap w:val="0"/>
            <w:vAlign w:val="center"/>
          </w:tcPr>
          <w:p w14:paraId="27D51C7A">
            <w:pPr>
              <w:spacing w:line="400" w:lineRule="exact"/>
              <w:jc w:val="center"/>
              <w:rPr>
                <w:rFonts w:hint="eastAsia" w:ascii="宋体" w:hAnsi="宋体" w:cs="宋体"/>
                <w:color w:val="auto"/>
                <w:sz w:val="24"/>
                <w:highlight w:val="none"/>
              </w:rPr>
            </w:pPr>
          </w:p>
        </w:tc>
      </w:tr>
      <w:tr w14:paraId="38E9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3366BD99">
            <w:pPr>
              <w:spacing w:line="400" w:lineRule="exact"/>
              <w:jc w:val="center"/>
              <w:rPr>
                <w:rFonts w:hint="eastAsia" w:ascii="宋体" w:hAnsi="宋体" w:cs="宋体"/>
                <w:color w:val="auto"/>
                <w:sz w:val="24"/>
                <w:highlight w:val="none"/>
              </w:rPr>
            </w:pPr>
          </w:p>
        </w:tc>
        <w:tc>
          <w:tcPr>
            <w:tcW w:w="961" w:type="dxa"/>
            <w:noWrap w:val="0"/>
            <w:vAlign w:val="center"/>
          </w:tcPr>
          <w:p w14:paraId="6BFC267C">
            <w:pPr>
              <w:spacing w:line="400" w:lineRule="exact"/>
              <w:jc w:val="center"/>
              <w:rPr>
                <w:rFonts w:hint="eastAsia" w:ascii="宋体" w:hAnsi="宋体" w:cs="宋体"/>
                <w:color w:val="auto"/>
                <w:sz w:val="24"/>
                <w:highlight w:val="none"/>
              </w:rPr>
            </w:pPr>
          </w:p>
        </w:tc>
        <w:tc>
          <w:tcPr>
            <w:tcW w:w="1257" w:type="dxa"/>
            <w:noWrap w:val="0"/>
            <w:vAlign w:val="center"/>
          </w:tcPr>
          <w:p w14:paraId="4B2FB344">
            <w:pPr>
              <w:spacing w:line="400" w:lineRule="exact"/>
              <w:jc w:val="center"/>
              <w:rPr>
                <w:rFonts w:hint="eastAsia" w:ascii="宋体" w:hAnsi="宋体" w:cs="宋体"/>
                <w:color w:val="auto"/>
                <w:sz w:val="24"/>
                <w:highlight w:val="none"/>
              </w:rPr>
            </w:pPr>
          </w:p>
        </w:tc>
        <w:tc>
          <w:tcPr>
            <w:tcW w:w="1258" w:type="dxa"/>
            <w:noWrap w:val="0"/>
            <w:vAlign w:val="center"/>
          </w:tcPr>
          <w:p w14:paraId="41FBD4FB">
            <w:pPr>
              <w:spacing w:line="400" w:lineRule="exact"/>
              <w:jc w:val="center"/>
              <w:rPr>
                <w:rFonts w:hint="eastAsia" w:ascii="宋体" w:hAnsi="宋体" w:cs="宋体"/>
                <w:color w:val="auto"/>
                <w:sz w:val="24"/>
                <w:highlight w:val="none"/>
              </w:rPr>
            </w:pPr>
          </w:p>
        </w:tc>
        <w:tc>
          <w:tcPr>
            <w:tcW w:w="1257" w:type="dxa"/>
            <w:noWrap w:val="0"/>
            <w:vAlign w:val="center"/>
          </w:tcPr>
          <w:p w14:paraId="22B4ECCB">
            <w:pPr>
              <w:spacing w:line="400" w:lineRule="exact"/>
              <w:jc w:val="center"/>
              <w:rPr>
                <w:rFonts w:hint="eastAsia" w:ascii="宋体" w:hAnsi="宋体" w:cs="宋体"/>
                <w:color w:val="auto"/>
                <w:sz w:val="24"/>
                <w:highlight w:val="none"/>
              </w:rPr>
            </w:pPr>
          </w:p>
        </w:tc>
        <w:tc>
          <w:tcPr>
            <w:tcW w:w="1258" w:type="dxa"/>
            <w:noWrap w:val="0"/>
            <w:vAlign w:val="center"/>
          </w:tcPr>
          <w:p w14:paraId="0BA30ECF">
            <w:pPr>
              <w:spacing w:line="400" w:lineRule="exact"/>
              <w:jc w:val="center"/>
              <w:rPr>
                <w:rFonts w:hint="eastAsia" w:ascii="宋体" w:hAnsi="宋体" w:cs="宋体"/>
                <w:color w:val="auto"/>
                <w:sz w:val="24"/>
                <w:highlight w:val="none"/>
              </w:rPr>
            </w:pPr>
          </w:p>
        </w:tc>
        <w:tc>
          <w:tcPr>
            <w:tcW w:w="1257" w:type="dxa"/>
            <w:noWrap w:val="0"/>
            <w:vAlign w:val="center"/>
          </w:tcPr>
          <w:p w14:paraId="20720624">
            <w:pPr>
              <w:spacing w:line="400" w:lineRule="exact"/>
              <w:jc w:val="center"/>
              <w:rPr>
                <w:rFonts w:hint="eastAsia" w:ascii="宋体" w:hAnsi="宋体" w:cs="宋体"/>
                <w:color w:val="auto"/>
                <w:sz w:val="24"/>
                <w:highlight w:val="none"/>
              </w:rPr>
            </w:pPr>
          </w:p>
        </w:tc>
        <w:tc>
          <w:tcPr>
            <w:tcW w:w="1258" w:type="dxa"/>
            <w:noWrap w:val="0"/>
            <w:vAlign w:val="center"/>
          </w:tcPr>
          <w:p w14:paraId="744B01E1">
            <w:pPr>
              <w:spacing w:line="400" w:lineRule="exact"/>
              <w:jc w:val="center"/>
              <w:rPr>
                <w:rFonts w:hint="eastAsia" w:ascii="宋体" w:hAnsi="宋体" w:cs="宋体"/>
                <w:color w:val="auto"/>
                <w:sz w:val="24"/>
                <w:highlight w:val="none"/>
              </w:rPr>
            </w:pPr>
          </w:p>
        </w:tc>
      </w:tr>
      <w:tr w14:paraId="3D20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45760C59">
            <w:pPr>
              <w:spacing w:line="400" w:lineRule="exact"/>
              <w:jc w:val="center"/>
              <w:rPr>
                <w:rFonts w:hint="eastAsia" w:ascii="宋体" w:hAnsi="宋体" w:cs="宋体"/>
                <w:color w:val="auto"/>
                <w:sz w:val="24"/>
                <w:highlight w:val="none"/>
              </w:rPr>
            </w:pPr>
          </w:p>
        </w:tc>
        <w:tc>
          <w:tcPr>
            <w:tcW w:w="961" w:type="dxa"/>
            <w:noWrap w:val="0"/>
            <w:vAlign w:val="center"/>
          </w:tcPr>
          <w:p w14:paraId="3DBE15E7">
            <w:pPr>
              <w:spacing w:line="400" w:lineRule="exact"/>
              <w:jc w:val="center"/>
              <w:rPr>
                <w:rFonts w:hint="eastAsia" w:ascii="宋体" w:hAnsi="宋体" w:cs="宋体"/>
                <w:color w:val="auto"/>
                <w:sz w:val="24"/>
                <w:highlight w:val="none"/>
              </w:rPr>
            </w:pPr>
          </w:p>
        </w:tc>
        <w:tc>
          <w:tcPr>
            <w:tcW w:w="1257" w:type="dxa"/>
            <w:noWrap w:val="0"/>
            <w:vAlign w:val="center"/>
          </w:tcPr>
          <w:p w14:paraId="0647664B">
            <w:pPr>
              <w:spacing w:line="400" w:lineRule="exact"/>
              <w:jc w:val="center"/>
              <w:rPr>
                <w:rFonts w:hint="eastAsia" w:ascii="宋体" w:hAnsi="宋体" w:cs="宋体"/>
                <w:color w:val="auto"/>
                <w:sz w:val="24"/>
                <w:highlight w:val="none"/>
              </w:rPr>
            </w:pPr>
          </w:p>
        </w:tc>
        <w:tc>
          <w:tcPr>
            <w:tcW w:w="1258" w:type="dxa"/>
            <w:noWrap w:val="0"/>
            <w:vAlign w:val="center"/>
          </w:tcPr>
          <w:p w14:paraId="6A332E83">
            <w:pPr>
              <w:spacing w:line="400" w:lineRule="exact"/>
              <w:jc w:val="center"/>
              <w:rPr>
                <w:rFonts w:hint="eastAsia" w:ascii="宋体" w:hAnsi="宋体" w:cs="宋体"/>
                <w:color w:val="auto"/>
                <w:sz w:val="24"/>
                <w:highlight w:val="none"/>
              </w:rPr>
            </w:pPr>
          </w:p>
        </w:tc>
        <w:tc>
          <w:tcPr>
            <w:tcW w:w="1257" w:type="dxa"/>
            <w:noWrap w:val="0"/>
            <w:vAlign w:val="center"/>
          </w:tcPr>
          <w:p w14:paraId="11665FB2">
            <w:pPr>
              <w:spacing w:line="400" w:lineRule="exact"/>
              <w:jc w:val="center"/>
              <w:rPr>
                <w:rFonts w:hint="eastAsia" w:ascii="宋体" w:hAnsi="宋体" w:cs="宋体"/>
                <w:color w:val="auto"/>
                <w:sz w:val="24"/>
                <w:highlight w:val="none"/>
              </w:rPr>
            </w:pPr>
          </w:p>
        </w:tc>
        <w:tc>
          <w:tcPr>
            <w:tcW w:w="1258" w:type="dxa"/>
            <w:noWrap w:val="0"/>
            <w:vAlign w:val="center"/>
          </w:tcPr>
          <w:p w14:paraId="7F262986">
            <w:pPr>
              <w:spacing w:line="400" w:lineRule="exact"/>
              <w:jc w:val="center"/>
              <w:rPr>
                <w:rFonts w:hint="eastAsia" w:ascii="宋体" w:hAnsi="宋体" w:cs="宋体"/>
                <w:color w:val="auto"/>
                <w:sz w:val="24"/>
                <w:highlight w:val="none"/>
              </w:rPr>
            </w:pPr>
          </w:p>
        </w:tc>
        <w:tc>
          <w:tcPr>
            <w:tcW w:w="1257" w:type="dxa"/>
            <w:noWrap w:val="0"/>
            <w:vAlign w:val="center"/>
          </w:tcPr>
          <w:p w14:paraId="4E54F3DA">
            <w:pPr>
              <w:spacing w:line="400" w:lineRule="exact"/>
              <w:jc w:val="center"/>
              <w:rPr>
                <w:rFonts w:hint="eastAsia" w:ascii="宋体" w:hAnsi="宋体" w:cs="宋体"/>
                <w:color w:val="auto"/>
                <w:sz w:val="24"/>
                <w:highlight w:val="none"/>
              </w:rPr>
            </w:pPr>
          </w:p>
        </w:tc>
        <w:tc>
          <w:tcPr>
            <w:tcW w:w="1258" w:type="dxa"/>
            <w:noWrap w:val="0"/>
            <w:vAlign w:val="center"/>
          </w:tcPr>
          <w:p w14:paraId="48B2F7F9">
            <w:pPr>
              <w:spacing w:line="400" w:lineRule="exact"/>
              <w:jc w:val="center"/>
              <w:rPr>
                <w:rFonts w:hint="eastAsia" w:ascii="宋体" w:hAnsi="宋体" w:cs="宋体"/>
                <w:color w:val="auto"/>
                <w:sz w:val="24"/>
                <w:highlight w:val="none"/>
              </w:rPr>
            </w:pPr>
          </w:p>
        </w:tc>
      </w:tr>
    </w:tbl>
    <w:p w14:paraId="1E85807D">
      <w:pPr>
        <w:rPr>
          <w:rFonts w:hint="eastAsia" w:ascii="宋体" w:hAnsi="宋体" w:cs="宋体"/>
          <w:color w:val="auto"/>
          <w:sz w:val="24"/>
          <w:highlight w:val="none"/>
        </w:rPr>
      </w:pPr>
    </w:p>
    <w:p w14:paraId="2C832D59">
      <w:pPr>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附表四：计划开、竣工日期和施工进度计划（网络图或横道图）</w:t>
      </w:r>
    </w:p>
    <w:p w14:paraId="47BA40CA">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1.供应商应提交施工进度计划，说明按采购文件要求的工期进行施工的各个关键日期。中标的供应商还应按合同条件有关条款的要求提交详细的施工进度计划。</w:t>
      </w:r>
    </w:p>
    <w:p w14:paraId="3F478AAB">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2.施工进度计划可采用网络图（或横道图）表示，说明计划开工日期和各分项工程各阶段的完工日期和分包合同签订的日期。</w:t>
      </w:r>
    </w:p>
    <w:p w14:paraId="0FAE8DDC">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3.施工进度计划应与施工组织设计相适应。</w:t>
      </w:r>
    </w:p>
    <w:p w14:paraId="568D6643">
      <w:pPr>
        <w:spacing w:line="460" w:lineRule="exact"/>
        <w:ind w:firstLine="480" w:firstLineChars="200"/>
        <w:rPr>
          <w:rFonts w:hint="eastAsia" w:ascii="宋体" w:hAnsi="宋体" w:cs="宋体"/>
          <w:color w:val="auto"/>
          <w:sz w:val="24"/>
          <w:highlight w:val="none"/>
        </w:rPr>
      </w:pPr>
    </w:p>
    <w:p w14:paraId="75C84093">
      <w:pPr>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附表五：施工总平面图</w:t>
      </w:r>
    </w:p>
    <w:p w14:paraId="366CD35C">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供应商应递交一份施工总平面图，绘出现场临时设施布置图表并附文字说明，说明临时设施、加工车间、现场办公、设备及仓储、供电、供水、卫生、生活、道路、消防等设施的情况和布置。</w:t>
      </w:r>
    </w:p>
    <w:p w14:paraId="6CC86A8F">
      <w:pPr>
        <w:rPr>
          <w:rFonts w:hint="eastAsia" w:ascii="宋体" w:hAnsi="宋体" w:cs="宋体"/>
          <w:color w:val="auto"/>
          <w:sz w:val="24"/>
          <w:highlight w:val="none"/>
        </w:rPr>
      </w:pPr>
    </w:p>
    <w:p w14:paraId="53131A6D">
      <w:pPr>
        <w:rPr>
          <w:rFonts w:hint="eastAsia" w:ascii="宋体" w:hAnsi="宋体" w:cs="宋体"/>
          <w:color w:val="auto"/>
          <w:sz w:val="24"/>
          <w:highlight w:val="none"/>
        </w:rPr>
      </w:pPr>
    </w:p>
    <w:p w14:paraId="5262103D">
      <w:pPr>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附表六：临时用地表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43DA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noWrap w:val="0"/>
            <w:vAlign w:val="center"/>
          </w:tcPr>
          <w:p w14:paraId="15C62562">
            <w:pPr>
              <w:jc w:val="center"/>
              <w:rPr>
                <w:rFonts w:hint="eastAsia" w:ascii="宋体" w:hAnsi="宋体" w:cs="宋体"/>
                <w:color w:val="auto"/>
                <w:sz w:val="24"/>
                <w:highlight w:val="none"/>
              </w:rPr>
            </w:pPr>
            <w:r>
              <w:rPr>
                <w:rFonts w:hint="eastAsia" w:ascii="宋体" w:hAnsi="宋体" w:cs="宋体"/>
                <w:color w:val="auto"/>
                <w:sz w:val="24"/>
                <w:highlight w:val="none"/>
              </w:rPr>
              <w:t>用途</w:t>
            </w:r>
          </w:p>
        </w:tc>
        <w:tc>
          <w:tcPr>
            <w:tcW w:w="2357" w:type="dxa"/>
            <w:noWrap w:val="0"/>
            <w:vAlign w:val="center"/>
          </w:tcPr>
          <w:p w14:paraId="71BADA9B">
            <w:pPr>
              <w:jc w:val="center"/>
              <w:rPr>
                <w:rFonts w:hint="eastAsia" w:ascii="宋体" w:hAnsi="宋体" w:cs="宋体"/>
                <w:color w:val="auto"/>
                <w:sz w:val="24"/>
                <w:highlight w:val="none"/>
              </w:rPr>
            </w:pPr>
            <w:r>
              <w:rPr>
                <w:rFonts w:hint="eastAsia" w:ascii="宋体" w:hAnsi="宋体" w:cs="宋体"/>
                <w:color w:val="auto"/>
                <w:sz w:val="24"/>
                <w:highlight w:val="none"/>
              </w:rPr>
              <w:t>面积（平方米）</w:t>
            </w:r>
          </w:p>
        </w:tc>
        <w:tc>
          <w:tcPr>
            <w:tcW w:w="2356" w:type="dxa"/>
            <w:noWrap w:val="0"/>
            <w:vAlign w:val="center"/>
          </w:tcPr>
          <w:p w14:paraId="0D0DC2CB">
            <w:pPr>
              <w:jc w:val="center"/>
              <w:rPr>
                <w:rFonts w:hint="eastAsia" w:ascii="宋体" w:hAnsi="宋体" w:cs="宋体"/>
                <w:color w:val="auto"/>
                <w:sz w:val="24"/>
                <w:highlight w:val="none"/>
              </w:rPr>
            </w:pPr>
            <w:r>
              <w:rPr>
                <w:rFonts w:hint="eastAsia" w:ascii="宋体" w:hAnsi="宋体" w:cs="宋体"/>
                <w:color w:val="auto"/>
                <w:sz w:val="24"/>
                <w:highlight w:val="none"/>
              </w:rPr>
              <w:t>位置</w:t>
            </w:r>
          </w:p>
        </w:tc>
        <w:tc>
          <w:tcPr>
            <w:tcW w:w="2357" w:type="dxa"/>
            <w:noWrap w:val="0"/>
            <w:vAlign w:val="center"/>
          </w:tcPr>
          <w:p w14:paraId="613BD178">
            <w:pPr>
              <w:jc w:val="center"/>
              <w:rPr>
                <w:rFonts w:hint="eastAsia" w:ascii="宋体" w:hAnsi="宋体" w:cs="宋体"/>
                <w:color w:val="auto"/>
                <w:sz w:val="24"/>
                <w:highlight w:val="none"/>
              </w:rPr>
            </w:pPr>
            <w:r>
              <w:rPr>
                <w:rFonts w:hint="eastAsia" w:ascii="宋体" w:hAnsi="宋体" w:cs="宋体"/>
                <w:color w:val="auto"/>
                <w:sz w:val="24"/>
                <w:highlight w:val="none"/>
              </w:rPr>
              <w:t>需用时间</w:t>
            </w:r>
          </w:p>
        </w:tc>
      </w:tr>
      <w:tr w14:paraId="3E18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0C797A25">
            <w:pPr>
              <w:rPr>
                <w:rFonts w:hint="eastAsia" w:ascii="宋体" w:hAnsi="宋体" w:cs="宋体"/>
                <w:color w:val="auto"/>
                <w:sz w:val="24"/>
                <w:highlight w:val="none"/>
              </w:rPr>
            </w:pPr>
          </w:p>
        </w:tc>
        <w:tc>
          <w:tcPr>
            <w:tcW w:w="2357" w:type="dxa"/>
            <w:noWrap w:val="0"/>
            <w:vAlign w:val="top"/>
          </w:tcPr>
          <w:p w14:paraId="64525D2B">
            <w:pPr>
              <w:rPr>
                <w:rFonts w:hint="eastAsia" w:ascii="宋体" w:hAnsi="宋体" w:cs="宋体"/>
                <w:color w:val="auto"/>
                <w:sz w:val="24"/>
                <w:highlight w:val="none"/>
              </w:rPr>
            </w:pPr>
          </w:p>
        </w:tc>
        <w:tc>
          <w:tcPr>
            <w:tcW w:w="2356" w:type="dxa"/>
            <w:noWrap w:val="0"/>
            <w:vAlign w:val="top"/>
          </w:tcPr>
          <w:p w14:paraId="6BF39FE0">
            <w:pPr>
              <w:rPr>
                <w:rFonts w:hint="eastAsia" w:ascii="宋体" w:hAnsi="宋体" w:cs="宋体"/>
                <w:color w:val="auto"/>
                <w:sz w:val="24"/>
                <w:highlight w:val="none"/>
              </w:rPr>
            </w:pPr>
          </w:p>
        </w:tc>
        <w:tc>
          <w:tcPr>
            <w:tcW w:w="2357" w:type="dxa"/>
            <w:noWrap w:val="0"/>
            <w:vAlign w:val="top"/>
          </w:tcPr>
          <w:p w14:paraId="43A0A66A">
            <w:pPr>
              <w:rPr>
                <w:rFonts w:hint="eastAsia" w:ascii="宋体" w:hAnsi="宋体" w:cs="宋体"/>
                <w:color w:val="auto"/>
                <w:sz w:val="24"/>
                <w:highlight w:val="none"/>
              </w:rPr>
            </w:pPr>
          </w:p>
        </w:tc>
      </w:tr>
      <w:tr w14:paraId="311E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1D0EB772">
            <w:pPr>
              <w:rPr>
                <w:rFonts w:hint="eastAsia" w:ascii="宋体" w:hAnsi="宋体" w:cs="宋体"/>
                <w:color w:val="auto"/>
                <w:sz w:val="24"/>
                <w:highlight w:val="none"/>
              </w:rPr>
            </w:pPr>
          </w:p>
        </w:tc>
        <w:tc>
          <w:tcPr>
            <w:tcW w:w="2357" w:type="dxa"/>
            <w:noWrap w:val="0"/>
            <w:vAlign w:val="top"/>
          </w:tcPr>
          <w:p w14:paraId="1BC58280">
            <w:pPr>
              <w:rPr>
                <w:rFonts w:hint="eastAsia" w:ascii="宋体" w:hAnsi="宋体" w:cs="宋体"/>
                <w:color w:val="auto"/>
                <w:sz w:val="24"/>
                <w:highlight w:val="none"/>
              </w:rPr>
            </w:pPr>
          </w:p>
        </w:tc>
        <w:tc>
          <w:tcPr>
            <w:tcW w:w="2356" w:type="dxa"/>
            <w:noWrap w:val="0"/>
            <w:vAlign w:val="top"/>
          </w:tcPr>
          <w:p w14:paraId="049E1327">
            <w:pPr>
              <w:rPr>
                <w:rFonts w:hint="eastAsia" w:ascii="宋体" w:hAnsi="宋体" w:cs="宋体"/>
                <w:color w:val="auto"/>
                <w:sz w:val="24"/>
                <w:highlight w:val="none"/>
              </w:rPr>
            </w:pPr>
          </w:p>
        </w:tc>
        <w:tc>
          <w:tcPr>
            <w:tcW w:w="2357" w:type="dxa"/>
            <w:noWrap w:val="0"/>
            <w:vAlign w:val="top"/>
          </w:tcPr>
          <w:p w14:paraId="2E767E6F">
            <w:pPr>
              <w:rPr>
                <w:rFonts w:hint="eastAsia" w:ascii="宋体" w:hAnsi="宋体" w:cs="宋体"/>
                <w:color w:val="auto"/>
                <w:sz w:val="24"/>
                <w:highlight w:val="none"/>
              </w:rPr>
            </w:pPr>
          </w:p>
        </w:tc>
      </w:tr>
      <w:tr w14:paraId="381F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noWrap w:val="0"/>
            <w:vAlign w:val="top"/>
          </w:tcPr>
          <w:p w14:paraId="2D53635F">
            <w:pPr>
              <w:rPr>
                <w:rFonts w:hint="eastAsia" w:ascii="宋体" w:hAnsi="宋体" w:cs="宋体"/>
                <w:color w:val="auto"/>
                <w:sz w:val="24"/>
                <w:highlight w:val="none"/>
              </w:rPr>
            </w:pPr>
          </w:p>
        </w:tc>
        <w:tc>
          <w:tcPr>
            <w:tcW w:w="2357" w:type="dxa"/>
            <w:noWrap w:val="0"/>
            <w:vAlign w:val="top"/>
          </w:tcPr>
          <w:p w14:paraId="36D8339F">
            <w:pPr>
              <w:rPr>
                <w:rFonts w:hint="eastAsia" w:ascii="宋体" w:hAnsi="宋体" w:cs="宋体"/>
                <w:color w:val="auto"/>
                <w:sz w:val="24"/>
                <w:highlight w:val="none"/>
              </w:rPr>
            </w:pPr>
          </w:p>
        </w:tc>
        <w:tc>
          <w:tcPr>
            <w:tcW w:w="2356" w:type="dxa"/>
            <w:noWrap w:val="0"/>
            <w:vAlign w:val="top"/>
          </w:tcPr>
          <w:p w14:paraId="5A7E389A">
            <w:pPr>
              <w:rPr>
                <w:rFonts w:hint="eastAsia" w:ascii="宋体" w:hAnsi="宋体" w:cs="宋体"/>
                <w:color w:val="auto"/>
                <w:sz w:val="24"/>
                <w:highlight w:val="none"/>
              </w:rPr>
            </w:pPr>
          </w:p>
        </w:tc>
        <w:tc>
          <w:tcPr>
            <w:tcW w:w="2357" w:type="dxa"/>
            <w:noWrap w:val="0"/>
            <w:vAlign w:val="top"/>
          </w:tcPr>
          <w:p w14:paraId="398DC076">
            <w:pPr>
              <w:rPr>
                <w:rFonts w:hint="eastAsia" w:ascii="宋体" w:hAnsi="宋体" w:cs="宋体"/>
                <w:color w:val="auto"/>
                <w:sz w:val="24"/>
                <w:highlight w:val="none"/>
              </w:rPr>
            </w:pPr>
          </w:p>
        </w:tc>
      </w:tr>
      <w:tr w14:paraId="6D5D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17AC8DC1">
            <w:pPr>
              <w:rPr>
                <w:rFonts w:hint="eastAsia" w:ascii="宋体" w:hAnsi="宋体" w:cs="宋体"/>
                <w:color w:val="auto"/>
                <w:sz w:val="24"/>
                <w:highlight w:val="none"/>
              </w:rPr>
            </w:pPr>
          </w:p>
        </w:tc>
        <w:tc>
          <w:tcPr>
            <w:tcW w:w="2357" w:type="dxa"/>
            <w:noWrap w:val="0"/>
            <w:vAlign w:val="top"/>
          </w:tcPr>
          <w:p w14:paraId="3A4763A5">
            <w:pPr>
              <w:rPr>
                <w:rFonts w:hint="eastAsia" w:ascii="宋体" w:hAnsi="宋体" w:cs="宋体"/>
                <w:color w:val="auto"/>
                <w:sz w:val="24"/>
                <w:highlight w:val="none"/>
              </w:rPr>
            </w:pPr>
          </w:p>
        </w:tc>
        <w:tc>
          <w:tcPr>
            <w:tcW w:w="2356" w:type="dxa"/>
            <w:noWrap w:val="0"/>
            <w:vAlign w:val="top"/>
          </w:tcPr>
          <w:p w14:paraId="64E6CED5">
            <w:pPr>
              <w:rPr>
                <w:rFonts w:hint="eastAsia" w:ascii="宋体" w:hAnsi="宋体" w:cs="宋体"/>
                <w:color w:val="auto"/>
                <w:sz w:val="24"/>
                <w:highlight w:val="none"/>
              </w:rPr>
            </w:pPr>
          </w:p>
        </w:tc>
        <w:tc>
          <w:tcPr>
            <w:tcW w:w="2357" w:type="dxa"/>
            <w:noWrap w:val="0"/>
            <w:vAlign w:val="top"/>
          </w:tcPr>
          <w:p w14:paraId="2E0A5DE7">
            <w:pPr>
              <w:rPr>
                <w:rFonts w:hint="eastAsia" w:ascii="宋体" w:hAnsi="宋体" w:cs="宋体"/>
                <w:color w:val="auto"/>
                <w:sz w:val="24"/>
                <w:highlight w:val="none"/>
              </w:rPr>
            </w:pPr>
          </w:p>
        </w:tc>
      </w:tr>
    </w:tbl>
    <w:p w14:paraId="211B690F">
      <w:pPr>
        <w:spacing w:line="500" w:lineRule="exact"/>
        <w:jc w:val="center"/>
        <w:rPr>
          <w:rFonts w:hint="eastAsia" w:ascii="宋体" w:hAnsi="宋体" w:cs="宋体"/>
          <w:color w:val="auto"/>
          <w:sz w:val="24"/>
          <w:highlight w:val="none"/>
        </w:rPr>
        <w:sectPr>
          <w:pgSz w:w="11911" w:h="16838"/>
          <w:pgMar w:top="1338" w:right="1502" w:bottom="850" w:left="1678" w:header="1077" w:footer="720" w:gutter="0"/>
          <w:cols w:space="720" w:num="1"/>
          <w:docGrid w:linePitch="1" w:charSpace="0"/>
        </w:sectPr>
      </w:pPr>
    </w:p>
    <w:p w14:paraId="1751DF07">
      <w:pPr>
        <w:keepNext/>
        <w:keepLines/>
        <w:rPr>
          <w:rFonts w:hint="eastAsia" w:ascii="宋体" w:hAnsi="宋体" w:cs="宋体"/>
          <w:b/>
          <w:color w:val="auto"/>
          <w:sz w:val="30"/>
          <w:szCs w:val="30"/>
          <w:highlight w:val="none"/>
        </w:rPr>
      </w:pPr>
      <w:bookmarkStart w:id="76" w:name="_Toc192305147"/>
      <w:bookmarkStart w:id="77" w:name="_Toc202756562"/>
      <w:bookmarkStart w:id="78" w:name="_Toc202756645"/>
      <w:bookmarkStart w:id="79" w:name="_Toc205197563"/>
      <w:r>
        <w:rPr>
          <w:rFonts w:hint="eastAsia" w:ascii="宋体" w:hAnsi="宋体" w:cs="宋体"/>
          <w:b/>
          <w:color w:val="auto"/>
          <w:sz w:val="30"/>
          <w:szCs w:val="30"/>
          <w:highlight w:val="none"/>
        </w:rPr>
        <w:t>七</w:t>
      </w:r>
      <w:r>
        <w:rPr>
          <w:rFonts w:hint="eastAsia" w:ascii="宋体" w:hAnsi="宋体" w:cs="宋体"/>
          <w:b/>
          <w:color w:val="auto"/>
          <w:sz w:val="30"/>
          <w:szCs w:val="30"/>
          <w:highlight w:val="none"/>
          <w:lang w:val="zh-CN"/>
        </w:rPr>
        <w:t>、</w:t>
      </w:r>
      <w:r>
        <w:rPr>
          <w:rFonts w:hint="eastAsia" w:ascii="宋体" w:hAnsi="宋体" w:cs="宋体"/>
          <w:b/>
          <w:color w:val="auto"/>
          <w:sz w:val="30"/>
          <w:szCs w:val="30"/>
          <w:highlight w:val="none"/>
        </w:rPr>
        <w:t>项目管理机构</w:t>
      </w:r>
      <w:bookmarkEnd w:id="76"/>
      <w:bookmarkEnd w:id="77"/>
      <w:bookmarkEnd w:id="78"/>
      <w:bookmarkEnd w:id="79"/>
    </w:p>
    <w:p w14:paraId="0C5AFE17">
      <w:pPr>
        <w:jc w:val="center"/>
        <w:rPr>
          <w:rFonts w:hint="eastAsia" w:ascii="宋体" w:hAnsi="宋体" w:cs="宋体"/>
          <w:b/>
          <w:bCs/>
          <w:color w:val="auto"/>
          <w:sz w:val="24"/>
          <w:highlight w:val="none"/>
        </w:rPr>
      </w:pPr>
    </w:p>
    <w:p w14:paraId="6F7225B2">
      <w:pPr>
        <w:spacing w:after="120" w:afterLines="50"/>
        <w:jc w:val="center"/>
        <w:rPr>
          <w:rFonts w:hint="eastAsia" w:ascii="宋体" w:hAnsi="宋体" w:cs="宋体"/>
          <w:bCs/>
          <w:color w:val="auto"/>
          <w:sz w:val="24"/>
          <w:highlight w:val="none"/>
        </w:rPr>
      </w:pPr>
      <w:r>
        <w:rPr>
          <w:rFonts w:hint="eastAsia" w:ascii="宋体" w:hAnsi="宋体" w:cs="宋体"/>
          <w:b/>
          <w:bCs/>
          <w:color w:val="auto"/>
          <w:sz w:val="24"/>
          <w:highlight w:val="none"/>
        </w:rPr>
        <w:t>拟投入本合同工程施工的项目管理机构组成表</w:t>
      </w:r>
    </w:p>
    <w:tbl>
      <w:tblPr>
        <w:tblStyle w:val="35"/>
        <w:tblW w:w="0" w:type="auto"/>
        <w:tblInd w:w="-375" w:type="dxa"/>
        <w:tblLayout w:type="fixed"/>
        <w:tblCellMar>
          <w:top w:w="0" w:type="dxa"/>
          <w:left w:w="0" w:type="dxa"/>
          <w:bottom w:w="0" w:type="dxa"/>
          <w:right w:w="0" w:type="dxa"/>
        </w:tblCellMar>
      </w:tblPr>
      <w:tblGrid>
        <w:gridCol w:w="675"/>
        <w:gridCol w:w="1335"/>
        <w:gridCol w:w="840"/>
        <w:gridCol w:w="795"/>
        <w:gridCol w:w="1107"/>
        <w:gridCol w:w="768"/>
        <w:gridCol w:w="750"/>
        <w:gridCol w:w="1440"/>
        <w:gridCol w:w="900"/>
        <w:gridCol w:w="1080"/>
      </w:tblGrid>
      <w:tr w14:paraId="3B42F91A">
        <w:tblPrEx>
          <w:tblCellMar>
            <w:top w:w="0" w:type="dxa"/>
            <w:left w:w="0" w:type="dxa"/>
            <w:bottom w:w="0" w:type="dxa"/>
            <w:right w:w="0" w:type="dxa"/>
          </w:tblCellMar>
        </w:tblPrEx>
        <w:trPr>
          <w:trHeight w:val="601" w:hRule="atLeast"/>
        </w:trPr>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2884F45">
            <w:pPr>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AB8FBB">
            <w:pPr>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岗位名称</w:t>
            </w:r>
          </w:p>
        </w:tc>
        <w:tc>
          <w:tcPr>
            <w:tcW w:w="84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270089B">
            <w:pPr>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79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3B7F974">
            <w:pPr>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110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B2A1394">
            <w:pPr>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工作职责</w:t>
            </w:r>
          </w:p>
        </w:tc>
        <w:tc>
          <w:tcPr>
            <w:tcW w:w="76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8218535">
            <w:pPr>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81AD535">
            <w:pPr>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专业</w:t>
            </w:r>
          </w:p>
        </w:tc>
        <w:tc>
          <w:tcPr>
            <w:tcW w:w="144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A11188A">
            <w:pPr>
              <w:spacing w:line="300" w:lineRule="exact"/>
              <w:jc w:val="center"/>
              <w:rPr>
                <w:rFonts w:hint="eastAsia" w:ascii="宋体" w:hAnsi="宋体" w:cs="宋体"/>
                <w:color w:val="auto"/>
                <w:sz w:val="24"/>
                <w:highlight w:val="none"/>
              </w:rPr>
            </w:pPr>
            <w:r>
              <w:rPr>
                <w:rFonts w:hint="eastAsia" w:ascii="宋体" w:hAnsi="宋体" w:cs="宋体"/>
                <w:bCs/>
                <w:color w:val="auto"/>
                <w:sz w:val="24"/>
                <w:highlight w:val="none"/>
              </w:rPr>
              <w:t>相关证书名称及编号</w:t>
            </w: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79E9211">
            <w:pPr>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相关工作年限</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3D3483C">
            <w:pPr>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工作简历</w:t>
            </w:r>
          </w:p>
        </w:tc>
      </w:tr>
      <w:tr w14:paraId="42F3A3A5">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120AEB1">
            <w:pPr>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33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820DEE">
            <w:pPr>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项目经理</w:t>
            </w:r>
          </w:p>
        </w:tc>
        <w:tc>
          <w:tcPr>
            <w:tcW w:w="84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1DD5112">
            <w:pPr>
              <w:spacing w:line="240" w:lineRule="exact"/>
              <w:jc w:val="center"/>
              <w:rPr>
                <w:rFonts w:hint="eastAsia" w:ascii="宋体" w:hAnsi="宋体" w:cs="宋体"/>
                <w:color w:val="auto"/>
                <w:sz w:val="24"/>
                <w:highlight w:val="none"/>
              </w:rPr>
            </w:pPr>
          </w:p>
        </w:tc>
        <w:tc>
          <w:tcPr>
            <w:tcW w:w="7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34104C7">
            <w:pPr>
              <w:spacing w:line="240" w:lineRule="exact"/>
              <w:jc w:val="center"/>
              <w:rPr>
                <w:rFonts w:hint="eastAsia" w:ascii="宋体" w:hAnsi="宋体" w:cs="宋体"/>
                <w:color w:val="auto"/>
                <w:sz w:val="24"/>
                <w:highlight w:val="none"/>
              </w:rPr>
            </w:pPr>
          </w:p>
        </w:tc>
        <w:tc>
          <w:tcPr>
            <w:tcW w:w="110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5C468C1">
            <w:pPr>
              <w:spacing w:line="240" w:lineRule="exact"/>
              <w:jc w:val="center"/>
              <w:rPr>
                <w:rFonts w:hint="eastAsia" w:ascii="宋体" w:hAnsi="宋体" w:cs="宋体"/>
                <w:color w:val="auto"/>
                <w:sz w:val="24"/>
                <w:highlight w:val="none"/>
              </w:rPr>
            </w:pPr>
          </w:p>
        </w:tc>
        <w:tc>
          <w:tcPr>
            <w:tcW w:w="76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E2A9AF1">
            <w:pPr>
              <w:spacing w:line="240" w:lineRule="exact"/>
              <w:jc w:val="center"/>
              <w:rPr>
                <w:rFonts w:hint="eastAsia" w:ascii="宋体" w:hAnsi="宋体" w:cs="宋体"/>
                <w:color w:val="auto"/>
                <w:sz w:val="24"/>
                <w:highlight w:val="none"/>
              </w:rPr>
            </w:pPr>
          </w:p>
        </w:tc>
        <w:tc>
          <w:tcPr>
            <w:tcW w:w="75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DFD78AA">
            <w:pPr>
              <w:spacing w:line="240" w:lineRule="exact"/>
              <w:jc w:val="center"/>
              <w:rPr>
                <w:rFonts w:hint="eastAsia" w:ascii="宋体" w:hAnsi="宋体" w:cs="宋体"/>
                <w:color w:val="auto"/>
                <w:sz w:val="24"/>
                <w:highlight w:val="none"/>
              </w:rPr>
            </w:pPr>
          </w:p>
        </w:tc>
        <w:tc>
          <w:tcPr>
            <w:tcW w:w="144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2070512">
            <w:pPr>
              <w:spacing w:line="240" w:lineRule="exact"/>
              <w:jc w:val="center"/>
              <w:rPr>
                <w:rFonts w:hint="eastAsia" w:ascii="宋体" w:hAnsi="宋体" w:cs="宋体"/>
                <w:color w:val="auto"/>
                <w:sz w:val="24"/>
                <w:highlight w:val="none"/>
              </w:rPr>
            </w:pP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5CF6DEB">
            <w:pPr>
              <w:spacing w:line="240" w:lineRule="exact"/>
              <w:jc w:val="center"/>
              <w:rPr>
                <w:rFonts w:hint="eastAsia"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9348D9">
            <w:pPr>
              <w:spacing w:line="240" w:lineRule="exact"/>
              <w:jc w:val="center"/>
              <w:rPr>
                <w:rFonts w:hint="eastAsia" w:ascii="宋体" w:hAnsi="宋体" w:cs="宋体"/>
                <w:color w:val="auto"/>
                <w:sz w:val="24"/>
                <w:highlight w:val="none"/>
              </w:rPr>
            </w:pPr>
          </w:p>
        </w:tc>
      </w:tr>
      <w:tr w14:paraId="2E34047E">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4D9AB01">
            <w:pPr>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33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A3F4902">
            <w:pPr>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84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4633B58">
            <w:pPr>
              <w:spacing w:line="240" w:lineRule="exact"/>
              <w:jc w:val="center"/>
              <w:rPr>
                <w:rFonts w:hint="eastAsia" w:ascii="宋体" w:hAnsi="宋体" w:cs="宋体"/>
                <w:color w:val="auto"/>
                <w:sz w:val="24"/>
                <w:highlight w:val="none"/>
              </w:rPr>
            </w:pPr>
          </w:p>
        </w:tc>
        <w:tc>
          <w:tcPr>
            <w:tcW w:w="7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4176DE5">
            <w:pPr>
              <w:spacing w:line="240" w:lineRule="exact"/>
              <w:jc w:val="center"/>
              <w:rPr>
                <w:rFonts w:hint="eastAsia" w:ascii="宋体" w:hAnsi="宋体" w:cs="宋体"/>
                <w:color w:val="auto"/>
                <w:sz w:val="24"/>
                <w:highlight w:val="none"/>
              </w:rPr>
            </w:pPr>
          </w:p>
        </w:tc>
        <w:tc>
          <w:tcPr>
            <w:tcW w:w="110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303C29B">
            <w:pPr>
              <w:spacing w:line="240" w:lineRule="exact"/>
              <w:jc w:val="center"/>
              <w:rPr>
                <w:rFonts w:hint="eastAsia" w:ascii="宋体" w:hAnsi="宋体" w:cs="宋体"/>
                <w:color w:val="auto"/>
                <w:sz w:val="24"/>
                <w:highlight w:val="none"/>
              </w:rPr>
            </w:pPr>
          </w:p>
        </w:tc>
        <w:tc>
          <w:tcPr>
            <w:tcW w:w="76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A9A9EBB">
            <w:pPr>
              <w:spacing w:line="240" w:lineRule="exact"/>
              <w:jc w:val="center"/>
              <w:rPr>
                <w:rFonts w:hint="eastAsia" w:ascii="宋体" w:hAnsi="宋体" w:cs="宋体"/>
                <w:color w:val="auto"/>
                <w:sz w:val="24"/>
                <w:highlight w:val="none"/>
              </w:rPr>
            </w:pPr>
          </w:p>
        </w:tc>
        <w:tc>
          <w:tcPr>
            <w:tcW w:w="75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25C13BE">
            <w:pPr>
              <w:spacing w:line="240" w:lineRule="exact"/>
              <w:jc w:val="center"/>
              <w:rPr>
                <w:rFonts w:hint="eastAsia" w:ascii="宋体" w:hAnsi="宋体" w:cs="宋体"/>
                <w:color w:val="auto"/>
                <w:sz w:val="24"/>
                <w:highlight w:val="none"/>
              </w:rPr>
            </w:pPr>
          </w:p>
        </w:tc>
        <w:tc>
          <w:tcPr>
            <w:tcW w:w="144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89AB833">
            <w:pPr>
              <w:spacing w:line="240" w:lineRule="exact"/>
              <w:jc w:val="center"/>
              <w:rPr>
                <w:rFonts w:hint="eastAsia" w:ascii="宋体" w:hAnsi="宋体" w:cs="宋体"/>
                <w:color w:val="auto"/>
                <w:sz w:val="24"/>
                <w:highlight w:val="none"/>
              </w:rPr>
            </w:pP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6EAF4BA">
            <w:pPr>
              <w:spacing w:line="240" w:lineRule="exact"/>
              <w:jc w:val="center"/>
              <w:rPr>
                <w:rFonts w:hint="eastAsia"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A1309C3">
            <w:pPr>
              <w:spacing w:line="240" w:lineRule="exact"/>
              <w:jc w:val="center"/>
              <w:rPr>
                <w:rFonts w:hint="eastAsia" w:ascii="宋体" w:hAnsi="宋体" w:cs="宋体"/>
                <w:color w:val="auto"/>
                <w:sz w:val="24"/>
                <w:highlight w:val="none"/>
              </w:rPr>
            </w:pPr>
          </w:p>
        </w:tc>
      </w:tr>
      <w:tr w14:paraId="790EC23B">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ED8180">
            <w:pPr>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33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D73500">
            <w:pPr>
              <w:spacing w:line="300" w:lineRule="exact"/>
              <w:jc w:val="center"/>
              <w:rPr>
                <w:rFonts w:hint="eastAsia" w:ascii="宋体" w:hAnsi="宋体" w:cs="宋体"/>
                <w:color w:val="auto"/>
                <w:sz w:val="24"/>
                <w:highlight w:val="none"/>
              </w:rPr>
            </w:pPr>
          </w:p>
        </w:tc>
        <w:tc>
          <w:tcPr>
            <w:tcW w:w="84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B78CAFB">
            <w:pPr>
              <w:spacing w:line="240" w:lineRule="exact"/>
              <w:jc w:val="center"/>
              <w:rPr>
                <w:rFonts w:hint="eastAsia" w:ascii="宋体" w:hAnsi="宋体" w:cs="宋体"/>
                <w:color w:val="auto"/>
                <w:sz w:val="24"/>
                <w:highlight w:val="none"/>
              </w:rPr>
            </w:pPr>
          </w:p>
        </w:tc>
        <w:tc>
          <w:tcPr>
            <w:tcW w:w="7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C15F4D1">
            <w:pPr>
              <w:spacing w:line="240" w:lineRule="exact"/>
              <w:jc w:val="center"/>
              <w:rPr>
                <w:rFonts w:hint="eastAsia" w:ascii="宋体" w:hAnsi="宋体" w:cs="宋体"/>
                <w:color w:val="auto"/>
                <w:sz w:val="24"/>
                <w:highlight w:val="none"/>
              </w:rPr>
            </w:pPr>
          </w:p>
        </w:tc>
        <w:tc>
          <w:tcPr>
            <w:tcW w:w="110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4D3EDE5">
            <w:pPr>
              <w:spacing w:line="240" w:lineRule="exact"/>
              <w:jc w:val="center"/>
              <w:rPr>
                <w:rFonts w:hint="eastAsia" w:ascii="宋体" w:hAnsi="宋体" w:cs="宋体"/>
                <w:color w:val="auto"/>
                <w:sz w:val="24"/>
                <w:highlight w:val="none"/>
              </w:rPr>
            </w:pPr>
          </w:p>
        </w:tc>
        <w:tc>
          <w:tcPr>
            <w:tcW w:w="76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3826C47">
            <w:pPr>
              <w:pStyle w:val="113"/>
              <w:widowControl w:val="0"/>
              <w:overflowPunct/>
              <w:autoSpaceDE/>
              <w:autoSpaceDN/>
              <w:adjustRightInd/>
              <w:spacing w:before="0" w:line="240" w:lineRule="exact"/>
              <w:jc w:val="center"/>
              <w:textAlignment w:val="auto"/>
              <w:rPr>
                <w:rFonts w:hint="eastAsia" w:ascii="宋体" w:hAnsi="宋体" w:cs="宋体"/>
                <w:color w:val="auto"/>
                <w:kern w:val="2"/>
                <w:szCs w:val="21"/>
                <w:highlight w:val="none"/>
              </w:rPr>
            </w:pPr>
          </w:p>
        </w:tc>
        <w:tc>
          <w:tcPr>
            <w:tcW w:w="75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331D6F3">
            <w:pPr>
              <w:spacing w:line="240" w:lineRule="exact"/>
              <w:jc w:val="center"/>
              <w:rPr>
                <w:rFonts w:hint="eastAsia" w:ascii="宋体" w:hAnsi="宋体" w:cs="宋体"/>
                <w:color w:val="auto"/>
                <w:sz w:val="24"/>
                <w:highlight w:val="none"/>
              </w:rPr>
            </w:pPr>
          </w:p>
        </w:tc>
        <w:tc>
          <w:tcPr>
            <w:tcW w:w="144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2EB537D">
            <w:pPr>
              <w:spacing w:line="240" w:lineRule="exact"/>
              <w:jc w:val="center"/>
              <w:rPr>
                <w:rFonts w:hint="eastAsia" w:ascii="宋体" w:hAnsi="宋体" w:cs="宋体"/>
                <w:color w:val="auto"/>
                <w:sz w:val="24"/>
                <w:highlight w:val="none"/>
              </w:rPr>
            </w:pP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3F65D16">
            <w:pPr>
              <w:spacing w:line="240" w:lineRule="exact"/>
              <w:jc w:val="center"/>
              <w:rPr>
                <w:rFonts w:hint="eastAsia"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8033D4D">
            <w:pPr>
              <w:spacing w:line="240" w:lineRule="exact"/>
              <w:jc w:val="center"/>
              <w:rPr>
                <w:rFonts w:hint="eastAsia" w:ascii="宋体" w:hAnsi="宋体" w:cs="宋体"/>
                <w:color w:val="auto"/>
                <w:sz w:val="24"/>
                <w:highlight w:val="none"/>
              </w:rPr>
            </w:pPr>
          </w:p>
        </w:tc>
      </w:tr>
      <w:tr w14:paraId="35B5E7D1">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72FB904">
            <w:pPr>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33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EAF4E5">
            <w:pPr>
              <w:spacing w:line="300" w:lineRule="exact"/>
              <w:jc w:val="center"/>
              <w:rPr>
                <w:rFonts w:hint="eastAsia" w:ascii="宋体" w:hAnsi="宋体" w:cs="宋体"/>
                <w:color w:val="auto"/>
                <w:sz w:val="24"/>
                <w:highlight w:val="none"/>
              </w:rPr>
            </w:pPr>
          </w:p>
        </w:tc>
        <w:tc>
          <w:tcPr>
            <w:tcW w:w="84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7CA4452">
            <w:pPr>
              <w:spacing w:line="240" w:lineRule="exact"/>
              <w:jc w:val="center"/>
              <w:rPr>
                <w:rFonts w:hint="eastAsia" w:ascii="宋体" w:hAnsi="宋体" w:cs="宋体"/>
                <w:color w:val="auto"/>
                <w:sz w:val="24"/>
                <w:highlight w:val="none"/>
              </w:rPr>
            </w:pPr>
          </w:p>
        </w:tc>
        <w:tc>
          <w:tcPr>
            <w:tcW w:w="7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2DB67A4">
            <w:pPr>
              <w:spacing w:line="240" w:lineRule="exact"/>
              <w:jc w:val="center"/>
              <w:rPr>
                <w:rFonts w:hint="eastAsia" w:ascii="宋体" w:hAnsi="宋体" w:cs="宋体"/>
                <w:color w:val="auto"/>
                <w:sz w:val="24"/>
                <w:highlight w:val="none"/>
              </w:rPr>
            </w:pPr>
          </w:p>
        </w:tc>
        <w:tc>
          <w:tcPr>
            <w:tcW w:w="110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A7DF39D">
            <w:pPr>
              <w:spacing w:line="240" w:lineRule="exact"/>
              <w:jc w:val="center"/>
              <w:rPr>
                <w:rFonts w:hint="eastAsia" w:ascii="宋体" w:hAnsi="宋体" w:cs="宋体"/>
                <w:color w:val="auto"/>
                <w:sz w:val="24"/>
                <w:highlight w:val="none"/>
              </w:rPr>
            </w:pPr>
          </w:p>
        </w:tc>
        <w:tc>
          <w:tcPr>
            <w:tcW w:w="76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D7B5FC8">
            <w:pPr>
              <w:spacing w:line="240" w:lineRule="exact"/>
              <w:jc w:val="center"/>
              <w:rPr>
                <w:rFonts w:hint="eastAsia" w:ascii="宋体" w:hAnsi="宋体" w:cs="宋体"/>
                <w:color w:val="auto"/>
                <w:sz w:val="24"/>
                <w:highlight w:val="none"/>
              </w:rPr>
            </w:pPr>
          </w:p>
        </w:tc>
        <w:tc>
          <w:tcPr>
            <w:tcW w:w="75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6465298">
            <w:pPr>
              <w:spacing w:line="240" w:lineRule="exact"/>
              <w:jc w:val="center"/>
              <w:rPr>
                <w:rFonts w:hint="eastAsia" w:ascii="宋体" w:hAnsi="宋体" w:cs="宋体"/>
                <w:color w:val="auto"/>
                <w:sz w:val="24"/>
                <w:highlight w:val="none"/>
              </w:rPr>
            </w:pPr>
          </w:p>
        </w:tc>
        <w:tc>
          <w:tcPr>
            <w:tcW w:w="144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7BE9998">
            <w:pPr>
              <w:spacing w:line="240" w:lineRule="exact"/>
              <w:jc w:val="center"/>
              <w:rPr>
                <w:rFonts w:hint="eastAsia" w:ascii="宋体" w:hAnsi="宋体" w:cs="宋体"/>
                <w:color w:val="auto"/>
                <w:sz w:val="24"/>
                <w:highlight w:val="none"/>
              </w:rPr>
            </w:pP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8115E18">
            <w:pPr>
              <w:spacing w:line="240" w:lineRule="exact"/>
              <w:jc w:val="center"/>
              <w:rPr>
                <w:rFonts w:hint="eastAsia"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02F6BBD">
            <w:pPr>
              <w:spacing w:line="240" w:lineRule="exact"/>
              <w:jc w:val="center"/>
              <w:rPr>
                <w:rFonts w:hint="eastAsia" w:ascii="宋体" w:hAnsi="宋体" w:cs="宋体"/>
                <w:color w:val="auto"/>
                <w:sz w:val="24"/>
                <w:highlight w:val="none"/>
              </w:rPr>
            </w:pPr>
          </w:p>
        </w:tc>
      </w:tr>
      <w:tr w14:paraId="679C62A5">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0E92B2">
            <w:pPr>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33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4513C1F">
            <w:pPr>
              <w:spacing w:line="300" w:lineRule="exact"/>
              <w:jc w:val="center"/>
              <w:rPr>
                <w:rFonts w:hint="eastAsia" w:ascii="宋体" w:hAnsi="宋体" w:cs="宋体"/>
                <w:color w:val="auto"/>
                <w:sz w:val="24"/>
                <w:highlight w:val="none"/>
              </w:rPr>
            </w:pPr>
          </w:p>
        </w:tc>
        <w:tc>
          <w:tcPr>
            <w:tcW w:w="84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31D31CE">
            <w:pPr>
              <w:spacing w:line="240" w:lineRule="exact"/>
              <w:jc w:val="center"/>
              <w:rPr>
                <w:rFonts w:hint="eastAsia" w:ascii="宋体" w:hAnsi="宋体" w:cs="宋体"/>
                <w:color w:val="auto"/>
                <w:sz w:val="24"/>
                <w:highlight w:val="none"/>
              </w:rPr>
            </w:pPr>
          </w:p>
        </w:tc>
        <w:tc>
          <w:tcPr>
            <w:tcW w:w="7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A60F8EE">
            <w:pPr>
              <w:spacing w:line="240" w:lineRule="exact"/>
              <w:jc w:val="center"/>
              <w:rPr>
                <w:rFonts w:hint="eastAsia" w:ascii="宋体" w:hAnsi="宋体" w:cs="宋体"/>
                <w:color w:val="auto"/>
                <w:sz w:val="24"/>
                <w:highlight w:val="none"/>
              </w:rPr>
            </w:pPr>
          </w:p>
        </w:tc>
        <w:tc>
          <w:tcPr>
            <w:tcW w:w="110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A01A624">
            <w:pPr>
              <w:spacing w:line="240" w:lineRule="exact"/>
              <w:jc w:val="center"/>
              <w:rPr>
                <w:rFonts w:hint="eastAsia" w:ascii="宋体" w:hAnsi="宋体" w:cs="宋体"/>
                <w:color w:val="auto"/>
                <w:sz w:val="24"/>
                <w:highlight w:val="none"/>
              </w:rPr>
            </w:pPr>
          </w:p>
        </w:tc>
        <w:tc>
          <w:tcPr>
            <w:tcW w:w="76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C50F136">
            <w:pPr>
              <w:spacing w:line="240" w:lineRule="exact"/>
              <w:jc w:val="center"/>
              <w:rPr>
                <w:rFonts w:hint="eastAsia" w:ascii="宋体" w:hAnsi="宋体" w:cs="宋体"/>
                <w:color w:val="auto"/>
                <w:sz w:val="24"/>
                <w:highlight w:val="none"/>
              </w:rPr>
            </w:pPr>
          </w:p>
        </w:tc>
        <w:tc>
          <w:tcPr>
            <w:tcW w:w="75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327B391">
            <w:pPr>
              <w:spacing w:line="240" w:lineRule="exact"/>
              <w:jc w:val="center"/>
              <w:rPr>
                <w:rFonts w:hint="eastAsia" w:ascii="宋体" w:hAnsi="宋体" w:cs="宋体"/>
                <w:color w:val="auto"/>
                <w:sz w:val="24"/>
                <w:highlight w:val="none"/>
              </w:rPr>
            </w:pPr>
          </w:p>
        </w:tc>
        <w:tc>
          <w:tcPr>
            <w:tcW w:w="144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81DBE6E">
            <w:pPr>
              <w:spacing w:line="240" w:lineRule="exact"/>
              <w:jc w:val="center"/>
              <w:rPr>
                <w:rFonts w:hint="eastAsia" w:ascii="宋体" w:hAnsi="宋体" w:cs="宋体"/>
                <w:color w:val="auto"/>
                <w:sz w:val="24"/>
                <w:highlight w:val="none"/>
              </w:rPr>
            </w:pP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379DFE2">
            <w:pPr>
              <w:spacing w:line="240" w:lineRule="exact"/>
              <w:jc w:val="center"/>
              <w:rPr>
                <w:rFonts w:hint="eastAsia"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984E0F">
            <w:pPr>
              <w:spacing w:line="240" w:lineRule="exact"/>
              <w:jc w:val="center"/>
              <w:rPr>
                <w:rFonts w:hint="eastAsia" w:ascii="宋体" w:hAnsi="宋体" w:cs="宋体"/>
                <w:color w:val="auto"/>
                <w:sz w:val="24"/>
                <w:highlight w:val="none"/>
              </w:rPr>
            </w:pPr>
          </w:p>
        </w:tc>
      </w:tr>
      <w:tr w14:paraId="5A2C9D42">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A45BB33">
            <w:pPr>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33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D10CE4F">
            <w:pPr>
              <w:spacing w:line="300" w:lineRule="exact"/>
              <w:jc w:val="center"/>
              <w:rPr>
                <w:rFonts w:hint="eastAsia" w:ascii="宋体" w:hAnsi="宋体" w:cs="宋体"/>
                <w:color w:val="auto"/>
                <w:sz w:val="24"/>
                <w:highlight w:val="none"/>
              </w:rPr>
            </w:pPr>
          </w:p>
        </w:tc>
        <w:tc>
          <w:tcPr>
            <w:tcW w:w="84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8493106">
            <w:pPr>
              <w:spacing w:line="240" w:lineRule="exact"/>
              <w:jc w:val="center"/>
              <w:rPr>
                <w:rFonts w:hint="eastAsia" w:ascii="宋体" w:hAnsi="宋体" w:cs="宋体"/>
                <w:color w:val="auto"/>
                <w:sz w:val="24"/>
                <w:highlight w:val="none"/>
              </w:rPr>
            </w:pPr>
          </w:p>
        </w:tc>
        <w:tc>
          <w:tcPr>
            <w:tcW w:w="7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BE0F0C8">
            <w:pPr>
              <w:spacing w:line="240" w:lineRule="exact"/>
              <w:jc w:val="center"/>
              <w:rPr>
                <w:rFonts w:hint="eastAsia" w:ascii="宋体" w:hAnsi="宋体" w:cs="宋体"/>
                <w:color w:val="auto"/>
                <w:sz w:val="24"/>
                <w:highlight w:val="none"/>
              </w:rPr>
            </w:pPr>
          </w:p>
        </w:tc>
        <w:tc>
          <w:tcPr>
            <w:tcW w:w="110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CCAB855">
            <w:pPr>
              <w:spacing w:line="240" w:lineRule="exact"/>
              <w:jc w:val="center"/>
              <w:rPr>
                <w:rFonts w:hint="eastAsia" w:ascii="宋体" w:hAnsi="宋体" w:cs="宋体"/>
                <w:color w:val="auto"/>
                <w:sz w:val="24"/>
                <w:highlight w:val="none"/>
              </w:rPr>
            </w:pPr>
          </w:p>
        </w:tc>
        <w:tc>
          <w:tcPr>
            <w:tcW w:w="76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4D4A8B6">
            <w:pPr>
              <w:spacing w:line="240" w:lineRule="exact"/>
              <w:jc w:val="center"/>
              <w:rPr>
                <w:rFonts w:hint="eastAsia" w:ascii="宋体" w:hAnsi="宋体" w:cs="宋体"/>
                <w:color w:val="auto"/>
                <w:sz w:val="24"/>
                <w:highlight w:val="none"/>
              </w:rPr>
            </w:pPr>
          </w:p>
        </w:tc>
        <w:tc>
          <w:tcPr>
            <w:tcW w:w="75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EFA9C20">
            <w:pPr>
              <w:spacing w:line="240" w:lineRule="exact"/>
              <w:jc w:val="center"/>
              <w:rPr>
                <w:rFonts w:hint="eastAsia" w:ascii="宋体" w:hAnsi="宋体" w:cs="宋体"/>
                <w:color w:val="auto"/>
                <w:sz w:val="24"/>
                <w:highlight w:val="none"/>
              </w:rPr>
            </w:pPr>
          </w:p>
        </w:tc>
        <w:tc>
          <w:tcPr>
            <w:tcW w:w="144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AAF3639">
            <w:pPr>
              <w:spacing w:line="240" w:lineRule="exact"/>
              <w:jc w:val="center"/>
              <w:rPr>
                <w:rFonts w:hint="eastAsia" w:ascii="宋体" w:hAnsi="宋体" w:cs="宋体"/>
                <w:color w:val="auto"/>
                <w:sz w:val="24"/>
                <w:highlight w:val="none"/>
              </w:rPr>
            </w:pP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C0017B1">
            <w:pPr>
              <w:spacing w:line="240" w:lineRule="exact"/>
              <w:jc w:val="center"/>
              <w:rPr>
                <w:rFonts w:hint="eastAsia"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CB0D540">
            <w:pPr>
              <w:spacing w:line="240" w:lineRule="exact"/>
              <w:jc w:val="center"/>
              <w:rPr>
                <w:rFonts w:hint="eastAsia" w:ascii="宋体" w:hAnsi="宋体" w:cs="宋体"/>
                <w:color w:val="auto"/>
                <w:sz w:val="24"/>
                <w:highlight w:val="none"/>
              </w:rPr>
            </w:pPr>
          </w:p>
        </w:tc>
      </w:tr>
      <w:tr w14:paraId="19F02D19">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E865283">
            <w:pPr>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33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850C483">
            <w:pPr>
              <w:spacing w:line="300" w:lineRule="exact"/>
              <w:jc w:val="center"/>
              <w:rPr>
                <w:rFonts w:hint="eastAsia" w:ascii="宋体" w:hAnsi="宋体" w:cs="宋体"/>
                <w:color w:val="auto"/>
                <w:sz w:val="24"/>
                <w:highlight w:val="none"/>
              </w:rPr>
            </w:pPr>
          </w:p>
        </w:tc>
        <w:tc>
          <w:tcPr>
            <w:tcW w:w="84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EE49E41">
            <w:pPr>
              <w:spacing w:line="240" w:lineRule="exact"/>
              <w:jc w:val="center"/>
              <w:rPr>
                <w:rFonts w:hint="eastAsia" w:ascii="宋体" w:hAnsi="宋体" w:cs="宋体"/>
                <w:color w:val="auto"/>
                <w:sz w:val="24"/>
                <w:highlight w:val="none"/>
              </w:rPr>
            </w:pPr>
          </w:p>
        </w:tc>
        <w:tc>
          <w:tcPr>
            <w:tcW w:w="7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862B685">
            <w:pPr>
              <w:spacing w:line="240" w:lineRule="exact"/>
              <w:jc w:val="center"/>
              <w:rPr>
                <w:rFonts w:hint="eastAsia" w:ascii="宋体" w:hAnsi="宋体" w:cs="宋体"/>
                <w:color w:val="auto"/>
                <w:sz w:val="24"/>
                <w:highlight w:val="none"/>
              </w:rPr>
            </w:pPr>
          </w:p>
        </w:tc>
        <w:tc>
          <w:tcPr>
            <w:tcW w:w="110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E40CEBA">
            <w:pPr>
              <w:spacing w:line="240" w:lineRule="exact"/>
              <w:jc w:val="center"/>
              <w:rPr>
                <w:rFonts w:hint="eastAsia" w:ascii="宋体" w:hAnsi="宋体" w:cs="宋体"/>
                <w:color w:val="auto"/>
                <w:sz w:val="24"/>
                <w:highlight w:val="none"/>
              </w:rPr>
            </w:pPr>
          </w:p>
        </w:tc>
        <w:tc>
          <w:tcPr>
            <w:tcW w:w="76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B74AF6B">
            <w:pPr>
              <w:spacing w:line="240" w:lineRule="exact"/>
              <w:jc w:val="center"/>
              <w:rPr>
                <w:rFonts w:hint="eastAsia" w:ascii="宋体" w:hAnsi="宋体" w:cs="宋体"/>
                <w:color w:val="auto"/>
                <w:sz w:val="24"/>
                <w:highlight w:val="none"/>
              </w:rPr>
            </w:pPr>
          </w:p>
        </w:tc>
        <w:tc>
          <w:tcPr>
            <w:tcW w:w="75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1968155">
            <w:pPr>
              <w:spacing w:line="240" w:lineRule="exact"/>
              <w:jc w:val="center"/>
              <w:rPr>
                <w:rFonts w:hint="eastAsia" w:ascii="宋体" w:hAnsi="宋体" w:cs="宋体"/>
                <w:color w:val="auto"/>
                <w:sz w:val="24"/>
                <w:highlight w:val="none"/>
              </w:rPr>
            </w:pPr>
          </w:p>
        </w:tc>
        <w:tc>
          <w:tcPr>
            <w:tcW w:w="144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F0FC82D">
            <w:pPr>
              <w:spacing w:line="240" w:lineRule="exact"/>
              <w:jc w:val="center"/>
              <w:rPr>
                <w:rFonts w:hint="eastAsia" w:ascii="宋体" w:hAnsi="宋体" w:cs="宋体"/>
                <w:color w:val="auto"/>
                <w:sz w:val="24"/>
                <w:highlight w:val="none"/>
              </w:rPr>
            </w:pP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EC741E5">
            <w:pPr>
              <w:spacing w:line="240" w:lineRule="exact"/>
              <w:jc w:val="center"/>
              <w:rPr>
                <w:rFonts w:hint="eastAsia"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00F73C8">
            <w:pPr>
              <w:spacing w:line="240" w:lineRule="exact"/>
              <w:jc w:val="center"/>
              <w:rPr>
                <w:rFonts w:hint="eastAsia" w:ascii="宋体" w:hAnsi="宋体" w:cs="宋体"/>
                <w:color w:val="auto"/>
                <w:sz w:val="24"/>
                <w:highlight w:val="none"/>
              </w:rPr>
            </w:pPr>
          </w:p>
        </w:tc>
      </w:tr>
      <w:tr w14:paraId="3432F6F4">
        <w:tblPrEx>
          <w:tblCellMar>
            <w:top w:w="0" w:type="dxa"/>
            <w:left w:w="0" w:type="dxa"/>
            <w:bottom w:w="0" w:type="dxa"/>
            <w:right w:w="0" w:type="dxa"/>
          </w:tblCellMar>
        </w:tblPrEx>
        <w:trPr>
          <w:trHeight w:val="601" w:hRule="atLeast"/>
        </w:trPr>
        <w:tc>
          <w:tcPr>
            <w:tcW w:w="67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30D3C53">
            <w:pPr>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33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3C75282">
            <w:pPr>
              <w:spacing w:line="300" w:lineRule="exact"/>
              <w:jc w:val="center"/>
              <w:rPr>
                <w:rFonts w:hint="eastAsia" w:ascii="宋体" w:hAnsi="宋体" w:cs="宋体"/>
                <w:color w:val="auto"/>
                <w:sz w:val="24"/>
                <w:highlight w:val="none"/>
              </w:rPr>
            </w:pPr>
          </w:p>
        </w:tc>
        <w:tc>
          <w:tcPr>
            <w:tcW w:w="84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A03F6A8">
            <w:pPr>
              <w:spacing w:line="240" w:lineRule="exact"/>
              <w:jc w:val="center"/>
              <w:rPr>
                <w:rFonts w:hint="eastAsia" w:ascii="宋体" w:hAnsi="宋体" w:cs="宋体"/>
                <w:color w:val="auto"/>
                <w:sz w:val="24"/>
                <w:highlight w:val="none"/>
              </w:rPr>
            </w:pPr>
          </w:p>
        </w:tc>
        <w:tc>
          <w:tcPr>
            <w:tcW w:w="7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DBF707F">
            <w:pPr>
              <w:spacing w:line="240" w:lineRule="exact"/>
              <w:jc w:val="center"/>
              <w:rPr>
                <w:rFonts w:hint="eastAsia" w:ascii="宋体" w:hAnsi="宋体" w:cs="宋体"/>
                <w:color w:val="auto"/>
                <w:sz w:val="24"/>
                <w:highlight w:val="none"/>
              </w:rPr>
            </w:pPr>
          </w:p>
        </w:tc>
        <w:tc>
          <w:tcPr>
            <w:tcW w:w="110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99A5804">
            <w:pPr>
              <w:spacing w:line="240" w:lineRule="exact"/>
              <w:jc w:val="center"/>
              <w:rPr>
                <w:rFonts w:hint="eastAsia" w:ascii="宋体" w:hAnsi="宋体" w:cs="宋体"/>
                <w:color w:val="auto"/>
                <w:sz w:val="24"/>
                <w:highlight w:val="none"/>
              </w:rPr>
            </w:pPr>
          </w:p>
        </w:tc>
        <w:tc>
          <w:tcPr>
            <w:tcW w:w="76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300918F">
            <w:pPr>
              <w:spacing w:line="240" w:lineRule="exact"/>
              <w:jc w:val="center"/>
              <w:rPr>
                <w:rFonts w:hint="eastAsia" w:ascii="宋体" w:hAnsi="宋体" w:cs="宋体"/>
                <w:color w:val="auto"/>
                <w:sz w:val="24"/>
                <w:highlight w:val="none"/>
              </w:rPr>
            </w:pPr>
          </w:p>
        </w:tc>
        <w:tc>
          <w:tcPr>
            <w:tcW w:w="75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7360C5E">
            <w:pPr>
              <w:spacing w:line="240" w:lineRule="exact"/>
              <w:jc w:val="center"/>
              <w:rPr>
                <w:rFonts w:hint="eastAsia" w:ascii="宋体" w:hAnsi="宋体" w:cs="宋体"/>
                <w:color w:val="auto"/>
                <w:sz w:val="24"/>
                <w:highlight w:val="none"/>
              </w:rPr>
            </w:pPr>
          </w:p>
        </w:tc>
        <w:tc>
          <w:tcPr>
            <w:tcW w:w="144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847DB93">
            <w:pPr>
              <w:spacing w:line="240" w:lineRule="exact"/>
              <w:jc w:val="center"/>
              <w:rPr>
                <w:rFonts w:hint="eastAsia" w:ascii="宋体" w:hAnsi="宋体" w:cs="宋体"/>
                <w:color w:val="auto"/>
                <w:sz w:val="24"/>
                <w:highlight w:val="none"/>
              </w:rPr>
            </w:pP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061A304">
            <w:pPr>
              <w:spacing w:line="240" w:lineRule="exact"/>
              <w:jc w:val="center"/>
              <w:rPr>
                <w:rFonts w:hint="eastAsia"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89E21E7">
            <w:pPr>
              <w:spacing w:line="240" w:lineRule="exact"/>
              <w:jc w:val="center"/>
              <w:rPr>
                <w:rFonts w:hint="eastAsia" w:ascii="宋体" w:hAnsi="宋体" w:cs="宋体"/>
                <w:color w:val="auto"/>
                <w:sz w:val="24"/>
                <w:highlight w:val="none"/>
              </w:rPr>
            </w:pPr>
          </w:p>
        </w:tc>
      </w:tr>
    </w:tbl>
    <w:p w14:paraId="5690708C">
      <w:pPr>
        <w:adjustRightInd w:val="0"/>
        <w:snapToGrid w:val="0"/>
        <w:spacing w:line="400" w:lineRule="exact"/>
        <w:jc w:val="left"/>
        <w:rPr>
          <w:rFonts w:hint="eastAsia" w:ascii="宋体" w:hAnsi="宋体" w:cs="宋体"/>
          <w:b/>
          <w:color w:val="auto"/>
          <w:sz w:val="24"/>
          <w:highlight w:val="none"/>
        </w:rPr>
      </w:pPr>
    </w:p>
    <w:p w14:paraId="01145B3F">
      <w:pPr>
        <w:adjustRightInd w:val="0"/>
        <w:snapToGrid w:val="0"/>
        <w:spacing w:line="40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注：1.本表所列岗位的所有管理人员的情况均应如实填写。可按以上格式扩展为多页填写；</w:t>
      </w:r>
    </w:p>
    <w:p w14:paraId="754064A4">
      <w:pPr>
        <w:adjustRightInd w:val="0"/>
        <w:snapToGrid w:val="0"/>
        <w:spacing w:line="40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2.附拟投入本项目主要管理人员有效的资格证书或岗位证书、身份证等相关资料复印件，并加盖单位公章。</w:t>
      </w:r>
    </w:p>
    <w:p w14:paraId="6C43D3B7">
      <w:pPr>
        <w:pStyle w:val="6"/>
        <w:spacing w:line="360" w:lineRule="auto"/>
        <w:jc w:val="center"/>
        <w:rPr>
          <w:rFonts w:hint="eastAsia" w:ascii="宋体" w:hAnsi="宋体" w:eastAsia="宋体" w:cs="宋体"/>
          <w:b w:val="0"/>
          <w:bCs w:val="0"/>
          <w:color w:val="auto"/>
          <w:kern w:val="0"/>
          <w:sz w:val="24"/>
          <w:highlight w:val="none"/>
        </w:rPr>
      </w:pPr>
    </w:p>
    <w:p w14:paraId="1A6FD687">
      <w:pPr>
        <w:snapToGrid w:val="0"/>
        <w:spacing w:line="360" w:lineRule="auto"/>
        <w:ind w:left="4410" w:leftChars="2100" w:firstLine="6480" w:firstLineChars="27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w:t>
      </w:r>
      <w:r>
        <w:rPr>
          <w:rFonts w:hint="eastAsia" w:ascii="宋体" w:hAnsi="宋体" w:cs="宋体"/>
          <w:color w:val="auto"/>
          <w:kern w:val="0"/>
          <w:sz w:val="24"/>
          <w:highlight w:val="none"/>
        </w:rPr>
        <w:t>供</w:t>
      </w:r>
      <w:r>
        <w:rPr>
          <w:rFonts w:hint="eastAsia" w:ascii="宋体" w:hAnsi="宋体" w:cs="宋体"/>
          <w:color w:val="auto"/>
          <w:kern w:val="0"/>
          <w:sz w:val="24"/>
          <w:highlight w:val="none"/>
          <w:lang w:val="zh-CN"/>
        </w:rPr>
        <w:t>应商名称（电子签章）：</w:t>
      </w:r>
    </w:p>
    <w:p w14:paraId="792F46EF">
      <w:pPr>
        <w:spacing w:line="500" w:lineRule="exact"/>
        <w:jc w:val="center"/>
        <w:rPr>
          <w:rFonts w:hint="eastAsia" w:ascii="宋体" w:hAnsi="宋体" w:cs="宋体"/>
          <w:color w:val="auto"/>
          <w:sz w:val="32"/>
          <w:szCs w:val="32"/>
          <w:highlight w:val="none"/>
        </w:rPr>
        <w:sectPr>
          <w:pgSz w:w="11911" w:h="16838"/>
          <w:pgMar w:top="1338" w:right="1502" w:bottom="850" w:left="1678" w:header="1077" w:footer="720" w:gutter="0"/>
          <w:cols w:space="720" w:num="1"/>
          <w:docGrid w:linePitch="1" w:charSpace="0"/>
        </w:sect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CBF56D8">
      <w:pPr>
        <w:pStyle w:val="6"/>
        <w:spacing w:before="0" w:after="0" w:line="240" w:lineRule="auto"/>
        <w:rPr>
          <w:rFonts w:hint="eastAsia" w:ascii="宋体" w:hAnsi="宋体" w:eastAsia="宋体" w:cs="宋体"/>
          <w:color w:val="auto"/>
          <w:highlight w:val="none"/>
        </w:rPr>
      </w:pPr>
      <w:r>
        <w:rPr>
          <w:rFonts w:hint="eastAsia" w:ascii="宋体" w:hAnsi="宋体" w:eastAsia="宋体" w:cs="宋体"/>
          <w:color w:val="auto"/>
          <w:highlight w:val="none"/>
        </w:rPr>
        <w:t>八、业绩材料（如有）</w:t>
      </w:r>
    </w:p>
    <w:p w14:paraId="136896DC">
      <w:pPr>
        <w:rPr>
          <w:rFonts w:hint="eastAsia" w:ascii="宋体" w:hAnsi="宋体" w:cs="宋体"/>
          <w:color w:val="auto"/>
          <w:highlight w:val="none"/>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590"/>
        <w:gridCol w:w="1575"/>
        <w:gridCol w:w="1374"/>
        <w:gridCol w:w="809"/>
        <w:gridCol w:w="1325"/>
        <w:gridCol w:w="1216"/>
        <w:gridCol w:w="961"/>
      </w:tblGrid>
      <w:tr w14:paraId="78A0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21" w:type="dxa"/>
            <w:noWrap w:val="0"/>
            <w:vAlign w:val="center"/>
          </w:tcPr>
          <w:p w14:paraId="4E1FF654">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590" w:type="dxa"/>
            <w:noWrap w:val="0"/>
            <w:vAlign w:val="center"/>
          </w:tcPr>
          <w:p w14:paraId="2A1C81DE">
            <w:pPr>
              <w:jc w:val="center"/>
              <w:rPr>
                <w:rFonts w:hint="eastAsia" w:ascii="宋体" w:hAnsi="宋体" w:cs="宋体"/>
                <w:color w:val="auto"/>
                <w:sz w:val="24"/>
                <w:highlight w:val="none"/>
              </w:rPr>
            </w:pPr>
            <w:r>
              <w:rPr>
                <w:rFonts w:hint="eastAsia" w:ascii="宋体" w:hAnsi="宋体" w:cs="宋体"/>
                <w:color w:val="auto"/>
                <w:sz w:val="24"/>
                <w:highlight w:val="none"/>
              </w:rPr>
              <w:t>发包人名称</w:t>
            </w:r>
          </w:p>
        </w:tc>
        <w:tc>
          <w:tcPr>
            <w:tcW w:w="1575" w:type="dxa"/>
            <w:noWrap w:val="0"/>
            <w:vAlign w:val="center"/>
          </w:tcPr>
          <w:p w14:paraId="64585FA2">
            <w:pPr>
              <w:jc w:val="center"/>
              <w:rPr>
                <w:rFonts w:hint="eastAsia" w:ascii="宋体" w:hAnsi="宋体" w:cs="宋体"/>
                <w:color w:val="auto"/>
                <w:sz w:val="24"/>
                <w:highlight w:val="none"/>
              </w:rPr>
            </w:pPr>
            <w:r>
              <w:rPr>
                <w:rFonts w:hint="eastAsia" w:ascii="宋体" w:hAnsi="宋体" w:cs="宋体"/>
                <w:color w:val="auto"/>
                <w:sz w:val="24"/>
                <w:highlight w:val="none"/>
              </w:rPr>
              <w:t>工程名称及建设地点</w:t>
            </w:r>
          </w:p>
        </w:tc>
        <w:tc>
          <w:tcPr>
            <w:tcW w:w="1374" w:type="dxa"/>
            <w:noWrap w:val="0"/>
            <w:vAlign w:val="center"/>
          </w:tcPr>
          <w:p w14:paraId="1AC5FCBD">
            <w:pPr>
              <w:jc w:val="center"/>
              <w:rPr>
                <w:rFonts w:hint="eastAsia" w:ascii="宋体" w:hAnsi="宋体" w:cs="宋体"/>
                <w:color w:val="auto"/>
                <w:sz w:val="24"/>
                <w:highlight w:val="none"/>
              </w:rPr>
            </w:pPr>
            <w:r>
              <w:rPr>
                <w:rFonts w:hint="eastAsia" w:ascii="宋体" w:hAnsi="宋体" w:cs="宋体"/>
                <w:color w:val="auto"/>
                <w:sz w:val="24"/>
                <w:highlight w:val="none"/>
              </w:rPr>
              <w:t>结构类型</w:t>
            </w:r>
          </w:p>
        </w:tc>
        <w:tc>
          <w:tcPr>
            <w:tcW w:w="809" w:type="dxa"/>
            <w:noWrap w:val="0"/>
            <w:vAlign w:val="center"/>
          </w:tcPr>
          <w:p w14:paraId="2ABEE449">
            <w:pPr>
              <w:jc w:val="center"/>
              <w:rPr>
                <w:rFonts w:hint="eastAsia" w:ascii="宋体" w:hAnsi="宋体" w:cs="宋体"/>
                <w:color w:val="auto"/>
                <w:sz w:val="24"/>
                <w:highlight w:val="none"/>
              </w:rPr>
            </w:pPr>
            <w:r>
              <w:rPr>
                <w:rFonts w:hint="eastAsia" w:ascii="宋体" w:hAnsi="宋体" w:cs="宋体"/>
                <w:color w:val="auto"/>
                <w:sz w:val="24"/>
                <w:highlight w:val="none"/>
              </w:rPr>
              <w:t>建设</w:t>
            </w:r>
          </w:p>
          <w:p w14:paraId="1C88DCBF">
            <w:pPr>
              <w:jc w:val="center"/>
              <w:rPr>
                <w:rFonts w:hint="eastAsia" w:ascii="宋体" w:hAnsi="宋体" w:cs="宋体"/>
                <w:color w:val="auto"/>
                <w:sz w:val="24"/>
                <w:highlight w:val="none"/>
              </w:rPr>
            </w:pPr>
            <w:r>
              <w:rPr>
                <w:rFonts w:hint="eastAsia" w:ascii="宋体" w:hAnsi="宋体" w:cs="宋体"/>
                <w:color w:val="auto"/>
                <w:sz w:val="24"/>
                <w:highlight w:val="none"/>
              </w:rPr>
              <w:t>规模</w:t>
            </w:r>
          </w:p>
        </w:tc>
        <w:tc>
          <w:tcPr>
            <w:tcW w:w="1325" w:type="dxa"/>
            <w:noWrap w:val="0"/>
            <w:vAlign w:val="center"/>
          </w:tcPr>
          <w:p w14:paraId="233D1456">
            <w:pPr>
              <w:jc w:val="center"/>
              <w:rPr>
                <w:rFonts w:hint="eastAsia" w:ascii="宋体" w:hAnsi="宋体" w:cs="宋体"/>
                <w:color w:val="auto"/>
                <w:sz w:val="24"/>
                <w:highlight w:val="none"/>
              </w:rPr>
            </w:pPr>
            <w:r>
              <w:rPr>
                <w:rFonts w:hint="eastAsia" w:ascii="宋体" w:hAnsi="宋体" w:cs="宋体"/>
                <w:color w:val="auto"/>
                <w:sz w:val="24"/>
                <w:highlight w:val="none"/>
              </w:rPr>
              <w:t>合同金额</w:t>
            </w:r>
          </w:p>
          <w:p w14:paraId="05DB8E7F">
            <w:pPr>
              <w:jc w:val="center"/>
              <w:rPr>
                <w:rFonts w:hint="eastAsia" w:ascii="宋体" w:hAnsi="宋体" w:cs="宋体"/>
                <w:color w:val="auto"/>
                <w:sz w:val="24"/>
                <w:highlight w:val="none"/>
              </w:rPr>
            </w:pPr>
            <w:r>
              <w:rPr>
                <w:rFonts w:hint="eastAsia" w:ascii="宋体" w:hAnsi="宋体" w:cs="宋体"/>
                <w:color w:val="auto"/>
                <w:sz w:val="24"/>
                <w:highlight w:val="none"/>
              </w:rPr>
              <w:t>（万元）</w:t>
            </w:r>
          </w:p>
        </w:tc>
        <w:tc>
          <w:tcPr>
            <w:tcW w:w="1216" w:type="dxa"/>
            <w:noWrap w:val="0"/>
            <w:vAlign w:val="center"/>
          </w:tcPr>
          <w:p w14:paraId="7C1CB5BD">
            <w:pPr>
              <w:jc w:val="center"/>
              <w:rPr>
                <w:rFonts w:hint="eastAsia" w:ascii="宋体" w:hAnsi="宋体" w:cs="宋体"/>
                <w:color w:val="auto"/>
                <w:sz w:val="24"/>
                <w:highlight w:val="none"/>
              </w:rPr>
            </w:pPr>
            <w:r>
              <w:rPr>
                <w:rFonts w:hint="eastAsia" w:ascii="宋体" w:hAnsi="宋体" w:cs="宋体"/>
                <w:color w:val="auto"/>
                <w:sz w:val="24"/>
                <w:highlight w:val="none"/>
              </w:rPr>
              <w:t>竣工达到质量标准</w:t>
            </w:r>
          </w:p>
        </w:tc>
        <w:tc>
          <w:tcPr>
            <w:tcW w:w="961" w:type="dxa"/>
            <w:noWrap w:val="0"/>
            <w:vAlign w:val="center"/>
          </w:tcPr>
          <w:p w14:paraId="149DF81A">
            <w:pPr>
              <w:jc w:val="center"/>
              <w:rPr>
                <w:rFonts w:hint="eastAsia" w:ascii="宋体" w:hAnsi="宋体" w:cs="宋体"/>
                <w:color w:val="auto"/>
                <w:sz w:val="24"/>
                <w:highlight w:val="none"/>
              </w:rPr>
            </w:pPr>
            <w:r>
              <w:rPr>
                <w:rFonts w:hint="eastAsia" w:ascii="宋体" w:hAnsi="宋体" w:cs="宋体"/>
                <w:color w:val="auto"/>
                <w:sz w:val="24"/>
                <w:highlight w:val="none"/>
              </w:rPr>
              <w:t>开竣工日期</w:t>
            </w:r>
          </w:p>
        </w:tc>
      </w:tr>
      <w:tr w14:paraId="0FFA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21" w:type="dxa"/>
            <w:noWrap w:val="0"/>
            <w:vAlign w:val="center"/>
          </w:tcPr>
          <w:p w14:paraId="2F2EB6E6">
            <w:pPr>
              <w:jc w:val="center"/>
              <w:rPr>
                <w:rFonts w:hint="eastAsia" w:ascii="宋体" w:hAnsi="宋体" w:cs="宋体"/>
                <w:color w:val="auto"/>
                <w:sz w:val="24"/>
                <w:highlight w:val="none"/>
              </w:rPr>
            </w:pPr>
          </w:p>
        </w:tc>
        <w:tc>
          <w:tcPr>
            <w:tcW w:w="1590" w:type="dxa"/>
            <w:noWrap w:val="0"/>
            <w:vAlign w:val="center"/>
          </w:tcPr>
          <w:p w14:paraId="34A3CEAA">
            <w:pPr>
              <w:jc w:val="center"/>
              <w:rPr>
                <w:rFonts w:hint="eastAsia" w:ascii="宋体" w:hAnsi="宋体" w:cs="宋体"/>
                <w:color w:val="auto"/>
                <w:sz w:val="24"/>
                <w:highlight w:val="none"/>
              </w:rPr>
            </w:pPr>
          </w:p>
        </w:tc>
        <w:tc>
          <w:tcPr>
            <w:tcW w:w="1575" w:type="dxa"/>
            <w:noWrap w:val="0"/>
            <w:vAlign w:val="center"/>
          </w:tcPr>
          <w:p w14:paraId="018A4121">
            <w:pPr>
              <w:jc w:val="center"/>
              <w:rPr>
                <w:rFonts w:hint="eastAsia" w:ascii="宋体" w:hAnsi="宋体" w:cs="宋体"/>
                <w:color w:val="auto"/>
                <w:sz w:val="24"/>
                <w:highlight w:val="none"/>
              </w:rPr>
            </w:pPr>
          </w:p>
        </w:tc>
        <w:tc>
          <w:tcPr>
            <w:tcW w:w="1374" w:type="dxa"/>
            <w:noWrap w:val="0"/>
            <w:vAlign w:val="center"/>
          </w:tcPr>
          <w:p w14:paraId="412AD09A">
            <w:pPr>
              <w:jc w:val="center"/>
              <w:rPr>
                <w:rFonts w:hint="eastAsia" w:ascii="宋体" w:hAnsi="宋体" w:cs="宋体"/>
                <w:color w:val="auto"/>
                <w:sz w:val="24"/>
                <w:highlight w:val="none"/>
              </w:rPr>
            </w:pPr>
          </w:p>
        </w:tc>
        <w:tc>
          <w:tcPr>
            <w:tcW w:w="809" w:type="dxa"/>
            <w:noWrap w:val="0"/>
            <w:vAlign w:val="center"/>
          </w:tcPr>
          <w:p w14:paraId="62C58C8A">
            <w:pPr>
              <w:jc w:val="center"/>
              <w:rPr>
                <w:rFonts w:hint="eastAsia" w:ascii="宋体" w:hAnsi="宋体" w:cs="宋体"/>
                <w:color w:val="auto"/>
                <w:sz w:val="24"/>
                <w:highlight w:val="none"/>
              </w:rPr>
            </w:pPr>
          </w:p>
        </w:tc>
        <w:tc>
          <w:tcPr>
            <w:tcW w:w="1325" w:type="dxa"/>
            <w:noWrap w:val="0"/>
            <w:vAlign w:val="center"/>
          </w:tcPr>
          <w:p w14:paraId="1AA9D0CB">
            <w:pPr>
              <w:jc w:val="center"/>
              <w:rPr>
                <w:rFonts w:hint="eastAsia" w:ascii="宋体" w:hAnsi="宋体" w:cs="宋体"/>
                <w:color w:val="auto"/>
                <w:sz w:val="24"/>
                <w:highlight w:val="none"/>
              </w:rPr>
            </w:pPr>
          </w:p>
        </w:tc>
        <w:tc>
          <w:tcPr>
            <w:tcW w:w="1216" w:type="dxa"/>
            <w:noWrap w:val="0"/>
            <w:vAlign w:val="center"/>
          </w:tcPr>
          <w:p w14:paraId="01CCF532">
            <w:pPr>
              <w:jc w:val="center"/>
              <w:rPr>
                <w:rFonts w:hint="eastAsia" w:ascii="宋体" w:hAnsi="宋体" w:cs="宋体"/>
                <w:color w:val="auto"/>
                <w:sz w:val="24"/>
                <w:highlight w:val="none"/>
              </w:rPr>
            </w:pPr>
          </w:p>
        </w:tc>
        <w:tc>
          <w:tcPr>
            <w:tcW w:w="961" w:type="dxa"/>
            <w:noWrap w:val="0"/>
            <w:vAlign w:val="center"/>
          </w:tcPr>
          <w:p w14:paraId="26838A2E">
            <w:pPr>
              <w:jc w:val="center"/>
              <w:rPr>
                <w:rFonts w:hint="eastAsia" w:ascii="宋体" w:hAnsi="宋体" w:cs="宋体"/>
                <w:color w:val="auto"/>
                <w:sz w:val="24"/>
                <w:highlight w:val="none"/>
              </w:rPr>
            </w:pPr>
          </w:p>
        </w:tc>
      </w:tr>
      <w:tr w14:paraId="4D39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1" w:type="dxa"/>
            <w:noWrap w:val="0"/>
            <w:vAlign w:val="center"/>
          </w:tcPr>
          <w:p w14:paraId="3E2310EA">
            <w:pPr>
              <w:jc w:val="center"/>
              <w:rPr>
                <w:rFonts w:hint="eastAsia" w:ascii="宋体" w:hAnsi="宋体" w:cs="宋体"/>
                <w:color w:val="auto"/>
                <w:sz w:val="24"/>
                <w:highlight w:val="none"/>
              </w:rPr>
            </w:pPr>
          </w:p>
        </w:tc>
        <w:tc>
          <w:tcPr>
            <w:tcW w:w="1590" w:type="dxa"/>
            <w:noWrap w:val="0"/>
            <w:vAlign w:val="center"/>
          </w:tcPr>
          <w:p w14:paraId="401F7650">
            <w:pPr>
              <w:jc w:val="center"/>
              <w:rPr>
                <w:rFonts w:hint="eastAsia" w:ascii="宋体" w:hAnsi="宋体" w:cs="宋体"/>
                <w:color w:val="auto"/>
                <w:sz w:val="24"/>
                <w:highlight w:val="none"/>
              </w:rPr>
            </w:pPr>
          </w:p>
        </w:tc>
        <w:tc>
          <w:tcPr>
            <w:tcW w:w="1575" w:type="dxa"/>
            <w:noWrap w:val="0"/>
            <w:vAlign w:val="center"/>
          </w:tcPr>
          <w:p w14:paraId="5397D83B">
            <w:pPr>
              <w:jc w:val="center"/>
              <w:rPr>
                <w:rFonts w:hint="eastAsia" w:ascii="宋体" w:hAnsi="宋体" w:cs="宋体"/>
                <w:color w:val="auto"/>
                <w:sz w:val="24"/>
                <w:highlight w:val="none"/>
              </w:rPr>
            </w:pPr>
          </w:p>
        </w:tc>
        <w:tc>
          <w:tcPr>
            <w:tcW w:w="1374" w:type="dxa"/>
            <w:noWrap w:val="0"/>
            <w:vAlign w:val="center"/>
          </w:tcPr>
          <w:p w14:paraId="14E6E551">
            <w:pPr>
              <w:jc w:val="center"/>
              <w:rPr>
                <w:rFonts w:hint="eastAsia" w:ascii="宋体" w:hAnsi="宋体" w:cs="宋体"/>
                <w:color w:val="auto"/>
                <w:sz w:val="24"/>
                <w:highlight w:val="none"/>
              </w:rPr>
            </w:pPr>
          </w:p>
        </w:tc>
        <w:tc>
          <w:tcPr>
            <w:tcW w:w="809" w:type="dxa"/>
            <w:noWrap w:val="0"/>
            <w:vAlign w:val="center"/>
          </w:tcPr>
          <w:p w14:paraId="004ECE69">
            <w:pPr>
              <w:jc w:val="center"/>
              <w:rPr>
                <w:rFonts w:hint="eastAsia" w:ascii="宋体" w:hAnsi="宋体" w:cs="宋体"/>
                <w:color w:val="auto"/>
                <w:sz w:val="24"/>
                <w:highlight w:val="none"/>
              </w:rPr>
            </w:pPr>
          </w:p>
        </w:tc>
        <w:tc>
          <w:tcPr>
            <w:tcW w:w="1325" w:type="dxa"/>
            <w:noWrap w:val="0"/>
            <w:vAlign w:val="center"/>
          </w:tcPr>
          <w:p w14:paraId="5CEE9FBD">
            <w:pPr>
              <w:jc w:val="center"/>
              <w:rPr>
                <w:rFonts w:hint="eastAsia" w:ascii="宋体" w:hAnsi="宋体" w:cs="宋体"/>
                <w:color w:val="auto"/>
                <w:sz w:val="24"/>
                <w:highlight w:val="none"/>
              </w:rPr>
            </w:pPr>
          </w:p>
        </w:tc>
        <w:tc>
          <w:tcPr>
            <w:tcW w:w="1216" w:type="dxa"/>
            <w:noWrap w:val="0"/>
            <w:vAlign w:val="center"/>
          </w:tcPr>
          <w:p w14:paraId="5B279EB8">
            <w:pPr>
              <w:jc w:val="center"/>
              <w:rPr>
                <w:rFonts w:hint="eastAsia" w:ascii="宋体" w:hAnsi="宋体" w:cs="宋体"/>
                <w:color w:val="auto"/>
                <w:sz w:val="24"/>
                <w:highlight w:val="none"/>
              </w:rPr>
            </w:pPr>
          </w:p>
        </w:tc>
        <w:tc>
          <w:tcPr>
            <w:tcW w:w="961" w:type="dxa"/>
            <w:noWrap w:val="0"/>
            <w:vAlign w:val="center"/>
          </w:tcPr>
          <w:p w14:paraId="064D207D">
            <w:pPr>
              <w:jc w:val="center"/>
              <w:rPr>
                <w:rFonts w:hint="eastAsia" w:ascii="宋体" w:hAnsi="宋体" w:cs="宋体"/>
                <w:color w:val="auto"/>
                <w:sz w:val="24"/>
                <w:highlight w:val="none"/>
              </w:rPr>
            </w:pPr>
          </w:p>
        </w:tc>
      </w:tr>
      <w:tr w14:paraId="72BC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21" w:type="dxa"/>
            <w:noWrap w:val="0"/>
            <w:vAlign w:val="center"/>
          </w:tcPr>
          <w:p w14:paraId="550F2B06">
            <w:pPr>
              <w:jc w:val="center"/>
              <w:rPr>
                <w:rFonts w:hint="eastAsia" w:ascii="宋体" w:hAnsi="宋体" w:cs="宋体"/>
                <w:color w:val="auto"/>
                <w:sz w:val="24"/>
                <w:highlight w:val="none"/>
              </w:rPr>
            </w:pPr>
          </w:p>
        </w:tc>
        <w:tc>
          <w:tcPr>
            <w:tcW w:w="1590" w:type="dxa"/>
            <w:noWrap w:val="0"/>
            <w:vAlign w:val="center"/>
          </w:tcPr>
          <w:p w14:paraId="7BF87E83">
            <w:pPr>
              <w:jc w:val="center"/>
              <w:rPr>
                <w:rFonts w:hint="eastAsia" w:ascii="宋体" w:hAnsi="宋体" w:cs="宋体"/>
                <w:color w:val="auto"/>
                <w:sz w:val="24"/>
                <w:highlight w:val="none"/>
              </w:rPr>
            </w:pPr>
          </w:p>
        </w:tc>
        <w:tc>
          <w:tcPr>
            <w:tcW w:w="1575" w:type="dxa"/>
            <w:noWrap w:val="0"/>
            <w:vAlign w:val="center"/>
          </w:tcPr>
          <w:p w14:paraId="4B2B5F44">
            <w:pPr>
              <w:jc w:val="center"/>
              <w:rPr>
                <w:rFonts w:hint="eastAsia" w:ascii="宋体" w:hAnsi="宋体" w:cs="宋体"/>
                <w:color w:val="auto"/>
                <w:sz w:val="24"/>
                <w:highlight w:val="none"/>
              </w:rPr>
            </w:pPr>
          </w:p>
        </w:tc>
        <w:tc>
          <w:tcPr>
            <w:tcW w:w="1374" w:type="dxa"/>
            <w:noWrap w:val="0"/>
            <w:vAlign w:val="center"/>
          </w:tcPr>
          <w:p w14:paraId="46D9EC7D">
            <w:pPr>
              <w:jc w:val="center"/>
              <w:rPr>
                <w:rFonts w:hint="eastAsia" w:ascii="宋体" w:hAnsi="宋体" w:cs="宋体"/>
                <w:color w:val="auto"/>
                <w:sz w:val="24"/>
                <w:highlight w:val="none"/>
              </w:rPr>
            </w:pPr>
          </w:p>
        </w:tc>
        <w:tc>
          <w:tcPr>
            <w:tcW w:w="809" w:type="dxa"/>
            <w:noWrap w:val="0"/>
            <w:vAlign w:val="center"/>
          </w:tcPr>
          <w:p w14:paraId="7DDF7B02">
            <w:pPr>
              <w:jc w:val="center"/>
              <w:rPr>
                <w:rFonts w:hint="eastAsia" w:ascii="宋体" w:hAnsi="宋体" w:cs="宋体"/>
                <w:color w:val="auto"/>
                <w:sz w:val="24"/>
                <w:highlight w:val="none"/>
              </w:rPr>
            </w:pPr>
          </w:p>
        </w:tc>
        <w:tc>
          <w:tcPr>
            <w:tcW w:w="1325" w:type="dxa"/>
            <w:noWrap w:val="0"/>
            <w:vAlign w:val="center"/>
          </w:tcPr>
          <w:p w14:paraId="124154EB">
            <w:pPr>
              <w:jc w:val="center"/>
              <w:rPr>
                <w:rFonts w:hint="eastAsia" w:ascii="宋体" w:hAnsi="宋体" w:cs="宋体"/>
                <w:color w:val="auto"/>
                <w:sz w:val="24"/>
                <w:highlight w:val="none"/>
              </w:rPr>
            </w:pPr>
          </w:p>
        </w:tc>
        <w:tc>
          <w:tcPr>
            <w:tcW w:w="1216" w:type="dxa"/>
            <w:noWrap w:val="0"/>
            <w:vAlign w:val="center"/>
          </w:tcPr>
          <w:p w14:paraId="68AF8A89">
            <w:pPr>
              <w:jc w:val="center"/>
              <w:rPr>
                <w:rFonts w:hint="eastAsia" w:ascii="宋体" w:hAnsi="宋体" w:cs="宋体"/>
                <w:color w:val="auto"/>
                <w:sz w:val="24"/>
                <w:highlight w:val="none"/>
              </w:rPr>
            </w:pPr>
          </w:p>
        </w:tc>
        <w:tc>
          <w:tcPr>
            <w:tcW w:w="961" w:type="dxa"/>
            <w:noWrap w:val="0"/>
            <w:vAlign w:val="center"/>
          </w:tcPr>
          <w:p w14:paraId="1AE03154">
            <w:pPr>
              <w:jc w:val="center"/>
              <w:rPr>
                <w:rFonts w:hint="eastAsia" w:ascii="宋体" w:hAnsi="宋体" w:cs="宋体"/>
                <w:color w:val="auto"/>
                <w:sz w:val="24"/>
                <w:highlight w:val="none"/>
              </w:rPr>
            </w:pPr>
          </w:p>
        </w:tc>
      </w:tr>
      <w:tr w14:paraId="5868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21" w:type="dxa"/>
            <w:noWrap w:val="0"/>
            <w:vAlign w:val="center"/>
          </w:tcPr>
          <w:p w14:paraId="36729774">
            <w:pPr>
              <w:jc w:val="center"/>
              <w:rPr>
                <w:rFonts w:hint="eastAsia" w:ascii="宋体" w:hAnsi="宋体" w:cs="宋体"/>
                <w:color w:val="auto"/>
                <w:sz w:val="24"/>
                <w:highlight w:val="none"/>
              </w:rPr>
            </w:pPr>
          </w:p>
        </w:tc>
        <w:tc>
          <w:tcPr>
            <w:tcW w:w="1590" w:type="dxa"/>
            <w:noWrap w:val="0"/>
            <w:vAlign w:val="center"/>
          </w:tcPr>
          <w:p w14:paraId="3010E4A6">
            <w:pPr>
              <w:jc w:val="center"/>
              <w:rPr>
                <w:rFonts w:hint="eastAsia" w:ascii="宋体" w:hAnsi="宋体" w:cs="宋体"/>
                <w:color w:val="auto"/>
                <w:sz w:val="24"/>
                <w:highlight w:val="none"/>
              </w:rPr>
            </w:pPr>
          </w:p>
        </w:tc>
        <w:tc>
          <w:tcPr>
            <w:tcW w:w="1575" w:type="dxa"/>
            <w:noWrap w:val="0"/>
            <w:vAlign w:val="center"/>
          </w:tcPr>
          <w:p w14:paraId="7990C454">
            <w:pPr>
              <w:jc w:val="center"/>
              <w:rPr>
                <w:rFonts w:hint="eastAsia" w:ascii="宋体" w:hAnsi="宋体" w:cs="宋体"/>
                <w:color w:val="auto"/>
                <w:sz w:val="24"/>
                <w:highlight w:val="none"/>
              </w:rPr>
            </w:pPr>
          </w:p>
        </w:tc>
        <w:tc>
          <w:tcPr>
            <w:tcW w:w="1374" w:type="dxa"/>
            <w:noWrap w:val="0"/>
            <w:vAlign w:val="center"/>
          </w:tcPr>
          <w:p w14:paraId="6670C3C0">
            <w:pPr>
              <w:jc w:val="center"/>
              <w:rPr>
                <w:rFonts w:hint="eastAsia" w:ascii="宋体" w:hAnsi="宋体" w:cs="宋体"/>
                <w:color w:val="auto"/>
                <w:sz w:val="24"/>
                <w:highlight w:val="none"/>
              </w:rPr>
            </w:pPr>
          </w:p>
        </w:tc>
        <w:tc>
          <w:tcPr>
            <w:tcW w:w="809" w:type="dxa"/>
            <w:noWrap w:val="0"/>
            <w:vAlign w:val="center"/>
          </w:tcPr>
          <w:p w14:paraId="78D2D25D">
            <w:pPr>
              <w:jc w:val="center"/>
              <w:rPr>
                <w:rFonts w:hint="eastAsia" w:ascii="宋体" w:hAnsi="宋体" w:cs="宋体"/>
                <w:color w:val="auto"/>
                <w:sz w:val="24"/>
                <w:highlight w:val="none"/>
              </w:rPr>
            </w:pPr>
          </w:p>
        </w:tc>
        <w:tc>
          <w:tcPr>
            <w:tcW w:w="1325" w:type="dxa"/>
            <w:noWrap w:val="0"/>
            <w:vAlign w:val="center"/>
          </w:tcPr>
          <w:p w14:paraId="77B580B3">
            <w:pPr>
              <w:jc w:val="center"/>
              <w:rPr>
                <w:rFonts w:hint="eastAsia" w:ascii="宋体" w:hAnsi="宋体" w:cs="宋体"/>
                <w:color w:val="auto"/>
                <w:sz w:val="24"/>
                <w:highlight w:val="none"/>
              </w:rPr>
            </w:pPr>
          </w:p>
        </w:tc>
        <w:tc>
          <w:tcPr>
            <w:tcW w:w="1216" w:type="dxa"/>
            <w:noWrap w:val="0"/>
            <w:vAlign w:val="center"/>
          </w:tcPr>
          <w:p w14:paraId="733E1AE5">
            <w:pPr>
              <w:jc w:val="center"/>
              <w:rPr>
                <w:rFonts w:hint="eastAsia" w:ascii="宋体" w:hAnsi="宋体" w:cs="宋体"/>
                <w:color w:val="auto"/>
                <w:sz w:val="24"/>
                <w:highlight w:val="none"/>
              </w:rPr>
            </w:pPr>
          </w:p>
        </w:tc>
        <w:tc>
          <w:tcPr>
            <w:tcW w:w="961" w:type="dxa"/>
            <w:noWrap w:val="0"/>
            <w:vAlign w:val="center"/>
          </w:tcPr>
          <w:p w14:paraId="3311EF40">
            <w:pPr>
              <w:jc w:val="center"/>
              <w:rPr>
                <w:rFonts w:hint="eastAsia" w:ascii="宋体" w:hAnsi="宋体" w:cs="宋体"/>
                <w:color w:val="auto"/>
                <w:sz w:val="24"/>
                <w:highlight w:val="none"/>
              </w:rPr>
            </w:pPr>
          </w:p>
        </w:tc>
      </w:tr>
      <w:tr w14:paraId="0304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21" w:type="dxa"/>
            <w:noWrap w:val="0"/>
            <w:vAlign w:val="center"/>
          </w:tcPr>
          <w:p w14:paraId="0DDCDF25">
            <w:pPr>
              <w:jc w:val="center"/>
              <w:rPr>
                <w:rFonts w:hint="eastAsia" w:ascii="宋体" w:hAnsi="宋体" w:cs="宋体"/>
                <w:color w:val="auto"/>
                <w:sz w:val="24"/>
                <w:highlight w:val="none"/>
              </w:rPr>
            </w:pPr>
          </w:p>
        </w:tc>
        <w:tc>
          <w:tcPr>
            <w:tcW w:w="1590" w:type="dxa"/>
            <w:noWrap w:val="0"/>
            <w:vAlign w:val="center"/>
          </w:tcPr>
          <w:p w14:paraId="3455BEEB">
            <w:pPr>
              <w:jc w:val="center"/>
              <w:rPr>
                <w:rFonts w:hint="eastAsia" w:ascii="宋体" w:hAnsi="宋体" w:cs="宋体"/>
                <w:color w:val="auto"/>
                <w:sz w:val="24"/>
                <w:highlight w:val="none"/>
              </w:rPr>
            </w:pPr>
          </w:p>
        </w:tc>
        <w:tc>
          <w:tcPr>
            <w:tcW w:w="1575" w:type="dxa"/>
            <w:noWrap w:val="0"/>
            <w:vAlign w:val="center"/>
          </w:tcPr>
          <w:p w14:paraId="2499AA3D">
            <w:pPr>
              <w:jc w:val="center"/>
              <w:rPr>
                <w:rFonts w:hint="eastAsia" w:ascii="宋体" w:hAnsi="宋体" w:cs="宋体"/>
                <w:color w:val="auto"/>
                <w:sz w:val="24"/>
                <w:highlight w:val="none"/>
              </w:rPr>
            </w:pPr>
          </w:p>
        </w:tc>
        <w:tc>
          <w:tcPr>
            <w:tcW w:w="1374" w:type="dxa"/>
            <w:noWrap w:val="0"/>
            <w:vAlign w:val="center"/>
          </w:tcPr>
          <w:p w14:paraId="050393C1">
            <w:pPr>
              <w:jc w:val="center"/>
              <w:rPr>
                <w:rFonts w:hint="eastAsia" w:ascii="宋体" w:hAnsi="宋体" w:cs="宋体"/>
                <w:color w:val="auto"/>
                <w:sz w:val="24"/>
                <w:highlight w:val="none"/>
              </w:rPr>
            </w:pPr>
          </w:p>
        </w:tc>
        <w:tc>
          <w:tcPr>
            <w:tcW w:w="809" w:type="dxa"/>
            <w:noWrap w:val="0"/>
            <w:vAlign w:val="center"/>
          </w:tcPr>
          <w:p w14:paraId="29573168">
            <w:pPr>
              <w:jc w:val="center"/>
              <w:rPr>
                <w:rFonts w:hint="eastAsia" w:ascii="宋体" w:hAnsi="宋体" w:cs="宋体"/>
                <w:color w:val="auto"/>
                <w:sz w:val="24"/>
                <w:highlight w:val="none"/>
              </w:rPr>
            </w:pPr>
          </w:p>
        </w:tc>
        <w:tc>
          <w:tcPr>
            <w:tcW w:w="1325" w:type="dxa"/>
            <w:noWrap w:val="0"/>
            <w:vAlign w:val="center"/>
          </w:tcPr>
          <w:p w14:paraId="16F56F9F">
            <w:pPr>
              <w:jc w:val="center"/>
              <w:rPr>
                <w:rFonts w:hint="eastAsia" w:ascii="宋体" w:hAnsi="宋体" w:cs="宋体"/>
                <w:color w:val="auto"/>
                <w:sz w:val="24"/>
                <w:highlight w:val="none"/>
              </w:rPr>
            </w:pPr>
          </w:p>
        </w:tc>
        <w:tc>
          <w:tcPr>
            <w:tcW w:w="1216" w:type="dxa"/>
            <w:noWrap w:val="0"/>
            <w:vAlign w:val="center"/>
          </w:tcPr>
          <w:p w14:paraId="4E290573">
            <w:pPr>
              <w:jc w:val="center"/>
              <w:rPr>
                <w:rFonts w:hint="eastAsia" w:ascii="宋体" w:hAnsi="宋体" w:cs="宋体"/>
                <w:color w:val="auto"/>
                <w:sz w:val="24"/>
                <w:highlight w:val="none"/>
              </w:rPr>
            </w:pPr>
          </w:p>
        </w:tc>
        <w:tc>
          <w:tcPr>
            <w:tcW w:w="961" w:type="dxa"/>
            <w:noWrap w:val="0"/>
            <w:vAlign w:val="center"/>
          </w:tcPr>
          <w:p w14:paraId="247391A8">
            <w:pPr>
              <w:jc w:val="center"/>
              <w:rPr>
                <w:rFonts w:hint="eastAsia" w:ascii="宋体" w:hAnsi="宋体" w:cs="宋体"/>
                <w:color w:val="auto"/>
                <w:sz w:val="24"/>
                <w:highlight w:val="none"/>
              </w:rPr>
            </w:pPr>
          </w:p>
        </w:tc>
      </w:tr>
    </w:tbl>
    <w:p w14:paraId="6C343110">
      <w:pPr>
        <w:pStyle w:val="20"/>
        <w:jc w:val="center"/>
        <w:rPr>
          <w:rFonts w:hint="eastAsia" w:hAnsi="宋体" w:cs="宋体"/>
          <w:color w:val="auto"/>
          <w:sz w:val="32"/>
          <w:highlight w:val="none"/>
        </w:rPr>
      </w:pPr>
    </w:p>
    <w:p w14:paraId="07F2560A">
      <w:pPr>
        <w:snapToGrid w:val="0"/>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注：</w:t>
      </w:r>
      <w:r>
        <w:rPr>
          <w:rFonts w:hint="eastAsia" w:ascii="宋体" w:hAnsi="宋体" w:cs="宋体"/>
          <w:b/>
          <w:color w:val="auto"/>
          <w:sz w:val="24"/>
          <w:highlight w:val="none"/>
        </w:rPr>
        <w:t>须提供中标通知书或施工合同或竣工验收报告复印件</w:t>
      </w:r>
      <w:r>
        <w:rPr>
          <w:rFonts w:hint="eastAsia" w:ascii="宋体" w:hAnsi="宋体" w:cs="宋体"/>
          <w:b/>
          <w:bCs/>
          <w:color w:val="auto"/>
          <w:sz w:val="24"/>
          <w:highlight w:val="none"/>
        </w:rPr>
        <w:t>，以及供应商认为需要增加的其他证明材料复印件，以上复印件均须加盖供应商单位公章。</w:t>
      </w:r>
    </w:p>
    <w:p w14:paraId="778B07EF">
      <w:pPr>
        <w:snapToGrid w:val="0"/>
        <w:spacing w:line="360" w:lineRule="auto"/>
        <w:ind w:left="4410" w:leftChars="2100" w:firstLine="6480" w:firstLineChars="2700"/>
        <w:rPr>
          <w:rFonts w:hint="eastAsia" w:ascii="宋体" w:hAnsi="宋体" w:cs="宋体"/>
          <w:color w:val="auto"/>
          <w:kern w:val="0"/>
          <w:sz w:val="24"/>
          <w:highlight w:val="none"/>
        </w:rPr>
      </w:pPr>
      <w:r>
        <w:rPr>
          <w:rFonts w:hint="eastAsia" w:ascii="宋体" w:hAnsi="宋体" w:cs="宋体"/>
          <w:color w:val="auto"/>
          <w:kern w:val="0"/>
          <w:sz w:val="24"/>
          <w:highlight w:val="none"/>
        </w:rPr>
        <w:t>供供</w:t>
      </w:r>
      <w:r>
        <w:rPr>
          <w:rFonts w:hint="eastAsia" w:ascii="宋体" w:hAnsi="宋体" w:cs="宋体"/>
          <w:color w:val="auto"/>
          <w:kern w:val="0"/>
          <w:sz w:val="24"/>
          <w:highlight w:val="none"/>
          <w:lang w:val="zh-CN"/>
        </w:rPr>
        <w:t>应商名称（电子签章）：</w:t>
      </w:r>
    </w:p>
    <w:p w14:paraId="213A6B6F">
      <w:pPr>
        <w:pStyle w:val="20"/>
        <w:adjustRightInd w:val="0"/>
        <w:snapToGrid w:val="0"/>
        <w:spacing w:line="480" w:lineRule="exact"/>
        <w:jc w:val="left"/>
        <w:rPr>
          <w:rFonts w:hint="eastAsia" w:hAnsi="宋体" w:cs="宋体"/>
          <w:color w:val="auto"/>
          <w:sz w:val="24"/>
          <w:highlight w:val="none"/>
          <w:lang w:val="zh-CN"/>
        </w:rPr>
      </w:pPr>
      <w:r>
        <w:rPr>
          <w:rFonts w:hint="eastAsia" w:hAnsi="宋体" w:cs="宋体"/>
          <w:color w:val="auto"/>
          <w:sz w:val="24"/>
          <w:highlight w:val="none"/>
          <w:lang w:val="zh-CN"/>
        </w:rPr>
        <w:t xml:space="preserve">                                                     日期</w:t>
      </w:r>
      <w:r>
        <w:rPr>
          <w:rFonts w:hint="eastAsia" w:hAnsi="宋体" w:cs="宋体"/>
          <w:color w:val="auto"/>
          <w:sz w:val="24"/>
          <w:highlight w:val="none"/>
        </w:rPr>
        <w:t xml:space="preserve">：  年  </w:t>
      </w:r>
      <w:r>
        <w:rPr>
          <w:rFonts w:hint="eastAsia" w:hAnsi="宋体" w:cs="宋体"/>
          <w:color w:val="auto"/>
          <w:sz w:val="24"/>
          <w:highlight w:val="none"/>
          <w:lang w:val="zh-CN"/>
        </w:rPr>
        <w:t>月</w:t>
      </w:r>
      <w:r>
        <w:rPr>
          <w:rFonts w:hint="eastAsia" w:hAnsi="宋体" w:cs="宋体"/>
          <w:color w:val="auto"/>
          <w:sz w:val="24"/>
          <w:highlight w:val="none"/>
        </w:rPr>
        <w:t xml:space="preserve">   </w:t>
      </w:r>
      <w:r>
        <w:rPr>
          <w:rFonts w:hint="eastAsia" w:hAnsi="宋体" w:cs="宋体"/>
          <w:color w:val="auto"/>
          <w:sz w:val="24"/>
          <w:highlight w:val="none"/>
          <w:lang w:val="zh-CN"/>
        </w:rPr>
        <w:t>日</w:t>
      </w:r>
    </w:p>
    <w:p w14:paraId="01D0E313">
      <w:pPr>
        <w:snapToGrid w:val="0"/>
        <w:spacing w:line="360" w:lineRule="auto"/>
        <w:rPr>
          <w:rFonts w:hint="eastAsia" w:ascii="宋体" w:hAnsi="宋体" w:cs="宋体"/>
          <w:b/>
          <w:color w:val="auto"/>
          <w:sz w:val="30"/>
          <w:szCs w:val="30"/>
          <w:highlight w:val="none"/>
        </w:rPr>
      </w:pPr>
    </w:p>
    <w:p w14:paraId="7DA63AD8">
      <w:p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rPr>
        <w:t>九、供应商认为需要提供的其他有关资料。</w:t>
      </w:r>
    </w:p>
    <w:p w14:paraId="6B37D163">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15D4F560">
      <w:pPr>
        <w:snapToGrid w:val="0"/>
        <w:spacing w:line="360" w:lineRule="auto"/>
        <w:ind w:firstLine="602" w:firstLineChars="200"/>
        <w:rPr>
          <w:rFonts w:hint="eastAsia" w:ascii="宋体" w:hAnsi="宋体" w:cs="宋体"/>
          <w:b/>
          <w:color w:val="auto"/>
          <w:sz w:val="30"/>
          <w:szCs w:val="30"/>
          <w:highlight w:val="none"/>
        </w:rPr>
      </w:pPr>
    </w:p>
    <w:p w14:paraId="134BE3AE">
      <w:pPr>
        <w:spacing w:line="500" w:lineRule="exact"/>
        <w:rPr>
          <w:rFonts w:hint="eastAsia" w:ascii="宋体" w:hAnsi="宋体" w:cs="宋体"/>
          <w:color w:val="auto"/>
          <w:sz w:val="32"/>
          <w:szCs w:val="32"/>
          <w:highlight w:val="none"/>
        </w:rPr>
        <w:sectPr>
          <w:pgSz w:w="11911" w:h="16838"/>
          <w:pgMar w:top="1338" w:right="1502" w:bottom="850" w:left="1678" w:header="1077" w:footer="720" w:gutter="0"/>
          <w:cols w:space="720" w:num="1"/>
        </w:sectPr>
      </w:pPr>
    </w:p>
    <w:p w14:paraId="7AA9998D">
      <w:pPr>
        <w:adjustRightInd w:val="0"/>
        <w:snapToGrid w:val="0"/>
        <w:spacing w:line="300" w:lineRule="auto"/>
        <w:rPr>
          <w:rFonts w:hint="eastAsia" w:ascii="宋体" w:hAnsi="宋体" w:cs="宋体"/>
          <w:color w:val="auto"/>
          <w:szCs w:val="21"/>
          <w:highlight w:val="none"/>
          <w:u w:val="single"/>
        </w:rPr>
      </w:pPr>
    </w:p>
    <w:p w14:paraId="1400B37B">
      <w:pPr>
        <w:pStyle w:val="4"/>
        <w:spacing w:before="0" w:after="0" w:line="360" w:lineRule="auto"/>
        <w:jc w:val="center"/>
        <w:rPr>
          <w:rFonts w:hint="eastAsia" w:ascii="宋体" w:hAnsi="宋体" w:cs="宋体"/>
          <w:color w:val="auto"/>
          <w:highlight w:val="none"/>
        </w:rPr>
      </w:pPr>
      <w:bookmarkStart w:id="80" w:name="_Toc31664"/>
      <w:r>
        <w:rPr>
          <w:rFonts w:hint="eastAsia" w:ascii="宋体" w:hAnsi="宋体" w:cs="宋体"/>
          <w:color w:val="auto"/>
          <w:highlight w:val="none"/>
        </w:rPr>
        <w:t>第四节 报价文件格式</w:t>
      </w:r>
      <w:bookmarkEnd w:id="80"/>
    </w:p>
    <w:p w14:paraId="0DB0C6C4">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sz w:val="24"/>
          <w:szCs w:val="32"/>
          <w:highlight w:val="none"/>
        </w:rPr>
        <w:t>全流程电子文件</w:t>
      </w:r>
    </w:p>
    <w:p w14:paraId="6AD38BEE">
      <w:pPr>
        <w:snapToGrid w:val="0"/>
        <w:spacing w:before="120" w:beforeLines="50" w:after="50"/>
        <w:rPr>
          <w:rFonts w:hint="eastAsia" w:ascii="宋体" w:hAnsi="宋体" w:cs="宋体"/>
          <w:color w:val="auto"/>
          <w:sz w:val="24"/>
          <w:szCs w:val="20"/>
          <w:highlight w:val="none"/>
        </w:rPr>
      </w:pPr>
    </w:p>
    <w:p w14:paraId="398C7A65">
      <w:pPr>
        <w:snapToGrid w:val="0"/>
        <w:spacing w:before="120" w:beforeLines="50" w:after="50"/>
        <w:rPr>
          <w:rFonts w:hint="eastAsia" w:ascii="宋体" w:hAnsi="宋体" w:cs="宋体"/>
          <w:color w:val="auto"/>
          <w:sz w:val="24"/>
          <w:szCs w:val="20"/>
          <w:highlight w:val="none"/>
        </w:rPr>
      </w:pPr>
    </w:p>
    <w:p w14:paraId="02F87B01">
      <w:pPr>
        <w:snapToGrid w:val="0"/>
        <w:spacing w:before="120" w:beforeLines="50" w:after="50"/>
        <w:rPr>
          <w:rFonts w:hint="eastAsia" w:ascii="宋体" w:hAnsi="宋体" w:cs="宋体"/>
          <w:color w:val="auto"/>
          <w:sz w:val="24"/>
          <w:szCs w:val="20"/>
          <w:highlight w:val="none"/>
        </w:rPr>
      </w:pPr>
    </w:p>
    <w:p w14:paraId="0CF3E785">
      <w:pPr>
        <w:snapToGrid w:val="0"/>
        <w:spacing w:before="120" w:beforeLines="50" w:after="50"/>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报价文件</w:t>
      </w:r>
    </w:p>
    <w:p w14:paraId="5D34EF3A">
      <w:pPr>
        <w:snapToGrid w:val="0"/>
        <w:spacing w:before="120" w:beforeLines="50" w:after="50"/>
        <w:rPr>
          <w:rFonts w:hint="eastAsia" w:ascii="宋体" w:hAnsi="宋体" w:cs="宋体"/>
          <w:bCs/>
          <w:color w:val="auto"/>
          <w:sz w:val="24"/>
          <w:szCs w:val="20"/>
          <w:highlight w:val="none"/>
        </w:rPr>
      </w:pPr>
    </w:p>
    <w:p w14:paraId="5CEFFA15">
      <w:pPr>
        <w:snapToGrid w:val="0"/>
        <w:spacing w:before="120" w:beforeLines="50" w:after="50"/>
        <w:rPr>
          <w:rFonts w:hint="eastAsia" w:ascii="宋体" w:hAnsi="宋体" w:cs="宋体"/>
          <w:bCs/>
          <w:color w:val="auto"/>
          <w:sz w:val="24"/>
          <w:szCs w:val="20"/>
          <w:highlight w:val="none"/>
        </w:rPr>
      </w:pPr>
    </w:p>
    <w:p w14:paraId="61617C67">
      <w:pPr>
        <w:snapToGrid w:val="0"/>
        <w:spacing w:before="120" w:beforeLines="50" w:after="50"/>
        <w:rPr>
          <w:rFonts w:hint="eastAsia" w:ascii="宋体" w:hAnsi="宋体" w:cs="宋体"/>
          <w:bCs/>
          <w:color w:val="auto"/>
          <w:sz w:val="24"/>
          <w:szCs w:val="20"/>
          <w:highlight w:val="none"/>
        </w:rPr>
      </w:pPr>
    </w:p>
    <w:p w14:paraId="50A73040">
      <w:pPr>
        <w:snapToGrid w:val="0"/>
        <w:spacing w:before="120" w:beforeLines="50" w:after="50"/>
        <w:rPr>
          <w:rFonts w:hint="eastAsia" w:ascii="宋体" w:hAnsi="宋体" w:cs="宋体"/>
          <w:bCs/>
          <w:color w:val="auto"/>
          <w:sz w:val="24"/>
          <w:szCs w:val="20"/>
          <w:highlight w:val="none"/>
        </w:rPr>
      </w:pPr>
    </w:p>
    <w:p w14:paraId="1D81001E">
      <w:pPr>
        <w:snapToGrid w:val="0"/>
        <w:spacing w:before="120" w:beforeLines="50" w:after="50"/>
        <w:rPr>
          <w:rFonts w:hint="eastAsia" w:ascii="宋体" w:hAnsi="宋体" w:cs="宋体"/>
          <w:bCs/>
          <w:color w:val="auto"/>
          <w:sz w:val="24"/>
          <w:szCs w:val="20"/>
          <w:highlight w:val="none"/>
        </w:rPr>
      </w:pPr>
    </w:p>
    <w:p w14:paraId="1699B803">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7952824">
      <w:pPr>
        <w:snapToGrid w:val="0"/>
        <w:spacing w:before="120" w:beforeLines="50" w:after="50"/>
        <w:ind w:firstLine="720" w:firstLineChars="225"/>
        <w:rPr>
          <w:rFonts w:hint="eastAsia" w:ascii="宋体" w:hAnsi="宋体" w:cs="宋体"/>
          <w:bCs/>
          <w:color w:val="auto"/>
          <w:sz w:val="32"/>
          <w:szCs w:val="32"/>
          <w:highlight w:val="none"/>
        </w:rPr>
      </w:pPr>
    </w:p>
    <w:p w14:paraId="5396DE01">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7CF32248">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6D096563">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1C189FD">
      <w:pPr>
        <w:snapToGrid w:val="0"/>
        <w:spacing w:before="120" w:beforeLines="50" w:after="50"/>
        <w:ind w:firstLine="720" w:firstLineChars="225"/>
        <w:rPr>
          <w:rFonts w:hint="eastAsia" w:ascii="宋体" w:hAnsi="宋体" w:cs="宋体"/>
          <w:bCs/>
          <w:color w:val="auto"/>
          <w:sz w:val="32"/>
          <w:szCs w:val="32"/>
          <w:highlight w:val="none"/>
        </w:rPr>
      </w:pPr>
    </w:p>
    <w:p w14:paraId="7C22AA13">
      <w:pPr>
        <w:pStyle w:val="8"/>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3B2E559">
      <w:pPr>
        <w:pStyle w:val="8"/>
        <w:snapToGrid w:val="0"/>
        <w:spacing w:before="50" w:after="50"/>
        <w:ind w:firstLine="720" w:firstLineChars="225"/>
        <w:rPr>
          <w:rFonts w:hint="eastAsia" w:ascii="宋体" w:hAnsi="宋体" w:cs="宋体"/>
          <w:bCs/>
          <w:color w:val="auto"/>
          <w:sz w:val="32"/>
          <w:szCs w:val="32"/>
          <w:highlight w:val="none"/>
        </w:rPr>
      </w:pPr>
    </w:p>
    <w:p w14:paraId="0CEE85FC">
      <w:pPr>
        <w:pStyle w:val="8"/>
        <w:snapToGrid w:val="0"/>
        <w:spacing w:before="50" w:after="50"/>
        <w:ind w:firstLine="720" w:firstLineChars="225"/>
        <w:rPr>
          <w:rFonts w:hint="eastAsia" w:ascii="宋体" w:hAnsi="宋体" w:cs="宋体"/>
          <w:bCs/>
          <w:color w:val="auto"/>
          <w:sz w:val="32"/>
          <w:szCs w:val="32"/>
          <w:highlight w:val="none"/>
        </w:rPr>
      </w:pPr>
    </w:p>
    <w:p w14:paraId="7CC03A58">
      <w:pPr>
        <w:pStyle w:val="8"/>
        <w:snapToGrid w:val="0"/>
        <w:spacing w:before="50" w:after="50"/>
        <w:ind w:firstLine="1280" w:firstLineChars="400"/>
        <w:rPr>
          <w:rFonts w:hint="eastAsia" w:ascii="宋体" w:hAnsi="宋体" w:cs="宋体"/>
          <w:bCs/>
          <w:color w:val="auto"/>
          <w:sz w:val="32"/>
          <w:szCs w:val="32"/>
          <w:highlight w:val="none"/>
        </w:rPr>
      </w:pPr>
    </w:p>
    <w:p w14:paraId="74326B44">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373DE400">
      <w:pPr>
        <w:snapToGrid w:val="0"/>
        <w:spacing w:before="120" w:beforeLines="50" w:after="50" w:line="400" w:lineRule="exact"/>
        <w:jc w:val="center"/>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74C52505">
      <w:pPr>
        <w:rPr>
          <w:rFonts w:hint="eastAsia" w:ascii="宋体" w:hAnsi="宋体" w:cs="宋体"/>
          <w:color w:val="auto"/>
          <w:highlight w:val="none"/>
        </w:rPr>
      </w:pPr>
    </w:p>
    <w:p w14:paraId="2A093C9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根据竞争性谈判文件规定及供应商提供的材料自行编写目录（部分格式后附）。</w:t>
      </w:r>
    </w:p>
    <w:p w14:paraId="0349B1F6">
      <w:pPr>
        <w:snapToGrid w:val="0"/>
        <w:spacing w:before="120" w:beforeLines="50" w:after="50" w:line="360" w:lineRule="auto"/>
        <w:ind w:left="142" w:firstLine="640" w:firstLineChars="200"/>
        <w:jc w:val="left"/>
        <w:rPr>
          <w:rFonts w:hint="eastAsia" w:ascii="宋体" w:hAnsi="宋体" w:cs="宋体"/>
          <w:color w:val="auto"/>
          <w:sz w:val="32"/>
          <w:szCs w:val="32"/>
          <w:highlight w:val="none"/>
        </w:rPr>
      </w:pPr>
    </w:p>
    <w:p w14:paraId="6BD364B5">
      <w:pPr>
        <w:snapToGrid w:val="0"/>
        <w:spacing w:before="120" w:beforeLines="50" w:after="50" w:line="360" w:lineRule="auto"/>
        <w:jc w:val="left"/>
        <w:rPr>
          <w:rFonts w:hint="eastAsia" w:ascii="宋体" w:hAnsi="宋体" w:cs="宋体"/>
          <w:color w:val="auto"/>
          <w:sz w:val="24"/>
          <w:highlight w:val="none"/>
        </w:rPr>
      </w:pPr>
      <w:r>
        <w:rPr>
          <w:rFonts w:hint="eastAsia" w:ascii="宋体" w:hAnsi="宋体" w:cs="宋体"/>
          <w:color w:val="auto"/>
          <w:kern w:val="0"/>
          <w:sz w:val="24"/>
          <w:szCs w:val="21"/>
          <w:highlight w:val="none"/>
        </w:rPr>
        <w:br w:type="page"/>
      </w:r>
      <w:r>
        <w:rPr>
          <w:rFonts w:hint="eastAsia" w:ascii="宋体" w:hAnsi="宋体" w:cs="宋体"/>
          <w:b/>
          <w:bCs/>
          <w:color w:val="auto"/>
          <w:sz w:val="32"/>
          <w:szCs w:val="32"/>
          <w:highlight w:val="none"/>
        </w:rPr>
        <w:t>一、报价函</w:t>
      </w:r>
    </w:p>
    <w:p w14:paraId="4E1216A8">
      <w:pPr>
        <w:pStyle w:val="114"/>
        <w:spacing w:line="360" w:lineRule="auto"/>
        <w:rPr>
          <w:rFonts w:hint="eastAsia" w:ascii="宋体" w:hAnsi="宋体" w:eastAsia="宋体" w:cs="宋体"/>
          <w:b/>
          <w:bCs/>
          <w:color w:val="auto"/>
          <w:sz w:val="30"/>
          <w:szCs w:val="30"/>
          <w:highlight w:val="none"/>
        </w:rPr>
      </w:pPr>
      <w:bookmarkStart w:id="81" w:name="_Toc498082657"/>
      <w:r>
        <w:rPr>
          <w:rFonts w:hint="eastAsia" w:ascii="宋体" w:hAnsi="宋体" w:eastAsia="宋体" w:cs="宋体"/>
          <w:b/>
          <w:bCs/>
          <w:color w:val="auto"/>
          <w:sz w:val="30"/>
          <w:szCs w:val="30"/>
          <w:highlight w:val="none"/>
        </w:rPr>
        <w:t>报价函</w:t>
      </w:r>
      <w:bookmarkEnd w:id="81"/>
    </w:p>
    <w:p w14:paraId="034909BD">
      <w:pPr>
        <w:pStyle w:val="114"/>
        <w:spacing w:line="360" w:lineRule="auto"/>
        <w:jc w:val="both"/>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致广西盛兰达项目管理咨询有限公司：</w:t>
      </w:r>
    </w:p>
    <w:p w14:paraId="3EB7C9BB">
      <w:pPr>
        <w:tabs>
          <w:tab w:val="left" w:pos="756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1.根据你方项目项目编号为</w:t>
      </w:r>
      <w:r>
        <w:rPr>
          <w:rFonts w:hint="eastAsia" w:ascii="宋体" w:hAnsi="宋体" w:cs="宋体"/>
          <w:color w:val="auto"/>
          <w:sz w:val="24"/>
          <w:highlight w:val="none"/>
          <w:u w:val="single"/>
        </w:rPr>
        <w:t xml:space="preserve">            （项目编号）</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竞争性谈判文件，遵照《中华人民共和国政府采购法》等有关规定，研究上述竞争性谈判文件的供应商须知、合同条款、图纸、工程建设标准和工程量清单及其他有关文件后，我方愿以人民币（大写）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元）的报价并按上述图纸、合同条款、工程建设标准和工程量清单（如</w:t>
      </w:r>
      <w:r>
        <w:rPr>
          <w:rFonts w:hint="eastAsia" w:ascii="宋体" w:hAnsi="宋体" w:cs="宋体"/>
          <w:color w:val="auto"/>
          <w:sz w:val="24"/>
          <w:highlight w:val="none"/>
          <w:lang w:eastAsia="zh-CN"/>
        </w:rPr>
        <w:t>有</w:t>
      </w:r>
      <w:r>
        <w:rPr>
          <w:rFonts w:hint="eastAsia" w:ascii="宋体" w:hAnsi="宋体" w:cs="宋体"/>
          <w:color w:val="auto"/>
          <w:sz w:val="24"/>
          <w:highlight w:val="none"/>
        </w:rPr>
        <w:t>）的条件要求承包上述工程的施工、竣工，并承担任何质量缺陷保修责任。我方保证工程质量达到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等级。</w:t>
      </w:r>
    </w:p>
    <w:p w14:paraId="68F92DF8">
      <w:pPr>
        <w:tabs>
          <w:tab w:val="left" w:pos="756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2.我方已详细审核全部竞争性谈判文件，包括修改文件（如</w:t>
      </w:r>
      <w:r>
        <w:rPr>
          <w:rFonts w:hint="eastAsia" w:ascii="宋体" w:hAnsi="宋体" w:cs="宋体"/>
          <w:color w:val="auto"/>
          <w:sz w:val="24"/>
          <w:highlight w:val="none"/>
          <w:lang w:eastAsia="zh-CN"/>
        </w:rPr>
        <w:t>有</w:t>
      </w:r>
      <w:r>
        <w:rPr>
          <w:rFonts w:hint="eastAsia" w:ascii="宋体" w:hAnsi="宋体" w:cs="宋体"/>
          <w:color w:val="auto"/>
          <w:sz w:val="24"/>
          <w:highlight w:val="none"/>
        </w:rPr>
        <w:t>）及有关附件。</w:t>
      </w:r>
    </w:p>
    <w:p w14:paraId="60804346">
      <w:pPr>
        <w:tabs>
          <w:tab w:val="left" w:pos="756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3.我方承认报价函附录是我方报价函的组成部分。</w:t>
      </w:r>
    </w:p>
    <w:p w14:paraId="7B3D294A">
      <w:pPr>
        <w:tabs>
          <w:tab w:val="left" w:pos="756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4.一旦我方成交，我方保证按合同书中规定的工期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日历天内完成并移交全部工程。</w:t>
      </w:r>
    </w:p>
    <w:p w14:paraId="3F36CA08">
      <w:pPr>
        <w:tabs>
          <w:tab w:val="left" w:pos="756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5.我方同意所提交的响应文件在竞争性谈判文件的“供应商须知”中规定的竞标有效期内有效，在此期间内如果成交，我方将受此约束。</w:t>
      </w:r>
    </w:p>
    <w:p w14:paraId="2EBB9B9C">
      <w:pPr>
        <w:tabs>
          <w:tab w:val="left" w:pos="756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6.除非另外达成协议并生效，你方的成交通知书和本响应文件将成为约束双方的合同文件的组成部分。</w:t>
      </w:r>
    </w:p>
    <w:p w14:paraId="6990F701">
      <w:pPr>
        <w:spacing w:line="360" w:lineRule="auto"/>
        <w:rPr>
          <w:rFonts w:hint="eastAsia" w:ascii="宋体" w:hAnsi="宋体" w:cs="宋体"/>
          <w:color w:val="auto"/>
          <w:sz w:val="24"/>
          <w:highlight w:val="none"/>
        </w:rPr>
      </w:pPr>
    </w:p>
    <w:p w14:paraId="6BFC828C">
      <w:pPr>
        <w:spacing w:line="360" w:lineRule="auto"/>
        <w:ind w:firstLine="1200" w:firstLineChars="500"/>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（盖单位章）</w:t>
      </w:r>
    </w:p>
    <w:p w14:paraId="56732FEB">
      <w:pPr>
        <w:spacing w:line="360" w:lineRule="auto"/>
        <w:ind w:firstLine="1200" w:firstLineChars="500"/>
        <w:rPr>
          <w:rFonts w:hint="eastAsia" w:ascii="宋体" w:hAnsi="宋体" w:cs="宋体"/>
          <w:color w:val="auto"/>
          <w:sz w:val="24"/>
          <w:highlight w:val="none"/>
          <w:u w:val="single"/>
        </w:rPr>
      </w:pPr>
      <w:r>
        <w:rPr>
          <w:rFonts w:hint="eastAsia" w:ascii="宋体" w:hAnsi="宋体" w:cs="宋体"/>
          <w:color w:val="auto"/>
          <w:sz w:val="24"/>
          <w:highlight w:val="none"/>
        </w:rPr>
        <w:t>单位地址：</w:t>
      </w:r>
      <w:r>
        <w:rPr>
          <w:rFonts w:hint="eastAsia" w:ascii="宋体" w:hAnsi="宋体" w:cs="宋体"/>
          <w:color w:val="auto"/>
          <w:sz w:val="24"/>
          <w:highlight w:val="none"/>
          <w:u w:val="single"/>
        </w:rPr>
        <w:t xml:space="preserve">                                        </w:t>
      </w:r>
    </w:p>
    <w:p w14:paraId="14CDCA05">
      <w:pPr>
        <w:spacing w:line="360" w:lineRule="auto"/>
        <w:ind w:firstLine="1200" w:firstLineChars="500"/>
        <w:rPr>
          <w:rFonts w:hint="eastAsia"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（签字或盖章）</w:t>
      </w:r>
    </w:p>
    <w:p w14:paraId="41E0AA5D">
      <w:pPr>
        <w:spacing w:line="360"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14:paraId="4205D3FA">
      <w:pPr>
        <w:spacing w:line="360"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开户银行名称：</w:t>
      </w:r>
      <w:r>
        <w:rPr>
          <w:rFonts w:hint="eastAsia" w:ascii="宋体" w:hAnsi="宋体" w:cs="宋体"/>
          <w:color w:val="auto"/>
          <w:sz w:val="24"/>
          <w:highlight w:val="none"/>
          <w:u w:val="single"/>
        </w:rPr>
        <w:t xml:space="preserve">                                    </w:t>
      </w:r>
    </w:p>
    <w:p w14:paraId="1358D244">
      <w:pPr>
        <w:spacing w:line="360"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开户银行账号：</w:t>
      </w:r>
      <w:r>
        <w:rPr>
          <w:rFonts w:hint="eastAsia" w:ascii="宋体" w:hAnsi="宋体" w:cs="宋体"/>
          <w:color w:val="auto"/>
          <w:sz w:val="24"/>
          <w:highlight w:val="none"/>
          <w:u w:val="single"/>
        </w:rPr>
        <w:t xml:space="preserve">                                    </w:t>
      </w:r>
    </w:p>
    <w:p w14:paraId="57DDEE9A">
      <w:pPr>
        <w:spacing w:line="360"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开户银行地址：</w:t>
      </w:r>
      <w:r>
        <w:rPr>
          <w:rFonts w:hint="eastAsia" w:ascii="宋体" w:hAnsi="宋体" w:cs="宋体"/>
          <w:color w:val="auto"/>
          <w:sz w:val="24"/>
          <w:highlight w:val="none"/>
          <w:u w:val="single"/>
        </w:rPr>
        <w:t xml:space="preserve">                                    </w:t>
      </w:r>
    </w:p>
    <w:p w14:paraId="5852216A">
      <w:pPr>
        <w:spacing w:line="360"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开户银行电话：</w:t>
      </w:r>
      <w:r>
        <w:rPr>
          <w:rFonts w:hint="eastAsia" w:ascii="宋体" w:hAnsi="宋体" w:cs="宋体"/>
          <w:color w:val="auto"/>
          <w:sz w:val="24"/>
          <w:highlight w:val="none"/>
          <w:u w:val="single"/>
        </w:rPr>
        <w:t xml:space="preserve">                                    </w:t>
      </w:r>
    </w:p>
    <w:p w14:paraId="1777AC36">
      <w:pPr>
        <w:spacing w:line="360"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E3A996E">
      <w:pPr>
        <w:spacing w:line="360" w:lineRule="auto"/>
        <w:rPr>
          <w:rFonts w:hint="eastAsia" w:ascii="宋体" w:hAnsi="宋体" w:cs="宋体"/>
          <w:color w:val="auto"/>
          <w:sz w:val="24"/>
          <w:highlight w:val="none"/>
        </w:rPr>
      </w:pPr>
    </w:p>
    <w:p w14:paraId="06233FD3">
      <w:pPr>
        <w:spacing w:line="360" w:lineRule="auto"/>
        <w:rPr>
          <w:rFonts w:hint="eastAsia" w:ascii="宋体" w:hAnsi="宋体" w:cs="宋体"/>
          <w:color w:val="auto"/>
          <w:sz w:val="24"/>
          <w:highlight w:val="none"/>
        </w:rPr>
      </w:pPr>
    </w:p>
    <w:p w14:paraId="6D2F8AF0">
      <w:pPr>
        <w:snapToGrid w:val="0"/>
        <w:spacing w:line="360" w:lineRule="auto"/>
        <w:rPr>
          <w:rFonts w:hint="eastAsia" w:ascii="宋体" w:hAnsi="宋体" w:cs="宋体"/>
          <w:b/>
          <w:color w:val="auto"/>
          <w:sz w:val="32"/>
          <w:szCs w:val="32"/>
          <w:highlight w:val="none"/>
        </w:rPr>
      </w:pPr>
      <w:r>
        <w:rPr>
          <w:rFonts w:hint="eastAsia" w:ascii="宋体" w:hAnsi="宋体" w:cs="宋体"/>
          <w:b/>
          <w:color w:val="auto"/>
          <w:sz w:val="32"/>
          <w:szCs w:val="32"/>
          <w:highlight w:val="none"/>
        </w:rPr>
        <w:t>二、报价函附录</w:t>
      </w:r>
    </w:p>
    <w:p w14:paraId="01768795">
      <w:pPr>
        <w:pStyle w:val="109"/>
        <w:spacing w:line="360" w:lineRule="auto"/>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sz w:val="32"/>
          <w:szCs w:val="32"/>
          <w:highlight w:val="none"/>
        </w:rPr>
        <w:t>报价函附录</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992"/>
        <w:gridCol w:w="1442"/>
        <w:gridCol w:w="3405"/>
      </w:tblGrid>
      <w:tr w14:paraId="77D0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1696" w:type="dxa"/>
            <w:noWrap w:val="0"/>
            <w:vAlign w:val="center"/>
          </w:tcPr>
          <w:p w14:paraId="2205E9BF">
            <w:pPr>
              <w:spacing w:line="5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谈判前</w:t>
            </w:r>
          </w:p>
          <w:p w14:paraId="5118F988">
            <w:pPr>
              <w:spacing w:line="5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基础报价</w:t>
            </w:r>
          </w:p>
        </w:tc>
        <w:tc>
          <w:tcPr>
            <w:tcW w:w="7839" w:type="dxa"/>
            <w:gridSpan w:val="3"/>
            <w:noWrap w:val="0"/>
            <w:vAlign w:val="center"/>
          </w:tcPr>
          <w:p w14:paraId="7551CD4B">
            <w:pPr>
              <w:spacing w:line="500" w:lineRule="exact"/>
              <w:jc w:val="center"/>
              <w:rPr>
                <w:rFonts w:hint="eastAsia" w:ascii="宋体" w:hAnsi="宋体" w:cs="宋体"/>
                <w:bCs/>
                <w:color w:val="auto"/>
                <w:sz w:val="24"/>
                <w:highlight w:val="none"/>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tc>
      </w:tr>
      <w:tr w14:paraId="26D5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1696" w:type="dxa"/>
            <w:noWrap w:val="0"/>
            <w:vAlign w:val="center"/>
          </w:tcPr>
          <w:p w14:paraId="13232D3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谈判有效期</w:t>
            </w:r>
          </w:p>
        </w:tc>
        <w:tc>
          <w:tcPr>
            <w:tcW w:w="7839" w:type="dxa"/>
            <w:gridSpan w:val="3"/>
            <w:noWrap w:val="0"/>
            <w:vAlign w:val="center"/>
          </w:tcPr>
          <w:p w14:paraId="2A7440D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从报价截止之日，竞标有效期为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天（日历日）</w:t>
            </w:r>
          </w:p>
        </w:tc>
      </w:tr>
      <w:tr w14:paraId="2B4F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1696" w:type="dxa"/>
            <w:noWrap w:val="0"/>
            <w:vAlign w:val="center"/>
          </w:tcPr>
          <w:p w14:paraId="12624785">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质量标准</w:t>
            </w:r>
          </w:p>
        </w:tc>
        <w:tc>
          <w:tcPr>
            <w:tcW w:w="7839" w:type="dxa"/>
            <w:gridSpan w:val="3"/>
            <w:noWrap w:val="0"/>
            <w:vAlign w:val="center"/>
          </w:tcPr>
          <w:p w14:paraId="2207E902">
            <w:pPr>
              <w:spacing w:line="500" w:lineRule="exact"/>
              <w:jc w:val="center"/>
              <w:rPr>
                <w:rFonts w:hint="eastAsia" w:ascii="宋体" w:hAnsi="宋体" w:cs="宋体"/>
                <w:color w:val="auto"/>
                <w:sz w:val="24"/>
                <w:highlight w:val="none"/>
              </w:rPr>
            </w:pPr>
          </w:p>
        </w:tc>
      </w:tr>
      <w:tr w14:paraId="38D2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1696" w:type="dxa"/>
            <w:noWrap w:val="0"/>
            <w:vAlign w:val="center"/>
          </w:tcPr>
          <w:p w14:paraId="487F598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承诺工期</w:t>
            </w:r>
          </w:p>
        </w:tc>
        <w:tc>
          <w:tcPr>
            <w:tcW w:w="7839" w:type="dxa"/>
            <w:gridSpan w:val="3"/>
            <w:noWrap w:val="0"/>
            <w:vAlign w:val="center"/>
          </w:tcPr>
          <w:p w14:paraId="756D9FC3">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w:t>
            </w:r>
          </w:p>
        </w:tc>
      </w:tr>
      <w:tr w14:paraId="1059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96" w:type="dxa"/>
            <w:noWrap w:val="0"/>
            <w:vAlign w:val="center"/>
          </w:tcPr>
          <w:p w14:paraId="6DDC221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项目经理</w:t>
            </w:r>
          </w:p>
          <w:p w14:paraId="1043DFD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（建造师）</w:t>
            </w:r>
          </w:p>
        </w:tc>
        <w:tc>
          <w:tcPr>
            <w:tcW w:w="2992" w:type="dxa"/>
            <w:noWrap w:val="0"/>
            <w:vAlign w:val="center"/>
          </w:tcPr>
          <w:p w14:paraId="7B8AE21F">
            <w:pPr>
              <w:spacing w:line="500" w:lineRule="exact"/>
              <w:rPr>
                <w:rFonts w:hint="eastAsia" w:ascii="宋体" w:hAnsi="宋体" w:cs="宋体"/>
                <w:color w:val="auto"/>
                <w:sz w:val="24"/>
                <w:highlight w:val="none"/>
              </w:rPr>
            </w:pPr>
          </w:p>
        </w:tc>
        <w:tc>
          <w:tcPr>
            <w:tcW w:w="1442" w:type="dxa"/>
            <w:noWrap w:val="0"/>
            <w:vAlign w:val="center"/>
          </w:tcPr>
          <w:p w14:paraId="658C85C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级别及编号</w:t>
            </w:r>
          </w:p>
        </w:tc>
        <w:tc>
          <w:tcPr>
            <w:tcW w:w="3405" w:type="dxa"/>
            <w:noWrap w:val="0"/>
            <w:vAlign w:val="center"/>
          </w:tcPr>
          <w:p w14:paraId="49AA53E5">
            <w:pPr>
              <w:spacing w:line="500" w:lineRule="exact"/>
              <w:rPr>
                <w:rFonts w:hint="eastAsia" w:ascii="宋体" w:hAnsi="宋体" w:cs="宋体"/>
                <w:color w:val="auto"/>
                <w:sz w:val="24"/>
                <w:highlight w:val="none"/>
              </w:rPr>
            </w:pPr>
          </w:p>
        </w:tc>
      </w:tr>
      <w:tr w14:paraId="66BF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535" w:type="dxa"/>
            <w:gridSpan w:val="4"/>
            <w:tcBorders>
              <w:bottom w:val="single" w:color="auto" w:sz="4" w:space="0"/>
            </w:tcBorders>
            <w:noWrap w:val="0"/>
            <w:vAlign w:val="center"/>
          </w:tcPr>
          <w:p w14:paraId="5BB10278">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备注：供应商在响应文件中规定的实质性要求和条件的基础上，可做出其他有利于采购人的承诺。此类承诺可在本表中予以补充填写。</w:t>
            </w:r>
          </w:p>
        </w:tc>
      </w:tr>
    </w:tbl>
    <w:p w14:paraId="0B6814BB">
      <w:pPr>
        <w:snapToGrid w:val="0"/>
        <w:spacing w:line="360" w:lineRule="auto"/>
        <w:ind w:firstLine="5040" w:firstLineChars="2100"/>
        <w:rPr>
          <w:rFonts w:hint="eastAsia" w:ascii="宋体" w:hAnsi="宋体" w:cs="宋体"/>
          <w:color w:val="auto"/>
          <w:kern w:val="0"/>
          <w:sz w:val="24"/>
          <w:highlight w:val="none"/>
        </w:rPr>
      </w:pPr>
    </w:p>
    <w:p w14:paraId="389AF842">
      <w:pPr>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rPr>
        <w:t>供</w:t>
      </w:r>
      <w:r>
        <w:rPr>
          <w:rFonts w:hint="eastAsia" w:ascii="宋体" w:hAnsi="宋体" w:cs="宋体"/>
          <w:color w:val="auto"/>
          <w:kern w:val="0"/>
          <w:sz w:val="24"/>
          <w:highlight w:val="none"/>
          <w:lang w:val="zh-CN"/>
        </w:rPr>
        <w:t>应商名称（电子签章）：</w:t>
      </w:r>
    </w:p>
    <w:p w14:paraId="5AD8B428">
      <w:pPr>
        <w:pStyle w:val="20"/>
        <w:adjustRightInd w:val="0"/>
        <w:snapToGrid w:val="0"/>
        <w:spacing w:line="480" w:lineRule="exact"/>
        <w:jc w:val="left"/>
        <w:rPr>
          <w:rFonts w:hint="eastAsia" w:hAnsi="宋体" w:cs="宋体"/>
          <w:color w:val="auto"/>
          <w:sz w:val="24"/>
          <w:highlight w:val="none"/>
          <w:lang w:val="zh-CN"/>
        </w:rPr>
      </w:pPr>
      <w:r>
        <w:rPr>
          <w:rFonts w:hint="eastAsia" w:hAnsi="宋体" w:cs="宋体"/>
          <w:color w:val="auto"/>
          <w:sz w:val="24"/>
          <w:highlight w:val="none"/>
          <w:lang w:val="zh-CN"/>
        </w:rPr>
        <w:t xml:space="preserve">                                                     日期</w:t>
      </w:r>
      <w:r>
        <w:rPr>
          <w:rFonts w:hint="eastAsia" w:hAnsi="宋体" w:cs="宋体"/>
          <w:color w:val="auto"/>
          <w:sz w:val="24"/>
          <w:highlight w:val="none"/>
        </w:rPr>
        <w:t xml:space="preserve">：  年  </w:t>
      </w:r>
      <w:r>
        <w:rPr>
          <w:rFonts w:hint="eastAsia" w:hAnsi="宋体" w:cs="宋体"/>
          <w:color w:val="auto"/>
          <w:sz w:val="24"/>
          <w:highlight w:val="none"/>
          <w:lang w:val="zh-CN"/>
        </w:rPr>
        <w:t>月</w:t>
      </w:r>
      <w:r>
        <w:rPr>
          <w:rFonts w:hint="eastAsia" w:hAnsi="宋体" w:cs="宋体"/>
          <w:color w:val="auto"/>
          <w:sz w:val="24"/>
          <w:highlight w:val="none"/>
        </w:rPr>
        <w:t xml:space="preserve">   </w:t>
      </w:r>
      <w:r>
        <w:rPr>
          <w:rFonts w:hint="eastAsia" w:hAnsi="宋体" w:cs="宋体"/>
          <w:color w:val="auto"/>
          <w:sz w:val="24"/>
          <w:highlight w:val="none"/>
          <w:lang w:val="zh-CN"/>
        </w:rPr>
        <w:t>日</w:t>
      </w:r>
    </w:p>
    <w:p w14:paraId="2F5AB6D2">
      <w:pPr>
        <w:pStyle w:val="24"/>
        <w:rPr>
          <w:rFonts w:hint="eastAsia" w:ascii="宋体" w:hAnsi="宋体" w:cs="宋体"/>
          <w:b/>
          <w:bCs/>
          <w:color w:val="auto"/>
          <w:sz w:val="32"/>
          <w:szCs w:val="24"/>
          <w:highlight w:val="none"/>
          <w:lang w:val="zh-CN"/>
        </w:rPr>
      </w:pPr>
      <w:r>
        <w:rPr>
          <w:rFonts w:hint="eastAsia" w:ascii="宋体" w:hAnsi="宋体" w:cs="宋体"/>
          <w:color w:val="auto"/>
          <w:highlight w:val="none"/>
          <w:lang w:val="zh-CN"/>
        </w:rPr>
        <w:br w:type="page"/>
      </w:r>
      <w:r>
        <w:rPr>
          <w:rFonts w:hint="eastAsia" w:ascii="宋体" w:hAnsi="宋体" w:cs="宋体"/>
          <w:b/>
          <w:bCs/>
          <w:color w:val="auto"/>
          <w:sz w:val="32"/>
          <w:szCs w:val="24"/>
          <w:highlight w:val="none"/>
        </w:rPr>
        <w:t>三、已标价的工程量清单</w:t>
      </w:r>
    </w:p>
    <w:p w14:paraId="5331CBC4">
      <w:pPr>
        <w:pStyle w:val="11"/>
        <w:rPr>
          <w:rFonts w:hint="eastAsia" w:ascii="宋体" w:hAnsi="宋体" w:cs="宋体"/>
          <w:color w:val="auto"/>
          <w:sz w:val="24"/>
          <w:highlight w:val="none"/>
          <w:lang w:val="zh-CN"/>
        </w:rPr>
      </w:pPr>
    </w:p>
    <w:p w14:paraId="6844B62B">
      <w:pPr>
        <w:adjustRightInd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1.已标价工程量清单应按第三章“工程量清单”中的相关表格及竞标报价说明填写。构成合同文件的已标价工程量清单包括第三章“工程量清单”有关工程量清单、竞标报价以及其他说明的内容。</w:t>
      </w:r>
    </w:p>
    <w:p w14:paraId="453F0B4B">
      <w:pPr>
        <w:adjustRightInd w:val="0"/>
        <w:snapToGrid w:val="0"/>
        <w:spacing w:line="5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备注：《建设工程工程量清单计价规范（GB50500-2013）广西实施细则》（以下简称“《计价规范》”）中工程量清单格式名词中，“招标”与本采购文件“采购”同义，“投标”与本采购文件“竞标”同义，“发包人”“招标人”与本采购文件“采购人”同义，“承包人”“投标人”与本采购文件“供应商”同义。</w:t>
      </w:r>
    </w:p>
    <w:p w14:paraId="2044AA57">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2.一般计税法建设工程的工程量清单表格按《关于建筑业实施营业税改征增值税后广西壮族自治区建设工程计价依据调整的通知》（桂建标〔2016〕17号）附件“增值税一般计税方法工程计价表”要求提供。</w:t>
      </w:r>
    </w:p>
    <w:p w14:paraId="71B79931">
      <w:pPr>
        <w:spacing w:line="500" w:lineRule="exact"/>
        <w:ind w:firstLine="480" w:firstLineChars="200"/>
        <w:rPr>
          <w:rFonts w:hint="eastAsia" w:ascii="宋体" w:hAnsi="宋体" w:cs="宋体"/>
          <w:color w:val="auto"/>
          <w:sz w:val="24"/>
          <w:highlight w:val="none"/>
        </w:rPr>
      </w:pPr>
    </w:p>
    <w:p w14:paraId="7EB56A0C">
      <w:pPr>
        <w:spacing w:line="360" w:lineRule="auto"/>
        <w:ind w:firstLine="4320" w:firstLineChars="1800"/>
        <w:contextualSpacing/>
        <w:rPr>
          <w:rFonts w:hint="eastAsia" w:ascii="宋体" w:hAnsi="宋体" w:cs="宋体"/>
          <w:color w:val="auto"/>
          <w:sz w:val="24"/>
          <w:highlight w:val="none"/>
        </w:rPr>
      </w:pPr>
    </w:p>
    <w:p w14:paraId="4C8F31C9">
      <w:pPr>
        <w:pStyle w:val="3"/>
        <w:rPr>
          <w:rFonts w:hint="eastAsia" w:ascii="宋体" w:hAnsi="宋体" w:cs="宋体"/>
          <w:color w:val="auto"/>
          <w:highlight w:val="none"/>
        </w:rPr>
        <w:sectPr>
          <w:pgSz w:w="11911" w:h="16838"/>
          <w:pgMar w:top="1338" w:right="1502" w:bottom="850" w:left="1678" w:header="1077" w:footer="720" w:gutter="0"/>
          <w:cols w:space="720" w:num="1"/>
        </w:sectPr>
      </w:pPr>
    </w:p>
    <w:p w14:paraId="32FDC0AD">
      <w:pPr>
        <w:spacing w:line="520" w:lineRule="exact"/>
        <w:jc w:val="center"/>
        <w:rPr>
          <w:rFonts w:hint="eastAsia" w:ascii="宋体" w:hAnsi="宋体" w:cs="宋体"/>
          <w:color w:val="auto"/>
          <w:sz w:val="24"/>
          <w:highlight w:val="none"/>
        </w:rPr>
      </w:pPr>
    </w:p>
    <w:p w14:paraId="6D10BC94">
      <w:pPr>
        <w:spacing w:line="520" w:lineRule="exact"/>
        <w:jc w:val="center"/>
        <w:rPr>
          <w:rFonts w:hint="eastAsia" w:ascii="宋体" w:hAnsi="宋体" w:cs="宋体"/>
          <w:color w:val="auto"/>
          <w:sz w:val="24"/>
          <w:highlight w:val="none"/>
        </w:rPr>
      </w:pPr>
    </w:p>
    <w:p w14:paraId="33E19C78">
      <w:pPr>
        <w:spacing w:line="520" w:lineRule="exact"/>
        <w:jc w:val="center"/>
        <w:rPr>
          <w:rFonts w:hint="eastAsia" w:ascii="宋体" w:hAnsi="宋体" w:cs="宋体"/>
          <w:color w:val="auto"/>
          <w:sz w:val="24"/>
          <w:highlight w:val="none"/>
        </w:rPr>
      </w:pPr>
    </w:p>
    <w:p w14:paraId="6C8EAD12">
      <w:pPr>
        <w:spacing w:line="520" w:lineRule="exact"/>
        <w:jc w:val="center"/>
        <w:rPr>
          <w:rFonts w:hint="eastAsia" w:ascii="宋体" w:hAnsi="宋体" w:cs="宋体"/>
          <w:color w:val="auto"/>
          <w:sz w:val="24"/>
          <w:highlight w:val="none"/>
        </w:rPr>
      </w:pPr>
    </w:p>
    <w:p w14:paraId="1E4A0046">
      <w:pPr>
        <w:spacing w:line="520" w:lineRule="exact"/>
        <w:jc w:val="center"/>
        <w:rPr>
          <w:rFonts w:hint="eastAsia" w:ascii="宋体" w:hAnsi="宋体" w:cs="宋体"/>
          <w:color w:val="auto"/>
          <w:sz w:val="24"/>
          <w:highlight w:val="none"/>
        </w:rPr>
      </w:pPr>
    </w:p>
    <w:p w14:paraId="6D475758">
      <w:pPr>
        <w:pStyle w:val="3"/>
        <w:jc w:val="center"/>
        <w:rPr>
          <w:rFonts w:hint="eastAsia" w:ascii="宋体" w:hAnsi="宋体" w:cs="宋体"/>
          <w:b w:val="0"/>
          <w:bCs w:val="0"/>
          <w:color w:val="auto"/>
          <w:highlight w:val="none"/>
        </w:rPr>
      </w:pPr>
    </w:p>
    <w:p w14:paraId="09CFCEA5">
      <w:pPr>
        <w:pStyle w:val="3"/>
        <w:spacing w:before="0" w:after="0" w:line="360" w:lineRule="auto"/>
        <w:jc w:val="center"/>
        <w:rPr>
          <w:rFonts w:hint="eastAsia" w:ascii="宋体" w:hAnsi="宋体" w:cs="宋体"/>
          <w:color w:val="auto"/>
          <w:sz w:val="32"/>
          <w:szCs w:val="32"/>
          <w:highlight w:val="none"/>
        </w:rPr>
      </w:pPr>
    </w:p>
    <w:p w14:paraId="42363FC6">
      <w:pPr>
        <w:pStyle w:val="3"/>
        <w:spacing w:before="0" w:after="0" w:line="360" w:lineRule="auto"/>
        <w:jc w:val="center"/>
        <w:rPr>
          <w:rFonts w:hint="eastAsia" w:ascii="宋体" w:hAnsi="宋体" w:cs="宋体"/>
          <w:color w:val="auto"/>
          <w:sz w:val="24"/>
          <w:highlight w:val="none"/>
          <w:u w:val="single"/>
        </w:rPr>
      </w:pPr>
      <w:bookmarkStart w:id="82" w:name="_Toc25040"/>
      <w:r>
        <w:rPr>
          <w:rFonts w:hint="eastAsia" w:ascii="宋体" w:hAnsi="宋体" w:cs="宋体"/>
          <w:color w:val="auto"/>
          <w:sz w:val="32"/>
          <w:szCs w:val="32"/>
          <w:highlight w:val="none"/>
        </w:rPr>
        <w:t>第八章 合同文本</w:t>
      </w:r>
      <w:r>
        <w:rPr>
          <w:rFonts w:hint="eastAsia" w:ascii="宋体" w:hAnsi="宋体" w:cs="宋体"/>
          <w:color w:val="auto"/>
          <w:highlight w:val="none"/>
        </w:rPr>
        <w:br w:type="page"/>
      </w:r>
      <w:bookmarkEnd w:id="82"/>
    </w:p>
    <w:p w14:paraId="186FF9E0">
      <w:pPr>
        <w:spacing w:line="360" w:lineRule="auto"/>
        <w:rPr>
          <w:rFonts w:hint="eastAsia" w:ascii="宋体" w:hAnsi="宋体" w:cs="宋体"/>
          <w:b/>
          <w:bCs/>
          <w:color w:val="auto"/>
          <w:highlight w:val="none"/>
        </w:rPr>
      </w:pPr>
      <w:r>
        <w:rPr>
          <w:rFonts w:hint="eastAsia" w:ascii="宋体" w:hAnsi="宋体" w:cs="宋体"/>
          <w:color w:val="auto"/>
          <w:sz w:val="24"/>
          <w:highlight w:val="none"/>
        </w:rPr>
        <w:t>广西政府采购云平台合同编号：</w:t>
      </w:r>
    </w:p>
    <w:p w14:paraId="67CF1B88">
      <w:pPr>
        <w:spacing w:line="360" w:lineRule="auto"/>
        <w:jc w:val="center"/>
        <w:rPr>
          <w:rFonts w:hint="eastAsia" w:ascii="宋体" w:hAnsi="宋体" w:cs="宋体"/>
          <w:b/>
          <w:bCs/>
          <w:color w:val="auto"/>
          <w:sz w:val="52"/>
          <w:highlight w:val="none"/>
        </w:rPr>
      </w:pPr>
    </w:p>
    <w:p w14:paraId="576DF842">
      <w:pPr>
        <w:spacing w:line="360" w:lineRule="auto"/>
        <w:ind w:firstLine="420" w:firstLineChars="200"/>
        <w:rPr>
          <w:rFonts w:hint="eastAsia" w:ascii="宋体" w:hAnsi="宋体" w:cs="宋体"/>
          <w:color w:val="auto"/>
          <w:highlight w:val="none"/>
        </w:rPr>
      </w:pPr>
    </w:p>
    <w:p w14:paraId="44B4D18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                                                 </w:t>
      </w:r>
    </w:p>
    <w:p w14:paraId="120EAF2F">
      <w:pPr>
        <w:spacing w:line="360" w:lineRule="auto"/>
        <w:jc w:val="center"/>
        <w:rPr>
          <w:rFonts w:hint="eastAsia" w:ascii="宋体" w:hAnsi="宋体" w:eastAsia="宋体" w:cs="宋体"/>
          <w:b/>
          <w:bCs/>
          <w:color w:val="auto"/>
          <w:sz w:val="44"/>
          <w:highlight w:val="none"/>
          <w:u w:val="single"/>
          <w:lang w:eastAsia="zh-CN"/>
        </w:rPr>
      </w:pPr>
      <w:r>
        <w:rPr>
          <w:rFonts w:hint="eastAsia" w:ascii="宋体" w:hAnsi="宋体" w:cs="宋体"/>
          <w:b/>
          <w:bCs/>
          <w:color w:val="auto"/>
          <w:sz w:val="44"/>
          <w:highlight w:val="none"/>
          <w:u w:val="single"/>
          <w:lang w:eastAsia="zh-CN"/>
        </w:rPr>
        <w:t>梧州学院图书馆空调工程（重）</w:t>
      </w:r>
    </w:p>
    <w:p w14:paraId="15F8F9CB">
      <w:pPr>
        <w:pStyle w:val="2"/>
        <w:jc w:val="center"/>
        <w:rPr>
          <w:rFonts w:hint="eastAsia" w:ascii="宋体" w:hAnsi="宋体" w:cs="宋体"/>
          <w:color w:val="auto"/>
          <w:sz w:val="24"/>
          <w:szCs w:val="32"/>
          <w:highlight w:val="none"/>
        </w:rPr>
      </w:pPr>
      <w:r>
        <w:rPr>
          <w:rFonts w:hint="eastAsia" w:ascii="宋体" w:hAnsi="宋体" w:cs="宋体"/>
          <w:b/>
          <w:bCs/>
          <w:color w:val="auto"/>
          <w:sz w:val="44"/>
          <w:highlight w:val="none"/>
        </w:rPr>
        <w:t>施工合同</w:t>
      </w:r>
    </w:p>
    <w:p w14:paraId="096F14E0">
      <w:pPr>
        <w:spacing w:line="360" w:lineRule="auto"/>
        <w:ind w:firstLine="3507" w:firstLineChars="794"/>
        <w:rPr>
          <w:rFonts w:hint="eastAsia" w:ascii="宋体" w:hAnsi="宋体" w:cs="宋体"/>
          <w:b/>
          <w:bCs/>
          <w:color w:val="auto"/>
          <w:sz w:val="44"/>
          <w:highlight w:val="none"/>
        </w:rPr>
      </w:pPr>
    </w:p>
    <w:p w14:paraId="168552C4">
      <w:pPr>
        <w:spacing w:line="360" w:lineRule="auto"/>
        <w:ind w:firstLine="3507" w:firstLineChars="794"/>
        <w:rPr>
          <w:rFonts w:hint="eastAsia" w:ascii="宋体" w:hAnsi="宋体" w:cs="宋体"/>
          <w:b/>
          <w:bCs/>
          <w:color w:val="auto"/>
          <w:sz w:val="44"/>
          <w:highlight w:val="none"/>
        </w:rPr>
      </w:pPr>
    </w:p>
    <w:p w14:paraId="34E863B0">
      <w:pPr>
        <w:ind w:firstLine="723" w:firstLineChars="200"/>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采购项目编号：</w:t>
      </w:r>
      <w:r>
        <w:rPr>
          <w:rFonts w:hint="eastAsia" w:ascii="宋体" w:hAnsi="宋体" w:cs="宋体"/>
          <w:b/>
          <w:color w:val="auto"/>
          <w:sz w:val="36"/>
          <w:szCs w:val="36"/>
          <w:highlight w:val="none"/>
          <w:u w:val="single"/>
        </w:rPr>
        <w:t xml:space="preserve">                   </w:t>
      </w:r>
    </w:p>
    <w:p w14:paraId="00147329">
      <w:pPr>
        <w:ind w:firstLine="723" w:firstLineChars="200"/>
        <w:rPr>
          <w:rFonts w:hint="eastAsia" w:ascii="宋体" w:hAnsi="宋体" w:cs="宋体"/>
          <w:b/>
          <w:color w:val="auto"/>
          <w:sz w:val="36"/>
          <w:szCs w:val="36"/>
          <w:highlight w:val="none"/>
        </w:rPr>
      </w:pPr>
    </w:p>
    <w:p w14:paraId="1990ED01">
      <w:pPr>
        <w:ind w:firstLine="723" w:firstLineChars="200"/>
        <w:rPr>
          <w:rFonts w:hint="eastAsia"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p>
    <w:p w14:paraId="4D8C4097">
      <w:pPr>
        <w:ind w:firstLine="480" w:firstLineChars="200"/>
        <w:rPr>
          <w:rFonts w:hint="eastAsia" w:ascii="宋体" w:hAnsi="宋体" w:cs="宋体"/>
          <w:color w:val="auto"/>
          <w:sz w:val="24"/>
          <w:highlight w:val="none"/>
        </w:rPr>
      </w:pPr>
    </w:p>
    <w:p w14:paraId="44E53A8B">
      <w:pPr>
        <w:ind w:firstLine="723" w:firstLineChars="200"/>
        <w:rPr>
          <w:rFonts w:hint="eastAsia" w:ascii="宋体" w:hAnsi="宋体" w:cs="宋体"/>
          <w:b/>
          <w:color w:val="auto"/>
          <w:sz w:val="36"/>
          <w:szCs w:val="36"/>
          <w:highlight w:val="none"/>
          <w:u w:val="single"/>
        </w:rPr>
      </w:pPr>
    </w:p>
    <w:p w14:paraId="77FF4596">
      <w:pPr>
        <w:ind w:firstLine="723" w:firstLineChars="200"/>
        <w:rPr>
          <w:rFonts w:hint="eastAsia" w:ascii="宋体" w:hAnsi="宋体" w:cs="宋体"/>
          <w:b/>
          <w:color w:val="auto"/>
          <w:sz w:val="36"/>
          <w:szCs w:val="36"/>
          <w:highlight w:val="none"/>
          <w:u w:val="single"/>
        </w:rPr>
      </w:pPr>
    </w:p>
    <w:p w14:paraId="0295DAA6">
      <w:pPr>
        <w:tabs>
          <w:tab w:val="left" w:pos="7200"/>
        </w:tabs>
        <w:spacing w:line="360" w:lineRule="auto"/>
        <w:ind w:firstLine="723" w:firstLineChars="200"/>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梧州学院</w:t>
      </w:r>
    </w:p>
    <w:p w14:paraId="684A2A95">
      <w:pPr>
        <w:tabs>
          <w:tab w:val="left" w:pos="7380"/>
        </w:tabs>
        <w:spacing w:line="360" w:lineRule="auto"/>
        <w:ind w:firstLine="723" w:firstLineChars="200"/>
        <w:rPr>
          <w:rFonts w:hint="eastAsia" w:ascii="宋体" w:hAnsi="宋体" w:cs="宋体"/>
          <w:b/>
          <w:bCs/>
          <w:color w:val="auto"/>
          <w:sz w:val="44"/>
          <w:highlight w:val="none"/>
        </w:rPr>
      </w:pPr>
      <w:r>
        <w:rPr>
          <w:rFonts w:hint="eastAsia" w:ascii="宋体" w:hAnsi="宋体" w:cs="宋体"/>
          <w:b/>
          <w:color w:val="auto"/>
          <w:sz w:val="36"/>
          <w:szCs w:val="36"/>
          <w:highlight w:val="none"/>
        </w:rPr>
        <w:t>成交供应商：</w:t>
      </w:r>
      <w:r>
        <w:rPr>
          <w:rFonts w:hint="eastAsia" w:ascii="宋体" w:hAnsi="宋体" w:cs="宋体"/>
          <w:b/>
          <w:color w:val="auto"/>
          <w:sz w:val="36"/>
          <w:szCs w:val="36"/>
          <w:highlight w:val="none"/>
          <w:u w:val="single"/>
        </w:rPr>
        <w:t xml:space="preserve">                   </w:t>
      </w:r>
    </w:p>
    <w:p w14:paraId="62EDE426">
      <w:pPr>
        <w:tabs>
          <w:tab w:val="left" w:pos="7380"/>
        </w:tabs>
        <w:spacing w:line="360" w:lineRule="auto"/>
        <w:rPr>
          <w:rFonts w:hint="eastAsia" w:ascii="宋体" w:hAnsi="宋体" w:cs="宋体"/>
          <w:b/>
          <w:bCs/>
          <w:color w:val="auto"/>
          <w:sz w:val="44"/>
          <w:highlight w:val="none"/>
        </w:rPr>
      </w:pPr>
    </w:p>
    <w:p w14:paraId="27C1A79E">
      <w:pPr>
        <w:keepNext/>
        <w:keepLines/>
        <w:spacing w:before="120" w:beforeLines="50" w:line="360" w:lineRule="auto"/>
        <w:jc w:val="center"/>
        <w:rPr>
          <w:rFonts w:hint="eastAsia" w:ascii="宋体" w:hAnsi="宋体" w:cs="宋体"/>
          <w:color w:val="auto"/>
          <w:sz w:val="28"/>
          <w:szCs w:val="28"/>
          <w:highlight w:val="none"/>
        </w:rPr>
      </w:pPr>
      <w:r>
        <w:rPr>
          <w:rFonts w:hint="eastAsia" w:ascii="宋体" w:hAnsi="宋体" w:cs="宋体"/>
          <w:b/>
          <w:bCs/>
          <w:color w:val="auto"/>
          <w:sz w:val="44"/>
          <w:highlight w:val="none"/>
        </w:rPr>
        <w:br w:type="page"/>
      </w:r>
      <w:bookmarkStart w:id="83" w:name="_Toc3940"/>
      <w:bookmarkStart w:id="84" w:name="_Toc27720"/>
      <w:r>
        <w:rPr>
          <w:rFonts w:hint="eastAsia" w:ascii="宋体" w:hAnsi="宋体" w:cs="宋体"/>
          <w:b/>
          <w:bCs/>
          <w:color w:val="auto"/>
          <w:sz w:val="32"/>
          <w:szCs w:val="32"/>
          <w:highlight w:val="none"/>
        </w:rPr>
        <w:t>第一部分 合同协议书</w:t>
      </w:r>
      <w:bookmarkEnd w:id="83"/>
      <w:bookmarkEnd w:id="84"/>
    </w:p>
    <w:p w14:paraId="70F41402">
      <w:pPr>
        <w:adjustRightInd w:val="0"/>
        <w:snapToGrid w:val="0"/>
        <w:spacing w:line="420" w:lineRule="exact"/>
        <w:ind w:firstLine="422" w:firstLineChars="200"/>
        <w:jc w:val="left"/>
        <w:rPr>
          <w:rFonts w:hint="eastAsia" w:ascii="宋体" w:hAnsi="宋体" w:cs="宋体"/>
          <w:b/>
          <w:color w:val="auto"/>
          <w:szCs w:val="21"/>
          <w:highlight w:val="none"/>
        </w:rPr>
      </w:pPr>
    </w:p>
    <w:p w14:paraId="2290E77B">
      <w:pPr>
        <w:adjustRightInd w:val="0"/>
        <w:snapToGrid w:val="0"/>
        <w:spacing w:line="420" w:lineRule="exact"/>
        <w:jc w:val="left"/>
        <w:rPr>
          <w:rFonts w:hint="eastAsia" w:ascii="宋体" w:hAnsi="宋体" w:cs="宋体"/>
          <w:b/>
          <w:color w:val="auto"/>
          <w:sz w:val="24"/>
          <w:highlight w:val="none"/>
          <w:u w:val="single"/>
        </w:rPr>
      </w:pPr>
      <w:r>
        <w:rPr>
          <w:rFonts w:hint="eastAsia" w:ascii="宋体" w:hAnsi="宋体" w:cs="宋体"/>
          <w:b/>
          <w:color w:val="auto"/>
          <w:sz w:val="24"/>
          <w:highlight w:val="none"/>
        </w:rPr>
        <w:t>发包人（全称）：</w:t>
      </w:r>
      <w:r>
        <w:rPr>
          <w:rFonts w:hint="eastAsia" w:ascii="宋体" w:hAnsi="宋体" w:cs="宋体"/>
          <w:color w:val="auto"/>
          <w:sz w:val="24"/>
          <w:highlight w:val="none"/>
          <w:u w:val="single"/>
        </w:rPr>
        <w:t>梧州学院</w:t>
      </w:r>
    </w:p>
    <w:p w14:paraId="21B72B9D">
      <w:pPr>
        <w:adjustRightInd w:val="0"/>
        <w:snapToGrid w:val="0"/>
        <w:spacing w:line="420" w:lineRule="exact"/>
        <w:jc w:val="left"/>
        <w:rPr>
          <w:rFonts w:hint="eastAsia" w:ascii="宋体" w:hAnsi="宋体" w:cs="宋体"/>
          <w:b/>
          <w:color w:val="auto"/>
          <w:sz w:val="24"/>
          <w:highlight w:val="none"/>
          <w:u w:val="single"/>
        </w:rPr>
      </w:pPr>
      <w:r>
        <w:rPr>
          <w:rFonts w:hint="eastAsia" w:ascii="宋体" w:hAnsi="宋体" w:cs="宋体"/>
          <w:b/>
          <w:color w:val="auto"/>
          <w:sz w:val="24"/>
          <w:highlight w:val="none"/>
        </w:rPr>
        <w:t>承包人（全称）：</w:t>
      </w:r>
      <w:r>
        <w:rPr>
          <w:rFonts w:hint="eastAsia" w:ascii="宋体" w:hAnsi="宋体" w:cs="宋体"/>
          <w:b/>
          <w:color w:val="auto"/>
          <w:sz w:val="24"/>
          <w:highlight w:val="none"/>
          <w:u w:val="single"/>
        </w:rPr>
        <w:t xml:space="preserve">                  </w:t>
      </w:r>
    </w:p>
    <w:p w14:paraId="4C83B6C2">
      <w:pPr>
        <w:adjustRightInd w:val="0"/>
        <w:snapToGrid w:val="0"/>
        <w:spacing w:line="420" w:lineRule="exact"/>
        <w:ind w:firstLine="480" w:firstLineChars="200"/>
        <w:jc w:val="left"/>
        <w:rPr>
          <w:rFonts w:hint="eastAsia" w:ascii="宋体" w:hAnsi="宋体" w:cs="宋体"/>
          <w:color w:val="auto"/>
          <w:sz w:val="24"/>
          <w:highlight w:val="none"/>
        </w:rPr>
      </w:pPr>
    </w:p>
    <w:p w14:paraId="5EB20A3D">
      <w:pPr>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根据《中华人民共和国民法典</w:t>
      </w:r>
      <w:r>
        <w:rPr>
          <w:rFonts w:hint="eastAsia" w:ascii="宋体" w:hAnsi="宋体" w:cs="宋体"/>
          <w:color w:val="auto"/>
          <w:sz w:val="24"/>
          <w:highlight w:val="none"/>
          <w:lang w:eastAsia="zh-CN"/>
        </w:rPr>
        <w:t>》《</w:t>
      </w:r>
      <w:r>
        <w:rPr>
          <w:rFonts w:hint="eastAsia" w:ascii="宋体" w:hAnsi="宋体" w:cs="宋体"/>
          <w:color w:val="auto"/>
          <w:sz w:val="24"/>
          <w:highlight w:val="none"/>
        </w:rPr>
        <w:t>中华人民共和国建筑法》及有关法律规定，遵循平等、自愿、公平和诚实信用的原则，双方就</w:t>
      </w:r>
      <w:r>
        <w:rPr>
          <w:rFonts w:hint="eastAsia" w:ascii="宋体" w:hAnsi="宋体" w:cs="宋体"/>
          <w:color w:val="auto"/>
          <w:sz w:val="24"/>
          <w:highlight w:val="none"/>
          <w:u w:val="single"/>
          <w:lang w:eastAsia="zh-CN"/>
        </w:rPr>
        <w:t>梧州学院图书馆空调工程（重）</w:t>
      </w:r>
      <w:r>
        <w:rPr>
          <w:rFonts w:hint="eastAsia" w:ascii="宋体" w:hAnsi="宋体" w:cs="宋体"/>
          <w:color w:val="auto"/>
          <w:sz w:val="24"/>
          <w:highlight w:val="none"/>
        </w:rPr>
        <w:t>施工及有关事项协商一致共同达成如下协议：</w:t>
      </w:r>
    </w:p>
    <w:p w14:paraId="4DD31DB6">
      <w:pPr>
        <w:pStyle w:val="115"/>
        <w:adjustRightInd w:val="0"/>
        <w:snapToGrid w:val="0"/>
        <w:spacing w:line="500" w:lineRule="exact"/>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一、工程概况</w:t>
      </w:r>
    </w:p>
    <w:p w14:paraId="30EFDCDF">
      <w:pPr>
        <w:adjustRightInd w:val="0"/>
        <w:snapToGrid w:val="0"/>
        <w:spacing w:line="500" w:lineRule="exact"/>
        <w:ind w:firstLine="480" w:firstLineChars="200"/>
        <w:jc w:val="lef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工程名称：</w:t>
      </w:r>
      <w:r>
        <w:rPr>
          <w:rFonts w:hint="eastAsia" w:ascii="宋体" w:hAnsi="宋体" w:cs="宋体"/>
          <w:color w:val="auto"/>
          <w:sz w:val="24"/>
          <w:highlight w:val="none"/>
          <w:u w:val="single"/>
          <w:lang w:eastAsia="zh-CN"/>
        </w:rPr>
        <w:t>梧州学院图书馆空调工程（重）</w:t>
      </w:r>
    </w:p>
    <w:p w14:paraId="574A87DA">
      <w:pPr>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建设地址：</w:t>
      </w:r>
      <w:r>
        <w:rPr>
          <w:rFonts w:hint="eastAsia" w:ascii="宋体" w:hAnsi="宋体" w:cs="宋体"/>
          <w:color w:val="auto"/>
          <w:sz w:val="24"/>
          <w:highlight w:val="none"/>
          <w:u w:val="single"/>
        </w:rPr>
        <w:t>梧州学院图书馆</w:t>
      </w:r>
      <w:r>
        <w:rPr>
          <w:rFonts w:hint="eastAsia" w:ascii="宋体" w:hAnsi="宋体" w:cs="宋体"/>
          <w:color w:val="auto"/>
          <w:sz w:val="24"/>
          <w:highlight w:val="none"/>
        </w:rPr>
        <w:t>。</w:t>
      </w:r>
    </w:p>
    <w:p w14:paraId="188BEF1F">
      <w:pPr>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建设内容：</w:t>
      </w:r>
      <w:r>
        <w:rPr>
          <w:rFonts w:hint="eastAsia" w:ascii="宋体" w:hAnsi="宋体" w:cs="宋体"/>
          <w:color w:val="auto"/>
          <w:sz w:val="24"/>
          <w:highlight w:val="none"/>
          <w:u w:val="single"/>
          <w:lang w:eastAsia="zh-CN"/>
        </w:rPr>
        <w:t>梧州学院图书馆空调工程包括电气改造、空调改造及拆除工程，主要内容为：多联机的采购、安装、敷设线缆及配管等，具体施工内容详见招标工程量清单</w:t>
      </w:r>
      <w:r>
        <w:rPr>
          <w:rFonts w:hint="eastAsia" w:ascii="宋体" w:hAnsi="宋体" w:cs="宋体"/>
          <w:color w:val="auto"/>
          <w:sz w:val="24"/>
          <w:highlight w:val="none"/>
        </w:rPr>
        <w:t>。</w:t>
      </w:r>
    </w:p>
    <w:p w14:paraId="12F9BD1C">
      <w:pPr>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群体工程应附承包人承揽工程项目一览表（附件1）</w:t>
      </w:r>
    </w:p>
    <w:p w14:paraId="08C18D78">
      <w:pPr>
        <w:adjustRightInd w:val="0"/>
        <w:snapToGrid w:val="0"/>
        <w:spacing w:line="500" w:lineRule="exact"/>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工程立项批准文号：</w:t>
      </w:r>
      <w:r>
        <w:rPr>
          <w:rFonts w:hint="eastAsia" w:ascii="宋体" w:hAnsi="宋体" w:cs="宋体"/>
          <w:color w:val="auto"/>
          <w:sz w:val="24"/>
          <w:highlight w:val="none"/>
          <w:u w:val="single"/>
        </w:rPr>
        <w:t xml:space="preserve">              </w:t>
      </w:r>
    </w:p>
    <w:p w14:paraId="6B13A38E">
      <w:pPr>
        <w:adjustRightInd w:val="0"/>
        <w:snapToGrid w:val="0"/>
        <w:spacing w:line="500" w:lineRule="exact"/>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资金来源：</w:t>
      </w:r>
      <w:r>
        <w:rPr>
          <w:rFonts w:hint="eastAsia" w:ascii="宋体" w:hAnsi="宋体" w:cs="宋体"/>
          <w:color w:val="auto"/>
          <w:kern w:val="0"/>
          <w:sz w:val="24"/>
          <w:highlight w:val="none"/>
        </w:rPr>
        <w:t>财政资金</w:t>
      </w:r>
      <w:r>
        <w:rPr>
          <w:rFonts w:hint="eastAsia" w:ascii="宋体" w:hAnsi="宋体" w:cs="宋体"/>
          <w:color w:val="auto"/>
          <w:sz w:val="24"/>
          <w:highlight w:val="none"/>
        </w:rPr>
        <w:t>。</w:t>
      </w:r>
    </w:p>
    <w:p w14:paraId="4203503F">
      <w:pPr>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bCs/>
          <w:color w:val="auto"/>
          <w:sz w:val="24"/>
          <w:highlight w:val="none"/>
        </w:rPr>
        <w:t>工程承包范围：</w:t>
      </w:r>
      <w:r>
        <w:rPr>
          <w:rFonts w:hint="eastAsia" w:ascii="宋体" w:hAnsi="宋体" w:cs="宋体"/>
          <w:bCs/>
          <w:color w:val="auto"/>
          <w:sz w:val="24"/>
          <w:highlight w:val="none"/>
          <w:u w:val="single"/>
        </w:rPr>
        <w:t>多联机的采购</w:t>
      </w:r>
      <w:r>
        <w:rPr>
          <w:rFonts w:hint="eastAsia" w:ascii="宋体" w:hAnsi="宋体" w:cs="宋体"/>
          <w:bCs/>
          <w:color w:val="auto"/>
          <w:sz w:val="24"/>
          <w:highlight w:val="none"/>
          <w:u w:val="single"/>
          <w:lang w:eastAsia="zh-CN"/>
        </w:rPr>
        <w:t>，</w:t>
      </w:r>
      <w:r>
        <w:rPr>
          <w:rFonts w:hint="eastAsia" w:ascii="宋体" w:hAnsi="宋体" w:cs="宋体"/>
          <w:color w:val="auto"/>
          <w:sz w:val="24"/>
          <w:highlight w:val="none"/>
          <w:u w:val="single"/>
        </w:rPr>
        <w:t>电气改造、空调改造及拆除工程</w:t>
      </w:r>
      <w:r>
        <w:rPr>
          <w:rFonts w:hint="eastAsia" w:ascii="宋体" w:hAnsi="宋体" w:cs="宋体"/>
          <w:color w:val="auto"/>
          <w:sz w:val="24"/>
          <w:highlight w:val="none"/>
        </w:rPr>
        <w:t>。</w:t>
      </w:r>
    </w:p>
    <w:p w14:paraId="2E436751">
      <w:pPr>
        <w:pStyle w:val="115"/>
        <w:adjustRightInd w:val="0"/>
        <w:snapToGrid w:val="0"/>
        <w:spacing w:line="500" w:lineRule="exact"/>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二、合同工期</w:t>
      </w:r>
    </w:p>
    <w:p w14:paraId="77C509F9">
      <w:pPr>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计划开工日期：   年   月   日。</w:t>
      </w:r>
    </w:p>
    <w:p w14:paraId="3AD08A39">
      <w:pPr>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计划竣工日期：   年   月   日。</w:t>
      </w:r>
    </w:p>
    <w:p w14:paraId="693E6F04">
      <w:pPr>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工期总日历天数：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天。工期总日历天数与根据前述计划开竣工日期计算的工期天数不一致的，以工期总日历天数为准。</w:t>
      </w:r>
    </w:p>
    <w:p w14:paraId="39F6B0C1">
      <w:pPr>
        <w:pStyle w:val="115"/>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三、质量标准：满足国家现行与本项目相应的施工竣工验收规范之“合格”标准。</w:t>
      </w:r>
    </w:p>
    <w:p w14:paraId="605196AC">
      <w:pPr>
        <w:pStyle w:val="115"/>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四、签约合同价与合同价格形式</w:t>
      </w:r>
      <w:r>
        <w:rPr>
          <w:rFonts w:hint="eastAsia" w:ascii="宋体" w:hAnsi="宋体" w:cs="宋体"/>
          <w:color w:val="auto"/>
          <w:sz w:val="24"/>
          <w:szCs w:val="24"/>
          <w:highlight w:val="none"/>
        </w:rPr>
        <w:tab/>
      </w:r>
    </w:p>
    <w:p w14:paraId="766796F5">
      <w:pPr>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1.签约合同价为：人民币（大写）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45806A6D">
      <w:pPr>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其中：（1）安全文明施工费：</w:t>
      </w:r>
    </w:p>
    <w:p w14:paraId="026C2B4E">
      <w:pPr>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人民币（大写）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1C3F9C4E">
      <w:pPr>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（2）建安劳保费：</w:t>
      </w:r>
    </w:p>
    <w:p w14:paraId="6E60C4A3">
      <w:pPr>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人民币（大写）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0F32CA34">
      <w:pPr>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（3）材料和工程设备暂估价金额：</w:t>
      </w:r>
    </w:p>
    <w:p w14:paraId="49DCB096">
      <w:pPr>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人民币（大写）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6D7E61C6">
      <w:pPr>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（4）专业工程暂估价金额：</w:t>
      </w:r>
    </w:p>
    <w:p w14:paraId="06D909F0">
      <w:pPr>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人民币（大写）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586F2DD3">
      <w:pPr>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（5）暂列金额：</w:t>
      </w:r>
    </w:p>
    <w:p w14:paraId="129F20D8">
      <w:pPr>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人民币（大写）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7BBC9D98">
      <w:pPr>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2.合同价格形式：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C2FE0B4">
      <w:pPr>
        <w:pStyle w:val="115"/>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五、合同文件构成</w:t>
      </w:r>
    </w:p>
    <w:p w14:paraId="069B89BB">
      <w:pPr>
        <w:adjustRightInd w:val="0"/>
        <w:snapToGrid w:val="0"/>
        <w:spacing w:line="50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本协议书与下列文件一起构成合同文件：</w:t>
      </w:r>
    </w:p>
    <w:p w14:paraId="357A8CC5">
      <w:pPr>
        <w:autoSpaceDE w:val="0"/>
        <w:autoSpaceDN w:val="0"/>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（1）成交通知书（如果有）；</w:t>
      </w:r>
    </w:p>
    <w:p w14:paraId="0AB0753D">
      <w:pPr>
        <w:autoSpaceDE w:val="0"/>
        <w:autoSpaceDN w:val="0"/>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（2）报价函及其附录（如果有）； </w:t>
      </w:r>
    </w:p>
    <w:p w14:paraId="7EB542A0">
      <w:pPr>
        <w:autoSpaceDE w:val="0"/>
        <w:autoSpaceDN w:val="0"/>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（3）专用合同条款及其附件；</w:t>
      </w:r>
    </w:p>
    <w:p w14:paraId="68001E64">
      <w:pPr>
        <w:autoSpaceDE w:val="0"/>
        <w:autoSpaceDN w:val="0"/>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（4）通用合同条款；</w:t>
      </w:r>
    </w:p>
    <w:p w14:paraId="7897F7F8">
      <w:pPr>
        <w:autoSpaceDE w:val="0"/>
        <w:autoSpaceDN w:val="0"/>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（5）技术标准和要求；</w:t>
      </w:r>
    </w:p>
    <w:p w14:paraId="10149997">
      <w:pPr>
        <w:autoSpaceDE w:val="0"/>
        <w:autoSpaceDN w:val="0"/>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（6）图纸；</w:t>
      </w:r>
    </w:p>
    <w:p w14:paraId="0F7F8785">
      <w:pPr>
        <w:autoSpaceDE w:val="0"/>
        <w:autoSpaceDN w:val="0"/>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（7）已标价工程量清单或预算书；</w:t>
      </w:r>
    </w:p>
    <w:p w14:paraId="06C2E964">
      <w:pPr>
        <w:autoSpaceDE w:val="0"/>
        <w:autoSpaceDN w:val="0"/>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（8）其他合同文件。</w:t>
      </w:r>
    </w:p>
    <w:p w14:paraId="08960946">
      <w:pPr>
        <w:autoSpaceDE w:val="0"/>
        <w:autoSpaceDN w:val="0"/>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在合同订立及履行过程中形成的与合同有关的文件均构成合同文件组成部分。</w:t>
      </w:r>
    </w:p>
    <w:p w14:paraId="165626DC">
      <w:pPr>
        <w:autoSpaceDE w:val="0"/>
        <w:autoSpaceDN w:val="0"/>
        <w:adjustRightInd w:val="0"/>
        <w:snapToGrid w:val="0"/>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上述各项合同文件包括合同当事人就该项合同文件所作出的补充和修改，属于同一类内容的文件，应以最新签署的为准。</w:t>
      </w:r>
    </w:p>
    <w:p w14:paraId="49B7672F">
      <w:pPr>
        <w:pStyle w:val="115"/>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六、承诺</w:t>
      </w:r>
    </w:p>
    <w:p w14:paraId="30A8A619">
      <w:pPr>
        <w:adjustRightInd w:val="0"/>
        <w:snapToGrid w:val="0"/>
        <w:spacing w:line="50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1.发包人承诺按照法律规定履行项目审批手续、筹集工程建设资金并按照合同约定的期限和方式支付合同价款。</w:t>
      </w:r>
    </w:p>
    <w:p w14:paraId="2629B364">
      <w:pPr>
        <w:adjustRightInd w:val="0"/>
        <w:snapToGrid w:val="0"/>
        <w:spacing w:line="50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2.承包人承诺按照法律规定及合同约定组织完成工程施工，确保工程质量和安全，不进行转包及违法分包，并在缺陷责任期及保修期内承担相应的工程维修责任。</w:t>
      </w:r>
    </w:p>
    <w:p w14:paraId="4D234B83">
      <w:pPr>
        <w:adjustRightInd w:val="0"/>
        <w:snapToGrid w:val="0"/>
        <w:spacing w:line="50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3.发包人和承包人通过招投标形式签订合同的，双方理解并同意不再就同一工程另行签订与合同实质性内容相背离的协议。</w:t>
      </w:r>
    </w:p>
    <w:p w14:paraId="5C8A1672">
      <w:pPr>
        <w:pStyle w:val="115"/>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七、词语含义</w:t>
      </w:r>
    </w:p>
    <w:p w14:paraId="474C50D7">
      <w:pPr>
        <w:adjustRightInd w:val="0"/>
        <w:snapToGrid w:val="0"/>
        <w:spacing w:line="50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本协议书中词语含义与第二部分通用合同条款中赋予的含义相同。</w:t>
      </w:r>
    </w:p>
    <w:p w14:paraId="15394FB5">
      <w:pPr>
        <w:pStyle w:val="115"/>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八、签订时间</w:t>
      </w:r>
    </w:p>
    <w:p w14:paraId="432F4994">
      <w:pPr>
        <w:adjustRightInd w:val="0"/>
        <w:snapToGrid w:val="0"/>
        <w:spacing w:line="50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本合同于</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日签订。</w:t>
      </w:r>
    </w:p>
    <w:p w14:paraId="61B5ACA6">
      <w:pPr>
        <w:pStyle w:val="115"/>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九、签订地点</w:t>
      </w:r>
    </w:p>
    <w:p w14:paraId="128183D2">
      <w:pPr>
        <w:adjustRightInd w:val="0"/>
        <w:snapToGrid w:val="0"/>
        <w:spacing w:line="50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本合同在</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签订。</w:t>
      </w:r>
    </w:p>
    <w:p w14:paraId="2D362267">
      <w:pPr>
        <w:pStyle w:val="115"/>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十、补充协议</w:t>
      </w:r>
    </w:p>
    <w:p w14:paraId="613318A4">
      <w:pPr>
        <w:adjustRightInd w:val="0"/>
        <w:snapToGrid w:val="0"/>
        <w:spacing w:line="500" w:lineRule="exact"/>
        <w:ind w:firstLine="480" w:firstLineChars="200"/>
        <w:jc w:val="left"/>
        <w:rPr>
          <w:rFonts w:hint="eastAsia" w:ascii="宋体" w:hAnsi="宋体" w:cs="宋体"/>
          <w:b/>
          <w:bCs/>
          <w:color w:val="auto"/>
          <w:sz w:val="24"/>
          <w:highlight w:val="none"/>
        </w:rPr>
      </w:pPr>
      <w:r>
        <w:rPr>
          <w:rFonts w:hint="eastAsia" w:ascii="宋体" w:hAnsi="宋体" w:cs="宋体"/>
          <w:bCs/>
          <w:color w:val="auto"/>
          <w:sz w:val="24"/>
          <w:highlight w:val="none"/>
        </w:rPr>
        <w:t>合同未尽事宜，合同当事人另行签订补充协议。补充协议是合同的组成部分。</w:t>
      </w:r>
    </w:p>
    <w:p w14:paraId="3978072F">
      <w:pPr>
        <w:pStyle w:val="115"/>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十一、合同生效</w:t>
      </w:r>
    </w:p>
    <w:p w14:paraId="1A9FE2A8">
      <w:pPr>
        <w:adjustRightInd w:val="0"/>
        <w:snapToGrid w:val="0"/>
        <w:spacing w:line="50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本合同自</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生效。</w:t>
      </w:r>
    </w:p>
    <w:p w14:paraId="27348C8B">
      <w:pPr>
        <w:pStyle w:val="115"/>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十二、合同份数</w:t>
      </w:r>
    </w:p>
    <w:p w14:paraId="42C2938A">
      <w:pPr>
        <w:adjustRightInd w:val="0"/>
        <w:snapToGrid w:val="0"/>
        <w:spacing w:line="50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本合同一式</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份，均具有同等法律效力，发包人执</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份，承包人执</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份。</w:t>
      </w:r>
    </w:p>
    <w:p w14:paraId="6064FC27">
      <w:pPr>
        <w:adjustRightInd w:val="0"/>
        <w:snapToGrid w:val="0"/>
        <w:spacing w:line="420" w:lineRule="exact"/>
        <w:jc w:val="left"/>
        <w:rPr>
          <w:rFonts w:hint="eastAsia" w:ascii="宋体" w:hAnsi="宋体" w:cs="宋体"/>
          <w:bCs/>
          <w:color w:val="auto"/>
          <w:sz w:val="24"/>
          <w:highlight w:val="none"/>
        </w:rPr>
      </w:pPr>
    </w:p>
    <w:p w14:paraId="6096C7D3">
      <w:pPr>
        <w:adjustRightInd w:val="0"/>
        <w:snapToGrid w:val="0"/>
        <w:spacing w:line="420" w:lineRule="exact"/>
        <w:jc w:val="left"/>
        <w:rPr>
          <w:rFonts w:hint="eastAsia" w:ascii="宋体" w:hAnsi="宋体" w:cs="宋体"/>
          <w:bCs/>
          <w:color w:val="auto"/>
          <w:sz w:val="24"/>
          <w:highlight w:val="none"/>
        </w:rPr>
      </w:pPr>
    </w:p>
    <w:p w14:paraId="678ADC52">
      <w:pPr>
        <w:adjustRightInd w:val="0"/>
        <w:snapToGrid w:val="0"/>
        <w:spacing w:line="420" w:lineRule="exact"/>
        <w:jc w:val="left"/>
        <w:rPr>
          <w:rFonts w:hint="eastAsia" w:ascii="宋体" w:hAnsi="宋体" w:cs="宋体"/>
          <w:bCs/>
          <w:color w:val="auto"/>
          <w:sz w:val="24"/>
          <w:highlight w:val="none"/>
        </w:rPr>
      </w:pPr>
      <w:r>
        <w:rPr>
          <w:rFonts w:hint="eastAsia" w:ascii="宋体" w:hAnsi="宋体" w:cs="宋体"/>
          <w:bCs/>
          <w:color w:val="auto"/>
          <w:sz w:val="24"/>
          <w:highlight w:val="none"/>
        </w:rPr>
        <w:t xml:space="preserve">发包人（公章）：                             </w:t>
      </w:r>
      <w:r>
        <w:rPr>
          <w:rFonts w:hint="eastAsia" w:ascii="宋体" w:hAnsi="宋体" w:cs="宋体"/>
          <w:color w:val="auto"/>
          <w:sz w:val="24"/>
          <w:highlight w:val="none"/>
        </w:rPr>
        <w:t xml:space="preserve">承包人（公章）：   </w:t>
      </w:r>
      <w:r>
        <w:rPr>
          <w:rFonts w:hint="eastAsia" w:ascii="宋体" w:hAnsi="宋体" w:cs="宋体"/>
          <w:bCs/>
          <w:color w:val="auto"/>
          <w:sz w:val="24"/>
          <w:highlight w:val="none"/>
        </w:rPr>
        <w:t xml:space="preserve">        </w:t>
      </w:r>
    </w:p>
    <w:p w14:paraId="3820F6DA">
      <w:pPr>
        <w:adjustRightInd w:val="0"/>
        <w:snapToGrid w:val="0"/>
        <w:spacing w:line="420" w:lineRule="exact"/>
        <w:jc w:val="left"/>
        <w:rPr>
          <w:rFonts w:hint="eastAsia" w:ascii="宋体" w:hAnsi="宋体" w:cs="宋体"/>
          <w:bCs/>
          <w:color w:val="auto"/>
          <w:sz w:val="24"/>
          <w:highlight w:val="none"/>
        </w:rPr>
      </w:pPr>
      <w:r>
        <w:rPr>
          <w:rFonts w:hint="eastAsia" w:ascii="宋体" w:hAnsi="宋体" w:cs="宋体"/>
          <w:bCs/>
          <w:color w:val="auto"/>
          <w:sz w:val="24"/>
          <w:highlight w:val="none"/>
        </w:rPr>
        <w:t xml:space="preserve">地  址：                                     </w:t>
      </w:r>
      <w:r>
        <w:rPr>
          <w:rFonts w:hint="eastAsia" w:ascii="宋体" w:hAnsi="宋体" w:cs="宋体"/>
          <w:color w:val="auto"/>
          <w:sz w:val="24"/>
          <w:highlight w:val="none"/>
        </w:rPr>
        <w:t>地  址：</w:t>
      </w:r>
      <w:r>
        <w:rPr>
          <w:rFonts w:hint="eastAsia" w:ascii="宋体" w:hAnsi="宋体" w:cs="宋体"/>
          <w:bCs/>
          <w:color w:val="auto"/>
          <w:sz w:val="24"/>
          <w:highlight w:val="none"/>
        </w:rPr>
        <w:t xml:space="preserve">     </w:t>
      </w:r>
    </w:p>
    <w:p w14:paraId="4F9C1FA2">
      <w:pPr>
        <w:adjustRightInd w:val="0"/>
        <w:snapToGrid w:val="0"/>
        <w:spacing w:line="420" w:lineRule="exact"/>
        <w:jc w:val="left"/>
        <w:rPr>
          <w:rFonts w:hint="eastAsia" w:ascii="宋体" w:hAnsi="宋体" w:cs="宋体"/>
          <w:bCs/>
          <w:color w:val="auto"/>
          <w:sz w:val="24"/>
          <w:highlight w:val="none"/>
        </w:rPr>
      </w:pPr>
      <w:r>
        <w:rPr>
          <w:rFonts w:hint="eastAsia" w:ascii="宋体" w:hAnsi="宋体" w:cs="宋体"/>
          <w:bCs/>
          <w:color w:val="auto"/>
          <w:sz w:val="24"/>
          <w:highlight w:val="none"/>
        </w:rPr>
        <w:t xml:space="preserve">法定代表人（签字）：                         </w:t>
      </w:r>
      <w:r>
        <w:rPr>
          <w:rFonts w:hint="eastAsia" w:ascii="宋体" w:hAnsi="宋体" w:cs="宋体"/>
          <w:color w:val="auto"/>
          <w:sz w:val="24"/>
          <w:highlight w:val="none"/>
        </w:rPr>
        <w:t>法定代表人（签字）：</w:t>
      </w:r>
    </w:p>
    <w:p w14:paraId="76CDBA18">
      <w:pPr>
        <w:adjustRightInd w:val="0"/>
        <w:snapToGrid w:val="0"/>
        <w:spacing w:line="420" w:lineRule="exact"/>
        <w:jc w:val="left"/>
        <w:rPr>
          <w:rFonts w:hint="eastAsia" w:ascii="宋体" w:hAnsi="宋体" w:cs="宋体"/>
          <w:bCs/>
          <w:color w:val="auto"/>
          <w:sz w:val="24"/>
          <w:highlight w:val="none"/>
        </w:rPr>
      </w:pPr>
      <w:r>
        <w:rPr>
          <w:rFonts w:hint="eastAsia" w:ascii="宋体" w:hAnsi="宋体" w:cs="宋体"/>
          <w:bCs/>
          <w:color w:val="auto"/>
          <w:sz w:val="24"/>
          <w:highlight w:val="none"/>
        </w:rPr>
        <w:t xml:space="preserve">委托代理人（签字）：                         </w:t>
      </w:r>
      <w:r>
        <w:rPr>
          <w:rFonts w:hint="eastAsia" w:ascii="宋体" w:hAnsi="宋体" w:cs="宋体"/>
          <w:color w:val="auto"/>
          <w:sz w:val="24"/>
          <w:highlight w:val="none"/>
        </w:rPr>
        <w:t>委托代理人（签字）：</w:t>
      </w:r>
    </w:p>
    <w:p w14:paraId="58779810">
      <w:pPr>
        <w:adjustRightInd w:val="0"/>
        <w:snapToGrid w:val="0"/>
        <w:spacing w:line="420" w:lineRule="exact"/>
        <w:jc w:val="left"/>
        <w:rPr>
          <w:rFonts w:hint="eastAsia" w:ascii="宋体" w:hAnsi="宋体" w:cs="宋体"/>
          <w:bCs/>
          <w:color w:val="auto"/>
          <w:sz w:val="24"/>
          <w:highlight w:val="none"/>
        </w:rPr>
      </w:pPr>
      <w:r>
        <w:rPr>
          <w:rFonts w:hint="eastAsia" w:ascii="宋体" w:hAnsi="宋体" w:cs="宋体"/>
          <w:bCs/>
          <w:color w:val="auto"/>
          <w:sz w:val="24"/>
          <w:highlight w:val="none"/>
        </w:rPr>
        <w:t xml:space="preserve">电  话：                                     </w:t>
      </w:r>
      <w:r>
        <w:rPr>
          <w:rFonts w:hint="eastAsia" w:ascii="宋体" w:hAnsi="宋体" w:cs="宋体"/>
          <w:color w:val="auto"/>
          <w:sz w:val="24"/>
          <w:highlight w:val="none"/>
        </w:rPr>
        <w:t>电  话：</w:t>
      </w:r>
    </w:p>
    <w:p w14:paraId="3311FDF5">
      <w:pPr>
        <w:adjustRightInd w:val="0"/>
        <w:snapToGrid w:val="0"/>
        <w:spacing w:line="420" w:lineRule="exact"/>
        <w:jc w:val="left"/>
        <w:rPr>
          <w:rFonts w:hint="eastAsia" w:ascii="宋体" w:hAnsi="宋体" w:cs="宋体"/>
          <w:bCs/>
          <w:color w:val="auto"/>
          <w:sz w:val="24"/>
          <w:highlight w:val="none"/>
        </w:rPr>
      </w:pPr>
      <w:r>
        <w:rPr>
          <w:rFonts w:hint="eastAsia" w:ascii="宋体" w:hAnsi="宋体" w:cs="宋体"/>
          <w:bCs/>
          <w:color w:val="auto"/>
          <w:sz w:val="24"/>
          <w:highlight w:val="none"/>
        </w:rPr>
        <w:t xml:space="preserve">传  真：                                     </w:t>
      </w:r>
      <w:r>
        <w:rPr>
          <w:rFonts w:hint="eastAsia" w:ascii="宋体" w:hAnsi="宋体" w:cs="宋体"/>
          <w:color w:val="auto"/>
          <w:sz w:val="24"/>
          <w:highlight w:val="none"/>
        </w:rPr>
        <w:t xml:space="preserve">传  真： </w:t>
      </w:r>
    </w:p>
    <w:p w14:paraId="5AA77E41">
      <w:pPr>
        <w:adjustRightInd w:val="0"/>
        <w:snapToGrid w:val="0"/>
        <w:spacing w:line="420" w:lineRule="exact"/>
        <w:jc w:val="left"/>
        <w:rPr>
          <w:rFonts w:hint="eastAsia" w:ascii="宋体" w:hAnsi="宋体" w:cs="宋体"/>
          <w:bCs/>
          <w:color w:val="auto"/>
          <w:sz w:val="24"/>
          <w:highlight w:val="none"/>
        </w:rPr>
      </w:pPr>
      <w:r>
        <w:rPr>
          <w:rFonts w:hint="eastAsia" w:ascii="宋体" w:hAnsi="宋体" w:cs="宋体"/>
          <w:bCs/>
          <w:color w:val="auto"/>
          <w:sz w:val="24"/>
          <w:highlight w:val="none"/>
        </w:rPr>
        <w:t xml:space="preserve">电子信箱：                                   </w:t>
      </w:r>
      <w:r>
        <w:rPr>
          <w:rFonts w:hint="eastAsia" w:ascii="宋体" w:hAnsi="宋体" w:cs="宋体"/>
          <w:color w:val="auto"/>
          <w:sz w:val="24"/>
          <w:highlight w:val="none"/>
        </w:rPr>
        <w:t xml:space="preserve">电子信箱： </w:t>
      </w:r>
    </w:p>
    <w:p w14:paraId="5BEF7BE6">
      <w:pPr>
        <w:adjustRightInd w:val="0"/>
        <w:snapToGrid w:val="0"/>
        <w:spacing w:line="420" w:lineRule="exact"/>
        <w:jc w:val="left"/>
        <w:rPr>
          <w:rFonts w:hint="eastAsia" w:ascii="宋体" w:hAnsi="宋体" w:cs="宋体"/>
          <w:bCs/>
          <w:color w:val="auto"/>
          <w:sz w:val="24"/>
          <w:highlight w:val="none"/>
        </w:rPr>
      </w:pPr>
      <w:r>
        <w:rPr>
          <w:rFonts w:hint="eastAsia" w:ascii="宋体" w:hAnsi="宋体" w:cs="宋体"/>
          <w:bCs/>
          <w:color w:val="auto"/>
          <w:sz w:val="24"/>
          <w:highlight w:val="none"/>
        </w:rPr>
        <w:t xml:space="preserve">开户银行：                                   </w:t>
      </w:r>
      <w:r>
        <w:rPr>
          <w:rFonts w:hint="eastAsia" w:ascii="宋体" w:hAnsi="宋体" w:cs="宋体"/>
          <w:color w:val="auto"/>
          <w:sz w:val="24"/>
          <w:highlight w:val="none"/>
        </w:rPr>
        <w:t>开户银行：</w:t>
      </w:r>
    </w:p>
    <w:p w14:paraId="728912C1">
      <w:pPr>
        <w:adjustRightInd w:val="0"/>
        <w:snapToGrid w:val="0"/>
        <w:spacing w:line="420" w:lineRule="exact"/>
        <w:jc w:val="left"/>
        <w:rPr>
          <w:rFonts w:hint="eastAsia" w:ascii="宋体" w:hAnsi="宋体" w:cs="宋体"/>
          <w:bCs/>
          <w:color w:val="auto"/>
          <w:sz w:val="24"/>
          <w:highlight w:val="none"/>
        </w:rPr>
      </w:pPr>
      <w:r>
        <w:rPr>
          <w:rFonts w:hint="eastAsia" w:ascii="宋体" w:hAnsi="宋体" w:cs="宋体"/>
          <w:bCs/>
          <w:color w:val="auto"/>
          <w:sz w:val="24"/>
          <w:highlight w:val="none"/>
        </w:rPr>
        <w:t xml:space="preserve">账  号：                                     </w:t>
      </w:r>
      <w:r>
        <w:rPr>
          <w:rFonts w:hint="eastAsia" w:ascii="宋体" w:hAnsi="宋体" w:cs="宋体"/>
          <w:color w:val="auto"/>
          <w:sz w:val="24"/>
          <w:highlight w:val="none"/>
        </w:rPr>
        <w:t xml:space="preserve">账  号： </w:t>
      </w:r>
    </w:p>
    <w:p w14:paraId="14FE1931">
      <w:pPr>
        <w:adjustRightInd w:val="0"/>
        <w:snapToGrid w:val="0"/>
        <w:spacing w:line="420" w:lineRule="exact"/>
        <w:jc w:val="left"/>
        <w:rPr>
          <w:rFonts w:hint="eastAsia" w:ascii="宋体" w:hAnsi="宋体" w:cs="宋体"/>
          <w:bCs/>
          <w:color w:val="auto"/>
          <w:sz w:val="24"/>
          <w:highlight w:val="none"/>
        </w:rPr>
      </w:pPr>
      <w:r>
        <w:rPr>
          <w:rFonts w:hint="eastAsia" w:ascii="宋体" w:hAnsi="宋体" w:cs="宋体"/>
          <w:bCs/>
          <w:color w:val="auto"/>
          <w:sz w:val="24"/>
          <w:highlight w:val="none"/>
        </w:rPr>
        <w:t xml:space="preserve">邮政编码：                                   </w:t>
      </w:r>
      <w:r>
        <w:rPr>
          <w:rFonts w:hint="eastAsia" w:ascii="宋体" w:hAnsi="宋体" w:cs="宋体"/>
          <w:color w:val="auto"/>
          <w:sz w:val="24"/>
          <w:highlight w:val="none"/>
        </w:rPr>
        <w:t xml:space="preserve">邮政编码： </w:t>
      </w:r>
    </w:p>
    <w:p w14:paraId="0362600F">
      <w:pPr>
        <w:adjustRightInd w:val="0"/>
        <w:snapToGrid w:val="0"/>
        <w:spacing w:line="420" w:lineRule="exact"/>
        <w:jc w:val="left"/>
        <w:rPr>
          <w:rFonts w:hint="eastAsia" w:ascii="宋体" w:hAnsi="宋体" w:cs="宋体"/>
          <w:bCs/>
          <w:color w:val="auto"/>
          <w:sz w:val="24"/>
          <w:highlight w:val="none"/>
        </w:rPr>
      </w:pPr>
    </w:p>
    <w:p w14:paraId="6DABC8BC">
      <w:pPr>
        <w:spacing w:line="420" w:lineRule="exact"/>
        <w:rPr>
          <w:rFonts w:hint="eastAsia" w:ascii="宋体" w:hAnsi="宋体" w:cs="宋体"/>
          <w:color w:val="auto"/>
          <w:szCs w:val="21"/>
          <w:highlight w:val="none"/>
        </w:rPr>
      </w:pPr>
    </w:p>
    <w:p w14:paraId="529017F1">
      <w:pPr>
        <w:adjustRightInd w:val="0"/>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DCEA24B">
      <w:pPr>
        <w:adjustRightInd w:val="0"/>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B70C694">
      <w:pPr>
        <w:adjustRightInd w:val="0"/>
        <w:snapToGrid w:val="0"/>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619804B">
      <w:pPr>
        <w:adjustRightInd w:val="0"/>
        <w:snapToGrid w:val="0"/>
        <w:spacing w:line="420" w:lineRule="exact"/>
        <w:jc w:val="left"/>
        <w:rPr>
          <w:rFonts w:hint="eastAsia" w:ascii="宋体" w:hAnsi="宋体" w:cs="宋体"/>
          <w:bCs/>
          <w:color w:val="auto"/>
          <w:szCs w:val="21"/>
          <w:highlight w:val="none"/>
        </w:rPr>
      </w:pPr>
      <w:r>
        <w:rPr>
          <w:rFonts w:hint="eastAsia" w:ascii="宋体" w:hAnsi="宋体" w:cs="宋体"/>
          <w:color w:val="auto"/>
          <w:szCs w:val="21"/>
          <w:highlight w:val="none"/>
        </w:rPr>
        <w:t xml:space="preserve">    </w:t>
      </w:r>
    </w:p>
    <w:p w14:paraId="14872232">
      <w:pPr>
        <w:keepNext/>
        <w:keepLines/>
        <w:spacing w:line="360" w:lineRule="auto"/>
        <w:ind w:firstLine="561"/>
        <w:jc w:val="center"/>
        <w:rPr>
          <w:rFonts w:hint="eastAsia" w:ascii="宋体" w:hAnsi="宋体" w:cs="宋体"/>
          <w:b/>
          <w:bCs/>
          <w:color w:val="auto"/>
          <w:sz w:val="28"/>
          <w:szCs w:val="28"/>
          <w:highlight w:val="none"/>
        </w:rPr>
      </w:pPr>
      <w:bookmarkStart w:id="85" w:name="_Toc12407"/>
      <w:bookmarkStart w:id="86" w:name="_Toc24180"/>
      <w:r>
        <w:rPr>
          <w:rFonts w:hint="eastAsia" w:ascii="宋体" w:hAnsi="宋体" w:cs="宋体"/>
          <w:b/>
          <w:bCs/>
          <w:color w:val="auto"/>
          <w:sz w:val="28"/>
          <w:szCs w:val="28"/>
          <w:highlight w:val="none"/>
        </w:rPr>
        <w:t>第二部分 通用合同条款</w:t>
      </w:r>
      <w:bookmarkEnd w:id="85"/>
      <w:bookmarkEnd w:id="86"/>
      <w:bookmarkStart w:id="87" w:name="_Toc337558727"/>
    </w:p>
    <w:bookmarkEnd w:id="87"/>
    <w:p w14:paraId="5C170EB8">
      <w:pPr>
        <w:spacing w:line="400" w:lineRule="exact"/>
        <w:ind w:firstLine="480" w:firstLineChars="200"/>
        <w:rPr>
          <w:rFonts w:hint="eastAsia" w:ascii="宋体" w:hAnsi="宋体" w:cs="宋体"/>
          <w:color w:val="auto"/>
          <w:sz w:val="24"/>
          <w:szCs w:val="32"/>
          <w:highlight w:val="none"/>
        </w:rPr>
      </w:pPr>
      <w:bookmarkStart w:id="88" w:name="_Toc351203632"/>
      <w:r>
        <w:rPr>
          <w:rFonts w:hint="eastAsia" w:ascii="宋体" w:hAnsi="宋体" w:cs="宋体"/>
          <w:color w:val="auto"/>
          <w:sz w:val="24"/>
          <w:szCs w:val="32"/>
          <w:highlight w:val="none"/>
        </w:rPr>
        <w:t>采用《建设工程施工合同（示范文本）》（GF-2017-0201）的“通用合同条款”。</w:t>
      </w:r>
    </w:p>
    <w:p w14:paraId="559988F0">
      <w:pPr>
        <w:pStyle w:val="24"/>
        <w:rPr>
          <w:rFonts w:hint="eastAsia" w:ascii="宋体" w:hAnsi="宋体" w:cs="宋体"/>
          <w:color w:val="auto"/>
          <w:highlight w:val="none"/>
        </w:rPr>
      </w:pPr>
    </w:p>
    <w:p w14:paraId="12587838">
      <w:pPr>
        <w:rPr>
          <w:rFonts w:hint="eastAsia" w:ascii="宋体" w:hAnsi="宋体" w:cs="宋体"/>
          <w:color w:val="auto"/>
          <w:highlight w:val="none"/>
        </w:rPr>
      </w:pPr>
    </w:p>
    <w:p w14:paraId="487786B9">
      <w:pPr>
        <w:pStyle w:val="24"/>
        <w:rPr>
          <w:rFonts w:hint="eastAsia" w:ascii="宋体" w:hAnsi="宋体" w:cs="宋体"/>
          <w:color w:val="auto"/>
          <w:highlight w:val="none"/>
        </w:rPr>
      </w:pPr>
    </w:p>
    <w:bookmarkEnd w:id="88"/>
    <w:p w14:paraId="20479A78">
      <w:pPr>
        <w:keepNext/>
        <w:keepLines/>
        <w:spacing w:line="360" w:lineRule="auto"/>
        <w:ind w:firstLine="561"/>
        <w:jc w:val="center"/>
        <w:rPr>
          <w:rFonts w:hint="eastAsia" w:ascii="宋体" w:hAnsi="宋体" w:cs="宋体"/>
          <w:b/>
          <w:bCs/>
          <w:color w:val="auto"/>
          <w:sz w:val="28"/>
          <w:szCs w:val="28"/>
          <w:highlight w:val="none"/>
        </w:rPr>
      </w:pPr>
      <w:bookmarkStart w:id="89" w:name="_Toc433386844"/>
      <w:bookmarkStart w:id="90" w:name="_Toc433386318"/>
      <w:bookmarkStart w:id="91" w:name="_Toc20133"/>
      <w:r>
        <w:rPr>
          <w:rFonts w:hint="eastAsia" w:ascii="宋体" w:hAnsi="宋体" w:cs="宋体"/>
          <w:b/>
          <w:bCs/>
          <w:color w:val="auto"/>
          <w:sz w:val="28"/>
          <w:szCs w:val="28"/>
          <w:highlight w:val="none"/>
        </w:rPr>
        <w:t>第三部分 专用合同条款</w:t>
      </w:r>
      <w:bookmarkEnd w:id="89"/>
      <w:bookmarkEnd w:id="90"/>
      <w:bookmarkEnd w:id="91"/>
    </w:p>
    <w:p w14:paraId="3547E3FB">
      <w:pPr>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1.一般约定</w:t>
      </w:r>
    </w:p>
    <w:p w14:paraId="7024FE3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 词语定义</w:t>
      </w:r>
    </w:p>
    <w:p w14:paraId="059F412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1.1.1合同</w:t>
      </w:r>
    </w:p>
    <w:p w14:paraId="64924E49">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1.1.1.10其他合同文件包括： 指经合同双方当事人确认构成合同文件的其他文件。</w:t>
      </w:r>
    </w:p>
    <w:p w14:paraId="3247A36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1.1.2 合同当事人及其他相关方</w:t>
      </w:r>
    </w:p>
    <w:p w14:paraId="4E98AA1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1.1.2.4监理人：</w:t>
      </w:r>
    </w:p>
    <w:p w14:paraId="3DB0E477">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035D35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资质类别和等级：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2DD92D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62E60F9">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F7007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FE7F361">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1.1.2.5 设计人：</w:t>
      </w:r>
    </w:p>
    <w:p w14:paraId="0DD60E6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29568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资质类别和等级：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8D79620">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5C6C9F4">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31D672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1A377D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1.1.3 工程和设备</w:t>
      </w:r>
    </w:p>
    <w:p w14:paraId="37541D3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1.1.3.1 作为施工现场组成部分的其他场所包括：</w:t>
      </w:r>
      <w:r>
        <w:rPr>
          <w:rFonts w:hint="eastAsia" w:ascii="宋体" w:hAnsi="宋体" w:cs="宋体"/>
          <w:color w:val="auto"/>
          <w:sz w:val="24"/>
          <w:highlight w:val="none"/>
          <w:u w:val="single"/>
        </w:rPr>
        <w:t>包括永久占地、临时占地</w:t>
      </w:r>
      <w:r>
        <w:rPr>
          <w:rFonts w:hint="eastAsia" w:ascii="宋体" w:hAnsi="宋体" w:cs="宋体"/>
          <w:color w:val="auto"/>
          <w:sz w:val="24"/>
          <w:highlight w:val="none"/>
        </w:rPr>
        <w:t>。</w:t>
      </w:r>
    </w:p>
    <w:p w14:paraId="11CD33D7">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1.1.3.2 永久占地包括：</w:t>
      </w:r>
      <w:r>
        <w:rPr>
          <w:rFonts w:hint="eastAsia" w:ascii="宋体" w:hAnsi="宋体" w:cs="宋体"/>
          <w:color w:val="auto"/>
          <w:sz w:val="24"/>
          <w:highlight w:val="none"/>
          <w:u w:val="single"/>
        </w:rPr>
        <w:t>为实施合同工程需永久占用的土地</w:t>
      </w:r>
      <w:r>
        <w:rPr>
          <w:rFonts w:hint="eastAsia" w:ascii="宋体" w:hAnsi="宋体" w:cs="宋体"/>
          <w:color w:val="auto"/>
          <w:sz w:val="24"/>
          <w:highlight w:val="none"/>
        </w:rPr>
        <w:t>。</w:t>
      </w:r>
    </w:p>
    <w:p w14:paraId="16DCE0A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1.1.3.3 临时占地包括：</w:t>
      </w:r>
      <w:r>
        <w:rPr>
          <w:rFonts w:hint="eastAsia" w:ascii="宋体" w:hAnsi="宋体" w:cs="宋体"/>
          <w:color w:val="auto"/>
          <w:sz w:val="24"/>
          <w:highlight w:val="none"/>
          <w:u w:val="single"/>
        </w:rPr>
        <w:t>为实施合同工程需永久占用的土地</w:t>
      </w:r>
      <w:r>
        <w:rPr>
          <w:rFonts w:hint="eastAsia" w:ascii="宋体" w:hAnsi="宋体" w:cs="宋体"/>
          <w:color w:val="auto"/>
          <w:sz w:val="24"/>
          <w:highlight w:val="none"/>
        </w:rPr>
        <w:t>。</w:t>
      </w:r>
    </w:p>
    <w:p w14:paraId="465DF6A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1.3法律 </w:t>
      </w:r>
    </w:p>
    <w:p w14:paraId="35A448F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适用于合同的其他规范性文件：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0451511">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1.4 标准和规范</w:t>
      </w:r>
    </w:p>
    <w:p w14:paraId="42E0C1B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1.4.1适用于工程的标准规范包括：</w:t>
      </w:r>
      <w:r>
        <w:rPr>
          <w:rFonts w:hint="eastAsia" w:ascii="宋体" w:hAnsi="宋体" w:cs="宋体"/>
          <w:color w:val="auto"/>
          <w:sz w:val="24"/>
          <w:highlight w:val="none"/>
          <w:u w:val="single"/>
        </w:rPr>
        <w:t>施工规范、质量验收规范、质量评定标准、地方技术标准和规程</w:t>
      </w:r>
      <w:r>
        <w:rPr>
          <w:rFonts w:hint="eastAsia" w:ascii="宋体" w:hAnsi="宋体" w:cs="宋体"/>
          <w:color w:val="auto"/>
          <w:sz w:val="24"/>
          <w:highlight w:val="none"/>
        </w:rPr>
        <w:t>；</w:t>
      </w:r>
    </w:p>
    <w:p w14:paraId="29BBCB21">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1.4.2 发包人提供国外标准、规范的名称：</w:t>
      </w:r>
      <w:r>
        <w:rPr>
          <w:rFonts w:hint="eastAsia" w:ascii="宋体" w:hAnsi="宋体" w:cs="宋体"/>
          <w:color w:val="auto"/>
          <w:sz w:val="24"/>
          <w:highlight w:val="none"/>
          <w:u w:val="single"/>
        </w:rPr>
        <w:t>无</w:t>
      </w:r>
      <w:r>
        <w:rPr>
          <w:rFonts w:hint="eastAsia" w:ascii="宋体" w:hAnsi="宋体" w:cs="宋体"/>
          <w:color w:val="auto"/>
          <w:sz w:val="24"/>
          <w:highlight w:val="none"/>
        </w:rPr>
        <w:t>；</w:t>
      </w:r>
    </w:p>
    <w:p w14:paraId="269A8099">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发包人提供国外标准、规范的份数：</w:t>
      </w:r>
      <w:r>
        <w:rPr>
          <w:rFonts w:hint="eastAsia" w:ascii="宋体" w:hAnsi="宋体" w:cs="宋体"/>
          <w:color w:val="auto"/>
          <w:sz w:val="24"/>
          <w:highlight w:val="none"/>
          <w:u w:val="single"/>
        </w:rPr>
        <w:t>无</w:t>
      </w:r>
      <w:r>
        <w:rPr>
          <w:rFonts w:hint="eastAsia" w:ascii="宋体" w:hAnsi="宋体" w:cs="宋体"/>
          <w:color w:val="auto"/>
          <w:sz w:val="24"/>
          <w:highlight w:val="none"/>
        </w:rPr>
        <w:t>；</w:t>
      </w:r>
    </w:p>
    <w:p w14:paraId="35421B1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发包人提供国外标准、规范的名称：</w:t>
      </w:r>
      <w:r>
        <w:rPr>
          <w:rFonts w:hint="eastAsia" w:ascii="宋体" w:hAnsi="宋体" w:cs="宋体"/>
          <w:color w:val="auto"/>
          <w:sz w:val="24"/>
          <w:highlight w:val="none"/>
          <w:u w:val="single"/>
        </w:rPr>
        <w:t>无</w:t>
      </w:r>
      <w:r>
        <w:rPr>
          <w:rFonts w:hint="eastAsia" w:ascii="宋体" w:hAnsi="宋体" w:cs="宋体"/>
          <w:color w:val="auto"/>
          <w:sz w:val="24"/>
          <w:highlight w:val="none"/>
        </w:rPr>
        <w:t>；</w:t>
      </w:r>
    </w:p>
    <w:p w14:paraId="6A10491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1.4.3发包人对工程的技术标准和功能要求的特殊要求：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1DBF8B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1.5 合同文件的优先顺序</w:t>
      </w:r>
    </w:p>
    <w:p w14:paraId="7B74042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合同文件组成及优先顺序为：</w:t>
      </w:r>
    </w:p>
    <w:p w14:paraId="107BFE60">
      <w:pPr>
        <w:adjustRightInd w:val="0"/>
        <w:snapToGrid w:val="0"/>
        <w:spacing w:line="4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（1）合同协议书；</w:t>
      </w:r>
    </w:p>
    <w:p w14:paraId="21E850B9">
      <w:pPr>
        <w:adjustRightInd w:val="0"/>
        <w:snapToGrid w:val="0"/>
        <w:spacing w:line="4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（2）成交通知书（如果有）；</w:t>
      </w:r>
    </w:p>
    <w:p w14:paraId="095C1374">
      <w:pPr>
        <w:adjustRightInd w:val="0"/>
        <w:snapToGrid w:val="0"/>
        <w:spacing w:line="4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（3）报价函及其附录（如果有）；</w:t>
      </w:r>
    </w:p>
    <w:p w14:paraId="4F2D2BDE">
      <w:pPr>
        <w:adjustRightInd w:val="0"/>
        <w:snapToGrid w:val="0"/>
        <w:spacing w:line="4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（4）专用合同条款及其附件；</w:t>
      </w:r>
    </w:p>
    <w:p w14:paraId="46660F88">
      <w:pPr>
        <w:adjustRightInd w:val="0"/>
        <w:snapToGrid w:val="0"/>
        <w:spacing w:line="4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（5）通用合同条款；</w:t>
      </w:r>
    </w:p>
    <w:p w14:paraId="599EDC86">
      <w:pPr>
        <w:adjustRightInd w:val="0"/>
        <w:snapToGrid w:val="0"/>
        <w:spacing w:line="4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w:t>
      </w:r>
      <w:r>
        <w:rPr>
          <w:rFonts w:hint="eastAsia" w:ascii="宋体" w:hAnsi="宋体" w:cs="宋体"/>
          <w:color w:val="auto"/>
          <w:kern w:val="0"/>
          <w:sz w:val="24"/>
          <w:highlight w:val="none"/>
          <w:u w:val="single"/>
        </w:rPr>
        <w:t>技术标准和要求</w:t>
      </w:r>
      <w:r>
        <w:rPr>
          <w:rFonts w:hint="eastAsia" w:ascii="宋体" w:hAnsi="宋体" w:cs="宋体"/>
          <w:color w:val="auto"/>
          <w:kern w:val="0"/>
          <w:sz w:val="24"/>
          <w:highlight w:val="none"/>
        </w:rPr>
        <w:t>；</w:t>
      </w:r>
    </w:p>
    <w:p w14:paraId="42FF5273">
      <w:pPr>
        <w:adjustRightInd w:val="0"/>
        <w:snapToGrid w:val="0"/>
        <w:spacing w:line="4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w:t>
      </w:r>
      <w:r>
        <w:rPr>
          <w:rFonts w:hint="eastAsia" w:ascii="宋体" w:hAnsi="宋体" w:cs="宋体"/>
          <w:color w:val="auto"/>
          <w:kern w:val="0"/>
          <w:sz w:val="24"/>
          <w:highlight w:val="none"/>
          <w:u w:val="single"/>
        </w:rPr>
        <w:t>图纸</w:t>
      </w:r>
      <w:r>
        <w:rPr>
          <w:rFonts w:hint="eastAsia" w:ascii="宋体" w:hAnsi="宋体" w:cs="宋体"/>
          <w:color w:val="auto"/>
          <w:kern w:val="0"/>
          <w:sz w:val="24"/>
          <w:highlight w:val="none"/>
        </w:rPr>
        <w:t>；</w:t>
      </w:r>
    </w:p>
    <w:p w14:paraId="1B8545DA">
      <w:pPr>
        <w:adjustRightInd w:val="0"/>
        <w:snapToGrid w:val="0"/>
        <w:spacing w:line="4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w:t>
      </w:r>
      <w:r>
        <w:rPr>
          <w:rFonts w:hint="eastAsia" w:ascii="宋体" w:hAnsi="宋体" w:cs="宋体"/>
          <w:color w:val="auto"/>
          <w:kern w:val="0"/>
          <w:sz w:val="24"/>
          <w:highlight w:val="none"/>
          <w:u w:val="single"/>
        </w:rPr>
        <w:t>已标价工程量清单或预算书</w:t>
      </w:r>
      <w:r>
        <w:rPr>
          <w:rFonts w:hint="eastAsia" w:ascii="宋体" w:hAnsi="宋体" w:cs="宋体"/>
          <w:color w:val="auto"/>
          <w:kern w:val="0"/>
          <w:sz w:val="24"/>
          <w:highlight w:val="none"/>
        </w:rPr>
        <w:t>；</w:t>
      </w:r>
    </w:p>
    <w:p w14:paraId="6A6A03F2">
      <w:pPr>
        <w:adjustRightInd w:val="0"/>
        <w:snapToGrid w:val="0"/>
        <w:spacing w:line="4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w:t>
      </w:r>
      <w:r>
        <w:rPr>
          <w:rFonts w:hint="eastAsia" w:ascii="宋体" w:hAnsi="宋体" w:cs="宋体"/>
          <w:color w:val="auto"/>
          <w:kern w:val="0"/>
          <w:sz w:val="24"/>
          <w:highlight w:val="none"/>
          <w:u w:val="single"/>
        </w:rPr>
        <w:t>其他合同文件</w:t>
      </w:r>
      <w:r>
        <w:rPr>
          <w:rFonts w:hint="eastAsia" w:ascii="宋体" w:hAnsi="宋体" w:cs="宋体"/>
          <w:color w:val="auto"/>
          <w:kern w:val="0"/>
          <w:sz w:val="24"/>
          <w:highlight w:val="none"/>
        </w:rPr>
        <w:t>。</w:t>
      </w:r>
    </w:p>
    <w:p w14:paraId="18283AC6">
      <w:pPr>
        <w:adjustRightInd w:val="0"/>
        <w:snapToGrid w:val="0"/>
        <w:spacing w:line="4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w:t>
      </w:r>
      <w:r>
        <w:rPr>
          <w:rFonts w:hint="eastAsia" w:ascii="宋体" w:hAnsi="宋体" w:cs="宋体"/>
          <w:color w:val="auto"/>
          <w:kern w:val="0"/>
          <w:sz w:val="24"/>
          <w:highlight w:val="none"/>
          <w:lang w:eastAsia="zh-CN"/>
        </w:rPr>
        <w:t>《建设工程工程量清单计价规范》（GB5050-2013）</w:t>
      </w:r>
      <w:r>
        <w:rPr>
          <w:rFonts w:hint="eastAsia" w:ascii="宋体" w:hAnsi="宋体" w:cs="宋体"/>
          <w:color w:val="auto"/>
          <w:kern w:val="0"/>
          <w:sz w:val="24"/>
          <w:highlight w:val="none"/>
        </w:rPr>
        <w:t>及其广西实施细则及《关于建筑业实施营业税改征增值税后广西壮族自治区建设工程计价依据调整的通知》（桂建标〔2016〕17号）、《建设工程工程量清单计算规范（GB5854~50862-2013）》及其广西实施细则（修订本）。</w:t>
      </w:r>
    </w:p>
    <w:p w14:paraId="6E66F4F9">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1.6 图纸和承包人文件</w:t>
      </w:r>
      <w:r>
        <w:rPr>
          <w:rFonts w:hint="eastAsia" w:ascii="宋体" w:hAnsi="宋体" w:cs="宋体"/>
          <w:color w:val="auto"/>
          <w:sz w:val="24"/>
          <w:highlight w:val="none"/>
        </w:rPr>
        <w:tab/>
      </w:r>
    </w:p>
    <w:p w14:paraId="437065F7">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1.6.1 图纸的提供</w:t>
      </w:r>
    </w:p>
    <w:p w14:paraId="6D311B6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发包人向承包人提供图纸的期限：</w:t>
      </w:r>
      <w:r>
        <w:rPr>
          <w:rFonts w:hint="eastAsia" w:ascii="宋体" w:hAnsi="宋体" w:cs="宋体"/>
          <w:color w:val="auto"/>
          <w:sz w:val="24"/>
          <w:highlight w:val="none"/>
          <w:u w:val="single"/>
        </w:rPr>
        <w:t>签订合同后3天内</w:t>
      </w:r>
      <w:r>
        <w:rPr>
          <w:rFonts w:hint="eastAsia" w:ascii="宋体" w:hAnsi="宋体" w:cs="宋体"/>
          <w:color w:val="auto"/>
          <w:sz w:val="24"/>
          <w:highlight w:val="none"/>
        </w:rPr>
        <w:t>；</w:t>
      </w:r>
    </w:p>
    <w:p w14:paraId="67DD9E5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发包人向承包人提供图纸的数量：</w:t>
      </w:r>
      <w:r>
        <w:rPr>
          <w:rFonts w:hint="eastAsia" w:ascii="宋体" w:hAnsi="宋体" w:cs="宋体"/>
          <w:color w:val="auto"/>
          <w:sz w:val="24"/>
          <w:highlight w:val="none"/>
          <w:u w:val="single"/>
        </w:rPr>
        <w:t>贰套，承包人需要增加图纸套数的，发包人应代为复制，复制费用由承包人承担</w:t>
      </w:r>
      <w:r>
        <w:rPr>
          <w:rFonts w:hint="eastAsia" w:ascii="宋体" w:hAnsi="宋体" w:cs="宋体"/>
          <w:color w:val="auto"/>
          <w:sz w:val="24"/>
          <w:highlight w:val="none"/>
        </w:rPr>
        <w:t>；</w:t>
      </w:r>
    </w:p>
    <w:p w14:paraId="08284D4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发包人向承包人提供图纸的内容：</w:t>
      </w:r>
      <w:r>
        <w:rPr>
          <w:rFonts w:hint="eastAsia" w:ascii="宋体" w:hAnsi="宋体" w:cs="宋体"/>
          <w:color w:val="auto"/>
          <w:sz w:val="24"/>
          <w:highlight w:val="none"/>
          <w:u w:val="single"/>
        </w:rPr>
        <w:t>见图纸目录</w:t>
      </w:r>
      <w:r>
        <w:rPr>
          <w:rFonts w:hint="eastAsia" w:ascii="宋体" w:hAnsi="宋体" w:cs="宋体"/>
          <w:color w:val="auto"/>
          <w:sz w:val="24"/>
          <w:highlight w:val="none"/>
        </w:rPr>
        <w:t>。</w:t>
      </w:r>
    </w:p>
    <w:p w14:paraId="402286B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1.6.2 承包人文件</w:t>
      </w:r>
    </w:p>
    <w:p w14:paraId="2FA4FFB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需要由承包人提供的文件，包括：</w:t>
      </w:r>
      <w:r>
        <w:rPr>
          <w:rFonts w:hint="eastAsia" w:ascii="宋体" w:hAnsi="宋体" w:cs="宋体"/>
          <w:color w:val="auto"/>
          <w:sz w:val="24"/>
          <w:highlight w:val="none"/>
          <w:u w:val="single"/>
        </w:rPr>
        <w:t>开工报告、施工组织设计、专项施工方案、进度计划及其他应交的施工管理文件、施工技术文件</w:t>
      </w:r>
      <w:r>
        <w:rPr>
          <w:rFonts w:hint="eastAsia" w:ascii="宋体" w:hAnsi="宋体" w:cs="宋体"/>
          <w:color w:val="auto"/>
          <w:sz w:val="24"/>
          <w:highlight w:val="none"/>
        </w:rPr>
        <w:t>；</w:t>
      </w:r>
    </w:p>
    <w:p w14:paraId="0BDF2ADD">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承包人提供的文件的期限为：</w:t>
      </w:r>
      <w:r>
        <w:rPr>
          <w:rFonts w:hint="eastAsia" w:ascii="宋体" w:hAnsi="宋体" w:cs="宋体"/>
          <w:color w:val="auto"/>
          <w:sz w:val="24"/>
          <w:highlight w:val="none"/>
          <w:u w:val="single"/>
        </w:rPr>
        <w:t>文件实施前7天</w:t>
      </w:r>
      <w:r>
        <w:rPr>
          <w:rFonts w:hint="eastAsia" w:ascii="宋体" w:hAnsi="宋体" w:cs="宋体"/>
          <w:color w:val="auto"/>
          <w:sz w:val="24"/>
          <w:highlight w:val="none"/>
        </w:rPr>
        <w:t>；</w:t>
      </w:r>
    </w:p>
    <w:p w14:paraId="7DECE7C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承包人提供的文件的数量为：</w:t>
      </w:r>
      <w:r>
        <w:rPr>
          <w:rFonts w:hint="eastAsia" w:ascii="宋体" w:hAnsi="宋体" w:cs="宋体"/>
          <w:color w:val="auto"/>
          <w:sz w:val="24"/>
          <w:highlight w:val="none"/>
          <w:u w:val="single"/>
        </w:rPr>
        <w:t>按发包人要求提供</w:t>
      </w:r>
      <w:r>
        <w:rPr>
          <w:rFonts w:hint="eastAsia" w:ascii="宋体" w:hAnsi="宋体" w:cs="宋体"/>
          <w:color w:val="auto"/>
          <w:sz w:val="24"/>
          <w:highlight w:val="none"/>
        </w:rPr>
        <w:t>；</w:t>
      </w:r>
    </w:p>
    <w:p w14:paraId="0890E120">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承包人提供的文件的形式为：</w:t>
      </w:r>
      <w:r>
        <w:rPr>
          <w:rFonts w:hint="eastAsia" w:ascii="宋体" w:hAnsi="宋体" w:cs="宋体"/>
          <w:color w:val="auto"/>
          <w:sz w:val="24"/>
          <w:highlight w:val="none"/>
          <w:u w:val="single"/>
        </w:rPr>
        <w:t>纸质文件</w:t>
      </w:r>
      <w:r>
        <w:rPr>
          <w:rFonts w:hint="eastAsia" w:ascii="宋体" w:hAnsi="宋体" w:cs="宋体"/>
          <w:color w:val="auto"/>
          <w:sz w:val="24"/>
          <w:highlight w:val="none"/>
        </w:rPr>
        <w:t>；</w:t>
      </w:r>
    </w:p>
    <w:p w14:paraId="63401ED3">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发包人审批承包人文件的期限：</w:t>
      </w:r>
      <w:r>
        <w:rPr>
          <w:rFonts w:hint="eastAsia" w:ascii="宋体" w:hAnsi="宋体" w:cs="宋体"/>
          <w:color w:val="auto"/>
          <w:sz w:val="24"/>
          <w:highlight w:val="none"/>
          <w:u w:val="single"/>
        </w:rPr>
        <w:t>收到文件后7天内</w:t>
      </w:r>
      <w:r>
        <w:rPr>
          <w:rFonts w:hint="eastAsia" w:ascii="宋体" w:hAnsi="宋体" w:cs="宋体"/>
          <w:color w:val="auto"/>
          <w:sz w:val="24"/>
          <w:highlight w:val="none"/>
        </w:rPr>
        <w:t>。</w:t>
      </w:r>
    </w:p>
    <w:p w14:paraId="66DB3450">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1.6.3 现场图纸准备</w:t>
      </w:r>
    </w:p>
    <w:p w14:paraId="1BF758F7">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关于现场图纸准备的约定：</w:t>
      </w:r>
      <w:r>
        <w:rPr>
          <w:rFonts w:hint="eastAsia" w:ascii="宋体" w:hAnsi="宋体" w:cs="宋体"/>
          <w:color w:val="auto"/>
          <w:sz w:val="24"/>
          <w:highlight w:val="none"/>
          <w:u w:val="single"/>
        </w:rPr>
        <w:t>图纸会审或发包人审查后7天内</w:t>
      </w:r>
      <w:r>
        <w:rPr>
          <w:rFonts w:hint="eastAsia" w:ascii="宋体" w:hAnsi="宋体" w:cs="宋体"/>
          <w:color w:val="auto"/>
          <w:sz w:val="24"/>
          <w:highlight w:val="none"/>
        </w:rPr>
        <w:t>。</w:t>
      </w:r>
    </w:p>
    <w:p w14:paraId="2713803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1.7 联络</w:t>
      </w:r>
    </w:p>
    <w:p w14:paraId="52418DA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1.7.1发包人和承包人应当在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天内将与合同有关的通知、批准、证明、证书、指示、指令、要求、请求、同意、意见、确定和决定等书面函件送达对方当事人。</w:t>
      </w:r>
    </w:p>
    <w:p w14:paraId="5941802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1.7.2 发包人接收文件的地点：</w:t>
      </w:r>
      <w:r>
        <w:rPr>
          <w:rFonts w:hint="eastAsia" w:ascii="宋体" w:hAnsi="宋体" w:cs="宋体"/>
          <w:color w:val="auto"/>
          <w:sz w:val="24"/>
          <w:highlight w:val="none"/>
          <w:u w:val="single"/>
        </w:rPr>
        <w:t>发包人办公室</w:t>
      </w:r>
      <w:r>
        <w:rPr>
          <w:rFonts w:hint="eastAsia" w:ascii="宋体" w:hAnsi="宋体" w:cs="宋体"/>
          <w:color w:val="auto"/>
          <w:sz w:val="24"/>
          <w:highlight w:val="none"/>
        </w:rPr>
        <w:t>；</w:t>
      </w:r>
    </w:p>
    <w:p w14:paraId="5584416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发包人指定的接收人为：</w:t>
      </w:r>
      <w:r>
        <w:rPr>
          <w:rFonts w:hint="eastAsia" w:ascii="宋体" w:hAnsi="宋体" w:cs="宋体"/>
          <w:color w:val="auto"/>
          <w:sz w:val="24"/>
          <w:highlight w:val="none"/>
          <w:u w:val="single"/>
        </w:rPr>
        <w:t>工地代表（可委托）</w:t>
      </w:r>
      <w:r>
        <w:rPr>
          <w:rFonts w:hint="eastAsia" w:ascii="宋体" w:hAnsi="宋体" w:cs="宋体"/>
          <w:color w:val="auto"/>
          <w:sz w:val="24"/>
          <w:highlight w:val="none"/>
        </w:rPr>
        <w:t>。</w:t>
      </w:r>
    </w:p>
    <w:p w14:paraId="265854D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承包人接收文件的地点</w:t>
      </w:r>
      <w:r>
        <w:rPr>
          <w:rFonts w:hint="eastAsia" w:ascii="宋体" w:hAnsi="宋体" w:cs="宋体"/>
          <w:color w:val="auto"/>
          <w:sz w:val="24"/>
          <w:highlight w:val="none"/>
          <w:lang w:eastAsia="zh-CN"/>
        </w:rPr>
        <w:t>：承</w:t>
      </w:r>
      <w:r>
        <w:rPr>
          <w:rFonts w:hint="eastAsia" w:ascii="宋体" w:hAnsi="宋体" w:cs="宋体"/>
          <w:color w:val="auto"/>
          <w:sz w:val="24"/>
          <w:highlight w:val="none"/>
          <w:u w:val="single"/>
        </w:rPr>
        <w:t>包人项目部办公室</w:t>
      </w:r>
      <w:r>
        <w:rPr>
          <w:rFonts w:hint="eastAsia" w:ascii="宋体" w:hAnsi="宋体" w:cs="宋体"/>
          <w:color w:val="auto"/>
          <w:sz w:val="24"/>
          <w:highlight w:val="none"/>
        </w:rPr>
        <w:t>；</w:t>
      </w:r>
    </w:p>
    <w:p w14:paraId="2A7F1D1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承包人指定的接收人为：</w:t>
      </w:r>
      <w:r>
        <w:rPr>
          <w:rFonts w:hint="eastAsia" w:ascii="宋体" w:hAnsi="宋体" w:cs="宋体"/>
          <w:color w:val="auto"/>
          <w:sz w:val="24"/>
          <w:highlight w:val="none"/>
          <w:u w:val="single"/>
        </w:rPr>
        <w:t>项目经理</w:t>
      </w:r>
      <w:r>
        <w:rPr>
          <w:rFonts w:hint="eastAsia" w:ascii="宋体" w:hAnsi="宋体" w:cs="宋体"/>
          <w:color w:val="auto"/>
          <w:sz w:val="24"/>
          <w:highlight w:val="none"/>
        </w:rPr>
        <w:t>。</w:t>
      </w:r>
    </w:p>
    <w:p w14:paraId="4FB64131">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监理人接收文件的地点：</w:t>
      </w:r>
      <w:r>
        <w:rPr>
          <w:rFonts w:hint="eastAsia" w:ascii="宋体" w:hAnsi="宋体" w:cs="宋体"/>
          <w:color w:val="auto"/>
          <w:sz w:val="24"/>
          <w:highlight w:val="none"/>
          <w:u w:val="single"/>
        </w:rPr>
        <w:t xml:space="preserve">项目监理部 </w:t>
      </w:r>
      <w:r>
        <w:rPr>
          <w:rFonts w:hint="eastAsia" w:ascii="宋体" w:hAnsi="宋体" w:cs="宋体"/>
          <w:color w:val="auto"/>
          <w:sz w:val="24"/>
          <w:highlight w:val="none"/>
        </w:rPr>
        <w:t>；</w:t>
      </w:r>
    </w:p>
    <w:p w14:paraId="6084D5C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监理人指定的接收人为：</w:t>
      </w:r>
      <w:r>
        <w:rPr>
          <w:rFonts w:hint="eastAsia" w:ascii="宋体" w:hAnsi="宋体" w:cs="宋体"/>
          <w:color w:val="auto"/>
          <w:sz w:val="24"/>
          <w:highlight w:val="none"/>
          <w:u w:val="single"/>
        </w:rPr>
        <w:t>总监理工程师（可委托）</w:t>
      </w:r>
      <w:r>
        <w:rPr>
          <w:rFonts w:hint="eastAsia" w:ascii="宋体" w:hAnsi="宋体" w:cs="宋体"/>
          <w:color w:val="auto"/>
          <w:sz w:val="24"/>
          <w:highlight w:val="none"/>
        </w:rPr>
        <w:t>。</w:t>
      </w:r>
    </w:p>
    <w:p w14:paraId="38CFA6A0">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1.10 交通运输</w:t>
      </w:r>
    </w:p>
    <w:p w14:paraId="1229300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bookmarkStart w:id="92" w:name="_Toc303539100"/>
      <w:bookmarkStart w:id="93" w:name="_Toc318581155"/>
      <w:bookmarkStart w:id="94" w:name="_Toc300934943"/>
      <w:bookmarkStart w:id="95" w:name="_Toc312677986"/>
      <w:bookmarkStart w:id="96" w:name="_Toc304295521"/>
      <w:r>
        <w:rPr>
          <w:rFonts w:hint="eastAsia" w:ascii="宋体" w:hAnsi="宋体" w:cs="宋体"/>
          <w:color w:val="auto"/>
          <w:sz w:val="24"/>
          <w:highlight w:val="none"/>
        </w:rPr>
        <w:t>.10.1 出入现场的权利</w:t>
      </w:r>
    </w:p>
    <w:p w14:paraId="2345CC2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关于出入现场的权利的约定：</w:t>
      </w:r>
      <w:r>
        <w:rPr>
          <w:rFonts w:hint="eastAsia" w:ascii="宋体" w:hAnsi="宋体" w:cs="宋体"/>
          <w:color w:val="auto"/>
          <w:sz w:val="24"/>
          <w:highlight w:val="none"/>
          <w:u w:val="single"/>
        </w:rPr>
        <w:t>发包方管理人员、监理方管理人员可自由出入，但不得影响承包方的正常施工</w:t>
      </w:r>
      <w:r>
        <w:rPr>
          <w:rFonts w:hint="eastAsia" w:ascii="宋体" w:hAnsi="宋体" w:cs="宋体"/>
          <w:color w:val="auto"/>
          <w:sz w:val="24"/>
          <w:highlight w:val="none"/>
        </w:rPr>
        <w:t>。</w:t>
      </w:r>
    </w:p>
    <w:bookmarkEnd w:id="92"/>
    <w:bookmarkEnd w:id="93"/>
    <w:bookmarkEnd w:id="94"/>
    <w:bookmarkEnd w:id="95"/>
    <w:bookmarkEnd w:id="96"/>
    <w:p w14:paraId="69859841">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bookmarkStart w:id="97" w:name="_Toc312677987"/>
      <w:bookmarkStart w:id="98" w:name="_Toc300934944"/>
      <w:bookmarkStart w:id="99" w:name="_Toc304295522"/>
      <w:bookmarkStart w:id="100" w:name="_Toc303539101"/>
      <w:bookmarkStart w:id="101" w:name="_Toc318581156"/>
      <w:r>
        <w:rPr>
          <w:rFonts w:hint="eastAsia" w:ascii="宋体" w:hAnsi="宋体" w:cs="宋体"/>
          <w:color w:val="auto"/>
          <w:sz w:val="24"/>
          <w:highlight w:val="none"/>
        </w:rPr>
        <w:t>.10.3 场内交通</w:t>
      </w:r>
    </w:p>
    <w:p w14:paraId="57994744">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关于场外交通和场内交通的边界的约定：</w:t>
      </w:r>
      <w:r>
        <w:rPr>
          <w:rFonts w:hint="eastAsia" w:ascii="宋体" w:hAnsi="宋体" w:cs="宋体"/>
          <w:color w:val="auto"/>
          <w:sz w:val="24"/>
          <w:highlight w:val="none"/>
          <w:u w:val="single"/>
        </w:rPr>
        <w:t>发包方、承包方和监理方现场确定</w:t>
      </w:r>
      <w:r>
        <w:rPr>
          <w:rFonts w:hint="eastAsia" w:ascii="宋体" w:hAnsi="宋体" w:cs="宋体"/>
          <w:color w:val="auto"/>
          <w:sz w:val="24"/>
          <w:highlight w:val="none"/>
        </w:rPr>
        <w:t>。</w:t>
      </w:r>
    </w:p>
    <w:p w14:paraId="1C90110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关于发包人向承包人免费提供满足工程施工需要的场内道路和交通设施的约定：</w:t>
      </w:r>
      <w:r>
        <w:rPr>
          <w:rFonts w:hint="eastAsia" w:ascii="宋体" w:hAnsi="宋体" w:cs="宋体"/>
          <w:color w:val="auto"/>
          <w:sz w:val="24"/>
          <w:highlight w:val="none"/>
          <w:u w:val="single"/>
        </w:rPr>
        <w:t>发包方、承包方和监理方现场确定</w:t>
      </w:r>
      <w:r>
        <w:rPr>
          <w:rFonts w:hint="eastAsia" w:ascii="宋体" w:hAnsi="宋体" w:cs="宋体"/>
          <w:color w:val="auto"/>
          <w:sz w:val="24"/>
          <w:highlight w:val="none"/>
        </w:rPr>
        <w:t xml:space="preserve">。 </w:t>
      </w:r>
      <w:bookmarkEnd w:id="97"/>
      <w:bookmarkEnd w:id="98"/>
      <w:bookmarkEnd w:id="99"/>
      <w:bookmarkEnd w:id="100"/>
      <w:bookmarkEnd w:id="101"/>
      <w:bookmarkStart w:id="102" w:name="_Toc318581157"/>
    </w:p>
    <w:p w14:paraId="1B742370">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1.10.4超大件和超重件的运输</w:t>
      </w:r>
    </w:p>
    <w:p w14:paraId="1095B1A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运输超大件或超重件所需的道路和桥梁临时加固改造费用和其他有关费用由</w:t>
      </w:r>
      <w:r>
        <w:rPr>
          <w:rFonts w:hint="eastAsia" w:ascii="宋体" w:hAnsi="宋体" w:cs="宋体"/>
          <w:color w:val="auto"/>
          <w:sz w:val="24"/>
          <w:highlight w:val="none"/>
          <w:u w:val="single"/>
        </w:rPr>
        <w:t>承包人</w:t>
      </w:r>
      <w:r>
        <w:rPr>
          <w:rFonts w:hint="eastAsia" w:ascii="宋体" w:hAnsi="宋体" w:cs="宋体"/>
          <w:color w:val="auto"/>
          <w:sz w:val="24"/>
          <w:highlight w:val="none"/>
        </w:rPr>
        <w:t>承担。</w:t>
      </w:r>
    </w:p>
    <w:bookmarkEnd w:id="102"/>
    <w:p w14:paraId="163DF67E">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1.11 知识产权</w:t>
      </w:r>
    </w:p>
    <w:p w14:paraId="6568105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 w:val="24"/>
          <w:highlight w:val="none"/>
          <w:u w:val="single"/>
        </w:rPr>
        <w:t>归发包人</w:t>
      </w:r>
      <w:r>
        <w:rPr>
          <w:rFonts w:hint="eastAsia" w:ascii="宋体" w:hAnsi="宋体" w:cs="宋体"/>
          <w:color w:val="auto"/>
          <w:sz w:val="24"/>
          <w:highlight w:val="none"/>
        </w:rPr>
        <w:t>。</w:t>
      </w:r>
    </w:p>
    <w:p w14:paraId="4B03573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关于发包人提供的上述文件的使用限制的要求：</w:t>
      </w:r>
      <w:r>
        <w:rPr>
          <w:rFonts w:hint="eastAsia" w:ascii="宋体" w:hAnsi="宋体" w:cs="宋体"/>
          <w:color w:val="auto"/>
          <w:sz w:val="24"/>
          <w:highlight w:val="none"/>
          <w:u w:val="single"/>
        </w:rPr>
        <w:t>未经发包人同意，承包人不得用于本工程以外的其他工程</w:t>
      </w:r>
      <w:r>
        <w:rPr>
          <w:rFonts w:hint="eastAsia" w:ascii="宋体" w:hAnsi="宋体" w:cs="宋体"/>
          <w:color w:val="auto"/>
          <w:sz w:val="24"/>
          <w:highlight w:val="none"/>
        </w:rPr>
        <w:t>。</w:t>
      </w:r>
    </w:p>
    <w:p w14:paraId="4E4A53E0">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1.11.2 关于承包人为实施工程所编制文件的著作权的归属：</w:t>
      </w:r>
      <w:r>
        <w:rPr>
          <w:rFonts w:hint="eastAsia" w:ascii="宋体" w:hAnsi="宋体" w:cs="宋体"/>
          <w:color w:val="auto"/>
          <w:sz w:val="24"/>
          <w:highlight w:val="none"/>
          <w:u w:val="single"/>
        </w:rPr>
        <w:t>归属承包人</w:t>
      </w:r>
      <w:r>
        <w:rPr>
          <w:rFonts w:hint="eastAsia" w:ascii="宋体" w:hAnsi="宋体" w:cs="宋体"/>
          <w:color w:val="auto"/>
          <w:sz w:val="24"/>
          <w:highlight w:val="none"/>
        </w:rPr>
        <w:t>。</w:t>
      </w:r>
    </w:p>
    <w:p w14:paraId="2E89164D">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关于承包人提供的上述文件的使用限制的要求：</w:t>
      </w:r>
      <w:r>
        <w:rPr>
          <w:rFonts w:hint="eastAsia" w:ascii="宋体" w:hAnsi="宋体" w:cs="宋体"/>
          <w:color w:val="auto"/>
          <w:sz w:val="24"/>
          <w:highlight w:val="none"/>
          <w:u w:val="single"/>
        </w:rPr>
        <w:t>未经承包人同意，不得用于除本工程以外的其他工程</w:t>
      </w:r>
      <w:r>
        <w:rPr>
          <w:rFonts w:hint="eastAsia" w:ascii="宋体" w:hAnsi="宋体" w:cs="宋体"/>
          <w:color w:val="auto"/>
          <w:sz w:val="24"/>
          <w:highlight w:val="none"/>
        </w:rPr>
        <w:t>。</w:t>
      </w:r>
    </w:p>
    <w:p w14:paraId="4E7522D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1.11.3 承包人在施工过程中所采用的专利、专有技术、技术秘密的使用费的承担方式：</w:t>
      </w:r>
      <w:r>
        <w:rPr>
          <w:rFonts w:hint="eastAsia" w:ascii="宋体" w:hAnsi="宋体" w:cs="宋体"/>
          <w:color w:val="auto"/>
          <w:sz w:val="24"/>
          <w:highlight w:val="none"/>
          <w:u w:val="single"/>
        </w:rPr>
        <w:t>由承包方承担</w:t>
      </w:r>
      <w:r>
        <w:rPr>
          <w:rFonts w:hint="eastAsia" w:ascii="宋体" w:hAnsi="宋体" w:cs="宋体"/>
          <w:color w:val="auto"/>
          <w:sz w:val="24"/>
          <w:highlight w:val="none"/>
        </w:rPr>
        <w:t>。</w:t>
      </w:r>
    </w:p>
    <w:p w14:paraId="4EB4F100">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1.12工程量清单错误的修正</w:t>
      </w:r>
    </w:p>
    <w:p w14:paraId="25B2436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出现工程量清单错误时，是否调整合同价格：是。</w:t>
      </w:r>
    </w:p>
    <w:p w14:paraId="6407815E">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允许调整合同价格的工程量偏差范围：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A73D25D">
      <w:pPr>
        <w:spacing w:line="400" w:lineRule="exact"/>
        <w:ind w:firstLine="482" w:firstLineChars="200"/>
        <w:rPr>
          <w:rFonts w:hint="eastAsia" w:ascii="宋体" w:hAnsi="宋体" w:cs="宋体"/>
          <w:b/>
          <w:bCs/>
          <w:color w:val="auto"/>
          <w:sz w:val="24"/>
          <w:highlight w:val="none"/>
        </w:rPr>
      </w:pPr>
      <w:bookmarkStart w:id="103" w:name="_Toc351203634"/>
      <w:r>
        <w:rPr>
          <w:rFonts w:hint="eastAsia" w:ascii="宋体" w:hAnsi="宋体" w:cs="宋体"/>
          <w:b/>
          <w:bCs/>
          <w:color w:val="auto"/>
          <w:sz w:val="24"/>
          <w:highlight w:val="none"/>
        </w:rPr>
        <w:t>2</w:t>
      </w:r>
      <w:bookmarkStart w:id="104" w:name="_Toc296944496"/>
      <w:bookmarkStart w:id="105" w:name="_Toc296891197"/>
      <w:bookmarkStart w:id="106" w:name="_Toc296346658"/>
      <w:bookmarkStart w:id="107" w:name="_Toc297048343"/>
      <w:bookmarkStart w:id="108" w:name="_Toc292559867"/>
      <w:bookmarkStart w:id="109" w:name="_Toc296890985"/>
      <w:bookmarkStart w:id="110" w:name="_Toc292559362"/>
      <w:bookmarkStart w:id="111" w:name="_Toc296503157"/>
      <w:bookmarkStart w:id="112" w:name="_Toc296347156"/>
      <w:bookmarkStart w:id="113" w:name="_Toc297120457"/>
      <w:r>
        <w:rPr>
          <w:rFonts w:hint="eastAsia" w:ascii="宋体" w:hAnsi="宋体" w:cs="宋体"/>
          <w:b/>
          <w:bCs/>
          <w:color w:val="auto"/>
          <w:sz w:val="24"/>
          <w:highlight w:val="none"/>
        </w:rPr>
        <w:t>.发包人</w:t>
      </w:r>
      <w:bookmarkEnd w:id="103"/>
    </w:p>
    <w:bookmarkEnd w:id="104"/>
    <w:bookmarkEnd w:id="105"/>
    <w:bookmarkEnd w:id="106"/>
    <w:bookmarkEnd w:id="107"/>
    <w:bookmarkEnd w:id="108"/>
    <w:bookmarkEnd w:id="109"/>
    <w:bookmarkEnd w:id="110"/>
    <w:bookmarkEnd w:id="111"/>
    <w:bookmarkEnd w:id="112"/>
    <w:bookmarkEnd w:id="113"/>
    <w:p w14:paraId="19793D4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2.2 发包人代表</w:t>
      </w:r>
    </w:p>
    <w:p w14:paraId="06BDBF9E">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发包人代表：</w:t>
      </w:r>
    </w:p>
    <w:p w14:paraId="031EE67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C061B8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身份证号：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2BDC0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96BD13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2EA5FF0">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32ACB6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5A074B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发包人对发包人代表的授权范围如下：</w:t>
      </w:r>
      <w:r>
        <w:rPr>
          <w:rFonts w:hint="eastAsia" w:ascii="宋体" w:hAnsi="宋体" w:cs="宋体"/>
          <w:color w:val="auto"/>
          <w:sz w:val="24"/>
          <w:highlight w:val="none"/>
          <w:u w:val="single"/>
        </w:rPr>
        <w:t>合同约定范围内的权利、义务（可授权代理人履行）</w:t>
      </w:r>
      <w:r>
        <w:rPr>
          <w:rFonts w:hint="eastAsia" w:ascii="宋体" w:hAnsi="宋体" w:cs="宋体"/>
          <w:color w:val="auto"/>
          <w:sz w:val="24"/>
          <w:highlight w:val="none"/>
        </w:rPr>
        <w:t>。</w:t>
      </w:r>
    </w:p>
    <w:p w14:paraId="5B5E7B7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2.4 施工现场、施工条件和基础资料的提供</w:t>
      </w:r>
    </w:p>
    <w:p w14:paraId="26B0422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2.4.1 提供施工现场</w:t>
      </w:r>
    </w:p>
    <w:p w14:paraId="26D7CD97">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关于发包人移交施工现场的期限要求：</w:t>
      </w:r>
      <w:r>
        <w:rPr>
          <w:rFonts w:hint="eastAsia" w:ascii="宋体" w:hAnsi="宋体" w:cs="宋体"/>
          <w:color w:val="auto"/>
          <w:sz w:val="24"/>
          <w:highlight w:val="none"/>
          <w:u w:val="single"/>
        </w:rPr>
        <w:t>开工前7天内</w:t>
      </w:r>
      <w:r>
        <w:rPr>
          <w:rFonts w:hint="eastAsia" w:ascii="宋体" w:hAnsi="宋体" w:cs="宋体"/>
          <w:color w:val="auto"/>
          <w:sz w:val="24"/>
          <w:highlight w:val="none"/>
        </w:rPr>
        <w:t>。</w:t>
      </w:r>
    </w:p>
    <w:p w14:paraId="3AFEFC5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2.4.2 提供施工条件</w:t>
      </w:r>
    </w:p>
    <w:p w14:paraId="600CEA6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关于发包人应负责提供施工所需要的条件，包括：</w:t>
      </w:r>
      <w:r>
        <w:rPr>
          <w:rFonts w:hint="eastAsia" w:ascii="宋体" w:hAnsi="宋体" w:cs="宋体"/>
          <w:color w:val="auto"/>
          <w:sz w:val="24"/>
          <w:highlight w:val="none"/>
          <w:u w:val="single"/>
        </w:rPr>
        <w:t>由发包人负责提供</w:t>
      </w:r>
      <w:r>
        <w:rPr>
          <w:rFonts w:hint="eastAsia" w:ascii="宋体" w:hAnsi="宋体" w:cs="宋体"/>
          <w:color w:val="auto"/>
          <w:sz w:val="24"/>
          <w:highlight w:val="none"/>
          <w:u w:val="single"/>
          <w:lang w:val="en-US" w:eastAsia="zh-CN"/>
        </w:rPr>
        <w:t>水电基本保障，但施工期间，承包人在项目施工现场因施工生产、设备调试、人员办公/生活等产生的全部水费、电费，均由承包人自行承担。承包人应按发包人要求，及时核对并缴纳水电费（或配合发包人按水表、电表计量数据代扣代缴），相关费用发包人有权从应付工程款/货款中直接抵扣</w:t>
      </w:r>
      <w:r>
        <w:rPr>
          <w:rFonts w:hint="eastAsia" w:ascii="宋体" w:hAnsi="宋体" w:cs="宋体"/>
          <w:color w:val="auto"/>
          <w:sz w:val="24"/>
          <w:highlight w:val="none"/>
        </w:rPr>
        <w:t>。</w:t>
      </w:r>
    </w:p>
    <w:p w14:paraId="15F6ADE0">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2.5 资金来源证明及支付担保</w:t>
      </w:r>
    </w:p>
    <w:p w14:paraId="0F281FD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发包人提供资金来源证明的期限要求：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0A816B4">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发包人是否提供支付担保：</w:t>
      </w:r>
      <w:r>
        <w:rPr>
          <w:rFonts w:hint="eastAsia" w:ascii="宋体" w:hAnsi="宋体" w:cs="宋体"/>
          <w:color w:val="auto"/>
          <w:sz w:val="24"/>
          <w:highlight w:val="none"/>
          <w:u w:val="single"/>
        </w:rPr>
        <w:t xml:space="preserve">   否   </w:t>
      </w:r>
      <w:r>
        <w:rPr>
          <w:rFonts w:hint="eastAsia" w:ascii="宋体" w:hAnsi="宋体" w:cs="宋体"/>
          <w:color w:val="auto"/>
          <w:sz w:val="24"/>
          <w:highlight w:val="none"/>
        </w:rPr>
        <w:t>。</w:t>
      </w:r>
    </w:p>
    <w:p w14:paraId="391C7AFD">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发包人提供支付担保的形式：</w:t>
      </w:r>
      <w:r>
        <w:rPr>
          <w:rFonts w:hint="eastAsia" w:ascii="宋体" w:hAnsi="宋体" w:cs="宋体"/>
          <w:color w:val="auto"/>
          <w:sz w:val="24"/>
          <w:highlight w:val="none"/>
          <w:u w:val="single"/>
        </w:rPr>
        <w:t xml:space="preserve">   否   </w:t>
      </w:r>
      <w:r>
        <w:rPr>
          <w:rFonts w:hint="eastAsia" w:ascii="宋体" w:hAnsi="宋体" w:cs="宋体"/>
          <w:color w:val="auto"/>
          <w:sz w:val="24"/>
          <w:highlight w:val="none"/>
        </w:rPr>
        <w:t>。</w:t>
      </w:r>
    </w:p>
    <w:p w14:paraId="29A7E172">
      <w:pPr>
        <w:spacing w:line="400" w:lineRule="exact"/>
        <w:ind w:firstLine="482" w:firstLineChars="200"/>
        <w:rPr>
          <w:rFonts w:hint="eastAsia" w:ascii="宋体" w:hAnsi="宋体" w:cs="宋体"/>
          <w:b/>
          <w:bCs/>
          <w:color w:val="auto"/>
          <w:sz w:val="24"/>
          <w:highlight w:val="none"/>
        </w:rPr>
      </w:pPr>
      <w:bookmarkStart w:id="114" w:name="_Toc351203635"/>
      <w:r>
        <w:rPr>
          <w:rFonts w:hint="eastAsia" w:ascii="宋体" w:hAnsi="宋体" w:cs="宋体"/>
          <w:b/>
          <w:bCs/>
          <w:color w:val="auto"/>
          <w:sz w:val="24"/>
          <w:highlight w:val="none"/>
        </w:rPr>
        <w:t>3</w:t>
      </w:r>
      <w:bookmarkStart w:id="115" w:name="_Toc296890986"/>
      <w:bookmarkStart w:id="116" w:name="_Toc297120458"/>
      <w:bookmarkStart w:id="117" w:name="_Toc296347157"/>
      <w:bookmarkStart w:id="118" w:name="_Toc292559363"/>
      <w:bookmarkStart w:id="119" w:name="_Toc296944497"/>
      <w:bookmarkStart w:id="120" w:name="_Toc292559868"/>
      <w:bookmarkStart w:id="121" w:name="_Toc296891198"/>
      <w:bookmarkStart w:id="122" w:name="_Toc297048344"/>
      <w:bookmarkStart w:id="123" w:name="_Toc296346659"/>
      <w:bookmarkStart w:id="124" w:name="_Toc296503158"/>
      <w:r>
        <w:rPr>
          <w:rFonts w:hint="eastAsia" w:ascii="宋体" w:hAnsi="宋体" w:cs="宋体"/>
          <w:b/>
          <w:bCs/>
          <w:color w:val="auto"/>
          <w:sz w:val="24"/>
          <w:highlight w:val="none"/>
        </w:rPr>
        <w:t>.承包人</w:t>
      </w:r>
      <w:bookmarkEnd w:id="114"/>
    </w:p>
    <w:bookmarkEnd w:id="115"/>
    <w:bookmarkEnd w:id="116"/>
    <w:bookmarkEnd w:id="117"/>
    <w:bookmarkEnd w:id="118"/>
    <w:bookmarkEnd w:id="119"/>
    <w:bookmarkEnd w:id="120"/>
    <w:bookmarkEnd w:id="121"/>
    <w:bookmarkEnd w:id="122"/>
    <w:bookmarkEnd w:id="123"/>
    <w:bookmarkEnd w:id="124"/>
    <w:p w14:paraId="3CACA0A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3.1 承包人的一般义务</w:t>
      </w:r>
    </w:p>
    <w:p w14:paraId="728B3F43">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（5）承包人提交的竣工资料的内容：</w:t>
      </w:r>
      <w:r>
        <w:rPr>
          <w:rFonts w:hint="eastAsia" w:ascii="宋体" w:hAnsi="宋体" w:cs="宋体"/>
          <w:color w:val="auto"/>
          <w:sz w:val="24"/>
          <w:highlight w:val="none"/>
          <w:u w:val="single"/>
        </w:rPr>
        <w:t>符合竣工验收要求的竣工图、施工管理资料、施工技术资料及国家、地方规定的其他资料</w:t>
      </w:r>
      <w:r>
        <w:rPr>
          <w:rFonts w:hint="eastAsia" w:ascii="宋体" w:hAnsi="宋体" w:cs="宋体"/>
          <w:color w:val="auto"/>
          <w:sz w:val="24"/>
          <w:highlight w:val="none"/>
        </w:rPr>
        <w:t>。</w:t>
      </w:r>
    </w:p>
    <w:p w14:paraId="309DDE3D">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承包人需要提交的竣工资料套数：</w:t>
      </w:r>
      <w:r>
        <w:rPr>
          <w:rFonts w:hint="eastAsia" w:ascii="宋体" w:hAnsi="宋体" w:cs="宋体"/>
          <w:color w:val="auto"/>
          <w:sz w:val="24"/>
          <w:highlight w:val="none"/>
          <w:u w:val="single"/>
        </w:rPr>
        <w:t>按发包人要求提供</w:t>
      </w:r>
      <w:r>
        <w:rPr>
          <w:rFonts w:hint="eastAsia" w:ascii="宋体" w:hAnsi="宋体" w:cs="宋体"/>
          <w:color w:val="auto"/>
          <w:sz w:val="24"/>
          <w:highlight w:val="none"/>
        </w:rPr>
        <w:t>。</w:t>
      </w:r>
    </w:p>
    <w:p w14:paraId="1C02028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承包人提交的竣工资料的费用承担：</w:t>
      </w:r>
      <w:r>
        <w:rPr>
          <w:rFonts w:hint="eastAsia" w:ascii="宋体" w:hAnsi="宋体" w:cs="宋体"/>
          <w:color w:val="auto"/>
          <w:sz w:val="24"/>
          <w:highlight w:val="none"/>
          <w:u w:val="single"/>
        </w:rPr>
        <w:t>承包人承担</w:t>
      </w:r>
      <w:r>
        <w:rPr>
          <w:rFonts w:hint="eastAsia" w:ascii="宋体" w:hAnsi="宋体" w:cs="宋体"/>
          <w:color w:val="auto"/>
          <w:sz w:val="24"/>
          <w:highlight w:val="none"/>
        </w:rPr>
        <w:t>。</w:t>
      </w:r>
    </w:p>
    <w:p w14:paraId="2022157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承包人提交的竣工资料移交时间：</w:t>
      </w:r>
      <w:r>
        <w:rPr>
          <w:rFonts w:hint="eastAsia" w:ascii="宋体" w:hAnsi="宋体" w:cs="宋体"/>
          <w:color w:val="auto"/>
          <w:sz w:val="24"/>
          <w:highlight w:val="none"/>
          <w:u w:val="single"/>
        </w:rPr>
        <w:t>竣工验收前7天内</w:t>
      </w:r>
      <w:r>
        <w:rPr>
          <w:rFonts w:hint="eastAsia" w:ascii="宋体" w:hAnsi="宋体" w:cs="宋体"/>
          <w:color w:val="auto"/>
          <w:sz w:val="24"/>
          <w:highlight w:val="none"/>
        </w:rPr>
        <w:t>。</w:t>
      </w:r>
    </w:p>
    <w:p w14:paraId="754EA80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承包人提交的竣工资料形式要求：</w:t>
      </w:r>
      <w:r>
        <w:rPr>
          <w:rFonts w:hint="eastAsia" w:ascii="宋体" w:hAnsi="宋体" w:cs="宋体"/>
          <w:color w:val="auto"/>
          <w:sz w:val="24"/>
          <w:highlight w:val="none"/>
          <w:u w:val="single"/>
        </w:rPr>
        <w:t>纸质资料，同时竣工图提供电子版</w:t>
      </w:r>
      <w:r>
        <w:rPr>
          <w:rFonts w:hint="eastAsia" w:ascii="宋体" w:hAnsi="宋体" w:cs="宋体"/>
          <w:color w:val="auto"/>
          <w:sz w:val="24"/>
          <w:highlight w:val="none"/>
        </w:rPr>
        <w:t>。</w:t>
      </w:r>
    </w:p>
    <w:p w14:paraId="387B445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（6）承包人应履行的其他义务</w:t>
      </w:r>
      <w:r>
        <w:rPr>
          <w:rFonts w:hint="eastAsia" w:ascii="宋体" w:hAnsi="宋体" w:cs="宋体"/>
          <w:color w:val="auto"/>
          <w:sz w:val="24"/>
          <w:highlight w:val="none"/>
          <w:u w:val="single"/>
        </w:rPr>
        <w:t>协助发包人做好施工所需的条件、报监报建手续及其他政府部门需要的报批手续，告知义务</w:t>
      </w:r>
      <w:r>
        <w:rPr>
          <w:rFonts w:hint="eastAsia" w:ascii="宋体" w:hAnsi="宋体" w:cs="宋体"/>
          <w:color w:val="auto"/>
          <w:sz w:val="24"/>
          <w:highlight w:val="none"/>
        </w:rPr>
        <w:t>。</w:t>
      </w:r>
    </w:p>
    <w:p w14:paraId="3BBE8BF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3.2 项目经理</w:t>
      </w:r>
    </w:p>
    <w:p w14:paraId="1AC26C6E">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3.2.1 项目经理：</w:t>
      </w:r>
    </w:p>
    <w:p w14:paraId="76D9A9E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33DF29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身份证号：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EFB0F67">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建造师执业资格等级：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78B77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建造师注册证书号：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579A4C7">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建造师执业印章号：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17280A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安全生产考核合格证书号：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34362F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7509E33">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A1E22B9">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288D1F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承包人对项目经理的授权范围如下</w:t>
      </w:r>
      <w:r>
        <w:rPr>
          <w:rFonts w:hint="eastAsia" w:ascii="宋体" w:hAnsi="宋体" w:cs="宋体"/>
          <w:color w:val="auto"/>
          <w:sz w:val="24"/>
          <w:highlight w:val="none"/>
          <w:u w:val="single"/>
        </w:rPr>
        <w:t>合同约定范围的权利、义务</w:t>
      </w:r>
      <w:r>
        <w:rPr>
          <w:rFonts w:hint="eastAsia" w:ascii="宋体" w:hAnsi="宋体" w:cs="宋体"/>
          <w:color w:val="auto"/>
          <w:sz w:val="24"/>
          <w:highlight w:val="none"/>
        </w:rPr>
        <w:t>。</w:t>
      </w:r>
    </w:p>
    <w:p w14:paraId="77E98BD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关于项目经理每月在施工现场的时间要求：</w:t>
      </w:r>
      <w:r>
        <w:rPr>
          <w:rFonts w:hint="eastAsia" w:ascii="宋体" w:hAnsi="宋体" w:cs="宋体"/>
          <w:color w:val="auto"/>
          <w:sz w:val="24"/>
          <w:highlight w:val="none"/>
          <w:u w:val="single"/>
        </w:rPr>
        <w:t>每天必须到工地现场一次，且关键部位施工必须在现场以及分部分项验收、隐蔽工程验收必须在现场</w:t>
      </w:r>
      <w:r>
        <w:rPr>
          <w:rFonts w:hint="eastAsia" w:ascii="宋体" w:hAnsi="宋体" w:cs="宋体"/>
          <w:color w:val="auto"/>
          <w:sz w:val="24"/>
          <w:highlight w:val="none"/>
        </w:rPr>
        <w:t>。</w:t>
      </w:r>
    </w:p>
    <w:p w14:paraId="44FADC7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承包人未提交劳动合同，以及没有为项目经理缴纳社会保险证明的违约责任：</w:t>
      </w:r>
      <w:r>
        <w:rPr>
          <w:rFonts w:hint="eastAsia" w:ascii="宋体" w:hAnsi="宋体" w:cs="宋体"/>
          <w:color w:val="auto"/>
          <w:sz w:val="24"/>
          <w:highlight w:val="none"/>
          <w:u w:val="single"/>
        </w:rPr>
        <w:t>由此而影响到项目报建报监手续办理、被主管部门处罚停工、民工上访等造成的经济损失，由承包人赔偿</w:t>
      </w:r>
      <w:r>
        <w:rPr>
          <w:rFonts w:hint="eastAsia" w:ascii="宋体" w:hAnsi="宋体" w:cs="宋体"/>
          <w:color w:val="auto"/>
          <w:sz w:val="24"/>
          <w:highlight w:val="none"/>
        </w:rPr>
        <w:t>。</w:t>
      </w:r>
    </w:p>
    <w:p w14:paraId="042CEE2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项目经理未经批准，擅自离开施工现场的违约责任：</w:t>
      </w:r>
      <w:r>
        <w:rPr>
          <w:rFonts w:hint="eastAsia" w:ascii="宋体" w:hAnsi="宋体" w:cs="宋体"/>
          <w:color w:val="auto"/>
          <w:sz w:val="24"/>
          <w:highlight w:val="none"/>
          <w:u w:val="single"/>
        </w:rPr>
        <w:t>未经发包人同意或正当理由，项目经理擅自离岗的，视为承包人违约，承包人应处违约金1000元（人民币）/人•次</w:t>
      </w:r>
      <w:r>
        <w:rPr>
          <w:rFonts w:hint="eastAsia" w:ascii="宋体" w:hAnsi="宋体" w:cs="宋体"/>
          <w:color w:val="auto"/>
          <w:sz w:val="24"/>
          <w:highlight w:val="none"/>
        </w:rPr>
        <w:t>。</w:t>
      </w:r>
    </w:p>
    <w:p w14:paraId="332D3B27">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3.2.3 承包人擅自更换项目经理的违约责任：</w:t>
      </w:r>
      <w:r>
        <w:rPr>
          <w:rFonts w:hint="eastAsia" w:ascii="宋体" w:hAnsi="宋体" w:cs="宋体"/>
          <w:color w:val="auto"/>
          <w:sz w:val="24"/>
          <w:highlight w:val="none"/>
          <w:u w:val="single"/>
        </w:rPr>
        <w:t>承包人施工现场项目经理必须与承包人投标时所承诺的人员必须一致，并在（开工日期）前到任。在监理人向承包人颁发（竣工证明材料名称）前，项目经理不得同时兼任其他任何项目</w:t>
      </w:r>
      <w:r>
        <w:rPr>
          <w:rFonts w:hint="eastAsia" w:ascii="宋体" w:hAnsi="宋体" w:cs="宋体"/>
          <w:color w:val="auto"/>
          <w:kern w:val="0"/>
          <w:sz w:val="24"/>
          <w:highlight w:val="none"/>
          <w:u w:val="single"/>
        </w:rPr>
        <w:t>（符合桂建管</w:t>
      </w:r>
      <w:r>
        <w:rPr>
          <w:rFonts w:hint="eastAsia" w:ascii="宋体" w:hAnsi="宋体" w:cs="宋体"/>
          <w:color w:val="auto"/>
          <w:sz w:val="24"/>
          <w:highlight w:val="none"/>
          <w:u w:val="single"/>
        </w:rPr>
        <w:t>﹝2013﹞</w:t>
      </w:r>
      <w:r>
        <w:rPr>
          <w:rFonts w:hint="eastAsia" w:ascii="宋体" w:hAnsi="宋体" w:cs="宋体"/>
          <w:color w:val="auto"/>
          <w:kern w:val="0"/>
          <w:sz w:val="24"/>
          <w:highlight w:val="none"/>
          <w:u w:val="single"/>
        </w:rPr>
        <w:t>17号和</w:t>
      </w:r>
      <w:r>
        <w:rPr>
          <w:rFonts w:hint="eastAsia" w:ascii="宋体" w:hAnsi="宋体" w:cs="宋体"/>
          <w:color w:val="auto"/>
          <w:sz w:val="24"/>
          <w:highlight w:val="none"/>
          <w:u w:val="single"/>
        </w:rPr>
        <w:t>桂建管﹝2014﹞25号</w:t>
      </w:r>
      <w:r>
        <w:rPr>
          <w:rFonts w:hint="eastAsia" w:ascii="宋体" w:hAnsi="宋体" w:cs="宋体"/>
          <w:color w:val="auto"/>
          <w:kern w:val="0"/>
          <w:sz w:val="24"/>
          <w:highlight w:val="none"/>
          <w:u w:val="single"/>
        </w:rPr>
        <w:t>文除外）</w:t>
      </w:r>
      <w:r>
        <w:rPr>
          <w:rFonts w:hint="eastAsia" w:ascii="宋体" w:hAnsi="宋体" w:cs="宋体"/>
          <w:color w:val="auto"/>
          <w:sz w:val="24"/>
          <w:highlight w:val="none"/>
          <w:u w:val="single"/>
        </w:rPr>
        <w:t>。承包人擅自更换项目经理的视为违约，违约金处1000元（人民币）/人•次</w:t>
      </w:r>
      <w:r>
        <w:rPr>
          <w:rFonts w:hint="eastAsia" w:ascii="宋体" w:hAnsi="宋体" w:cs="宋体"/>
          <w:color w:val="auto"/>
          <w:sz w:val="24"/>
          <w:highlight w:val="none"/>
        </w:rPr>
        <w:t>。</w:t>
      </w:r>
    </w:p>
    <w:p w14:paraId="214ADE90">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3.2.4 承包人无正当理由拒绝更换项目经理的违约责</w:t>
      </w:r>
      <w:r>
        <w:rPr>
          <w:rFonts w:hint="eastAsia" w:ascii="宋体" w:hAnsi="宋体" w:cs="宋体"/>
          <w:color w:val="auto"/>
          <w:sz w:val="24"/>
          <w:highlight w:val="none"/>
          <w:lang w:eastAsia="zh-CN"/>
        </w:rPr>
        <w:t>任承</w:t>
      </w:r>
      <w:r>
        <w:rPr>
          <w:rFonts w:hint="eastAsia" w:ascii="宋体" w:hAnsi="宋体" w:cs="宋体"/>
          <w:color w:val="auto"/>
          <w:sz w:val="24"/>
          <w:highlight w:val="none"/>
          <w:u w:val="single"/>
        </w:rPr>
        <w:t>包人项目经理因不称职，发包人要求调换而未及时调换的，视为承包人违约，必须向发包人支付违约金1000元（人民币）/人•次</w:t>
      </w:r>
      <w:r>
        <w:rPr>
          <w:rFonts w:hint="eastAsia" w:ascii="宋体" w:hAnsi="宋体" w:cs="宋体"/>
          <w:color w:val="auto"/>
          <w:sz w:val="24"/>
          <w:highlight w:val="none"/>
        </w:rPr>
        <w:t>。</w:t>
      </w:r>
    </w:p>
    <w:p w14:paraId="66FFF00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3.3 承包人人员</w:t>
      </w:r>
    </w:p>
    <w:p w14:paraId="6FE574B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3.3.1 承包人提交项目管理机构及施工现场管理人员安排报告的期</w:t>
      </w:r>
      <w:r>
        <w:rPr>
          <w:rFonts w:hint="eastAsia" w:ascii="宋体" w:hAnsi="宋体" w:cs="宋体"/>
          <w:color w:val="auto"/>
          <w:sz w:val="24"/>
          <w:highlight w:val="none"/>
          <w:lang w:eastAsia="zh-CN"/>
        </w:rPr>
        <w:t>限为</w:t>
      </w:r>
      <w:r>
        <w:rPr>
          <w:rFonts w:hint="eastAsia" w:ascii="宋体" w:hAnsi="宋体" w:cs="宋体"/>
          <w:color w:val="auto"/>
          <w:sz w:val="24"/>
          <w:highlight w:val="none"/>
          <w:u w:val="single"/>
        </w:rPr>
        <w:t>开工前7天内</w:t>
      </w:r>
      <w:r>
        <w:rPr>
          <w:rFonts w:hint="eastAsia" w:ascii="宋体" w:hAnsi="宋体" w:cs="宋体"/>
          <w:color w:val="auto"/>
          <w:sz w:val="24"/>
          <w:highlight w:val="none"/>
        </w:rPr>
        <w:t>。</w:t>
      </w:r>
    </w:p>
    <w:p w14:paraId="5A7E2561">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3.3.3 承包人无正当理由拒绝撤换主要施工管理人员的违约责任：</w:t>
      </w:r>
      <w:r>
        <w:rPr>
          <w:rFonts w:hint="eastAsia" w:ascii="宋体" w:hAnsi="宋体" w:cs="宋体"/>
          <w:color w:val="auto"/>
          <w:sz w:val="24"/>
          <w:highlight w:val="none"/>
          <w:u w:val="single"/>
        </w:rPr>
        <w:t>承包人主要施工管理人员因不称职，发包人要求调换而无正当理由拒绝撤换或未及时调换的，视为承包人违约，必须向发包人交纳违约金，处罚标准：技术负责人1000元（人民币）/人•次；专业工程师2000元（人民币）/人•次</w:t>
      </w:r>
      <w:r>
        <w:rPr>
          <w:rFonts w:hint="eastAsia" w:ascii="宋体" w:hAnsi="宋体" w:cs="宋体"/>
          <w:color w:val="auto"/>
          <w:sz w:val="24"/>
          <w:highlight w:val="none"/>
        </w:rPr>
        <w:t>。</w:t>
      </w:r>
    </w:p>
    <w:p w14:paraId="232C8989">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3.3.4 承包人主要施工管理人员离开施工现场的批准要求</w:t>
      </w:r>
      <w:r>
        <w:rPr>
          <w:rFonts w:hint="eastAsia" w:ascii="宋体" w:hAnsi="宋体" w:cs="宋体"/>
          <w:color w:val="auto"/>
          <w:sz w:val="24"/>
          <w:highlight w:val="none"/>
          <w:u w:val="single"/>
        </w:rPr>
        <w:t xml:space="preserve">每人每天扣减工程款1000元，此款从承包人应得工程款扣除   </w:t>
      </w:r>
      <w:r>
        <w:rPr>
          <w:rFonts w:hint="eastAsia" w:ascii="宋体" w:hAnsi="宋体" w:cs="宋体"/>
          <w:color w:val="auto"/>
          <w:sz w:val="24"/>
          <w:highlight w:val="none"/>
        </w:rPr>
        <w:t>。</w:t>
      </w:r>
    </w:p>
    <w:p w14:paraId="500986C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3.3.5承包人擅自更换主要施工管理人员的违约责任</w:t>
      </w:r>
      <w:r>
        <w:rPr>
          <w:rFonts w:hint="eastAsia" w:ascii="宋体" w:hAnsi="宋体" w:cs="宋体"/>
          <w:color w:val="auto"/>
          <w:sz w:val="24"/>
          <w:highlight w:val="none"/>
          <w:u w:val="single"/>
        </w:rPr>
        <w:t>技术负责人、专业工程师未经发包人书面同意不准擅自更换，擅自更换技术负责人处1000元（人民币）/人•次违约金；擅自更换专业工程师处2000元（人民币）/人•次违约金</w:t>
      </w:r>
      <w:r>
        <w:rPr>
          <w:rFonts w:hint="eastAsia" w:ascii="宋体" w:hAnsi="宋体" w:cs="宋体"/>
          <w:color w:val="auto"/>
          <w:sz w:val="24"/>
          <w:highlight w:val="none"/>
        </w:rPr>
        <w:t>。</w:t>
      </w:r>
    </w:p>
    <w:p w14:paraId="7B95B8A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承包人主要施工管理人员擅自离开施工现场的违约责任：</w:t>
      </w:r>
      <w:r>
        <w:rPr>
          <w:rFonts w:hint="eastAsia" w:ascii="宋体" w:hAnsi="宋体" w:cs="宋体"/>
          <w:color w:val="auto"/>
          <w:sz w:val="24"/>
          <w:highlight w:val="none"/>
          <w:u w:val="single"/>
        </w:rPr>
        <w:t>未经发包人同意，技术负责人擅自离岗的，视为承包人违约，承包人支付违约金2000元（人民币）/人•次；未经发包人同意，专业工程师擅自离岗的，视为承包人违约，承包人支付违约金1000元（人民币）/人•次</w:t>
      </w:r>
      <w:r>
        <w:rPr>
          <w:rFonts w:hint="eastAsia" w:ascii="宋体" w:hAnsi="宋体" w:cs="宋体"/>
          <w:color w:val="auto"/>
          <w:sz w:val="24"/>
          <w:highlight w:val="none"/>
        </w:rPr>
        <w:t>。</w:t>
      </w:r>
    </w:p>
    <w:p w14:paraId="661451F7">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bookmarkStart w:id="125" w:name="_Toc296890987"/>
      <w:bookmarkStart w:id="126" w:name="_Toc296346660"/>
      <w:bookmarkStart w:id="127" w:name="_Toc296944498"/>
      <w:bookmarkStart w:id="128" w:name="_Toc297123492"/>
      <w:bookmarkStart w:id="129" w:name="_Toc297216151"/>
      <w:bookmarkStart w:id="130" w:name="_Toc292559364"/>
      <w:bookmarkStart w:id="131" w:name="_Toc296891199"/>
      <w:bookmarkStart w:id="132" w:name="_Toc296347158"/>
      <w:bookmarkStart w:id="133" w:name="_Toc292559869"/>
      <w:bookmarkStart w:id="134" w:name="_Toc297120459"/>
      <w:bookmarkStart w:id="135" w:name="_Toc297048345"/>
      <w:bookmarkStart w:id="136" w:name="_Toc296503159"/>
      <w:bookmarkStart w:id="137" w:name="_Toc304295523"/>
      <w:bookmarkStart w:id="138" w:name="_Toc300934945"/>
      <w:bookmarkStart w:id="139" w:name="_Toc303539102"/>
      <w:bookmarkStart w:id="140" w:name="_Toc312677988"/>
      <w:r>
        <w:rPr>
          <w:rFonts w:hint="eastAsia" w:ascii="宋体" w:hAnsi="宋体" w:cs="宋体"/>
          <w:color w:val="auto"/>
          <w:sz w:val="24"/>
          <w:highlight w:val="none"/>
        </w:rPr>
        <w:t>.5 分包</w:t>
      </w:r>
    </w:p>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14:paraId="307169C3">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bookmarkStart w:id="141" w:name="_Toc300934946"/>
      <w:bookmarkStart w:id="142" w:name="_Toc303539103"/>
      <w:bookmarkStart w:id="143" w:name="_Toc292559870"/>
      <w:bookmarkStart w:id="144" w:name="_Toc297216152"/>
      <w:bookmarkStart w:id="145" w:name="_Toc297123493"/>
      <w:bookmarkStart w:id="146" w:name="_Toc296347159"/>
      <w:bookmarkStart w:id="147" w:name="_Toc296346661"/>
      <w:bookmarkStart w:id="148" w:name="_Toc296503160"/>
      <w:bookmarkStart w:id="149" w:name="_Toc297048346"/>
      <w:bookmarkStart w:id="150" w:name="_Toc292559365"/>
      <w:bookmarkStart w:id="151" w:name="_Toc297120460"/>
      <w:bookmarkStart w:id="152" w:name="_Toc304295524"/>
      <w:bookmarkStart w:id="153" w:name="_Toc296944499"/>
      <w:bookmarkStart w:id="154" w:name="_Toc296890988"/>
      <w:bookmarkStart w:id="155" w:name="_Toc296891200"/>
      <w:bookmarkStart w:id="156" w:name="_Toc318581158"/>
      <w:bookmarkStart w:id="157" w:name="_Toc312677989"/>
      <w:r>
        <w:rPr>
          <w:rFonts w:hint="eastAsia" w:ascii="宋体" w:hAnsi="宋体" w:cs="宋体"/>
          <w:color w:val="auto"/>
          <w:sz w:val="24"/>
          <w:highlight w:val="none"/>
        </w:rPr>
        <w:t>.5.1 分包的一般约定</w:t>
      </w:r>
    </w:p>
    <w:p w14:paraId="1C631D27">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禁止分包的工程包括：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9CEF2A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主体结构、关键性工作的范围：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Start w:id="158" w:name="_Toc296890989"/>
      <w:bookmarkStart w:id="159" w:name="_Toc296891201"/>
      <w:bookmarkStart w:id="160" w:name="_Toc297048347"/>
      <w:bookmarkStart w:id="161" w:name="_Toc303539104"/>
      <w:bookmarkStart w:id="162" w:name="_Toc300934947"/>
      <w:bookmarkStart w:id="163" w:name="_Toc296503161"/>
      <w:bookmarkStart w:id="164" w:name="_Toc296347160"/>
      <w:bookmarkStart w:id="165" w:name="_Toc297123494"/>
      <w:bookmarkStart w:id="166" w:name="_Toc296346662"/>
      <w:bookmarkStart w:id="167" w:name="_Toc296944500"/>
      <w:bookmarkStart w:id="168" w:name="_Toc297120461"/>
      <w:bookmarkStart w:id="169" w:name="_Toc304295525"/>
      <w:bookmarkStart w:id="170" w:name="_Toc297216153"/>
    </w:p>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14:paraId="09A34247">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bookmarkStart w:id="171" w:name="_Toc318581159"/>
      <w:bookmarkStart w:id="172" w:name="_Toc312677990"/>
      <w:r>
        <w:rPr>
          <w:rFonts w:hint="eastAsia" w:ascii="宋体" w:hAnsi="宋体" w:cs="宋体"/>
          <w:color w:val="auto"/>
          <w:sz w:val="24"/>
          <w:highlight w:val="none"/>
        </w:rPr>
        <w:t>.5.2分包的确定</w:t>
      </w:r>
    </w:p>
    <w:p w14:paraId="49C1684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允许分包的专业工程包括：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04F0BB4">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其他关于分包的约定：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E3D5AE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3.5.4 分包合同价款</w:t>
      </w:r>
    </w:p>
    <w:p w14:paraId="1271E0A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关于分包合同价款支付的约定：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171"/>
    <w:bookmarkEnd w:id="172"/>
    <w:p w14:paraId="50E90B8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3.6 工程照管与成品、半成品保护</w:t>
      </w:r>
    </w:p>
    <w:p w14:paraId="680ACAD1">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承包人负责照管工程及工程相关的材料、工程设备的起始时间：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7A3690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3.7 履约担保</w:t>
      </w:r>
    </w:p>
    <w:p w14:paraId="79BE5103">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承包人是否提供履约担保：</w:t>
      </w:r>
      <w:r>
        <w:rPr>
          <w:rFonts w:hint="eastAsia" w:ascii="宋体" w:hAnsi="宋体" w:cs="宋体"/>
          <w:color w:val="auto"/>
          <w:sz w:val="24"/>
          <w:highlight w:val="none"/>
          <w:u w:val="single"/>
        </w:rPr>
        <w:t xml:space="preserve">    否    </w:t>
      </w:r>
      <w:r>
        <w:rPr>
          <w:rFonts w:hint="eastAsia" w:ascii="宋体" w:hAnsi="宋体" w:cs="宋体"/>
          <w:color w:val="auto"/>
          <w:sz w:val="24"/>
          <w:highlight w:val="none"/>
        </w:rPr>
        <w:t>。</w:t>
      </w:r>
    </w:p>
    <w:p w14:paraId="2AE1644B">
      <w:pPr>
        <w:spacing w:line="400" w:lineRule="exact"/>
        <w:ind w:firstLine="482" w:firstLineChars="200"/>
        <w:rPr>
          <w:rFonts w:hint="eastAsia" w:ascii="宋体" w:hAnsi="宋体" w:cs="宋体"/>
          <w:b/>
          <w:bCs/>
          <w:color w:val="auto"/>
          <w:sz w:val="24"/>
          <w:highlight w:val="none"/>
        </w:rPr>
      </w:pPr>
      <w:bookmarkStart w:id="173" w:name="_Toc351203636"/>
      <w:r>
        <w:rPr>
          <w:rFonts w:hint="eastAsia" w:ascii="宋体" w:hAnsi="宋体" w:cs="宋体"/>
          <w:b/>
          <w:bCs/>
          <w:color w:val="auto"/>
          <w:sz w:val="24"/>
          <w:highlight w:val="none"/>
        </w:rPr>
        <w:t>4</w:t>
      </w:r>
      <w:bookmarkStart w:id="174" w:name="_Toc292559871"/>
      <w:bookmarkStart w:id="175" w:name="_Toc296347161"/>
      <w:bookmarkStart w:id="176" w:name="_Toc296944501"/>
      <w:bookmarkStart w:id="177" w:name="_Toc296891202"/>
      <w:bookmarkStart w:id="178" w:name="_Toc296346663"/>
      <w:bookmarkStart w:id="179" w:name="_Toc267251413"/>
      <w:bookmarkStart w:id="180" w:name="_Toc297120462"/>
      <w:bookmarkStart w:id="181" w:name="_Toc296890990"/>
      <w:bookmarkStart w:id="182" w:name="_Toc297048348"/>
      <w:bookmarkStart w:id="183" w:name="_Toc292559366"/>
      <w:bookmarkStart w:id="184" w:name="_Toc296503162"/>
      <w:r>
        <w:rPr>
          <w:rFonts w:hint="eastAsia" w:ascii="宋体" w:hAnsi="宋体" w:cs="宋体"/>
          <w:b/>
          <w:bCs/>
          <w:color w:val="auto"/>
          <w:sz w:val="24"/>
          <w:highlight w:val="none"/>
        </w:rPr>
        <w:t>.监</w:t>
      </w:r>
      <w:bookmarkEnd w:id="174"/>
      <w:bookmarkEnd w:id="175"/>
      <w:bookmarkEnd w:id="176"/>
      <w:bookmarkEnd w:id="177"/>
      <w:bookmarkEnd w:id="178"/>
      <w:bookmarkEnd w:id="179"/>
      <w:bookmarkEnd w:id="180"/>
      <w:bookmarkEnd w:id="181"/>
      <w:bookmarkEnd w:id="182"/>
      <w:bookmarkEnd w:id="183"/>
      <w:bookmarkEnd w:id="184"/>
      <w:r>
        <w:rPr>
          <w:rFonts w:hint="eastAsia" w:ascii="宋体" w:hAnsi="宋体" w:cs="宋体"/>
          <w:b/>
          <w:bCs/>
          <w:color w:val="auto"/>
          <w:sz w:val="24"/>
          <w:highlight w:val="none"/>
        </w:rPr>
        <w:t>理人</w:t>
      </w:r>
      <w:bookmarkEnd w:id="173"/>
    </w:p>
    <w:p w14:paraId="2B7B634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4.1监理人的一般规定</w:t>
      </w:r>
    </w:p>
    <w:p w14:paraId="593D03B9">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关于监理人的监理内容：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FF6D0C7">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关于监理人的监理权限：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7DFD9C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关于监理人在施工现场的办公场所、生活场所的提供和费用承担的约定：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8B73931">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4.2 监理人员</w:t>
      </w:r>
    </w:p>
    <w:p w14:paraId="57332F5B">
      <w:pPr>
        <w:adjustRightInd w:val="0"/>
        <w:snapToGrid w:val="0"/>
        <w:spacing w:line="400" w:lineRule="exact"/>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总监理工程师：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D05A1ED">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8B18297">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306CBD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监理工程师执业资格证书号：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8991D1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FA9A41">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3E51951">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E9BE56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关于监理人的其他约定：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C4388BE">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4.4 商定或确定</w:t>
      </w:r>
    </w:p>
    <w:p w14:paraId="42D81294">
      <w:pPr>
        <w:adjustRightInd w:val="0"/>
        <w:snapToGrid w:val="0"/>
        <w:spacing w:line="400" w:lineRule="exact"/>
        <w:ind w:firstLine="480" w:firstLineChars="200"/>
        <w:jc w:val="left"/>
        <w:rPr>
          <w:rFonts w:hint="eastAsia" w:ascii="宋体" w:hAnsi="宋体" w:cs="宋体"/>
          <w:color w:val="auto"/>
          <w:sz w:val="24"/>
          <w:highlight w:val="none"/>
        </w:rPr>
      </w:pPr>
      <w:bookmarkStart w:id="185" w:name="_Toc267251418"/>
      <w:r>
        <w:rPr>
          <w:rFonts w:hint="eastAsia" w:ascii="宋体" w:hAnsi="宋体" w:cs="宋体"/>
          <w:color w:val="auto"/>
          <w:sz w:val="24"/>
          <w:highlight w:val="none"/>
        </w:rPr>
        <w:t>在发包人和承包人不能通过协商达成一致意见时，发包人授权监理人对以下事项进行确定：</w:t>
      </w:r>
    </w:p>
    <w:p w14:paraId="78DA78B9">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98B785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59350CE">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E7C491F">
      <w:pPr>
        <w:spacing w:line="400" w:lineRule="exact"/>
        <w:ind w:firstLine="482" w:firstLineChars="200"/>
        <w:rPr>
          <w:rFonts w:hint="eastAsia" w:ascii="宋体" w:hAnsi="宋体" w:cs="宋体"/>
          <w:b/>
          <w:bCs/>
          <w:color w:val="auto"/>
          <w:sz w:val="24"/>
          <w:highlight w:val="none"/>
        </w:rPr>
      </w:pPr>
      <w:bookmarkStart w:id="186" w:name="_Toc351203637"/>
      <w:r>
        <w:rPr>
          <w:rFonts w:hint="eastAsia" w:ascii="宋体" w:hAnsi="宋体" w:cs="宋体"/>
          <w:b/>
          <w:bCs/>
          <w:color w:val="auto"/>
          <w:sz w:val="24"/>
          <w:highlight w:val="none"/>
        </w:rPr>
        <w:t>5</w:t>
      </w:r>
      <w:bookmarkEnd w:id="185"/>
      <w:r>
        <w:rPr>
          <w:rFonts w:hint="eastAsia" w:ascii="宋体" w:hAnsi="宋体" w:cs="宋体"/>
          <w:b/>
          <w:bCs/>
          <w:color w:val="auto"/>
          <w:sz w:val="24"/>
          <w:highlight w:val="none"/>
        </w:rPr>
        <w:t>.工程质量</w:t>
      </w:r>
      <w:bookmarkEnd w:id="186"/>
    </w:p>
    <w:p w14:paraId="5F0176B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5.1 质量要求</w:t>
      </w:r>
    </w:p>
    <w:p w14:paraId="7B61F5E4">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5.1.1 特殊质量标准和要求：</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47DC2EAD">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关于工程奖项的约定：</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1ADC3CED">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5.3 隐蔽工程检查</w:t>
      </w:r>
    </w:p>
    <w:p w14:paraId="2175DEF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5.3.1承包人提前通知监理人隐蔽工程检查的期限的约定：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ABE3E6D">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监理人不能按时进行检查时，应提前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小时提交书面延期要求。</w:t>
      </w:r>
    </w:p>
    <w:p w14:paraId="39B64C6E">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关于延期最长不得超过：</w:t>
      </w:r>
      <w:r>
        <w:rPr>
          <w:rFonts w:hint="eastAsia" w:ascii="宋体" w:hAnsi="宋体" w:cs="宋体"/>
          <w:color w:val="auto"/>
          <w:sz w:val="24"/>
          <w:highlight w:val="none"/>
          <w:u w:val="single"/>
        </w:rPr>
        <w:t xml:space="preserve"> 48 </w:t>
      </w:r>
      <w:r>
        <w:rPr>
          <w:rFonts w:hint="eastAsia" w:ascii="宋体" w:hAnsi="宋体" w:cs="宋体"/>
          <w:color w:val="auto"/>
          <w:sz w:val="24"/>
          <w:highlight w:val="none"/>
        </w:rPr>
        <w:t>小时。</w:t>
      </w:r>
    </w:p>
    <w:p w14:paraId="2746BC9B">
      <w:pPr>
        <w:spacing w:line="400" w:lineRule="exact"/>
        <w:ind w:firstLine="482" w:firstLineChars="200"/>
        <w:rPr>
          <w:rFonts w:hint="eastAsia" w:ascii="宋体" w:hAnsi="宋体" w:cs="宋体"/>
          <w:b/>
          <w:bCs/>
          <w:color w:val="auto"/>
          <w:sz w:val="24"/>
          <w:highlight w:val="none"/>
        </w:rPr>
      </w:pPr>
      <w:bookmarkStart w:id="187" w:name="_Toc351203638"/>
      <w:r>
        <w:rPr>
          <w:rFonts w:hint="eastAsia" w:ascii="宋体" w:hAnsi="宋体" w:cs="宋体"/>
          <w:b/>
          <w:bCs/>
          <w:color w:val="auto"/>
          <w:sz w:val="24"/>
          <w:highlight w:val="none"/>
        </w:rPr>
        <w:t>6.安全文明施工与环境保护</w:t>
      </w:r>
      <w:bookmarkEnd w:id="187"/>
    </w:p>
    <w:p w14:paraId="26A4F2F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6.1安全文明施工</w:t>
      </w:r>
    </w:p>
    <w:p w14:paraId="29CF53BD">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6.1.1 项目安全生产的达标目标及相应事项的约定：</w:t>
      </w:r>
      <w:r>
        <w:rPr>
          <w:rFonts w:hint="eastAsia" w:ascii="宋体" w:hAnsi="宋体" w:cs="宋体"/>
          <w:color w:val="auto"/>
          <w:sz w:val="24"/>
          <w:highlight w:val="none"/>
          <w:u w:val="single"/>
        </w:rPr>
        <w:t>在施工过程中不发生任何安全责任事故</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如发生安全责任事故的，将扣除施工费用并由施工单位</w:t>
      </w:r>
      <w:bookmarkStart w:id="188" w:name="_Toc296346669"/>
      <w:bookmarkStart w:id="189" w:name="_Toc303539137"/>
      <w:bookmarkStart w:id="190" w:name="_Toc280868656"/>
      <w:bookmarkStart w:id="191" w:name="_Toc300934980"/>
      <w:bookmarkStart w:id="192" w:name="_Toc296503168"/>
      <w:bookmarkStart w:id="193" w:name="_Toc297048354"/>
      <w:bookmarkStart w:id="194" w:name="_Toc297123528"/>
      <w:bookmarkStart w:id="195" w:name="_Toc280868655"/>
      <w:bookmarkStart w:id="196" w:name="_Toc296890996"/>
      <w:bookmarkStart w:id="197" w:name="_Toc318581173"/>
      <w:bookmarkStart w:id="198" w:name="_Toc312678020"/>
      <w:bookmarkStart w:id="199" w:name="_Toc267251424"/>
      <w:bookmarkStart w:id="200" w:name="_Toc312677494"/>
      <w:bookmarkStart w:id="201" w:name="_Toc297120468"/>
      <w:bookmarkStart w:id="202" w:name="_Toc297216187"/>
      <w:bookmarkStart w:id="203" w:name="_Toc296347167"/>
      <w:bookmarkStart w:id="204" w:name="_Toc296891208"/>
      <w:bookmarkStart w:id="205" w:name="_Toc304295557"/>
      <w:bookmarkStart w:id="206" w:name="_Toc296944507"/>
      <w:r>
        <w:rPr>
          <w:rFonts w:hint="eastAsia" w:ascii="宋体" w:hAnsi="宋体" w:cs="宋体"/>
          <w:color w:val="auto"/>
          <w:sz w:val="24"/>
          <w:highlight w:val="none"/>
          <w:u w:val="single"/>
        </w:rPr>
        <w:t>全盘负责。</w:t>
      </w:r>
    </w:p>
    <w:p w14:paraId="54D645A1">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6.1.2 关于治安保卫的特别约定：</w:t>
      </w:r>
      <w:r>
        <w:rPr>
          <w:rFonts w:hint="eastAsia" w:ascii="宋体" w:hAnsi="宋体" w:cs="宋体"/>
          <w:color w:val="auto"/>
          <w:sz w:val="24"/>
          <w:highlight w:val="none"/>
          <w:u w:val="single"/>
        </w:rPr>
        <w:t xml:space="preserve">承包人应承担施工安全保卫工作及施工照明的责任，承包人应采取一切合理的预防措施，防止人员伤亡、财产损失事故，费用由承包人承担。承包人生活设施及施工场应自费配备消防设备（符合消防安全规定），防止火灾发生 </w:t>
      </w:r>
      <w:r>
        <w:rPr>
          <w:rFonts w:hint="eastAsia" w:ascii="宋体" w:hAnsi="宋体" w:cs="宋体"/>
          <w:color w:val="auto"/>
          <w:sz w:val="24"/>
          <w:highlight w:val="none"/>
        </w:rPr>
        <w:t xml:space="preserve"> 。</w:t>
      </w:r>
    </w:p>
    <w:p w14:paraId="60203184">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关于编制施工场地治安管理计划的约定：</w:t>
      </w:r>
      <w:r>
        <w:rPr>
          <w:rFonts w:hint="eastAsia" w:ascii="宋体" w:hAnsi="宋体" w:cs="宋体"/>
          <w:color w:val="auto"/>
          <w:sz w:val="24"/>
          <w:highlight w:val="none"/>
          <w:u w:val="single"/>
        </w:rPr>
        <w:t>由承包人负责编制和办理报批手续</w:t>
      </w:r>
      <w:r>
        <w:rPr>
          <w:rFonts w:hint="eastAsia" w:ascii="宋体" w:hAnsi="宋体" w:cs="宋体"/>
          <w:color w:val="auto"/>
          <w:sz w:val="24"/>
          <w:highlight w:val="none"/>
        </w:rPr>
        <w:t>。</w:t>
      </w:r>
    </w:p>
    <w:p w14:paraId="698802C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6.1.3 文明施工</w:t>
      </w:r>
    </w:p>
    <w:p w14:paraId="1CF1B61E">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合同当事人对文明施工的要求：</w:t>
      </w:r>
      <w:r>
        <w:rPr>
          <w:rFonts w:hint="eastAsia" w:ascii="宋体" w:hAnsi="宋体" w:cs="宋体"/>
          <w:color w:val="auto"/>
          <w:sz w:val="24"/>
          <w:highlight w:val="none"/>
          <w:u w:val="single"/>
        </w:rPr>
        <w:t>遵守行业和项目所在地方政府的规定</w:t>
      </w:r>
      <w:r>
        <w:rPr>
          <w:rFonts w:hint="eastAsia" w:ascii="宋体" w:hAnsi="宋体" w:cs="宋体"/>
          <w:color w:val="auto"/>
          <w:sz w:val="24"/>
          <w:highlight w:val="none"/>
        </w:rPr>
        <w:t>。</w:t>
      </w:r>
    </w:p>
    <w:p w14:paraId="7FE3197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6.1.4关于安全文明施工费支付比例和支付期限的约定：</w:t>
      </w:r>
      <w:r>
        <w:rPr>
          <w:rFonts w:hint="eastAsia" w:ascii="宋体" w:hAnsi="宋体" w:cs="宋体"/>
          <w:color w:val="auto"/>
          <w:sz w:val="24"/>
          <w:highlight w:val="none"/>
          <w:u w:val="single"/>
        </w:rPr>
        <w:t>本合同价款已包含安全防护、文明施工措施费      元，使用要求：专款专用。具体按《广西壮族自治区建设工程安全文明施工费使用细则》（桂建质</w:t>
      </w:r>
      <w:r>
        <w:rPr>
          <w:rFonts w:hint="eastAsia" w:ascii="宋体" w:hAnsi="宋体" w:cs="宋体"/>
          <w:color w:val="auto"/>
          <w:sz w:val="24"/>
          <w:highlight w:val="none"/>
          <w:u w:val="single"/>
          <w:lang w:eastAsia="zh-CN"/>
        </w:rPr>
        <w:t>〔2015〕16号</w:t>
      </w:r>
      <w:r>
        <w:rPr>
          <w:rFonts w:hint="eastAsia" w:ascii="宋体" w:hAnsi="宋体" w:cs="宋体"/>
          <w:color w:val="auto"/>
          <w:sz w:val="24"/>
          <w:highlight w:val="none"/>
          <w:u w:val="single"/>
        </w:rPr>
        <w:t>文）和梧州市相关规定执行</w:t>
      </w:r>
      <w:r>
        <w:rPr>
          <w:rFonts w:hint="eastAsia" w:ascii="宋体" w:hAnsi="宋体" w:cs="宋体"/>
          <w:color w:val="auto"/>
          <w:sz w:val="24"/>
          <w:highlight w:val="none"/>
        </w:rPr>
        <w:t>。</w:t>
      </w:r>
    </w:p>
    <w:p w14:paraId="7CF7D1B9">
      <w:pPr>
        <w:spacing w:line="400" w:lineRule="exact"/>
        <w:ind w:firstLine="482" w:firstLineChars="200"/>
        <w:rPr>
          <w:rFonts w:hint="eastAsia" w:ascii="宋体" w:hAnsi="宋体" w:cs="宋体"/>
          <w:b/>
          <w:bCs/>
          <w:color w:val="auto"/>
          <w:sz w:val="24"/>
          <w:highlight w:val="none"/>
        </w:rPr>
      </w:pPr>
      <w:bookmarkStart w:id="207" w:name="_Toc351203639"/>
      <w:r>
        <w:rPr>
          <w:rFonts w:hint="eastAsia" w:ascii="宋体" w:hAnsi="宋体" w:cs="宋体"/>
          <w:b/>
          <w:bCs/>
          <w:color w:val="auto"/>
          <w:sz w:val="24"/>
          <w:highlight w:val="none"/>
        </w:rPr>
        <w:t>7.工期和进度</w:t>
      </w:r>
      <w:bookmarkEnd w:id="207"/>
    </w:p>
    <w:p w14:paraId="38DDCA1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7.1 施工组织设计</w:t>
      </w:r>
    </w:p>
    <w:p w14:paraId="46BAEC8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7.1.1 合同当事人约定的施工组织设计应包括的其他内容：</w:t>
      </w:r>
      <w:r>
        <w:rPr>
          <w:rFonts w:hint="eastAsia" w:ascii="宋体" w:hAnsi="宋体" w:cs="宋体"/>
          <w:color w:val="auto"/>
          <w:sz w:val="24"/>
          <w:highlight w:val="none"/>
          <w:u w:val="single"/>
        </w:rPr>
        <w:t>按照工程特点和行业有关规定编制</w:t>
      </w:r>
      <w:r>
        <w:rPr>
          <w:rFonts w:hint="eastAsia" w:ascii="宋体" w:hAnsi="宋体" w:cs="宋体"/>
          <w:color w:val="auto"/>
          <w:sz w:val="24"/>
          <w:highlight w:val="none"/>
        </w:rPr>
        <w:t>。</w:t>
      </w:r>
    </w:p>
    <w:p w14:paraId="26606EB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7.1.2 施工组织设计的提交和修改</w:t>
      </w:r>
    </w:p>
    <w:p w14:paraId="52595549">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承包人提交详细施工组织设计的期限的约定：</w:t>
      </w:r>
      <w:r>
        <w:rPr>
          <w:rFonts w:hint="eastAsia" w:ascii="宋体" w:hAnsi="宋体" w:cs="宋体"/>
          <w:color w:val="auto"/>
          <w:sz w:val="24"/>
          <w:highlight w:val="none"/>
          <w:u w:val="single"/>
        </w:rPr>
        <w:t>开工前7天</w:t>
      </w:r>
      <w:r>
        <w:rPr>
          <w:rFonts w:hint="eastAsia" w:ascii="宋体" w:hAnsi="宋体" w:cs="宋体"/>
          <w:color w:val="auto"/>
          <w:sz w:val="24"/>
          <w:highlight w:val="none"/>
        </w:rPr>
        <w:t>。</w:t>
      </w:r>
    </w:p>
    <w:p w14:paraId="3D68096E">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发包人和监理人在收到详细的施工组织设计后确认或提出修改意见的期限：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103C43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w:t>
      </w:r>
      <w:bookmarkStart w:id="208" w:name="_Toc312677479"/>
      <w:bookmarkStart w:id="209" w:name="_Toc297216173"/>
      <w:bookmarkStart w:id="210" w:name="_Toc312678005"/>
      <w:bookmarkStart w:id="211" w:name="_Toc297123514"/>
      <w:bookmarkStart w:id="212" w:name="_Toc300934966"/>
      <w:bookmarkStart w:id="213" w:name="_Toc304295541"/>
      <w:bookmarkStart w:id="214" w:name="_Toc303539123"/>
      <w:r>
        <w:rPr>
          <w:rFonts w:hint="eastAsia" w:ascii="宋体" w:hAnsi="宋体" w:cs="宋体"/>
          <w:color w:val="auto"/>
          <w:sz w:val="24"/>
          <w:highlight w:val="none"/>
        </w:rPr>
        <w:t>.2 施工进度计划</w:t>
      </w:r>
    </w:p>
    <w:p w14:paraId="5E0377E7">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7.2.2 施工进度计划的修订</w:t>
      </w:r>
    </w:p>
    <w:p w14:paraId="11E6D8B1">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发包人和监理人在收到修订的施工进度计划后确认或提出修改意见的期限：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9365817">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7.3 开工</w:t>
      </w:r>
    </w:p>
    <w:p w14:paraId="3817027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7.3.1 开工准备</w:t>
      </w:r>
    </w:p>
    <w:p w14:paraId="4EFA443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关于承包人提交工程开工报审表的期限：</w:t>
      </w:r>
      <w:r>
        <w:rPr>
          <w:rFonts w:hint="eastAsia" w:ascii="宋体" w:hAnsi="宋体" w:cs="宋体"/>
          <w:color w:val="auto"/>
          <w:sz w:val="24"/>
          <w:highlight w:val="none"/>
          <w:u w:val="single"/>
        </w:rPr>
        <w:t>开工前3天</w:t>
      </w:r>
      <w:r>
        <w:rPr>
          <w:rFonts w:hint="eastAsia" w:ascii="宋体" w:hAnsi="宋体" w:cs="宋体"/>
          <w:color w:val="auto"/>
          <w:sz w:val="24"/>
          <w:highlight w:val="none"/>
        </w:rPr>
        <w:t>。</w:t>
      </w:r>
    </w:p>
    <w:p w14:paraId="507BED4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关于发包人应完成的其他开工准备工作及期限：</w:t>
      </w:r>
      <w:r>
        <w:rPr>
          <w:rFonts w:hint="eastAsia" w:ascii="宋体" w:hAnsi="宋体" w:cs="宋体"/>
          <w:color w:val="auto"/>
          <w:sz w:val="24"/>
          <w:highlight w:val="none"/>
          <w:u w:val="single"/>
        </w:rPr>
        <w:t>开工前7天</w:t>
      </w:r>
      <w:r>
        <w:rPr>
          <w:rFonts w:hint="eastAsia" w:ascii="宋体" w:hAnsi="宋体" w:cs="宋体"/>
          <w:color w:val="auto"/>
          <w:sz w:val="24"/>
          <w:highlight w:val="none"/>
        </w:rPr>
        <w:t>。</w:t>
      </w:r>
    </w:p>
    <w:p w14:paraId="189B05F4">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关于承包人应完成的其他开工准备工作及期限：</w:t>
      </w:r>
      <w:r>
        <w:rPr>
          <w:rFonts w:hint="eastAsia" w:ascii="宋体" w:hAnsi="宋体" w:cs="宋体"/>
          <w:color w:val="auto"/>
          <w:sz w:val="24"/>
          <w:highlight w:val="none"/>
          <w:u w:val="single"/>
        </w:rPr>
        <w:t>开工前3天</w:t>
      </w:r>
      <w:r>
        <w:rPr>
          <w:rFonts w:hint="eastAsia" w:ascii="宋体" w:hAnsi="宋体" w:cs="宋体"/>
          <w:color w:val="auto"/>
          <w:sz w:val="24"/>
          <w:highlight w:val="none"/>
        </w:rPr>
        <w:t>。</w:t>
      </w:r>
    </w:p>
    <w:p w14:paraId="02E42EA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7.3.2开工通知</w:t>
      </w:r>
    </w:p>
    <w:p w14:paraId="6F31F77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因发包人原因造成监理人未能在计划开工日期之日起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天内发出开工通知的，承包人有权提出价格调整要求，或者解除合同。</w:t>
      </w:r>
    </w:p>
    <w:bookmarkEnd w:id="208"/>
    <w:bookmarkEnd w:id="209"/>
    <w:bookmarkEnd w:id="210"/>
    <w:bookmarkEnd w:id="211"/>
    <w:bookmarkEnd w:id="212"/>
    <w:bookmarkEnd w:id="213"/>
    <w:bookmarkEnd w:id="214"/>
    <w:p w14:paraId="62E9E1D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7.4 测量放线</w:t>
      </w:r>
    </w:p>
    <w:p w14:paraId="25E4F0A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7.4.1发包人通过监理人向承包人提供测量基准点、基准线和水准点及其书面资料的期限：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739FA0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w:t>
      </w:r>
      <w:bookmarkStart w:id="215" w:name="_Toc297216175"/>
      <w:bookmarkStart w:id="216" w:name="_Toc300934968"/>
      <w:bookmarkStart w:id="217" w:name="_Toc312677484"/>
      <w:bookmarkStart w:id="218" w:name="_Toc312678010"/>
      <w:bookmarkStart w:id="219" w:name="_Toc304295546"/>
      <w:bookmarkStart w:id="220" w:name="_Toc297123516"/>
      <w:bookmarkStart w:id="221" w:name="_Toc303539125"/>
      <w:r>
        <w:rPr>
          <w:rFonts w:hint="eastAsia" w:ascii="宋体" w:hAnsi="宋体" w:cs="宋体"/>
          <w:color w:val="auto"/>
          <w:sz w:val="24"/>
          <w:highlight w:val="none"/>
        </w:rPr>
        <w:t>.5 工期延误</w:t>
      </w:r>
    </w:p>
    <w:bookmarkEnd w:id="215"/>
    <w:bookmarkEnd w:id="216"/>
    <w:bookmarkEnd w:id="217"/>
    <w:bookmarkEnd w:id="218"/>
    <w:bookmarkEnd w:id="219"/>
    <w:bookmarkEnd w:id="220"/>
    <w:bookmarkEnd w:id="221"/>
    <w:p w14:paraId="703B6FD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7.5.1 因发包人原因导致工期延误</w:t>
      </w:r>
    </w:p>
    <w:p w14:paraId="606B6ED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（7）因发包人原因导致工期延误的其他情形：</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7313EA3">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w:t>
      </w:r>
      <w:bookmarkStart w:id="222" w:name="_Toc318581169"/>
      <w:bookmarkStart w:id="223" w:name="_Toc312677486"/>
      <w:bookmarkStart w:id="224" w:name="_Toc312678012"/>
      <w:bookmarkStart w:id="225" w:name="_Toc303539127"/>
      <w:bookmarkStart w:id="226" w:name="_Toc297216177"/>
      <w:bookmarkStart w:id="227" w:name="_Toc304295548"/>
      <w:bookmarkStart w:id="228" w:name="_Toc300934970"/>
      <w:bookmarkStart w:id="229" w:name="_Toc297123518"/>
      <w:r>
        <w:rPr>
          <w:rFonts w:hint="eastAsia" w:ascii="宋体" w:hAnsi="宋体" w:cs="宋体"/>
          <w:color w:val="auto"/>
          <w:sz w:val="24"/>
          <w:highlight w:val="none"/>
        </w:rPr>
        <w:t>.5.2 因承包人原因导致工期延误</w:t>
      </w:r>
    </w:p>
    <w:bookmarkEnd w:id="222"/>
    <w:bookmarkEnd w:id="223"/>
    <w:bookmarkEnd w:id="224"/>
    <w:p w14:paraId="58C89BF7">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因</w:t>
      </w:r>
      <w:bookmarkStart w:id="230" w:name="_Toc312677487"/>
      <w:bookmarkStart w:id="231" w:name="_Toc312678013"/>
      <w:bookmarkStart w:id="232" w:name="_Toc318581170"/>
      <w:r>
        <w:rPr>
          <w:rFonts w:hint="eastAsia" w:ascii="宋体" w:hAnsi="宋体" w:cs="宋体"/>
          <w:color w:val="auto"/>
          <w:sz w:val="24"/>
          <w:highlight w:val="none"/>
        </w:rPr>
        <w:t>承包人原因造成工期延误，逾期竣工违约金的计算方法为：</w:t>
      </w:r>
      <w:r>
        <w:rPr>
          <w:rFonts w:hint="eastAsia" w:ascii="宋体" w:hAnsi="宋体" w:cs="宋体"/>
          <w:color w:val="auto"/>
          <w:sz w:val="24"/>
          <w:highlight w:val="none"/>
          <w:u w:val="single"/>
        </w:rPr>
        <w:t>扣除施工费用（暂按200元/日），前述逾期竣工违约金累计扣除金额最高不超过合同总金额的30%，该笔违约金发包人有权从应付承包人的工程款中直接抵扣</w:t>
      </w:r>
      <w:r>
        <w:rPr>
          <w:rFonts w:hint="eastAsia" w:ascii="宋体" w:hAnsi="宋体" w:cs="宋体"/>
          <w:color w:val="auto"/>
          <w:sz w:val="24"/>
          <w:highlight w:val="none"/>
        </w:rPr>
        <w:t>。</w:t>
      </w:r>
      <w:bookmarkEnd w:id="225"/>
      <w:bookmarkEnd w:id="226"/>
      <w:bookmarkEnd w:id="227"/>
      <w:bookmarkEnd w:id="228"/>
      <w:bookmarkEnd w:id="229"/>
      <w:bookmarkEnd w:id="230"/>
      <w:bookmarkEnd w:id="231"/>
    </w:p>
    <w:bookmarkEnd w:id="232"/>
    <w:p w14:paraId="0F370BA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因承包人原因造成工期延误，逾</w:t>
      </w:r>
      <w:bookmarkStart w:id="233" w:name="_Toc318581171"/>
      <w:bookmarkStart w:id="234" w:name="_Toc312678014"/>
      <w:r>
        <w:rPr>
          <w:rFonts w:hint="eastAsia" w:ascii="宋体" w:hAnsi="宋体" w:cs="宋体"/>
          <w:color w:val="auto"/>
          <w:sz w:val="24"/>
          <w:highlight w:val="none"/>
        </w:rPr>
        <w:t>期竣工违约金的上限：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233"/>
    <w:bookmarkEnd w:id="234"/>
    <w:p w14:paraId="18E4629E">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w:t>
      </w:r>
      <w:bookmarkStart w:id="235" w:name="_Toc300934971"/>
      <w:bookmarkStart w:id="236" w:name="_Toc303539128"/>
      <w:bookmarkStart w:id="237" w:name="_Toc297216178"/>
      <w:bookmarkStart w:id="238" w:name="_Toc304295549"/>
      <w:bookmarkStart w:id="239" w:name="_Toc297123519"/>
      <w:bookmarkStart w:id="240" w:name="_Toc312678015"/>
      <w:r>
        <w:rPr>
          <w:rFonts w:hint="eastAsia" w:ascii="宋体" w:hAnsi="宋体" w:cs="宋体"/>
          <w:color w:val="auto"/>
          <w:sz w:val="24"/>
          <w:highlight w:val="none"/>
        </w:rPr>
        <w:t>.6 不</w:t>
      </w:r>
      <w:bookmarkEnd w:id="235"/>
      <w:bookmarkEnd w:id="236"/>
      <w:bookmarkEnd w:id="237"/>
      <w:bookmarkEnd w:id="238"/>
      <w:bookmarkEnd w:id="239"/>
      <w:bookmarkEnd w:id="240"/>
      <w:r>
        <w:rPr>
          <w:rFonts w:hint="eastAsia" w:ascii="宋体" w:hAnsi="宋体" w:cs="宋体"/>
          <w:color w:val="auto"/>
          <w:sz w:val="24"/>
          <w:highlight w:val="none"/>
        </w:rPr>
        <w:t>利物质条件</w:t>
      </w:r>
    </w:p>
    <w:p w14:paraId="6BD59F32">
      <w:pPr>
        <w:adjustRightInd w:val="0"/>
        <w:snapToGrid w:val="0"/>
        <w:spacing w:line="400" w:lineRule="exact"/>
        <w:ind w:firstLine="480" w:firstLineChars="200"/>
        <w:jc w:val="left"/>
        <w:rPr>
          <w:rFonts w:hint="eastAsia" w:ascii="宋体" w:hAnsi="宋体" w:cs="宋体"/>
          <w:color w:val="auto"/>
          <w:sz w:val="24"/>
          <w:highlight w:val="none"/>
        </w:rPr>
      </w:pPr>
      <w:bookmarkStart w:id="241" w:name="_Toc303539129"/>
      <w:bookmarkStart w:id="242" w:name="_Toc312678016"/>
      <w:bookmarkStart w:id="243" w:name="_Toc318581172"/>
      <w:bookmarkStart w:id="244" w:name="_Toc304295550"/>
      <w:bookmarkStart w:id="245" w:name="_Toc300934972"/>
      <w:bookmarkStart w:id="246" w:name="_Toc297216179"/>
      <w:bookmarkStart w:id="247" w:name="_Toc297123520"/>
      <w:r>
        <w:rPr>
          <w:rFonts w:hint="eastAsia" w:ascii="宋体" w:hAnsi="宋体" w:cs="宋体"/>
          <w:color w:val="auto"/>
          <w:sz w:val="24"/>
          <w:highlight w:val="none"/>
        </w:rPr>
        <w:t>不利物质条件的其他情形和有关约定：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241"/>
    <w:bookmarkEnd w:id="242"/>
    <w:bookmarkEnd w:id="243"/>
    <w:bookmarkEnd w:id="244"/>
    <w:bookmarkEnd w:id="245"/>
    <w:bookmarkEnd w:id="246"/>
    <w:bookmarkEnd w:id="247"/>
    <w:p w14:paraId="1EE21831">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w:t>
      </w:r>
      <w:bookmarkStart w:id="248" w:name="_Toc312678017"/>
      <w:bookmarkStart w:id="249" w:name="_Toc297216180"/>
      <w:bookmarkStart w:id="250" w:name="_Toc303539130"/>
      <w:bookmarkStart w:id="251" w:name="_Toc304295551"/>
      <w:bookmarkStart w:id="252" w:name="_Toc297123521"/>
      <w:bookmarkStart w:id="253" w:name="_Toc300934973"/>
      <w:r>
        <w:rPr>
          <w:rFonts w:hint="eastAsia" w:ascii="宋体" w:hAnsi="宋体" w:cs="宋体"/>
          <w:color w:val="auto"/>
          <w:sz w:val="24"/>
          <w:highlight w:val="none"/>
        </w:rPr>
        <w:t>.7异常恶劣的气候条件</w:t>
      </w:r>
    </w:p>
    <w:bookmarkEnd w:id="248"/>
    <w:bookmarkEnd w:id="249"/>
    <w:bookmarkEnd w:id="250"/>
    <w:bookmarkEnd w:id="251"/>
    <w:bookmarkEnd w:id="252"/>
    <w:bookmarkEnd w:id="253"/>
    <w:p w14:paraId="57B40A2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发包人和承包人同意以下情形视为异常恶劣的气候条件：</w:t>
      </w:r>
    </w:p>
    <w:p w14:paraId="4909FA6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零度以下低温天气</w:t>
      </w:r>
      <w:r>
        <w:rPr>
          <w:rFonts w:hint="eastAsia" w:ascii="宋体" w:hAnsi="宋体" w:cs="宋体"/>
          <w:color w:val="auto"/>
          <w:sz w:val="24"/>
          <w:highlight w:val="none"/>
        </w:rPr>
        <w:t>；</w:t>
      </w:r>
    </w:p>
    <w:p w14:paraId="4EFC557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连续暴雨3天以上</w:t>
      </w:r>
      <w:r>
        <w:rPr>
          <w:rFonts w:hint="eastAsia" w:ascii="宋体" w:hAnsi="宋体" w:cs="宋体"/>
          <w:color w:val="auto"/>
          <w:sz w:val="24"/>
          <w:highlight w:val="none"/>
        </w:rPr>
        <w:t>；</w:t>
      </w:r>
    </w:p>
    <w:p w14:paraId="08E6216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u w:val="single"/>
        </w:rPr>
        <w:t>连续3天8级</w:t>
      </w:r>
      <w:r>
        <w:rPr>
          <w:rFonts w:hint="eastAsia" w:ascii="宋体" w:hAnsi="宋体" w:cs="宋体"/>
          <w:color w:val="auto"/>
          <w:sz w:val="24"/>
          <w:highlight w:val="none"/>
          <w:u w:val="single"/>
          <w:lang w:eastAsia="zh-CN"/>
        </w:rPr>
        <w:t>以上</w:t>
      </w:r>
      <w:r>
        <w:rPr>
          <w:rFonts w:hint="eastAsia" w:ascii="宋体" w:hAnsi="宋体" w:cs="宋体"/>
          <w:color w:val="auto"/>
          <w:sz w:val="24"/>
          <w:highlight w:val="none"/>
          <w:u w:val="single"/>
        </w:rPr>
        <w:t>（含）大风</w:t>
      </w:r>
      <w:r>
        <w:rPr>
          <w:rFonts w:hint="eastAsia" w:ascii="宋体" w:hAnsi="宋体" w:cs="宋体"/>
          <w:color w:val="auto"/>
          <w:sz w:val="24"/>
          <w:highlight w:val="none"/>
        </w:rPr>
        <w:t>。</w:t>
      </w:r>
    </w:p>
    <w:p w14:paraId="7E24B853">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7.9 提前竣工的奖励</w:t>
      </w:r>
    </w:p>
    <w:p w14:paraId="1287DDD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7.9.2提前竣工的奖励：</w:t>
      </w:r>
      <w:r>
        <w:rPr>
          <w:rFonts w:hint="eastAsia" w:ascii="宋体" w:hAnsi="宋体" w:cs="宋体"/>
          <w:color w:val="auto"/>
          <w:sz w:val="24"/>
          <w:highlight w:val="none"/>
          <w:u w:val="single"/>
        </w:rPr>
        <w:t>无（如有则另签订补充协议）</w:t>
      </w:r>
      <w:r>
        <w:rPr>
          <w:rFonts w:hint="eastAsia" w:ascii="宋体" w:hAnsi="宋体" w:cs="宋体"/>
          <w:color w:val="auto"/>
          <w:sz w:val="24"/>
          <w:highlight w:val="none"/>
        </w:rPr>
        <w:t>。</w:t>
      </w:r>
    </w:p>
    <w:p w14:paraId="09E88F49">
      <w:pPr>
        <w:spacing w:line="400" w:lineRule="exact"/>
        <w:ind w:firstLine="482" w:firstLineChars="200"/>
        <w:rPr>
          <w:rFonts w:hint="eastAsia" w:ascii="宋体" w:hAnsi="宋体" w:cs="宋体"/>
          <w:b/>
          <w:bCs/>
          <w:color w:val="auto"/>
          <w:sz w:val="24"/>
          <w:highlight w:val="none"/>
        </w:rPr>
      </w:pPr>
      <w:bookmarkStart w:id="254" w:name="_Toc351203640"/>
      <w:r>
        <w:rPr>
          <w:rFonts w:hint="eastAsia" w:ascii="宋体" w:hAnsi="宋体" w:cs="宋体"/>
          <w:b/>
          <w:bCs/>
          <w:color w:val="auto"/>
          <w:sz w:val="24"/>
          <w:highlight w:val="none"/>
        </w:rPr>
        <w:t>8.材料与设备</w:t>
      </w:r>
      <w:bookmarkEnd w:id="254"/>
    </w:p>
    <w:p w14:paraId="62F02D2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8</w:t>
      </w:r>
      <w:bookmarkStart w:id="255" w:name="_Toc297216186"/>
      <w:bookmarkStart w:id="256" w:name="_Toc296347166"/>
      <w:bookmarkStart w:id="257" w:name="_Toc296891207"/>
      <w:bookmarkStart w:id="258" w:name="_Toc312677493"/>
      <w:bookmarkStart w:id="259" w:name="_Toc303539136"/>
      <w:bookmarkStart w:id="260" w:name="_Toc296890995"/>
      <w:bookmarkStart w:id="261" w:name="_Toc292559877"/>
      <w:bookmarkStart w:id="262" w:name="_Toc296503167"/>
      <w:bookmarkStart w:id="263" w:name="_Toc312678019"/>
      <w:bookmarkStart w:id="264" w:name="_Toc296346668"/>
      <w:bookmarkStart w:id="265" w:name="_Toc297123527"/>
      <w:bookmarkStart w:id="266" w:name="_Toc296944506"/>
      <w:bookmarkStart w:id="267" w:name="_Toc300934979"/>
      <w:bookmarkStart w:id="268" w:name="_Toc304295556"/>
      <w:bookmarkStart w:id="269" w:name="_Toc297120467"/>
      <w:bookmarkStart w:id="270" w:name="_Toc280868654"/>
      <w:bookmarkStart w:id="271" w:name="_Toc297048353"/>
      <w:bookmarkStart w:id="272" w:name="_Toc292559372"/>
      <w:r>
        <w:rPr>
          <w:rFonts w:hint="eastAsia" w:ascii="宋体" w:hAnsi="宋体" w:cs="宋体"/>
          <w:color w:val="auto"/>
          <w:sz w:val="24"/>
          <w:highlight w:val="none"/>
        </w:rPr>
        <w:t>.4材料与工程设备的保管与使用</w:t>
      </w:r>
    </w:p>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14:paraId="1648EF0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8</w:t>
      </w:r>
      <w:bookmarkStart w:id="273" w:name="_Toc292559373"/>
      <w:bookmarkStart w:id="274" w:name="_Toc292559878"/>
      <w:r>
        <w:rPr>
          <w:rFonts w:hint="eastAsia" w:ascii="宋体" w:hAnsi="宋体" w:cs="宋体"/>
          <w:color w:val="auto"/>
          <w:sz w:val="24"/>
          <w:highlight w:val="none"/>
        </w:rPr>
        <w:t>.4.1发包人供应的材料设备的保管费用的承担：</w:t>
      </w:r>
      <w:r>
        <w:rPr>
          <w:rFonts w:hint="eastAsia" w:ascii="宋体" w:hAnsi="宋体" w:cs="宋体"/>
          <w:color w:val="auto"/>
          <w:sz w:val="24"/>
          <w:highlight w:val="none"/>
          <w:u w:val="single"/>
        </w:rPr>
        <w:t>由承包人承担</w:t>
      </w:r>
      <w:r>
        <w:rPr>
          <w:rFonts w:hint="eastAsia" w:ascii="宋体" w:hAnsi="宋体" w:cs="宋体"/>
          <w:color w:val="auto"/>
          <w:sz w:val="24"/>
          <w:highlight w:val="none"/>
        </w:rPr>
        <w:t>。</w:t>
      </w:r>
      <w:bookmarkEnd w:id="273"/>
      <w:bookmarkEnd w:id="274"/>
    </w:p>
    <w:p w14:paraId="26DEBD2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8.6 样品</w:t>
      </w:r>
    </w:p>
    <w:p w14:paraId="2CC99DD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8.6.1样品的报送与封存</w:t>
      </w:r>
    </w:p>
    <w:p w14:paraId="24BA943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需要承包人报送样品的材料或工程设备，样品的种类、名称</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Start w:id="275" w:name="_Toc296503173"/>
      <w:bookmarkStart w:id="276" w:name="_Toc297123536"/>
      <w:bookmarkStart w:id="277" w:name="_Toc300934985"/>
      <w:bookmarkStart w:id="278" w:name="_Toc297048359"/>
      <w:bookmarkStart w:id="279" w:name="_Toc303539142"/>
      <w:bookmarkStart w:id="280" w:name="_Toc297216195"/>
      <w:bookmarkStart w:id="281" w:name="_Toc318581174"/>
      <w:bookmarkStart w:id="282" w:name="_Toc296891001"/>
      <w:bookmarkStart w:id="283" w:name="_Toc312677498"/>
      <w:bookmarkStart w:id="284" w:name="_Toc304295562"/>
      <w:bookmarkStart w:id="285" w:name="_Toc267251428"/>
      <w:bookmarkStart w:id="286" w:name="_Toc292559883"/>
      <w:bookmarkStart w:id="287" w:name="_Toc292559378"/>
      <w:bookmarkStart w:id="288" w:name="_Toc297120473"/>
      <w:bookmarkStart w:id="289" w:name="_Toc296891213"/>
      <w:bookmarkStart w:id="290" w:name="_Toc296347172"/>
      <w:bookmarkStart w:id="291" w:name="_Toc296944512"/>
      <w:bookmarkStart w:id="292" w:name="_Toc267251427"/>
      <w:bookmarkStart w:id="293" w:name="_Toc312678024"/>
      <w:bookmarkStart w:id="294" w:name="_Toc296346674"/>
      <w:r>
        <w:rPr>
          <w:rFonts w:hint="eastAsia" w:ascii="宋体" w:hAnsi="宋体" w:cs="宋体"/>
          <w:color w:val="auto"/>
          <w:sz w:val="24"/>
          <w:highlight w:val="none"/>
        </w:rPr>
        <w:t>、规格、数量要求：</w:t>
      </w:r>
      <w:r>
        <w:rPr>
          <w:rFonts w:hint="eastAsia" w:ascii="宋体" w:hAnsi="宋体" w:cs="宋体"/>
          <w:color w:val="auto"/>
          <w:sz w:val="24"/>
          <w:highlight w:val="none"/>
          <w:u w:val="single"/>
        </w:rPr>
        <w:t>主要材料涉及品种、款式、颜色等方面内容的，承包人应提交准备合格的材料样品送发包人选定</w:t>
      </w:r>
      <w:r>
        <w:rPr>
          <w:rFonts w:hint="eastAsia" w:ascii="宋体" w:hAnsi="宋体" w:cs="宋体"/>
          <w:color w:val="auto"/>
          <w:sz w:val="24"/>
          <w:highlight w:val="none"/>
        </w:rPr>
        <w:t>。</w:t>
      </w:r>
    </w:p>
    <w:p w14:paraId="31B7772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8.8 施工设备和临时设施</w:t>
      </w:r>
    </w:p>
    <w:p w14:paraId="1859BCA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8.8.1 承包人提供的施工设备和临时设施</w:t>
      </w:r>
    </w:p>
    <w:p w14:paraId="2778FAF9">
      <w:pPr>
        <w:autoSpaceDE w:val="0"/>
        <w:autoSpaceDN w:val="0"/>
        <w:adjustRightInd w:val="0"/>
        <w:snapToGrid w:val="0"/>
        <w:spacing w:line="400" w:lineRule="exact"/>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关于修建临时设施费用承担的约定：</w:t>
      </w:r>
      <w:r>
        <w:rPr>
          <w:rFonts w:hint="eastAsia" w:ascii="宋体" w:hAnsi="宋体" w:cs="宋体"/>
          <w:color w:val="auto"/>
          <w:sz w:val="24"/>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588E24DC">
      <w:pPr>
        <w:autoSpaceDE w:val="0"/>
        <w:autoSpaceDN w:val="0"/>
        <w:adjustRightInd w:val="0"/>
        <w:snapToGrid w:val="0"/>
        <w:spacing w:line="400" w:lineRule="exact"/>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②承包人负责合同实施期间其合同段内临时交通道路（含场内外连接公共交通道路）和交通设施的修建、维修、养护和交通管理工作，并承担一切费用。</w:t>
      </w:r>
    </w:p>
    <w:p w14:paraId="1A308FA5">
      <w:pPr>
        <w:autoSpaceDE w:val="0"/>
        <w:autoSpaceDN w:val="0"/>
        <w:adjustRightInd w:val="0"/>
        <w:snapToGrid w:val="0"/>
        <w:spacing w:line="400" w:lineRule="exact"/>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604E1915">
      <w:pPr>
        <w:spacing w:line="400" w:lineRule="exact"/>
        <w:ind w:firstLine="482" w:firstLineChars="200"/>
        <w:rPr>
          <w:rFonts w:hint="eastAsia" w:ascii="宋体" w:hAnsi="宋体" w:cs="宋体"/>
          <w:b/>
          <w:bCs/>
          <w:color w:val="auto"/>
          <w:sz w:val="24"/>
          <w:highlight w:val="none"/>
        </w:rPr>
      </w:pPr>
      <w:bookmarkStart w:id="295" w:name="_Toc351203641"/>
      <w:r>
        <w:rPr>
          <w:rFonts w:hint="eastAsia" w:ascii="宋体" w:hAnsi="宋体" w:cs="宋体"/>
          <w:b/>
          <w:bCs/>
          <w:color w:val="auto"/>
          <w:sz w:val="24"/>
          <w:highlight w:val="none"/>
        </w:rPr>
        <w:t>9</w:t>
      </w:r>
      <w:bookmarkStart w:id="296" w:name="_Toc300934982"/>
      <w:bookmarkStart w:id="297" w:name="_Toc297123533"/>
      <w:bookmarkStart w:id="298" w:name="_Toc304295559"/>
      <w:bookmarkStart w:id="299" w:name="_Toc312677495"/>
      <w:bookmarkStart w:id="300" w:name="_Toc312678021"/>
      <w:bookmarkStart w:id="301" w:name="_Toc303539139"/>
      <w:bookmarkStart w:id="302" w:name="_Toc297216192"/>
      <w:r>
        <w:rPr>
          <w:rFonts w:hint="eastAsia" w:ascii="宋体" w:hAnsi="宋体" w:cs="宋体"/>
          <w:b/>
          <w:bCs/>
          <w:color w:val="auto"/>
          <w:sz w:val="24"/>
          <w:highlight w:val="none"/>
        </w:rPr>
        <w:t>.试验与检验</w:t>
      </w:r>
      <w:bookmarkEnd w:id="295"/>
    </w:p>
    <w:bookmarkEnd w:id="296"/>
    <w:bookmarkEnd w:id="297"/>
    <w:bookmarkEnd w:id="298"/>
    <w:bookmarkEnd w:id="299"/>
    <w:bookmarkEnd w:id="300"/>
    <w:bookmarkEnd w:id="301"/>
    <w:bookmarkEnd w:id="302"/>
    <w:p w14:paraId="7E8A03A4">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9</w:t>
      </w:r>
      <w:bookmarkStart w:id="303" w:name="_Toc297216193"/>
      <w:bookmarkStart w:id="304" w:name="_Toc304295560"/>
      <w:bookmarkStart w:id="305" w:name="_Toc300934983"/>
      <w:bookmarkStart w:id="306" w:name="_Toc312677496"/>
      <w:bookmarkStart w:id="307" w:name="_Toc303539140"/>
      <w:bookmarkStart w:id="308" w:name="_Toc297123534"/>
      <w:bookmarkStart w:id="309" w:name="_Toc312678022"/>
      <w:r>
        <w:rPr>
          <w:rFonts w:hint="eastAsia" w:ascii="宋体" w:hAnsi="宋体" w:cs="宋体"/>
          <w:color w:val="auto"/>
          <w:sz w:val="24"/>
          <w:highlight w:val="none"/>
        </w:rPr>
        <w:t>.1试验设备与试验人员</w:t>
      </w:r>
    </w:p>
    <w:bookmarkEnd w:id="303"/>
    <w:bookmarkEnd w:id="304"/>
    <w:bookmarkEnd w:id="305"/>
    <w:bookmarkEnd w:id="306"/>
    <w:bookmarkEnd w:id="307"/>
    <w:bookmarkEnd w:id="308"/>
    <w:bookmarkEnd w:id="309"/>
    <w:p w14:paraId="26938779">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9.1.2 试验设备</w:t>
      </w:r>
    </w:p>
    <w:p w14:paraId="46936FE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施工现场需要配置的试验场所：</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76D2FE91">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施工现场需要配备的试验设备：</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1B045F3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施工现场需要具备的其他试验条件：</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14:paraId="4DC47F65">
      <w:pPr>
        <w:adjustRightInd w:val="0"/>
        <w:snapToGrid w:val="0"/>
        <w:spacing w:line="400" w:lineRule="exact"/>
        <w:ind w:firstLine="480" w:firstLineChars="200"/>
        <w:jc w:val="left"/>
        <w:rPr>
          <w:rFonts w:hint="eastAsia" w:ascii="宋体" w:hAnsi="宋体" w:cs="宋体"/>
          <w:color w:val="auto"/>
          <w:sz w:val="24"/>
          <w:highlight w:val="none"/>
        </w:rPr>
      </w:pPr>
      <w:bookmarkStart w:id="310" w:name="_Toc267251440"/>
      <w:bookmarkStart w:id="311" w:name="_Toc267251433"/>
      <w:bookmarkStart w:id="312" w:name="_Toc267251437"/>
      <w:bookmarkStart w:id="313" w:name="_Toc267251441"/>
      <w:bookmarkStart w:id="314" w:name="_Toc267251435"/>
      <w:bookmarkStart w:id="315" w:name="_Toc267251439"/>
      <w:bookmarkStart w:id="316" w:name="_Toc267251442"/>
      <w:r>
        <w:rPr>
          <w:rFonts w:hint="eastAsia" w:ascii="宋体" w:hAnsi="宋体" w:cs="宋体"/>
          <w:color w:val="auto"/>
          <w:sz w:val="24"/>
          <w:highlight w:val="none"/>
        </w:rPr>
        <w:t xml:space="preserve">9.4 现场工艺试验 </w:t>
      </w:r>
    </w:p>
    <w:p w14:paraId="1C6E871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现场工艺试验的有关约定：</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76338710">
      <w:pPr>
        <w:spacing w:line="400" w:lineRule="exact"/>
        <w:ind w:firstLine="482" w:firstLineChars="200"/>
        <w:rPr>
          <w:rFonts w:hint="eastAsia" w:ascii="宋体" w:hAnsi="宋体" w:cs="宋体"/>
          <w:b/>
          <w:bCs/>
          <w:color w:val="auto"/>
          <w:sz w:val="24"/>
          <w:highlight w:val="none"/>
        </w:rPr>
      </w:pPr>
      <w:bookmarkStart w:id="317" w:name="_Toc351203642"/>
      <w:r>
        <w:rPr>
          <w:rFonts w:hint="eastAsia" w:ascii="宋体" w:hAnsi="宋体" w:cs="宋体"/>
          <w:b/>
          <w:bCs/>
          <w:color w:val="auto"/>
          <w:sz w:val="24"/>
          <w:highlight w:val="none"/>
        </w:rPr>
        <w:t>1</w:t>
      </w:r>
      <w:bookmarkStart w:id="318" w:name="_Toc297048379"/>
      <w:bookmarkStart w:id="319" w:name="_Toc304295566"/>
      <w:bookmarkStart w:id="320" w:name="_Toc297216199"/>
      <w:bookmarkStart w:id="321" w:name="_Toc297120493"/>
      <w:bookmarkStart w:id="322" w:name="_Toc292559398"/>
      <w:bookmarkStart w:id="323" w:name="_Toc296346694"/>
      <w:bookmarkStart w:id="324" w:name="_Toc296891233"/>
      <w:bookmarkStart w:id="325" w:name="_Toc296891021"/>
      <w:bookmarkStart w:id="326" w:name="_Toc296503193"/>
      <w:bookmarkStart w:id="327" w:name="_Toc297123540"/>
      <w:bookmarkStart w:id="328" w:name="_Toc296944532"/>
      <w:bookmarkStart w:id="329" w:name="_Toc303539146"/>
      <w:bookmarkStart w:id="330" w:name="_Toc300934989"/>
      <w:bookmarkStart w:id="331" w:name="_Toc292559903"/>
      <w:bookmarkStart w:id="332" w:name="_Toc296347192"/>
      <w:bookmarkStart w:id="333" w:name="_Toc312677499"/>
      <w:bookmarkStart w:id="334" w:name="_Toc312678025"/>
      <w:r>
        <w:rPr>
          <w:rFonts w:hint="eastAsia" w:ascii="宋体" w:hAnsi="宋体" w:cs="宋体"/>
          <w:b/>
          <w:bCs/>
          <w:color w:val="auto"/>
          <w:sz w:val="24"/>
          <w:highlight w:val="none"/>
        </w:rPr>
        <w:t>0.变更</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bookmarkEnd w:id="333"/>
    <w:bookmarkEnd w:id="334"/>
    <w:p w14:paraId="36F8EBB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10.1变更的范围</w:t>
      </w:r>
    </w:p>
    <w:p w14:paraId="5605D9E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关于变更的范围的约定：</w:t>
      </w:r>
      <w:r>
        <w:rPr>
          <w:rFonts w:hint="eastAsia" w:ascii="宋体" w:hAnsi="宋体" w:cs="宋体"/>
          <w:color w:val="auto"/>
          <w:sz w:val="24"/>
          <w:highlight w:val="none"/>
          <w:u w:val="single"/>
        </w:rPr>
        <w:t>工程设计变更，工程联系单确认变更</w:t>
      </w:r>
      <w:r>
        <w:rPr>
          <w:rFonts w:hint="eastAsia" w:ascii="宋体" w:hAnsi="宋体" w:cs="宋体"/>
          <w:color w:val="auto"/>
          <w:sz w:val="24"/>
          <w:highlight w:val="none"/>
        </w:rPr>
        <w:t>。</w:t>
      </w:r>
    </w:p>
    <w:p w14:paraId="5F9A240D">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10.4 变更估价</w:t>
      </w:r>
    </w:p>
    <w:p w14:paraId="4533AA2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10.4.1 变更估价原则</w:t>
      </w:r>
    </w:p>
    <w:p w14:paraId="2BC5499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10.4.1.1关于变更估价的约定：承包人在工程变更确定后14天内，提出变更工程价款的报告，经工程师确认后调整合同价款。变更合同价款按下列方法进行：</w:t>
      </w:r>
    </w:p>
    <w:p w14:paraId="71BC6A04">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（1）合同中已有适用于变更工程的价格，按合同已有的价格变更合同价款；</w:t>
      </w:r>
    </w:p>
    <w:p w14:paraId="294313A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（2）合同中只有类似于变更工程的价格，可以参照类似价格变更合同价款；</w:t>
      </w:r>
    </w:p>
    <w:p w14:paraId="6D9FF81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（3）合同中没有适用或类似于变更工程的价格，由承包人提出适当的变更价格，经工程师确认后执行。</w:t>
      </w:r>
    </w:p>
    <w:p w14:paraId="5F41262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10.4.1.2承包人在双方确定变更后14天内不向工程师提出变更工程价款报告时，视为该项变更不涉及合同价款的变更。</w:t>
      </w:r>
    </w:p>
    <w:p w14:paraId="39844A2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10.4.1.3工程师应在收到变更工程价款报告之日起14天内予以确认，工程师无正当理由不确认时，自变更工程价款报告送达之日起14天后视为变更工程价款报告已被确认。</w:t>
      </w:r>
    </w:p>
    <w:p w14:paraId="4D4718AD">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10.4.1.4工程师不同意承包人提出的变更价款，按本通用条款第37条关于争议的约定处理。</w:t>
      </w:r>
    </w:p>
    <w:p w14:paraId="1E70FF9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10.4.1.5工程师确认增加的工程变更价款作为追加合同价款，与工程款同期支付。</w:t>
      </w:r>
    </w:p>
    <w:p w14:paraId="20900B3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10.4.1.6因承包人自身原因导致的工程变更，承包人无权要求追加合同价款。</w:t>
      </w:r>
    </w:p>
    <w:p w14:paraId="4D8FBE13">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bookmarkStart w:id="335" w:name="_Toc292559402"/>
      <w:bookmarkStart w:id="336" w:name="_Toc297216203"/>
      <w:bookmarkStart w:id="337" w:name="_Toc296347196"/>
      <w:bookmarkStart w:id="338" w:name="_Toc296891025"/>
      <w:bookmarkStart w:id="339" w:name="_Toc300934993"/>
      <w:bookmarkStart w:id="340" w:name="_Toc297120497"/>
      <w:bookmarkStart w:id="341" w:name="_Toc297123544"/>
      <w:bookmarkStart w:id="342" w:name="_Toc303539150"/>
      <w:bookmarkStart w:id="343" w:name="_Toc297048383"/>
      <w:bookmarkStart w:id="344" w:name="_Toc296346698"/>
      <w:bookmarkStart w:id="345" w:name="_Toc296891237"/>
      <w:bookmarkStart w:id="346" w:name="_Toc296944536"/>
      <w:bookmarkStart w:id="347" w:name="_Toc296503197"/>
      <w:bookmarkStart w:id="348" w:name="_Toc292559907"/>
      <w:bookmarkStart w:id="349" w:name="_Toc304295570"/>
      <w:bookmarkStart w:id="350" w:name="_Toc312677503"/>
      <w:bookmarkStart w:id="351" w:name="_Toc312678029"/>
      <w:r>
        <w:rPr>
          <w:rFonts w:hint="eastAsia" w:ascii="宋体" w:hAnsi="宋体" w:cs="宋体"/>
          <w:color w:val="auto"/>
          <w:sz w:val="24"/>
          <w:highlight w:val="none"/>
        </w:rPr>
        <w:t>0.5承</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Start w:id="352" w:name="_Toc296347202"/>
      <w:bookmarkStart w:id="353" w:name="_Toc296944542"/>
      <w:bookmarkStart w:id="354" w:name="_Toc297048389"/>
      <w:bookmarkStart w:id="355" w:name="_Toc303539151"/>
      <w:bookmarkStart w:id="356" w:name="_Toc296346704"/>
      <w:bookmarkStart w:id="357" w:name="_Toc297216204"/>
      <w:bookmarkStart w:id="358" w:name="_Toc297123545"/>
      <w:bookmarkStart w:id="359" w:name="_Toc297120503"/>
      <w:bookmarkStart w:id="360" w:name="_Toc296891031"/>
      <w:bookmarkStart w:id="361" w:name="_Toc296503203"/>
      <w:bookmarkStart w:id="362" w:name="_Toc300934994"/>
      <w:bookmarkStart w:id="363" w:name="_Toc292559408"/>
      <w:bookmarkStart w:id="364" w:name="_Toc292559913"/>
      <w:bookmarkStart w:id="365" w:name="_Toc296891243"/>
      <w:r>
        <w:rPr>
          <w:rFonts w:hint="eastAsia" w:ascii="宋体" w:hAnsi="宋体" w:cs="宋体"/>
          <w:color w:val="auto"/>
          <w:sz w:val="24"/>
          <w:highlight w:val="none"/>
        </w:rPr>
        <w:t>包人的合理化建议</w:t>
      </w:r>
    </w:p>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3ACADD6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监理人审查承包人合理化建议的期限：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8127A1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发包人审批承包人合理化建议的期限：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E7BF7B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w:t>
      </w:r>
      <w:bookmarkStart w:id="366" w:name="_Toc296891032"/>
      <w:bookmarkStart w:id="367" w:name="_Toc296891244"/>
      <w:bookmarkStart w:id="368" w:name="_Toc297048390"/>
      <w:bookmarkStart w:id="369" w:name="_Toc312678030"/>
      <w:bookmarkStart w:id="370" w:name="_Toc292559409"/>
      <w:bookmarkStart w:id="371" w:name="_Toc297123546"/>
      <w:bookmarkStart w:id="372" w:name="_Toc318581175"/>
      <w:bookmarkStart w:id="373" w:name="_Toc296944543"/>
      <w:bookmarkStart w:id="374" w:name="_Toc312677504"/>
      <w:bookmarkStart w:id="375" w:name="_Toc296503204"/>
      <w:bookmarkStart w:id="376" w:name="_Toc300934995"/>
      <w:bookmarkStart w:id="377" w:name="_Toc297216205"/>
      <w:bookmarkStart w:id="378" w:name="_Toc303539152"/>
      <w:bookmarkStart w:id="379" w:name="_Toc297120504"/>
      <w:bookmarkStart w:id="380" w:name="_Toc304295571"/>
      <w:bookmarkStart w:id="381" w:name="_Toc292559914"/>
      <w:bookmarkStart w:id="382" w:name="_Toc296347203"/>
      <w:bookmarkStart w:id="383" w:name="_Toc296346705"/>
      <w:r>
        <w:rPr>
          <w:rFonts w:hint="eastAsia" w:ascii="宋体" w:hAnsi="宋体" w:cs="宋体"/>
          <w:color w:val="auto"/>
          <w:sz w:val="24"/>
          <w:highlight w:val="none"/>
        </w:rPr>
        <w:t>包人提出的合理化建议降低了合同价格或者提高了工程经济效益的奖励的方法和金额为：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14:paraId="5D929A9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bookmarkStart w:id="384" w:name="_Toc304295574"/>
      <w:bookmarkStart w:id="385" w:name="_Toc296347198"/>
      <w:bookmarkStart w:id="386" w:name="_Toc296891027"/>
      <w:bookmarkStart w:id="387" w:name="_Toc292559909"/>
      <w:bookmarkStart w:id="388" w:name="_Toc292559404"/>
      <w:bookmarkStart w:id="389" w:name="_Toc297123548"/>
      <w:bookmarkStart w:id="390" w:name="_Toc312678033"/>
      <w:bookmarkStart w:id="391" w:name="_Toc296944538"/>
      <w:bookmarkStart w:id="392" w:name="_Toc296891239"/>
      <w:bookmarkStart w:id="393" w:name="_Toc312677507"/>
      <w:bookmarkStart w:id="394" w:name="_Toc296503199"/>
      <w:bookmarkStart w:id="395" w:name="_Toc296346700"/>
      <w:bookmarkStart w:id="396" w:name="_Toc297216207"/>
      <w:bookmarkStart w:id="397" w:name="_Toc303539154"/>
      <w:bookmarkStart w:id="398" w:name="_Toc297120499"/>
      <w:bookmarkStart w:id="399" w:name="_Toc297048385"/>
      <w:bookmarkStart w:id="400" w:name="_Toc300934997"/>
      <w:r>
        <w:rPr>
          <w:rFonts w:hint="eastAsia" w:ascii="宋体" w:hAnsi="宋体" w:cs="宋体"/>
          <w:color w:val="auto"/>
          <w:sz w:val="24"/>
          <w:highlight w:val="none"/>
        </w:rPr>
        <w:t>0.7 暂估价</w:t>
      </w:r>
    </w:p>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14:paraId="4472E8E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暂</w:t>
      </w:r>
      <w:bookmarkStart w:id="401" w:name="_Toc312677508"/>
      <w:bookmarkStart w:id="402" w:name="_Toc312678034"/>
      <w:bookmarkStart w:id="403" w:name="_Toc318581176"/>
      <w:r>
        <w:rPr>
          <w:rFonts w:hint="eastAsia" w:ascii="宋体" w:hAnsi="宋体" w:cs="宋体"/>
          <w:color w:val="auto"/>
          <w:sz w:val="24"/>
          <w:highlight w:val="none"/>
        </w:rPr>
        <w:t>估价材料和工程设备的明细详见附件11：《暂估价一览表》。</w:t>
      </w:r>
    </w:p>
    <w:bookmarkEnd w:id="401"/>
    <w:bookmarkEnd w:id="402"/>
    <w:bookmarkEnd w:id="403"/>
    <w:p w14:paraId="79388D9E">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bookmarkStart w:id="404" w:name="_Toc312677509"/>
      <w:bookmarkStart w:id="405" w:name="_Toc318581177"/>
      <w:bookmarkStart w:id="406" w:name="_Toc312678035"/>
      <w:r>
        <w:rPr>
          <w:rFonts w:hint="eastAsia" w:ascii="宋体" w:hAnsi="宋体" w:cs="宋体"/>
          <w:color w:val="auto"/>
          <w:sz w:val="24"/>
          <w:highlight w:val="none"/>
        </w:rPr>
        <w:t>0.7.1 依法必须招标的暂估价项目</w:t>
      </w:r>
    </w:p>
    <w:bookmarkEnd w:id="404"/>
    <w:bookmarkEnd w:id="405"/>
    <w:bookmarkEnd w:id="406"/>
    <w:p w14:paraId="3FCD9CE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对于依法必须招标的暂估价项目的确认和批准采取第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种方式确定。</w:t>
      </w:r>
    </w:p>
    <w:p w14:paraId="2B7E162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10.7.2 不属于依法必须招标的暂估价项目</w:t>
      </w:r>
    </w:p>
    <w:p w14:paraId="6B5EF3F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对于不属于依法必须招标的暂估价项目的确认和批准采取第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种方式确定。</w:t>
      </w:r>
    </w:p>
    <w:p w14:paraId="54CAC0A4">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第3种方式：承包人直接实施的暂估价项目</w:t>
      </w:r>
    </w:p>
    <w:p w14:paraId="4461A661">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承包人直接实施的暂估价项目的约定：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B5B01C0">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10.8 暂列金额</w:t>
      </w:r>
    </w:p>
    <w:p w14:paraId="7A368764">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合同当事人关于暂列金额使用的约定：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B17357F">
      <w:pPr>
        <w:spacing w:line="400" w:lineRule="exact"/>
        <w:ind w:firstLine="482" w:firstLineChars="200"/>
        <w:rPr>
          <w:rFonts w:hint="eastAsia" w:ascii="宋体" w:hAnsi="宋体" w:cs="宋体"/>
          <w:b/>
          <w:bCs/>
          <w:color w:val="auto"/>
          <w:sz w:val="24"/>
          <w:highlight w:val="none"/>
        </w:rPr>
      </w:pPr>
      <w:bookmarkStart w:id="407" w:name="_Toc351203643"/>
      <w:r>
        <w:rPr>
          <w:rFonts w:hint="eastAsia" w:ascii="宋体" w:hAnsi="宋体" w:cs="宋体"/>
          <w:b/>
          <w:bCs/>
          <w:color w:val="auto"/>
          <w:sz w:val="24"/>
          <w:highlight w:val="none"/>
        </w:rPr>
        <w:t>11.价格调整</w:t>
      </w:r>
      <w:bookmarkEnd w:id="407"/>
    </w:p>
    <w:p w14:paraId="0A0252EC">
      <w:pPr>
        <w:adjustRightInd w:val="0"/>
        <w:snapToGrid w:val="0"/>
        <w:spacing w:line="400" w:lineRule="exact"/>
        <w:ind w:firstLine="480" w:firstLineChars="200"/>
        <w:jc w:val="left"/>
        <w:rPr>
          <w:rFonts w:hint="eastAsia" w:ascii="宋体" w:hAnsi="宋体" w:cs="宋体"/>
          <w:color w:val="auto"/>
          <w:sz w:val="24"/>
          <w:highlight w:val="none"/>
        </w:rPr>
      </w:pPr>
      <w:bookmarkStart w:id="408" w:name="_Toc296891029"/>
      <w:bookmarkStart w:id="409" w:name="_Toc297216209"/>
      <w:bookmarkStart w:id="410" w:name="_Toc296503201"/>
      <w:bookmarkStart w:id="411" w:name="_Toc292559406"/>
      <w:bookmarkStart w:id="412" w:name="_Toc304295577"/>
      <w:bookmarkStart w:id="413" w:name="_Toc303539157"/>
      <w:bookmarkStart w:id="414" w:name="_Toc292559911"/>
      <w:bookmarkStart w:id="415" w:name="_Toc297048387"/>
      <w:bookmarkStart w:id="416" w:name="_Toc296944540"/>
      <w:bookmarkStart w:id="417" w:name="_Toc296347200"/>
      <w:bookmarkStart w:id="418" w:name="_Toc297120501"/>
      <w:bookmarkStart w:id="419" w:name="_Toc296346702"/>
      <w:bookmarkStart w:id="420" w:name="_Toc296891241"/>
      <w:bookmarkStart w:id="421" w:name="_Toc297123550"/>
      <w:bookmarkStart w:id="422" w:name="_Toc312678039"/>
      <w:bookmarkStart w:id="423" w:name="_Toc300935000"/>
      <w:r>
        <w:rPr>
          <w:rFonts w:hint="eastAsia" w:ascii="宋体" w:hAnsi="宋体" w:cs="宋体"/>
          <w:color w:val="auto"/>
          <w:sz w:val="24"/>
          <w:highlight w:val="none"/>
        </w:rPr>
        <w:t>11.1 市场价格波动引起的调整</w:t>
      </w:r>
    </w:p>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14:paraId="0D05BED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市场价格波动是否调整合同价格的约定：</w:t>
      </w:r>
      <w:bookmarkEnd w:id="310"/>
      <w:bookmarkEnd w:id="311"/>
      <w:bookmarkEnd w:id="312"/>
      <w:bookmarkEnd w:id="313"/>
      <w:bookmarkEnd w:id="314"/>
      <w:bookmarkEnd w:id="315"/>
      <w:bookmarkEnd w:id="316"/>
      <w:r>
        <w:rPr>
          <w:rFonts w:hint="eastAsia" w:ascii="宋体" w:hAnsi="宋体" w:cs="宋体"/>
          <w:color w:val="auto"/>
          <w:sz w:val="24"/>
          <w:highlight w:val="none"/>
          <w:u w:val="single"/>
        </w:rPr>
        <w:t>不可调价</w:t>
      </w:r>
      <w:r>
        <w:rPr>
          <w:rFonts w:hint="eastAsia" w:ascii="宋体" w:hAnsi="宋体" w:cs="宋体"/>
          <w:color w:val="auto"/>
          <w:sz w:val="24"/>
          <w:highlight w:val="none"/>
        </w:rPr>
        <w:t>。</w:t>
      </w:r>
    </w:p>
    <w:p w14:paraId="6E2954B3">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因市场价格波动调整合同价格，采用以下第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种方式对合同价格进行调整：</w:t>
      </w:r>
    </w:p>
    <w:p w14:paraId="19017E67">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第1种方式：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6E877A34">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关于各可调因子、定值和变值权重，以及基本价格指数及其来源的约定：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457A334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第2种方式：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7069FE8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（2）关于基准价格的约定：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D9BB83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%时，或材料单价跌幅以已标价工程量清单或预算书中载明材料单价为基础超过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%时，其超过部分据实调整。</w:t>
      </w:r>
    </w:p>
    <w:p w14:paraId="281DE4A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%时，材料单价涨幅以已标价工程量清单或预算书中载明材料单价为基础超过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%时，其超过部分据实调整。</w:t>
      </w:r>
    </w:p>
    <w:p w14:paraId="5F6541D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%时，其超过部分据实调整。</w:t>
      </w:r>
    </w:p>
    <w:p w14:paraId="74EEFDA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第3种方式：其他价格调整方式：</w:t>
      </w:r>
      <w:r>
        <w:rPr>
          <w:rFonts w:hint="eastAsia" w:ascii="宋体" w:hAnsi="宋体" w:cs="宋体"/>
          <w:color w:val="auto"/>
          <w:sz w:val="24"/>
          <w:highlight w:val="none"/>
          <w:u w:val="single"/>
        </w:rPr>
        <w:t xml:space="preserve"> 无</w:t>
      </w:r>
      <w:r>
        <w:rPr>
          <w:rFonts w:hint="eastAsia" w:ascii="宋体" w:hAnsi="宋体" w:cs="宋体"/>
          <w:color w:val="auto"/>
          <w:sz w:val="24"/>
          <w:highlight w:val="none"/>
        </w:rPr>
        <w:t xml:space="preserve"> 。</w:t>
      </w:r>
    </w:p>
    <w:p w14:paraId="41872EDF">
      <w:pPr>
        <w:spacing w:line="400" w:lineRule="exact"/>
        <w:ind w:firstLine="482" w:firstLineChars="200"/>
        <w:rPr>
          <w:rFonts w:hint="eastAsia" w:ascii="宋体" w:hAnsi="宋体" w:cs="宋体"/>
          <w:b/>
          <w:bCs/>
          <w:color w:val="auto"/>
          <w:sz w:val="24"/>
          <w:highlight w:val="none"/>
        </w:rPr>
      </w:pPr>
      <w:bookmarkStart w:id="424" w:name="_Toc292559915"/>
      <w:bookmarkStart w:id="425" w:name="_Toc296891033"/>
      <w:bookmarkStart w:id="426" w:name="_Toc296346706"/>
      <w:bookmarkStart w:id="427" w:name="_Toc292559410"/>
      <w:bookmarkStart w:id="428" w:name="_Toc296944544"/>
      <w:bookmarkStart w:id="429" w:name="_Toc296503205"/>
      <w:bookmarkStart w:id="430" w:name="_Toc297120505"/>
      <w:bookmarkStart w:id="431" w:name="_Toc296891245"/>
      <w:bookmarkStart w:id="432" w:name="_Toc296347204"/>
      <w:bookmarkStart w:id="433" w:name="_Toc297048391"/>
      <w:bookmarkStart w:id="434" w:name="_Toc351203644"/>
      <w:bookmarkStart w:id="435" w:name="_Toc297123552"/>
      <w:bookmarkStart w:id="436" w:name="_Toc300935002"/>
      <w:bookmarkStart w:id="437" w:name="_Toc303539159"/>
      <w:bookmarkStart w:id="438" w:name="_Toc304295579"/>
      <w:bookmarkStart w:id="439" w:name="_Toc312678040"/>
      <w:bookmarkStart w:id="440" w:name="_Toc297216211"/>
      <w:r>
        <w:rPr>
          <w:rFonts w:hint="eastAsia" w:ascii="宋体" w:hAnsi="宋体" w:cs="宋体"/>
          <w:b/>
          <w:bCs/>
          <w:color w:val="auto"/>
          <w:sz w:val="24"/>
          <w:highlight w:val="none"/>
        </w:rPr>
        <w:t>12</w:t>
      </w:r>
      <w:bookmarkEnd w:id="424"/>
      <w:bookmarkEnd w:id="425"/>
      <w:bookmarkEnd w:id="426"/>
      <w:bookmarkEnd w:id="427"/>
      <w:bookmarkEnd w:id="428"/>
      <w:bookmarkEnd w:id="429"/>
      <w:bookmarkEnd w:id="430"/>
      <w:bookmarkEnd w:id="431"/>
      <w:bookmarkEnd w:id="432"/>
      <w:bookmarkEnd w:id="433"/>
      <w:r>
        <w:rPr>
          <w:rFonts w:hint="eastAsia" w:ascii="宋体" w:hAnsi="宋体" w:cs="宋体"/>
          <w:b/>
          <w:bCs/>
          <w:color w:val="auto"/>
          <w:sz w:val="24"/>
          <w:highlight w:val="none"/>
        </w:rPr>
        <w:t>.合同价格、计量与支付</w:t>
      </w:r>
      <w:bookmarkEnd w:id="434"/>
    </w:p>
    <w:bookmarkEnd w:id="435"/>
    <w:bookmarkEnd w:id="436"/>
    <w:bookmarkEnd w:id="437"/>
    <w:bookmarkEnd w:id="438"/>
    <w:bookmarkEnd w:id="439"/>
    <w:bookmarkEnd w:id="440"/>
    <w:p w14:paraId="2ECCBB47">
      <w:pPr>
        <w:adjustRightInd w:val="0"/>
        <w:snapToGrid w:val="0"/>
        <w:spacing w:line="400" w:lineRule="exact"/>
        <w:ind w:firstLine="480" w:firstLineChars="200"/>
        <w:jc w:val="left"/>
        <w:rPr>
          <w:rFonts w:hint="eastAsia" w:ascii="宋体" w:hAnsi="宋体" w:cs="宋体"/>
          <w:color w:val="auto"/>
          <w:sz w:val="24"/>
          <w:highlight w:val="none"/>
        </w:rPr>
      </w:pPr>
      <w:bookmarkStart w:id="441" w:name="_Toc292559916"/>
      <w:bookmarkStart w:id="442" w:name="_Toc292559411"/>
      <w:bookmarkStart w:id="443" w:name="_Toc267251461"/>
      <w:bookmarkStart w:id="444" w:name="_Toc296503206"/>
      <w:bookmarkStart w:id="445" w:name="_Toc296891246"/>
      <w:bookmarkStart w:id="446" w:name="_Toc296347205"/>
      <w:bookmarkStart w:id="447" w:name="_Toc297048392"/>
      <w:bookmarkStart w:id="448" w:name="_Toc296944545"/>
      <w:bookmarkStart w:id="449" w:name="_Toc296891034"/>
      <w:bookmarkStart w:id="450" w:name="_Toc297120506"/>
      <w:bookmarkStart w:id="451" w:name="_Toc296346707"/>
      <w:bookmarkStart w:id="452" w:name="_Toc304295580"/>
      <w:bookmarkStart w:id="453" w:name="_Toc297216212"/>
      <w:bookmarkStart w:id="454" w:name="_Toc297123553"/>
      <w:bookmarkStart w:id="455" w:name="_Toc303539160"/>
      <w:bookmarkStart w:id="456" w:name="_Toc300935003"/>
      <w:bookmarkStart w:id="457" w:name="_Toc312678041"/>
      <w:r>
        <w:rPr>
          <w:rFonts w:hint="eastAsia" w:ascii="宋体" w:hAnsi="宋体" w:cs="宋体"/>
          <w:color w:val="auto"/>
          <w:sz w:val="24"/>
          <w:highlight w:val="none"/>
        </w:rPr>
        <w:t>12.1 合</w:t>
      </w:r>
      <w:bookmarkEnd w:id="441"/>
      <w:bookmarkEnd w:id="442"/>
      <w:bookmarkEnd w:id="443"/>
      <w:r>
        <w:rPr>
          <w:rFonts w:hint="eastAsia" w:ascii="宋体" w:hAnsi="宋体" w:cs="宋体"/>
          <w:color w:val="auto"/>
          <w:sz w:val="24"/>
          <w:highlight w:val="none"/>
        </w:rPr>
        <w:t>同价</w:t>
      </w:r>
      <w:bookmarkEnd w:id="444"/>
      <w:bookmarkEnd w:id="445"/>
      <w:bookmarkEnd w:id="446"/>
      <w:bookmarkEnd w:id="447"/>
      <w:bookmarkEnd w:id="448"/>
      <w:bookmarkEnd w:id="449"/>
      <w:bookmarkEnd w:id="450"/>
      <w:bookmarkEnd w:id="451"/>
      <w:r>
        <w:rPr>
          <w:rFonts w:hint="eastAsia" w:ascii="宋体" w:hAnsi="宋体" w:cs="宋体"/>
          <w:color w:val="auto"/>
          <w:sz w:val="24"/>
          <w:highlight w:val="none"/>
        </w:rPr>
        <w:t>格形式</w:t>
      </w:r>
    </w:p>
    <w:bookmarkEnd w:id="452"/>
    <w:bookmarkEnd w:id="453"/>
    <w:bookmarkEnd w:id="454"/>
    <w:bookmarkEnd w:id="455"/>
    <w:bookmarkEnd w:id="456"/>
    <w:bookmarkEnd w:id="457"/>
    <w:p w14:paraId="16C0B29D">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本工程采用</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合同价格形式。本工程计价时采用的增值税计税方法为：简易计税法。</w:t>
      </w:r>
    </w:p>
    <w:p w14:paraId="1F0D6F74">
      <w:pPr>
        <w:spacing w:line="400" w:lineRule="exact"/>
        <w:ind w:firstLine="480" w:firstLineChars="200"/>
        <w:jc w:val="left"/>
        <w:rPr>
          <w:rFonts w:hint="eastAsia" w:ascii="宋体" w:hAnsi="宋体" w:cs="宋体"/>
          <w:color w:val="auto"/>
          <w:sz w:val="24"/>
          <w:highlight w:val="none"/>
        </w:rPr>
      </w:pPr>
      <w:bookmarkStart w:id="458" w:name="_Toc312678042"/>
      <w:bookmarkStart w:id="459" w:name="_Toc297123554"/>
      <w:bookmarkStart w:id="460" w:name="_Toc300935004"/>
      <w:bookmarkStart w:id="461" w:name="_Toc303539161"/>
      <w:bookmarkStart w:id="462" w:name="_Toc297216213"/>
      <w:bookmarkStart w:id="463" w:name="_Toc304295581"/>
      <w:bookmarkStart w:id="464" w:name="_Toc296347206"/>
      <w:bookmarkStart w:id="465" w:name="_Toc296944546"/>
      <w:bookmarkStart w:id="466" w:name="_Toc296503207"/>
      <w:bookmarkStart w:id="467" w:name="_Toc292559917"/>
      <w:bookmarkStart w:id="468" w:name="_Toc292559412"/>
      <w:bookmarkStart w:id="469" w:name="_Toc297048393"/>
      <w:bookmarkStart w:id="470" w:name="_Toc296891247"/>
      <w:bookmarkStart w:id="471" w:name="_Toc296346708"/>
      <w:bookmarkStart w:id="472" w:name="_Toc297120507"/>
      <w:bookmarkStart w:id="473" w:name="_Toc296891035"/>
      <w:r>
        <w:rPr>
          <w:rFonts w:hint="eastAsia" w:ascii="宋体" w:hAnsi="宋体" w:cs="宋体"/>
          <w:color w:val="auto"/>
          <w:sz w:val="24"/>
          <w:highlight w:val="none"/>
        </w:rPr>
        <w:t>（1）单价合同。</w:t>
      </w:r>
    </w:p>
    <w:p w14:paraId="6EEC9E11">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采用综合单价合同方式时，工程量按建设单位、监理单位、施工单位三方确认的竣工图结算。</w:t>
      </w:r>
    </w:p>
    <w:p w14:paraId="2CDA57E0">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综合单价包含的风险范围：除工程变更、项目特征不符、工程量清单缺项、工程量偏差、政策性调整、本工程《承包人提供主要材料和设备一览表》中约定的材料和设备价格变动风险以外的其他风险因素。</w:t>
      </w:r>
    </w:p>
    <w:p w14:paraId="5EC7AEF3">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风险范围以外合同价格的调整方法：</w:t>
      </w:r>
    </w:p>
    <w:p w14:paraId="7B08A297">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①工程变更、项目特征不符、工程量清单缺项：按10.4.1变更估价原则的约定调整。</w:t>
      </w:r>
    </w:p>
    <w:p w14:paraId="01B1331A">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②工程量偏差：按1.13工程量清单错误修正的约定调整。</w:t>
      </w:r>
    </w:p>
    <w:p w14:paraId="6A632903">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③政策性调整：按自治区</w:t>
      </w:r>
      <w:r>
        <w:rPr>
          <w:rFonts w:hint="eastAsia" w:ascii="宋体" w:hAnsi="宋体" w:cs="宋体"/>
          <w:color w:val="auto"/>
          <w:sz w:val="24"/>
          <w:highlight w:val="none"/>
          <w:lang w:eastAsia="zh-CN"/>
        </w:rPr>
        <w:t>住房和城乡建设厅</w:t>
      </w:r>
      <w:r>
        <w:rPr>
          <w:rFonts w:hint="eastAsia" w:ascii="宋体" w:hAnsi="宋体" w:cs="宋体"/>
          <w:color w:val="auto"/>
          <w:sz w:val="24"/>
          <w:highlight w:val="none"/>
        </w:rPr>
        <w:t>或工程所在地住房城乡建设主管部门颁布的文件执行。</w:t>
      </w:r>
    </w:p>
    <w:p w14:paraId="36318F81">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④材料价格风险：按11.1的约定调整。</w:t>
      </w:r>
    </w:p>
    <w:p w14:paraId="75058BCF">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⑤</w:t>
      </w:r>
      <w:r>
        <w:rPr>
          <w:rFonts w:hint="eastAsia" w:ascii="宋体" w:hAnsi="宋体" w:cs="宋体"/>
          <w:color w:val="auto"/>
          <w:sz w:val="24"/>
          <w:highlight w:val="none"/>
          <w:lang w:eastAsia="zh-CN"/>
        </w:rPr>
        <w:t>其他</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40C451">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（2）总价合同。</w:t>
      </w:r>
    </w:p>
    <w:p w14:paraId="2D70BF92">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总价包含的风险范围：包含除工程变更、政策性调整、</w:t>
      </w:r>
      <w:r>
        <w:rPr>
          <w:rFonts w:hint="eastAsia" w:ascii="宋体" w:hAnsi="宋体" w:cs="宋体"/>
          <w:color w:val="auto"/>
          <w:sz w:val="24"/>
          <w:highlight w:val="none"/>
          <w:u w:val="single"/>
        </w:rPr>
        <w:t>本工程《承包人提供主要材料和设备一览表》中约定的材料和设备价格变动风险以外的其他风险。除工程变更外，结算时不再对招标施工图对应的工程量重新计量</w:t>
      </w:r>
      <w:r>
        <w:rPr>
          <w:rFonts w:hint="eastAsia" w:ascii="宋体" w:hAnsi="宋体" w:cs="宋体"/>
          <w:color w:val="auto"/>
          <w:sz w:val="24"/>
          <w:highlight w:val="none"/>
        </w:rPr>
        <w:t>。</w:t>
      </w:r>
    </w:p>
    <w:p w14:paraId="094E4E89">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风险范围以外合同价格的调整方法：</w:t>
      </w:r>
    </w:p>
    <w:p w14:paraId="6BF07D9D">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①工程变更：按10.4.1变更估价原则的约定调整。</w:t>
      </w:r>
    </w:p>
    <w:p w14:paraId="2593C9C0">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②政策性调整：按自治区</w:t>
      </w:r>
      <w:r>
        <w:rPr>
          <w:rFonts w:hint="eastAsia" w:ascii="宋体" w:hAnsi="宋体" w:cs="宋体"/>
          <w:color w:val="auto"/>
          <w:sz w:val="24"/>
          <w:highlight w:val="none"/>
          <w:lang w:eastAsia="zh-CN"/>
        </w:rPr>
        <w:t>住房和城乡建设厅</w:t>
      </w:r>
      <w:r>
        <w:rPr>
          <w:rFonts w:hint="eastAsia" w:ascii="宋体" w:hAnsi="宋体" w:cs="宋体"/>
          <w:color w:val="auto"/>
          <w:sz w:val="24"/>
          <w:highlight w:val="none"/>
        </w:rPr>
        <w:t>或工程所在地住房城乡建设主管部门颁布的文件执行。</w:t>
      </w:r>
    </w:p>
    <w:p w14:paraId="01324B13">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③材料价格风险：按11.1的约定调整。</w:t>
      </w:r>
    </w:p>
    <w:p w14:paraId="633A8F55">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4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④</w:t>
      </w:r>
      <w:r>
        <w:rPr>
          <w:rFonts w:hint="eastAsia" w:ascii="宋体" w:hAnsi="宋体" w:cs="宋体"/>
          <w:color w:val="auto"/>
          <w:sz w:val="24"/>
          <w:highlight w:val="none"/>
          <w:lang w:eastAsia="zh-CN"/>
        </w:rPr>
        <w:t>其他</w:t>
      </w:r>
      <w:r>
        <w:rPr>
          <w:rFonts w:hint="eastAsia" w:ascii="宋体" w:hAnsi="宋体" w:cs="宋体"/>
          <w:color w:val="auto"/>
          <w:sz w:val="24"/>
          <w:highlight w:val="none"/>
        </w:rPr>
        <w:fldChar w:fldCharType="end"/>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6526822">
      <w:pPr>
        <w:numPr>
          <w:ilvl w:val="0"/>
          <w:numId w:val="2"/>
        </w:num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其他价格方式：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578366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12.2 预付款 </w:t>
      </w:r>
    </w:p>
    <w:bookmarkEnd w:id="458"/>
    <w:bookmarkEnd w:id="459"/>
    <w:bookmarkEnd w:id="460"/>
    <w:bookmarkEnd w:id="461"/>
    <w:bookmarkEnd w:id="462"/>
    <w:bookmarkEnd w:id="463"/>
    <w:p w14:paraId="3DFDD55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12.2.1 预付款的支付</w:t>
      </w:r>
    </w:p>
    <w:p w14:paraId="24BF936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预付款支付比例或金额：</w:t>
      </w:r>
      <w:r>
        <w:rPr>
          <w:rFonts w:hint="eastAsia" w:ascii="宋体" w:hAnsi="宋体" w:cs="宋体"/>
          <w:b w:val="0"/>
          <w:bCs w:val="0"/>
          <w:color w:val="auto"/>
          <w:kern w:val="0"/>
          <w:sz w:val="24"/>
          <w:highlight w:val="none"/>
          <w:u w:val="single"/>
        </w:rPr>
        <w:t>30%</w:t>
      </w:r>
      <w:r>
        <w:rPr>
          <w:rFonts w:hint="eastAsia" w:ascii="宋体" w:hAnsi="宋体" w:cs="宋体"/>
          <w:color w:val="auto"/>
          <w:sz w:val="24"/>
          <w:highlight w:val="none"/>
        </w:rPr>
        <w:t>。</w:t>
      </w:r>
    </w:p>
    <w:p w14:paraId="5D231493">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预付款支付期限：</w:t>
      </w:r>
      <w:r>
        <w:rPr>
          <w:rFonts w:hint="eastAsia" w:ascii="宋体" w:hAnsi="宋体" w:cs="宋体"/>
          <w:b w:val="0"/>
          <w:bCs w:val="0"/>
          <w:color w:val="auto"/>
          <w:kern w:val="0"/>
          <w:sz w:val="24"/>
          <w:highlight w:val="none"/>
          <w:u w:val="single"/>
        </w:rPr>
        <w:t>在合同签订后5个工作日内支付</w:t>
      </w:r>
      <w:r>
        <w:rPr>
          <w:rFonts w:hint="eastAsia" w:ascii="宋体" w:hAnsi="宋体" w:cs="宋体"/>
          <w:color w:val="auto"/>
          <w:sz w:val="24"/>
          <w:highlight w:val="none"/>
        </w:rPr>
        <w:t>。</w:t>
      </w:r>
    </w:p>
    <w:p w14:paraId="03DDD6E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预付款扣回的方式：</w:t>
      </w:r>
      <w:r>
        <w:rPr>
          <w:rFonts w:hint="eastAsia" w:ascii="宋体" w:hAnsi="宋体" w:cs="宋体"/>
          <w:color w:val="auto"/>
          <w:kern w:val="0"/>
          <w:sz w:val="24"/>
          <w:highlight w:val="none"/>
          <w:u w:val="single"/>
        </w:rPr>
        <w:t>无</w:t>
      </w:r>
      <w:r>
        <w:rPr>
          <w:rFonts w:hint="eastAsia" w:ascii="宋体" w:hAnsi="宋体" w:cs="宋体"/>
          <w:color w:val="auto"/>
          <w:sz w:val="24"/>
          <w:highlight w:val="none"/>
        </w:rPr>
        <w:t>。</w:t>
      </w:r>
    </w:p>
    <w:p w14:paraId="731B93B9">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12.2.2 预付款担保</w:t>
      </w:r>
    </w:p>
    <w:p w14:paraId="4D069BD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承包人提交预付款担保的期限：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7F26E479">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预付款担保的形式为：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bookmarkEnd w:id="464"/>
    <w:bookmarkEnd w:id="465"/>
    <w:bookmarkEnd w:id="466"/>
    <w:bookmarkEnd w:id="467"/>
    <w:bookmarkEnd w:id="468"/>
    <w:bookmarkEnd w:id="469"/>
    <w:bookmarkEnd w:id="470"/>
    <w:bookmarkEnd w:id="471"/>
    <w:bookmarkEnd w:id="472"/>
    <w:bookmarkEnd w:id="473"/>
    <w:p w14:paraId="4817279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12.3 计量</w:t>
      </w:r>
    </w:p>
    <w:p w14:paraId="4F285D6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12.3.1 计量原则</w:t>
      </w:r>
    </w:p>
    <w:p w14:paraId="68E79C34">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工程量计算规则：</w:t>
      </w:r>
      <w:r>
        <w:rPr>
          <w:rFonts w:hint="eastAsia" w:ascii="宋体" w:hAnsi="宋体" w:cs="宋体"/>
          <w:color w:val="auto"/>
          <w:sz w:val="24"/>
          <w:highlight w:val="none"/>
          <w:u w:val="single"/>
        </w:rPr>
        <w:t>工程的计量均以《建设工程工程量清单计价规范》（GB50500－2013）</w:t>
      </w:r>
      <w:r>
        <w:rPr>
          <w:rFonts w:hint="eastAsia" w:ascii="宋体" w:hAnsi="宋体" w:cs="宋体"/>
          <w:color w:val="auto"/>
          <w:sz w:val="24"/>
          <w:highlight w:val="none"/>
          <w:u w:val="single"/>
          <w:lang w:eastAsia="zh-CN"/>
        </w:rPr>
        <w:t>和</w:t>
      </w:r>
      <w:r>
        <w:rPr>
          <w:rFonts w:hint="eastAsia" w:ascii="宋体" w:hAnsi="宋体" w:cs="宋体"/>
          <w:color w:val="auto"/>
          <w:sz w:val="24"/>
          <w:highlight w:val="none"/>
          <w:u w:val="single"/>
        </w:rPr>
        <w:t>《建筑工程工程量清单计算规范》广西壮族自治区细则（GB50500-2013）</w:t>
      </w:r>
      <w:r>
        <w:rPr>
          <w:rFonts w:hint="eastAsia" w:ascii="宋体" w:hAnsi="宋体" w:cs="宋体"/>
          <w:color w:val="auto"/>
          <w:sz w:val="24"/>
          <w:highlight w:val="none"/>
        </w:rPr>
        <w:t>。</w:t>
      </w:r>
    </w:p>
    <w:p w14:paraId="2031D7F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12.3.2 计量周期</w:t>
      </w:r>
    </w:p>
    <w:p w14:paraId="5DB40E1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关于计量周期的约定：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74C90441">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12.3.3 单价合同的计量</w:t>
      </w:r>
    </w:p>
    <w:p w14:paraId="2998F993">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关于单价合同计量的约定：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59B0223">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12.3.4 总价合同的计量</w:t>
      </w:r>
    </w:p>
    <w:p w14:paraId="749BDAC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关于总价合同计量的约定：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6BB1FD4">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12.3.5总价合同采用支付分解表计量支付的，是否适用第12.3.4 项〔总价合同的计量〕约定进行计量：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64F6BE0">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12.3.6 其他价格形式合同的计量</w:t>
      </w:r>
    </w:p>
    <w:p w14:paraId="7A3C2E87">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其他价格形式的计量方式和程序：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CE7BC7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12.4 工程进度款支付</w:t>
      </w:r>
    </w:p>
    <w:p w14:paraId="0008909E">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12.4.1 付款周期</w:t>
      </w:r>
    </w:p>
    <w:p w14:paraId="0A38F723">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关于付款周期的约定：</w:t>
      </w:r>
    </w:p>
    <w:p w14:paraId="7E984B17">
      <w:pPr>
        <w:adjustRightInd w:val="0"/>
        <w:snapToGrid w:val="0"/>
        <w:spacing w:line="400" w:lineRule="exact"/>
        <w:ind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（1）预付款支付比例或金额：30%。</w:t>
      </w:r>
    </w:p>
    <w:p w14:paraId="51BF916D">
      <w:pPr>
        <w:adjustRightInd w:val="0"/>
        <w:snapToGrid w:val="0"/>
        <w:spacing w:line="400" w:lineRule="exact"/>
        <w:ind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）预付款支付期限：在合同签订后5个工作日内支付。</w:t>
      </w:r>
    </w:p>
    <w:p w14:paraId="4F0097F0">
      <w:pPr>
        <w:adjustRightInd w:val="0"/>
        <w:snapToGrid w:val="0"/>
        <w:spacing w:line="400" w:lineRule="exact"/>
        <w:ind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3</w:t>
      </w:r>
      <w:r>
        <w:rPr>
          <w:rFonts w:hint="eastAsia" w:ascii="宋体" w:hAnsi="宋体" w:cs="宋体"/>
          <w:color w:val="auto"/>
          <w:kern w:val="0"/>
          <w:sz w:val="24"/>
          <w:highlight w:val="none"/>
          <w:u w:val="single"/>
        </w:rPr>
        <w:t>）工程整体完工后，由承包人按工程相关要求做好竣工资料，工程验收达到合格、并达到投入使用条件，且工程结算经第三方审定后工程款支付至结算总额的97%。</w:t>
      </w:r>
    </w:p>
    <w:p w14:paraId="796E8EE1">
      <w:pPr>
        <w:adjustRightInd w:val="0"/>
        <w:snapToGrid w:val="0"/>
        <w:spacing w:line="4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4</w:t>
      </w:r>
      <w:r>
        <w:rPr>
          <w:rFonts w:hint="eastAsia" w:ascii="宋体" w:hAnsi="宋体" w:cs="宋体"/>
          <w:color w:val="auto"/>
          <w:kern w:val="0"/>
          <w:sz w:val="24"/>
          <w:highlight w:val="none"/>
          <w:u w:val="single"/>
        </w:rPr>
        <w:t>）余下结算总额3%的款项作为质量缺陷保证金，2年质量保修期满、项目不存在质量问题且承包人不存在任何违约情形之日起30日内付清（无息）。</w:t>
      </w:r>
    </w:p>
    <w:p w14:paraId="450B394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关于进度付款申请单编制的约定：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25D4A4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12.4.3 进度付款申请单的提交</w:t>
      </w:r>
    </w:p>
    <w:p w14:paraId="04F0D00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（1）单价合同进度付款申请单提交的约定：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877795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（2）总价合同进度付款申请单提交的约定：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ACEF137">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（3）其他价格形式合同进度付款申请单提交的约定：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6558F43">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12.4.4 进度款审核和支付</w:t>
      </w:r>
    </w:p>
    <w:p w14:paraId="35ABBBC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（1）监理人审查并报送发包人的期限：</w:t>
      </w:r>
      <w:r>
        <w:rPr>
          <w:rFonts w:hint="eastAsia" w:ascii="宋体" w:hAnsi="宋体" w:cs="宋体"/>
          <w:color w:val="auto"/>
          <w:sz w:val="24"/>
          <w:highlight w:val="none"/>
          <w:u w:val="single"/>
        </w:rPr>
        <w:t>14日</w:t>
      </w:r>
      <w:r>
        <w:rPr>
          <w:rFonts w:hint="eastAsia" w:ascii="宋体" w:hAnsi="宋体" w:cs="宋体"/>
          <w:color w:val="auto"/>
          <w:sz w:val="24"/>
          <w:highlight w:val="none"/>
        </w:rPr>
        <w:t>。</w:t>
      </w:r>
    </w:p>
    <w:p w14:paraId="7F61449E">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发包人完成审批并签发进度款支付证书的期限：</w:t>
      </w:r>
      <w:r>
        <w:rPr>
          <w:rFonts w:hint="eastAsia" w:ascii="宋体" w:hAnsi="宋体" w:cs="宋体"/>
          <w:color w:val="auto"/>
          <w:sz w:val="24"/>
          <w:highlight w:val="none"/>
          <w:u w:val="single"/>
        </w:rPr>
        <w:t>14天</w:t>
      </w:r>
      <w:r>
        <w:rPr>
          <w:rFonts w:hint="eastAsia" w:ascii="宋体" w:hAnsi="宋体" w:cs="宋体"/>
          <w:color w:val="auto"/>
          <w:sz w:val="24"/>
          <w:highlight w:val="none"/>
        </w:rPr>
        <w:t>。</w:t>
      </w:r>
    </w:p>
    <w:p w14:paraId="33E2AAB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（2）发包人支付进度款的期限：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1DFCE5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发包人逾期支付进度款的违约金的计算方式：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1F71DBE">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12.4.6 支付分解表的编制</w:t>
      </w:r>
    </w:p>
    <w:p w14:paraId="3B61A70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总价合同支付分解表的编制与审批：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AF273B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单价合同的总价项目支付分解表的编制与审批：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7B8806C">
      <w:pPr>
        <w:spacing w:line="400" w:lineRule="exact"/>
        <w:ind w:firstLine="482" w:firstLineChars="200"/>
        <w:rPr>
          <w:rFonts w:hint="eastAsia" w:ascii="宋体" w:hAnsi="宋体" w:cs="宋体"/>
          <w:b/>
          <w:bCs/>
          <w:color w:val="auto"/>
          <w:sz w:val="24"/>
          <w:highlight w:val="none"/>
        </w:rPr>
      </w:pPr>
      <w:bookmarkStart w:id="474" w:name="_Toc351203645"/>
      <w:bookmarkStart w:id="475" w:name="_Toc297123564"/>
      <w:bookmarkStart w:id="476" w:name="_Toc297048405"/>
      <w:bookmarkStart w:id="477" w:name="_Toc297120519"/>
      <w:bookmarkStart w:id="478" w:name="_Toc312678053"/>
      <w:bookmarkStart w:id="479" w:name="_Toc296891047"/>
      <w:bookmarkStart w:id="480" w:name="_Toc304295593"/>
      <w:bookmarkStart w:id="481" w:name="_Toc296346720"/>
      <w:bookmarkStart w:id="482" w:name="_Toc292559929"/>
      <w:bookmarkStart w:id="483" w:name="_Toc297216223"/>
      <w:bookmarkStart w:id="484" w:name="_Toc300935015"/>
      <w:bookmarkStart w:id="485" w:name="_Toc296944558"/>
      <w:bookmarkStart w:id="486" w:name="_Toc296503219"/>
      <w:bookmarkStart w:id="487" w:name="_Toc296891259"/>
      <w:bookmarkStart w:id="488" w:name="_Toc292559424"/>
      <w:bookmarkStart w:id="489" w:name="_Toc303539172"/>
      <w:bookmarkStart w:id="490" w:name="_Toc296347218"/>
      <w:r>
        <w:rPr>
          <w:rFonts w:hint="eastAsia" w:ascii="宋体" w:hAnsi="宋体" w:cs="宋体"/>
          <w:b/>
          <w:bCs/>
          <w:color w:val="auto"/>
          <w:sz w:val="24"/>
          <w:highlight w:val="none"/>
        </w:rPr>
        <w:t>13.验收和工程试车</w:t>
      </w:r>
      <w:bookmarkEnd w:id="474"/>
    </w:p>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14:paraId="2BA4ED89">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13.1 分部分项工程验收</w:t>
      </w:r>
    </w:p>
    <w:p w14:paraId="3668D693">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13.1.2监理人不能按时进行验收时，应提前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小时提交书面延期要求。</w:t>
      </w:r>
    </w:p>
    <w:p w14:paraId="58F0A43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关于延期最长不得超过：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小时。</w:t>
      </w:r>
    </w:p>
    <w:p w14:paraId="31F09CB0">
      <w:pPr>
        <w:adjustRightInd w:val="0"/>
        <w:snapToGrid w:val="0"/>
        <w:spacing w:line="400" w:lineRule="exact"/>
        <w:ind w:firstLine="480" w:firstLineChars="200"/>
        <w:jc w:val="left"/>
        <w:rPr>
          <w:rFonts w:hint="eastAsia" w:ascii="宋体" w:hAnsi="宋体" w:cs="宋体"/>
          <w:color w:val="auto"/>
          <w:sz w:val="24"/>
          <w:highlight w:val="none"/>
        </w:rPr>
      </w:pPr>
      <w:bookmarkStart w:id="491" w:name="_Toc296503223"/>
      <w:bookmarkStart w:id="492" w:name="_Toc296944562"/>
      <w:bookmarkStart w:id="493" w:name="_Toc312678056"/>
      <w:bookmarkStart w:id="494" w:name="_Toc303539173"/>
      <w:bookmarkStart w:id="495" w:name="_Toc296891051"/>
      <w:bookmarkStart w:id="496" w:name="_Toc304295596"/>
      <w:bookmarkStart w:id="497" w:name="_Toc297216224"/>
      <w:bookmarkStart w:id="498" w:name="_Toc296347222"/>
      <w:bookmarkStart w:id="499" w:name="_Toc300935016"/>
      <w:bookmarkStart w:id="500" w:name="_Toc296346724"/>
      <w:bookmarkStart w:id="501" w:name="_Toc296891263"/>
      <w:bookmarkStart w:id="502" w:name="_Toc292559428"/>
      <w:bookmarkStart w:id="503" w:name="_Toc297048409"/>
      <w:bookmarkStart w:id="504" w:name="_Toc292559933"/>
      <w:bookmarkStart w:id="505" w:name="_Toc297120523"/>
      <w:bookmarkStart w:id="506" w:name="_Toc297123565"/>
      <w:r>
        <w:rPr>
          <w:rFonts w:hint="eastAsia" w:ascii="宋体" w:hAnsi="宋体" w:cs="宋体"/>
          <w:color w:val="auto"/>
          <w:sz w:val="24"/>
          <w:highlight w:val="none"/>
        </w:rPr>
        <w:t>13.2 竣工验收</w:t>
      </w:r>
    </w:p>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14:paraId="2697196F">
      <w:pPr>
        <w:adjustRightInd w:val="0"/>
        <w:snapToGrid w:val="0"/>
        <w:spacing w:line="400" w:lineRule="exact"/>
        <w:ind w:firstLine="480" w:firstLineChars="200"/>
        <w:jc w:val="left"/>
        <w:rPr>
          <w:rFonts w:hint="eastAsia" w:ascii="宋体" w:hAnsi="宋体" w:cs="宋体"/>
          <w:color w:val="auto"/>
          <w:sz w:val="24"/>
          <w:highlight w:val="none"/>
        </w:rPr>
      </w:pPr>
      <w:bookmarkStart w:id="507" w:name="_Toc280868704"/>
      <w:r>
        <w:rPr>
          <w:rFonts w:hint="eastAsia" w:ascii="宋体" w:hAnsi="宋体" w:cs="宋体"/>
          <w:color w:val="auto"/>
          <w:sz w:val="24"/>
          <w:highlight w:val="none"/>
        </w:rPr>
        <w:t>13.2.2竣工验收程序</w:t>
      </w:r>
    </w:p>
    <w:bookmarkEnd w:id="507"/>
    <w:p w14:paraId="2DF01FF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关于竣工验收程序的约定：</w:t>
      </w:r>
      <w:r>
        <w:rPr>
          <w:rFonts w:hint="eastAsia" w:ascii="宋体" w:hAnsi="宋体" w:cs="宋体"/>
          <w:color w:val="auto"/>
          <w:sz w:val="24"/>
          <w:highlight w:val="none"/>
          <w:u w:val="single"/>
        </w:rPr>
        <w:t xml:space="preserve"> 按照《桂财采〔2015〕22号）关于印发广西壮族自治区政府采购项目履约验收管理办法的通知》等有关规定，由发包人成立验收小组组织验收，验收小组须出具验收书。发包人有权邀请参加本项目的其他供应商参与验收，参与验收的供应商意见作为验收书的参考资料一并存档。若达到2次验收不通过的视为承包人违约，发包人有权解除合同</w:t>
      </w:r>
      <w:r>
        <w:rPr>
          <w:rFonts w:hint="eastAsia" w:ascii="宋体" w:hAnsi="宋体" w:cs="宋体"/>
          <w:color w:val="auto"/>
          <w:sz w:val="24"/>
          <w:highlight w:val="none"/>
        </w:rPr>
        <w:t>。</w:t>
      </w:r>
    </w:p>
    <w:p w14:paraId="3CDA02A4">
      <w:pPr>
        <w:wordWrap w:val="0"/>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发包人不按照本项约定组织竣工验收、颁发工程接收证书的违约金的计算方法：</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DA4AA4D">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13.2.5移交、接收全部与部分工程</w:t>
      </w:r>
    </w:p>
    <w:p w14:paraId="03282E8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承包人向发包人移交工程的期限：</w:t>
      </w:r>
      <w:r>
        <w:rPr>
          <w:rFonts w:hint="eastAsia" w:ascii="宋体" w:hAnsi="宋体" w:cs="宋体"/>
          <w:color w:val="auto"/>
          <w:sz w:val="24"/>
          <w:highlight w:val="none"/>
          <w:u w:val="single"/>
        </w:rPr>
        <w:t>25个日历天</w:t>
      </w:r>
      <w:r>
        <w:rPr>
          <w:rFonts w:hint="eastAsia" w:ascii="宋体" w:hAnsi="宋体" w:cs="宋体"/>
          <w:color w:val="auto"/>
          <w:sz w:val="24"/>
          <w:highlight w:val="none"/>
        </w:rPr>
        <w:t>。</w:t>
      </w:r>
    </w:p>
    <w:p w14:paraId="087EE97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发包人未按本合同约定接收全部或部分工程的，违约金的计算方法为：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A60F6F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承包人未按时移交工程的，违约金的计算方法为：</w:t>
      </w:r>
      <w:r>
        <w:rPr>
          <w:rFonts w:hint="eastAsia" w:ascii="宋体" w:hAnsi="宋体" w:cs="宋体"/>
          <w:color w:val="auto"/>
          <w:sz w:val="24"/>
          <w:highlight w:val="none"/>
          <w:u w:val="single"/>
        </w:rPr>
        <w:t>扣除施工费用（暂按200元/日），前述逾期竣工违约金累计扣除金额最高不超过合同总金额的30%，该笔违约金发包人有权从应付承包人的工程款中直接抵扣</w:t>
      </w:r>
      <w:r>
        <w:rPr>
          <w:rFonts w:hint="eastAsia" w:ascii="宋体" w:hAnsi="宋体" w:cs="宋体"/>
          <w:color w:val="auto"/>
          <w:sz w:val="24"/>
          <w:highlight w:val="none"/>
        </w:rPr>
        <w:t>。</w:t>
      </w:r>
    </w:p>
    <w:p w14:paraId="79EC89E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13.3 工程试车</w:t>
      </w:r>
    </w:p>
    <w:p w14:paraId="4178B821">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13.3.1 试车程序</w:t>
      </w:r>
    </w:p>
    <w:p w14:paraId="2FD45DA4">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工程试车内容：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0D99BF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（1）单机无负荷试车费用由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w:t>
      </w:r>
    </w:p>
    <w:p w14:paraId="7971956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（2）无负荷联动试车费用由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w:t>
      </w:r>
    </w:p>
    <w:p w14:paraId="4658D2A3">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13.3.3 投料试车</w:t>
      </w:r>
    </w:p>
    <w:p w14:paraId="5E53BC1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关于投料试车相关事项的约定：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C5783D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13.6 竣工退场</w:t>
      </w:r>
    </w:p>
    <w:p w14:paraId="5A35B094">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13.6.1 竣工退场</w:t>
      </w:r>
    </w:p>
    <w:p w14:paraId="39C7A58D">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承包人完成竣工退场的期限：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448A2B3">
      <w:pPr>
        <w:spacing w:line="400" w:lineRule="exact"/>
        <w:ind w:firstLine="482" w:firstLineChars="200"/>
        <w:rPr>
          <w:rFonts w:hint="eastAsia" w:ascii="宋体" w:hAnsi="宋体" w:cs="宋体"/>
          <w:b/>
          <w:bCs/>
          <w:color w:val="auto"/>
          <w:sz w:val="24"/>
          <w:highlight w:val="none"/>
        </w:rPr>
      </w:pPr>
      <w:bookmarkStart w:id="508" w:name="_Toc351203646"/>
      <w:r>
        <w:rPr>
          <w:rFonts w:hint="eastAsia" w:ascii="宋体" w:hAnsi="宋体" w:cs="宋体"/>
          <w:b/>
          <w:bCs/>
          <w:color w:val="auto"/>
          <w:sz w:val="24"/>
          <w:highlight w:val="none"/>
        </w:rPr>
        <w:t>14.竣工结算</w:t>
      </w:r>
      <w:bookmarkEnd w:id="508"/>
    </w:p>
    <w:p w14:paraId="18D9D750">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14.1 竣工付款申请</w:t>
      </w:r>
    </w:p>
    <w:p w14:paraId="1461345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承包人提交竣工付款申请单的期限：</w:t>
      </w:r>
      <w:r>
        <w:rPr>
          <w:rFonts w:hint="eastAsia" w:ascii="宋体" w:hAnsi="宋体" w:cs="宋体"/>
          <w:color w:val="auto"/>
          <w:sz w:val="24"/>
          <w:highlight w:val="none"/>
          <w:u w:val="single"/>
        </w:rPr>
        <w:t>30天</w:t>
      </w:r>
      <w:r>
        <w:rPr>
          <w:rFonts w:hint="eastAsia" w:ascii="宋体" w:hAnsi="宋体" w:cs="宋体"/>
          <w:color w:val="auto"/>
          <w:sz w:val="24"/>
          <w:highlight w:val="none"/>
        </w:rPr>
        <w:t>。</w:t>
      </w:r>
    </w:p>
    <w:p w14:paraId="14F7A1D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竣工付款申请单应包括的内容：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6F1875D">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14.2 竣工结算审核</w:t>
      </w:r>
    </w:p>
    <w:p w14:paraId="424180D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发包人审批竣工付款申请单的期限：</w:t>
      </w:r>
      <w:r>
        <w:rPr>
          <w:rFonts w:hint="eastAsia" w:ascii="宋体" w:hAnsi="宋体" w:cs="宋体"/>
          <w:color w:val="auto"/>
          <w:sz w:val="24"/>
          <w:highlight w:val="none"/>
          <w:u w:val="single"/>
        </w:rPr>
        <w:t>30天</w:t>
      </w:r>
      <w:r>
        <w:rPr>
          <w:rFonts w:hint="eastAsia" w:ascii="宋体" w:hAnsi="宋体" w:cs="宋体"/>
          <w:color w:val="auto"/>
          <w:sz w:val="24"/>
          <w:highlight w:val="none"/>
        </w:rPr>
        <w:t>。</w:t>
      </w:r>
    </w:p>
    <w:p w14:paraId="1AF7A191">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发包人完成竣工付款的期限：</w:t>
      </w:r>
      <w:r>
        <w:rPr>
          <w:rFonts w:hint="eastAsia" w:ascii="宋体" w:hAnsi="宋体" w:cs="宋体"/>
          <w:color w:val="auto"/>
          <w:sz w:val="24"/>
          <w:highlight w:val="none"/>
          <w:u w:val="single"/>
        </w:rPr>
        <w:t>30天</w:t>
      </w:r>
      <w:r>
        <w:rPr>
          <w:rFonts w:hint="eastAsia" w:ascii="宋体" w:hAnsi="宋体" w:cs="宋体"/>
          <w:color w:val="auto"/>
          <w:sz w:val="24"/>
          <w:highlight w:val="none"/>
        </w:rPr>
        <w:t>。</w:t>
      </w:r>
    </w:p>
    <w:p w14:paraId="3F3FF290">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关于竣工付款证书异议部分复核的方式和程序：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9924EE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14.4 最终结清</w:t>
      </w:r>
    </w:p>
    <w:p w14:paraId="190C57E4">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14.4.1 最终结清申请单</w:t>
      </w:r>
    </w:p>
    <w:p w14:paraId="2C11AACD">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承包人提交最终结清申请单的份数：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5D9D3A7">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承包人提交最终结算申请单的期限：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4CEEE50">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14.4.2 最终结清证书和支付</w:t>
      </w:r>
    </w:p>
    <w:p w14:paraId="7F6014F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（1）发包人完成最终结清申请单的审批并颁发最终结清证书的期限：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04FCF19">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（2）发包人完成支付的期限：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8CA83FF">
      <w:pPr>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15.缺陷责任期与保修</w:t>
      </w:r>
    </w:p>
    <w:p w14:paraId="7AB9777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15.2缺陷责任期</w:t>
      </w:r>
    </w:p>
    <w:p w14:paraId="10AFC2B4">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缺陷责任期的具体期限：</w:t>
      </w:r>
      <w:r>
        <w:rPr>
          <w:rFonts w:hint="eastAsia" w:ascii="宋体" w:hAnsi="宋体" w:cs="宋体"/>
          <w:color w:val="auto"/>
          <w:sz w:val="24"/>
          <w:highlight w:val="none"/>
          <w:u w:val="single"/>
        </w:rPr>
        <w:t>24个月</w:t>
      </w:r>
      <w:r>
        <w:rPr>
          <w:rFonts w:hint="eastAsia" w:ascii="宋体" w:hAnsi="宋体" w:cs="宋体"/>
          <w:color w:val="auto"/>
          <w:sz w:val="24"/>
          <w:highlight w:val="none"/>
        </w:rPr>
        <w:t>。</w:t>
      </w:r>
    </w:p>
    <w:p w14:paraId="30333D6D">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15.3 质量保证金</w:t>
      </w:r>
    </w:p>
    <w:p w14:paraId="03E7420E">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关于是否扣留质量保证金的约定：</w:t>
      </w:r>
      <w:r>
        <w:rPr>
          <w:rFonts w:hint="eastAsia" w:ascii="宋体" w:hAnsi="宋体" w:cs="宋体"/>
          <w:color w:val="auto"/>
          <w:sz w:val="24"/>
          <w:highlight w:val="none"/>
          <w:u w:val="single"/>
        </w:rPr>
        <w:t>扣留质量保证金，剩余合同总金额的3%作为质量保证金，待本工程2年质量保修期届满，且承包人完成质保期内全部维保义务、双方无质量争议后20个工作日内，发包人无息支付该笔质保金，至此结清合同全部价款</w:t>
      </w:r>
      <w:r>
        <w:rPr>
          <w:rFonts w:hint="eastAsia" w:ascii="宋体" w:hAnsi="宋体" w:cs="宋体"/>
          <w:color w:val="auto"/>
          <w:sz w:val="24"/>
          <w:highlight w:val="none"/>
        </w:rPr>
        <w:t>。</w:t>
      </w:r>
    </w:p>
    <w:p w14:paraId="040A227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在工程项目竣工前，承包人按专用合同条款第3.7条提供履约担保的，发包人不得同时预留工程质量保证金。</w:t>
      </w:r>
    </w:p>
    <w:p w14:paraId="6449B923">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15.3.1 承包人提供质量保证金的方式</w:t>
      </w:r>
    </w:p>
    <w:p w14:paraId="76A4A01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质量保证金采用以下第</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w:t>
      </w:r>
      <w:r>
        <w:rPr>
          <w:rFonts w:hint="eastAsia" w:ascii="宋体" w:hAnsi="宋体" w:cs="宋体"/>
          <w:color w:val="auto"/>
          <w:sz w:val="24"/>
          <w:highlight w:val="none"/>
        </w:rPr>
        <w:t>种方式：</w:t>
      </w:r>
    </w:p>
    <w:p w14:paraId="323ADA53">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（1）质量保证金保函，保证金额为：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2E8DC9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（2）3%的工程款；</w:t>
      </w:r>
    </w:p>
    <w:p w14:paraId="1A02C84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（3）其他方式：</w:t>
      </w:r>
      <w:r>
        <w:rPr>
          <w:rFonts w:hint="eastAsia" w:ascii="宋体" w:hAnsi="宋体" w:cs="宋体"/>
          <w:color w:val="auto"/>
          <w:sz w:val="24"/>
          <w:highlight w:val="none"/>
          <w:u w:val="single"/>
        </w:rPr>
        <w:t>质量保证金在工程竣工验收合格后完成结算90日内向甲方指定账户提交工程价款结算总额的3%。</w:t>
      </w:r>
    </w:p>
    <w:p w14:paraId="041FACC1">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15.3.2 质量保证金的扣留 </w:t>
      </w:r>
    </w:p>
    <w:p w14:paraId="2853BE2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质量保证金的扣留采取以下第</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w:t>
      </w:r>
      <w:r>
        <w:rPr>
          <w:rFonts w:hint="eastAsia" w:ascii="宋体" w:hAnsi="宋体" w:cs="宋体"/>
          <w:color w:val="auto"/>
          <w:sz w:val="24"/>
          <w:highlight w:val="none"/>
        </w:rPr>
        <w:t>种方式：</w:t>
      </w:r>
    </w:p>
    <w:p w14:paraId="038F9B79">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（1）在支付工程进度款时逐次扣留，在此情形下，质量保证金的计算基数不包括预付款的支付、扣回以及价格调整的金额；</w:t>
      </w:r>
    </w:p>
    <w:p w14:paraId="781466B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（2）工程竣工结算时一次性扣留质量保证金；</w:t>
      </w:r>
    </w:p>
    <w:p w14:paraId="785649D7">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（3）其他扣留方式：</w:t>
      </w:r>
      <w:r>
        <w:rPr>
          <w:rFonts w:hint="eastAsia" w:ascii="宋体" w:hAnsi="宋体" w:cs="宋体"/>
          <w:color w:val="auto"/>
          <w:sz w:val="24"/>
          <w:highlight w:val="none"/>
          <w:u w:val="single"/>
        </w:rPr>
        <w:t>质量保证金在工程竣工验收合格后完成结算90日内向甲方指定账户提交工程价款结算总额的3%。</w:t>
      </w:r>
    </w:p>
    <w:p w14:paraId="2237E36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关于质量保证金的补充约定：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7A7E57F">
      <w:pPr>
        <w:pStyle w:val="18"/>
        <w:spacing w:line="400" w:lineRule="exact"/>
        <w:ind w:left="0" w:right="0" w:firstLine="480" w:firstLineChars="200"/>
        <w:rPr>
          <w:rFonts w:hint="eastAsia" w:ascii="宋体" w:hAnsi="宋体" w:cs="宋体"/>
          <w:color w:val="auto"/>
          <w:szCs w:val="24"/>
          <w:highlight w:val="none"/>
        </w:rPr>
      </w:pPr>
      <w:r>
        <w:rPr>
          <w:rFonts w:hint="eastAsia" w:ascii="宋体" w:hAnsi="宋体" w:cs="宋体"/>
          <w:color w:val="auto"/>
          <w:szCs w:val="24"/>
          <w:highlight w:val="none"/>
        </w:rPr>
        <w:t>15.3.3质量保证金退还</w:t>
      </w:r>
    </w:p>
    <w:p w14:paraId="58E450E4">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在质量保修期内若乙方完全履行了质量保证义务，且没有任何未解决的质量问题</w:t>
      </w:r>
      <w:r>
        <w:rPr>
          <w:rFonts w:hint="eastAsia" w:ascii="宋体" w:hAnsi="宋体" w:cs="宋体"/>
          <w:color w:val="auto"/>
          <w:sz w:val="24"/>
          <w:highlight w:val="none"/>
          <w:lang w:eastAsia="zh-CN"/>
        </w:rPr>
        <w:t>，</w:t>
      </w:r>
      <w:r>
        <w:rPr>
          <w:rFonts w:hint="eastAsia" w:ascii="宋体" w:hAnsi="宋体" w:cs="宋体"/>
          <w:color w:val="auto"/>
          <w:sz w:val="24"/>
          <w:highlight w:val="none"/>
        </w:rPr>
        <w:t>质量保修期满后甲方凭乙方提交的《质量保证金退付意见书》</w:t>
      </w:r>
      <w:r>
        <w:rPr>
          <w:rFonts w:hint="eastAsia" w:ascii="宋体" w:hAnsi="宋体" w:cs="宋体"/>
          <w:color w:val="auto"/>
          <w:kern w:val="0"/>
          <w:sz w:val="24"/>
          <w:highlight w:val="none"/>
        </w:rPr>
        <w:t>在20个工作日</w:t>
      </w:r>
      <w:r>
        <w:rPr>
          <w:rFonts w:hint="eastAsia" w:ascii="宋体" w:hAnsi="宋体" w:cs="宋体"/>
          <w:color w:val="auto"/>
          <w:sz w:val="24"/>
          <w:highlight w:val="none"/>
        </w:rPr>
        <w:t>内退还质量保证金（质量保证金不计利息）。</w:t>
      </w:r>
    </w:p>
    <w:p w14:paraId="61732C4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15.4保修</w:t>
      </w:r>
    </w:p>
    <w:p w14:paraId="239F849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15.4.1 保修责任</w:t>
      </w:r>
    </w:p>
    <w:p w14:paraId="32BB385C">
      <w:pPr>
        <w:adjustRightInd w:val="0"/>
        <w:snapToGrid w:val="0"/>
        <w:spacing w:line="400" w:lineRule="exact"/>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工程保修期为：</w:t>
      </w:r>
      <w:r>
        <w:rPr>
          <w:rFonts w:hint="eastAsia" w:ascii="宋体" w:hAnsi="宋体" w:cs="宋体"/>
          <w:color w:val="auto"/>
          <w:sz w:val="24"/>
          <w:highlight w:val="none"/>
          <w:u w:val="single"/>
        </w:rPr>
        <w:t>按《工程质量保修书》执行</w:t>
      </w:r>
      <w:r>
        <w:rPr>
          <w:rFonts w:hint="eastAsia" w:ascii="宋体" w:hAnsi="宋体" w:cs="宋体"/>
          <w:color w:val="auto"/>
          <w:sz w:val="24"/>
          <w:highlight w:val="none"/>
        </w:rPr>
        <w:t>。</w:t>
      </w:r>
    </w:p>
    <w:p w14:paraId="7BAA0C2D">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15.4.3 修复通知</w:t>
      </w:r>
    </w:p>
    <w:p w14:paraId="63E2A85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承包人收到保修通知并到达工程现场的合理时间：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26AF4AC">
      <w:pPr>
        <w:spacing w:line="400" w:lineRule="exact"/>
        <w:ind w:firstLine="482" w:firstLineChars="200"/>
        <w:rPr>
          <w:rFonts w:hint="eastAsia" w:ascii="宋体" w:hAnsi="宋体" w:cs="宋体"/>
          <w:b/>
          <w:bCs/>
          <w:color w:val="auto"/>
          <w:sz w:val="24"/>
          <w:highlight w:val="none"/>
        </w:rPr>
      </w:pPr>
      <w:bookmarkStart w:id="509" w:name="_Toc351203648"/>
      <w:bookmarkStart w:id="510" w:name="_Toc280868717"/>
      <w:bookmarkStart w:id="511" w:name="_Toc280868718"/>
      <w:r>
        <w:rPr>
          <w:rFonts w:hint="eastAsia" w:ascii="宋体" w:hAnsi="宋体" w:cs="宋体"/>
          <w:b/>
          <w:bCs/>
          <w:color w:val="auto"/>
          <w:sz w:val="24"/>
          <w:highlight w:val="none"/>
        </w:rPr>
        <w:t>16.违约</w:t>
      </w:r>
      <w:bookmarkEnd w:id="509"/>
    </w:p>
    <w:p w14:paraId="4E942FE3">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16.1 发包人违约</w:t>
      </w:r>
    </w:p>
    <w:p w14:paraId="7BF7F6A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16.1.1发包人违约的情形</w:t>
      </w:r>
    </w:p>
    <w:p w14:paraId="0E1D4230">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发包人违约的其他情形：</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67A368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16.1.2 发包人违约的责任</w:t>
      </w:r>
    </w:p>
    <w:p w14:paraId="20EB0CCD">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发包人违约责任的承担方式和计算方法：</w:t>
      </w:r>
    </w:p>
    <w:p w14:paraId="00AB72BB">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（1）因发包人原因未能在计划开工日期前7天内下达开工通知的违约责任：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1E4C6793">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（2）因发包人原因未能按合同约定支付合同价款的违约责任：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111F1B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（3）发包人违反第10.1款〔变更的范围〕第（2）项约定，自行实施被取消的工作或转由他人实施的违约责任：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6572BF9">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2212D1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（5）因发包人违反合同约定造成暂停施工的违约责任：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305F4DE">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（6）发包人无正当理由没有在约定期限内发出复工指示，导致承包人无法复工的违约责任：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190A82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（7）其他：</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F565689">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16.1.3 因发包人违约解除合同</w:t>
      </w:r>
    </w:p>
    <w:p w14:paraId="4AF2E6FE">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承包人按16.1.1项〔发包人违约的情形〕约定暂停施工满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天后发包人仍不纠正其违约行为并致使合同目的不能实现的，承包人有权解除合同。</w:t>
      </w:r>
    </w:p>
    <w:p w14:paraId="4FE14E91">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16.2 承包人违约</w:t>
      </w:r>
    </w:p>
    <w:p w14:paraId="212C0477">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16.2.1 承包人违约的情形</w:t>
      </w:r>
    </w:p>
    <w:p w14:paraId="18C611EF">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承包人违约的其他情形：</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E009B91">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16.2.2承包人违约的责任</w:t>
      </w:r>
    </w:p>
    <w:p w14:paraId="0235E6AA">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承包人违约责任的承担方式和计算方法：</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D42325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16.2.3 因承包人违约解除合同</w:t>
      </w:r>
    </w:p>
    <w:p w14:paraId="277AEB3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关于承包人违约解除合同的特别约定：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571D1CB">
      <w:pPr>
        <w:adjustRightInd w:val="0"/>
        <w:snapToGrid w:val="0"/>
        <w:spacing w:line="4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3D94D96">
      <w:pPr>
        <w:spacing w:line="400" w:lineRule="exact"/>
        <w:ind w:firstLine="482" w:firstLineChars="200"/>
        <w:rPr>
          <w:rFonts w:hint="eastAsia" w:ascii="宋体" w:hAnsi="宋体" w:cs="宋体"/>
          <w:b/>
          <w:bCs/>
          <w:color w:val="auto"/>
          <w:sz w:val="24"/>
          <w:highlight w:val="none"/>
        </w:rPr>
      </w:pPr>
      <w:bookmarkStart w:id="512" w:name="_Toc351203649"/>
      <w:r>
        <w:rPr>
          <w:rFonts w:hint="eastAsia" w:ascii="宋体" w:hAnsi="宋体" w:cs="宋体"/>
          <w:b/>
          <w:bCs/>
          <w:color w:val="auto"/>
          <w:sz w:val="24"/>
          <w:highlight w:val="none"/>
        </w:rPr>
        <w:t>17.不可抗力</w:t>
      </w:r>
      <w:bookmarkEnd w:id="512"/>
      <w:r>
        <w:rPr>
          <w:rFonts w:hint="eastAsia" w:ascii="宋体" w:hAnsi="宋体" w:cs="宋体"/>
          <w:b/>
          <w:bCs/>
          <w:color w:val="auto"/>
          <w:sz w:val="24"/>
          <w:highlight w:val="none"/>
        </w:rPr>
        <w:t xml:space="preserve"> </w:t>
      </w:r>
      <w:bookmarkEnd w:id="510"/>
    </w:p>
    <w:p w14:paraId="7F1FD423">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17.1 不可抗力的确认</w:t>
      </w:r>
    </w:p>
    <w:p w14:paraId="13E19C84">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除通用合同条款约定的不可抗力事件之外，视为不可抗力的其他情形：</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314BA50">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17.4 因不可抗力解除合同</w:t>
      </w:r>
    </w:p>
    <w:p w14:paraId="1DC7EF73">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合同解除后，发包人应在商定或确定发包人应支付款项后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天内完成款项的支付。</w:t>
      </w:r>
    </w:p>
    <w:p w14:paraId="0FC5BB85">
      <w:pPr>
        <w:spacing w:line="400" w:lineRule="exact"/>
        <w:ind w:firstLine="482" w:firstLineChars="200"/>
        <w:rPr>
          <w:rFonts w:hint="eastAsia" w:ascii="宋体" w:hAnsi="宋体" w:cs="宋体"/>
          <w:b/>
          <w:bCs/>
          <w:color w:val="auto"/>
          <w:sz w:val="24"/>
          <w:highlight w:val="none"/>
        </w:rPr>
      </w:pPr>
      <w:bookmarkStart w:id="513" w:name="_Toc351203650"/>
      <w:r>
        <w:rPr>
          <w:rFonts w:hint="eastAsia" w:ascii="宋体" w:hAnsi="宋体" w:cs="宋体"/>
          <w:b/>
          <w:bCs/>
          <w:color w:val="auto"/>
          <w:sz w:val="24"/>
          <w:highlight w:val="none"/>
        </w:rPr>
        <w:t>18.保险</w:t>
      </w:r>
      <w:bookmarkEnd w:id="513"/>
    </w:p>
    <w:bookmarkEnd w:id="511"/>
    <w:p w14:paraId="3748D2D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18.1 工程保险</w:t>
      </w:r>
    </w:p>
    <w:p w14:paraId="0FA91C49">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关于工程保险的特别约定：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D61A29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18.3 其他保险</w:t>
      </w:r>
    </w:p>
    <w:p w14:paraId="6AE81D39">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关于其他保险的约定：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DA3BE2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承包人是否应为其施工设备等办理财产保险：</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3D7932">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18.7 通知义务</w:t>
      </w:r>
    </w:p>
    <w:p w14:paraId="6B8BD130">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关于变更保险合同时的通知义务的约定：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FFFC33E">
      <w:pPr>
        <w:spacing w:line="400" w:lineRule="exact"/>
        <w:ind w:firstLine="482" w:firstLineChars="200"/>
        <w:rPr>
          <w:rFonts w:hint="eastAsia" w:ascii="宋体" w:hAnsi="宋体" w:cs="宋体"/>
          <w:b/>
          <w:bCs/>
          <w:color w:val="auto"/>
          <w:sz w:val="24"/>
          <w:highlight w:val="none"/>
        </w:rPr>
      </w:pPr>
      <w:bookmarkStart w:id="514" w:name="_Toc351203651"/>
      <w:r>
        <w:rPr>
          <w:rFonts w:hint="eastAsia" w:ascii="宋体" w:hAnsi="宋体" w:cs="宋体"/>
          <w:b/>
          <w:bCs/>
          <w:color w:val="auto"/>
          <w:sz w:val="24"/>
          <w:highlight w:val="none"/>
        </w:rPr>
        <w:t>20.争议解决</w:t>
      </w:r>
      <w:bookmarkEnd w:id="514"/>
    </w:p>
    <w:p w14:paraId="2E6D543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20.3 争议评审</w:t>
      </w:r>
    </w:p>
    <w:p w14:paraId="2718DE3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合同当事人是否同意将工程争议提交争议评审小组决定：</w:t>
      </w:r>
      <w:r>
        <w:rPr>
          <w:rFonts w:hint="eastAsia" w:ascii="宋体" w:hAnsi="宋体" w:cs="宋体"/>
          <w:color w:val="auto"/>
          <w:sz w:val="24"/>
          <w:highlight w:val="none"/>
          <w:u w:val="single"/>
        </w:rPr>
        <w:t xml:space="preserve">    否    </w:t>
      </w:r>
      <w:r>
        <w:rPr>
          <w:rFonts w:hint="eastAsia" w:ascii="宋体" w:hAnsi="宋体" w:cs="宋体"/>
          <w:color w:val="auto"/>
          <w:sz w:val="24"/>
          <w:highlight w:val="none"/>
        </w:rPr>
        <w:t xml:space="preserve">。  </w:t>
      </w:r>
    </w:p>
    <w:p w14:paraId="3809EAB3">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20.3.1 争议评审小组的确定</w:t>
      </w:r>
    </w:p>
    <w:p w14:paraId="5359437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争议评审小组成员的确定：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7ADC7F0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选定争议评审员的期限：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2F6BC19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争议评审小组成员的报酬承担方式：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B5C307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其他事项的约定：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F5EEEEC">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20.3.2 争议评审小组的决定</w:t>
      </w:r>
    </w:p>
    <w:p w14:paraId="2CE7B9B8">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合同当事人关于本项的约定：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213EBB45">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20.4仲裁或诉讼</w:t>
      </w:r>
    </w:p>
    <w:p w14:paraId="08FAB3A6">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因合同及合同有关事项发生的争议，按下列第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6074BFFD">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（1）向项目当地仲裁委员会申请仲裁；</w:t>
      </w:r>
    </w:p>
    <w:p w14:paraId="2A81F1A4">
      <w:pPr>
        <w:adjustRightInd w:val="0"/>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（2）向项目当地人民法院起诉。</w:t>
      </w:r>
    </w:p>
    <w:p w14:paraId="737CDEF2">
      <w:pPr>
        <w:spacing w:line="440" w:lineRule="exact"/>
        <w:rPr>
          <w:rFonts w:hint="eastAsia" w:ascii="宋体" w:hAnsi="宋体" w:cs="宋体"/>
          <w:color w:val="auto"/>
          <w:highlight w:val="none"/>
        </w:rPr>
      </w:pPr>
      <w:r>
        <w:rPr>
          <w:rFonts w:hint="eastAsia" w:ascii="宋体" w:hAnsi="宋体" w:cs="宋体"/>
          <w:color w:val="auto"/>
          <w:sz w:val="28"/>
          <w:szCs w:val="28"/>
          <w:highlight w:val="none"/>
        </w:rPr>
        <w:br w:type="page"/>
      </w:r>
      <w:bookmarkStart w:id="515" w:name="_Toc16546"/>
      <w:r>
        <w:rPr>
          <w:rFonts w:hint="eastAsia" w:ascii="宋体" w:hAnsi="宋体" w:cs="宋体"/>
          <w:b/>
          <w:bCs/>
          <w:color w:val="auto"/>
          <w:sz w:val="24"/>
          <w:szCs w:val="32"/>
          <w:highlight w:val="none"/>
        </w:rPr>
        <w:t>附件1：</w:t>
      </w:r>
      <w:r>
        <w:rPr>
          <w:rFonts w:hint="eastAsia" w:ascii="宋体" w:hAnsi="宋体" w:cs="宋体"/>
          <w:color w:val="auto"/>
          <w:sz w:val="24"/>
          <w:szCs w:val="32"/>
          <w:highlight w:val="none"/>
        </w:rPr>
        <w:t xml:space="preserve"> </w:t>
      </w:r>
      <w:r>
        <w:rPr>
          <w:rFonts w:hint="eastAsia" w:ascii="宋体" w:hAnsi="宋体" w:cs="宋体"/>
          <w:color w:val="auto"/>
          <w:highlight w:val="none"/>
        </w:rPr>
        <w:t xml:space="preserve">   </w:t>
      </w:r>
    </w:p>
    <w:bookmarkEnd w:id="515"/>
    <w:p w14:paraId="31BC7B03">
      <w:pPr>
        <w:spacing w:before="120" w:beforeLines="50" w:after="120" w:afterLines="50" w:line="44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工程质量保修书</w:t>
      </w:r>
    </w:p>
    <w:p w14:paraId="3C7E8BEE">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发包人（全称）：</w:t>
      </w:r>
      <w:r>
        <w:rPr>
          <w:rFonts w:hint="eastAsia" w:ascii="宋体" w:hAnsi="宋体" w:cs="宋体"/>
          <w:color w:val="auto"/>
          <w:sz w:val="24"/>
          <w:highlight w:val="none"/>
          <w:u w:val="single"/>
        </w:rPr>
        <w:t>梧州学院</w:t>
      </w:r>
    </w:p>
    <w:p w14:paraId="548280AF">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承包人（全称）：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1F99AFC">
      <w:pPr>
        <w:spacing w:line="400" w:lineRule="exact"/>
        <w:ind w:firstLine="480" w:firstLineChars="200"/>
        <w:rPr>
          <w:rFonts w:hint="eastAsia" w:ascii="宋体" w:hAnsi="宋体" w:cs="宋体"/>
          <w:color w:val="auto"/>
          <w:sz w:val="24"/>
          <w:highlight w:val="none"/>
        </w:rPr>
      </w:pPr>
    </w:p>
    <w:p w14:paraId="7FD9A05D">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发包人和承包人根据《中华人民共和国建筑法》和《建设工程质量管理条例》，经协商一致就</w:t>
      </w:r>
      <w:r>
        <w:rPr>
          <w:rFonts w:hint="eastAsia" w:ascii="宋体" w:hAnsi="宋体" w:cs="宋体"/>
          <w:b/>
          <w:bCs/>
          <w:color w:val="auto"/>
          <w:sz w:val="24"/>
          <w:highlight w:val="none"/>
          <w:u w:val="single"/>
          <w:lang w:eastAsia="zh-CN"/>
        </w:rPr>
        <w:t>梧州学院图书馆空调工程（重）</w:t>
      </w:r>
      <w:r>
        <w:rPr>
          <w:rFonts w:hint="eastAsia" w:ascii="宋体" w:hAnsi="宋体" w:cs="宋体"/>
          <w:color w:val="auto"/>
          <w:sz w:val="24"/>
          <w:highlight w:val="none"/>
        </w:rPr>
        <w:t>（工程全称）签订工程质量保修书。</w:t>
      </w:r>
    </w:p>
    <w:p w14:paraId="541C4F77">
      <w:pPr>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一、工程质量保修范围和内容</w:t>
      </w:r>
    </w:p>
    <w:p w14:paraId="75516815">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承包人在质量保修期内，按照有关法律规定和合同约定，承担工程质量保修责任。</w:t>
      </w:r>
    </w:p>
    <w:p w14:paraId="377B6AE0">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质量保修范围包括</w:t>
      </w:r>
      <w:r>
        <w:rPr>
          <w:rFonts w:hint="eastAsia" w:ascii="宋体" w:hAnsi="宋体" w:cs="宋体"/>
          <w:color w:val="auto"/>
          <w:sz w:val="24"/>
          <w:highlight w:val="none"/>
          <w:u w:val="single"/>
        </w:rPr>
        <w:t>合同及施工图纸所包括的工程</w:t>
      </w:r>
      <w:r>
        <w:rPr>
          <w:rFonts w:hint="eastAsia" w:ascii="宋体" w:hAnsi="宋体" w:cs="宋体"/>
          <w:color w:val="auto"/>
          <w:sz w:val="24"/>
          <w:highlight w:val="none"/>
        </w:rPr>
        <w:t>，以及双方约定的其他项目。具体保修的内容，双方约定如下：</w:t>
      </w:r>
    </w:p>
    <w:p w14:paraId="3ACCE448">
      <w:pPr>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在承包人承包范围内，属承包人责任造成的工程质量问题，由承包人承担保修责任</w:t>
      </w:r>
      <w:r>
        <w:rPr>
          <w:rFonts w:hint="eastAsia" w:ascii="宋体" w:hAnsi="宋体" w:cs="宋体"/>
          <w:color w:val="auto"/>
          <w:sz w:val="24"/>
          <w:highlight w:val="none"/>
        </w:rPr>
        <w:t>。</w:t>
      </w:r>
    </w:p>
    <w:p w14:paraId="3DFB12E7">
      <w:pPr>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二、质量保修期</w:t>
      </w:r>
    </w:p>
    <w:p w14:paraId="7496435E">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根据《建设工程质量管理条例》及有关规定，工程的质量保修期如下：</w:t>
      </w:r>
    </w:p>
    <w:p w14:paraId="36CF6264">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1.道路工程为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年；</w:t>
      </w:r>
    </w:p>
    <w:p w14:paraId="7CBB65D2">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2.排水（雨水）工程为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年；</w:t>
      </w:r>
    </w:p>
    <w:p w14:paraId="5087544E">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3.绿化工程为</w:t>
      </w:r>
      <w:r>
        <w:rPr>
          <w:rFonts w:hint="eastAsia" w:ascii="宋体" w:hAnsi="宋体" w:cs="宋体"/>
          <w:color w:val="auto"/>
          <w:sz w:val="24"/>
          <w:highlight w:val="none"/>
          <w:u w:val="single"/>
        </w:rPr>
        <w:t>单位工程竣工验收合格后 1年</w:t>
      </w:r>
      <w:r>
        <w:rPr>
          <w:rFonts w:hint="eastAsia" w:ascii="宋体" w:hAnsi="宋体" w:cs="宋体"/>
          <w:color w:val="auto"/>
          <w:sz w:val="24"/>
          <w:highlight w:val="none"/>
        </w:rPr>
        <w:t>；</w:t>
      </w:r>
    </w:p>
    <w:p w14:paraId="783D8B86">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4.地下防水工程为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年；</w:t>
      </w:r>
    </w:p>
    <w:p w14:paraId="75A07480">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5.其他附属工程为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年；</w:t>
      </w:r>
    </w:p>
    <w:p w14:paraId="60E69A77">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6.在没有明文规定下，参照建设工程质量保修条例，双方协商为设计文件规定的该工程的合理使用年限内保修；</w:t>
      </w:r>
    </w:p>
    <w:p w14:paraId="62A3CC05">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7.其他约定：质量保修期自工程竣工验收合格之日起计算。</w:t>
      </w:r>
    </w:p>
    <w:p w14:paraId="72B512E0">
      <w:pPr>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三、缺陷责任期</w:t>
      </w:r>
    </w:p>
    <w:p w14:paraId="3D3961BC">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工程缺陷责任期为</w:t>
      </w:r>
      <w:r>
        <w:rPr>
          <w:rFonts w:hint="eastAsia" w:ascii="宋体" w:hAnsi="宋体" w:cs="宋体"/>
          <w:color w:val="auto"/>
          <w:sz w:val="24"/>
          <w:highlight w:val="none"/>
          <w:u w:val="single"/>
        </w:rPr>
        <w:t xml:space="preserve"> 12 </w:t>
      </w:r>
      <w:r>
        <w:rPr>
          <w:rFonts w:hint="eastAsia" w:ascii="宋体" w:hAnsi="宋体" w:cs="宋体"/>
          <w:color w:val="auto"/>
          <w:sz w:val="24"/>
          <w:highlight w:val="none"/>
        </w:rPr>
        <w:t>个月（一般为12个月，最长不超过24个月），缺陷责任期自工程竣工验收合格之日起计算。单位工程先于全部工程进行验收，单位工程缺陷责任期自单位工程验收合格之日起算。</w:t>
      </w:r>
    </w:p>
    <w:p w14:paraId="6DA18A64">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缺陷责任期终止后，发包人应退还剩余的质量保证金。</w:t>
      </w:r>
    </w:p>
    <w:p w14:paraId="78876CF0">
      <w:pPr>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四、质量保修责任</w:t>
      </w:r>
    </w:p>
    <w:p w14:paraId="54EDE9A7">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属于保修范围、内容的项目，承包人应当在接到保修通知之日起24小时内派人保修。承包人不在约定期限内派人保修的，发包人可以委托他人修理。承包人不在约定期限内派人保修的，按一次1000元扣款，所扣款项从质量保证金内扣除，不足另补。</w:t>
      </w:r>
    </w:p>
    <w:p w14:paraId="72F73030">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2.发生紧急事故需抢修的，承包人在接到事故通知后，应当立即到达事故现场抢修。承包人不在约定期限内派人保修的，按一次1000元扣款，所扣款项从质量保证金内扣除，不足另补。</w:t>
      </w:r>
    </w:p>
    <w:p w14:paraId="4F581BBD">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4"/>
          <w:highlight w:val="none"/>
          <w:lang w:eastAsia="zh-CN"/>
        </w:rPr>
        <w:t>，由</w:t>
      </w:r>
      <w:r>
        <w:rPr>
          <w:rFonts w:hint="eastAsia" w:ascii="宋体" w:hAnsi="宋体" w:cs="宋体"/>
          <w:color w:val="auto"/>
          <w:sz w:val="24"/>
          <w:highlight w:val="none"/>
        </w:rPr>
        <w:t>承包人实施保修。</w:t>
      </w:r>
    </w:p>
    <w:p w14:paraId="330F9647">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4.质量保修完成后，由发包人组织验收。</w:t>
      </w:r>
    </w:p>
    <w:p w14:paraId="09DF8122">
      <w:pPr>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五、保修费用</w:t>
      </w:r>
    </w:p>
    <w:p w14:paraId="1143C33E">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保修费用由造成质量缺陷的责任方承担。</w:t>
      </w:r>
    </w:p>
    <w:p w14:paraId="1A8A434C">
      <w:pPr>
        <w:spacing w:line="400" w:lineRule="exact"/>
        <w:ind w:firstLine="482" w:firstLineChars="200"/>
        <w:jc w:val="left"/>
        <w:rPr>
          <w:rFonts w:hint="eastAsia" w:ascii="宋体" w:hAnsi="宋体" w:cs="宋体"/>
          <w:color w:val="auto"/>
          <w:sz w:val="24"/>
          <w:highlight w:val="none"/>
        </w:rPr>
      </w:pPr>
      <w:r>
        <w:rPr>
          <w:rFonts w:hint="eastAsia" w:ascii="宋体" w:hAnsi="宋体" w:cs="宋体"/>
          <w:b/>
          <w:bCs/>
          <w:color w:val="auto"/>
          <w:sz w:val="24"/>
          <w:highlight w:val="none"/>
        </w:rPr>
        <w:t>六、双方约定的其他工程质量保修事项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9E1C642">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工程质量保修书由发包人、承包人在工程竣工验收前共同签署，作为施工合同附件，其有效期限至保修期满。</w:t>
      </w:r>
    </w:p>
    <w:p w14:paraId="29E674B1">
      <w:pPr>
        <w:spacing w:line="400" w:lineRule="exact"/>
        <w:ind w:firstLine="480" w:firstLineChars="200"/>
        <w:rPr>
          <w:rFonts w:hint="eastAsia" w:ascii="宋体" w:hAnsi="宋体" w:cs="宋体"/>
          <w:color w:val="auto"/>
          <w:sz w:val="24"/>
          <w:highlight w:val="none"/>
        </w:rPr>
      </w:pPr>
    </w:p>
    <w:p w14:paraId="6126A93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承包人（公章）：</w:t>
      </w:r>
      <w:r>
        <w:rPr>
          <w:rFonts w:hint="eastAsia" w:ascii="宋体" w:hAnsi="宋体" w:cs="宋体"/>
          <w:color w:val="auto"/>
          <w:sz w:val="24"/>
          <w:highlight w:val="none"/>
          <w:u w:val="single"/>
        </w:rPr>
        <w:t xml:space="preserve">                </w:t>
      </w:r>
    </w:p>
    <w:p w14:paraId="521B90D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地  址：</w:t>
      </w:r>
      <w:r>
        <w:rPr>
          <w:rFonts w:hint="eastAsia" w:ascii="宋体" w:hAnsi="宋体" w:cs="宋体"/>
          <w:color w:val="auto"/>
          <w:sz w:val="24"/>
          <w:highlight w:val="none"/>
          <w:u w:val="single"/>
        </w:rPr>
        <w:t xml:space="preserve">                      </w:t>
      </w:r>
    </w:p>
    <w:p w14:paraId="0C04391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法定代表人（签字）：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p>
    <w:p w14:paraId="786D313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委托代理人（签字）：</w:t>
      </w:r>
      <w:r>
        <w:rPr>
          <w:rFonts w:hint="eastAsia" w:ascii="宋体" w:hAnsi="宋体" w:cs="宋体"/>
          <w:color w:val="auto"/>
          <w:sz w:val="24"/>
          <w:highlight w:val="none"/>
          <w:u w:val="single"/>
        </w:rPr>
        <w:t xml:space="preserve">            </w:t>
      </w:r>
    </w:p>
    <w:p w14:paraId="311A239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  话：</w:t>
      </w:r>
      <w:r>
        <w:rPr>
          <w:rFonts w:hint="eastAsia" w:ascii="宋体" w:hAnsi="宋体" w:cs="宋体"/>
          <w:color w:val="auto"/>
          <w:sz w:val="24"/>
          <w:highlight w:val="none"/>
          <w:u w:val="single"/>
        </w:rPr>
        <w:t xml:space="preserve">                      </w:t>
      </w:r>
    </w:p>
    <w:p w14:paraId="52620A7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  真：</w:t>
      </w:r>
      <w:r>
        <w:rPr>
          <w:rFonts w:hint="eastAsia" w:ascii="宋体" w:hAnsi="宋体" w:cs="宋体"/>
          <w:color w:val="auto"/>
          <w:sz w:val="24"/>
          <w:highlight w:val="none"/>
          <w:u w:val="single"/>
        </w:rPr>
        <w:t xml:space="preserve">                      </w:t>
      </w:r>
    </w:p>
    <w:p w14:paraId="21757D2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开户银行：</w:t>
      </w:r>
      <w:r>
        <w:rPr>
          <w:rFonts w:hint="eastAsia" w:ascii="宋体" w:hAnsi="宋体" w:cs="宋体"/>
          <w:color w:val="auto"/>
          <w:sz w:val="24"/>
          <w:highlight w:val="none"/>
          <w:u w:val="single"/>
        </w:rPr>
        <w:t xml:space="preserve">                    </w:t>
      </w:r>
    </w:p>
    <w:p w14:paraId="5A9197F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账  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  号：</w:t>
      </w:r>
      <w:r>
        <w:rPr>
          <w:rFonts w:hint="eastAsia" w:ascii="宋体" w:hAnsi="宋体" w:cs="宋体"/>
          <w:color w:val="auto"/>
          <w:sz w:val="24"/>
          <w:highlight w:val="none"/>
          <w:u w:val="single"/>
        </w:rPr>
        <w:t xml:space="preserve">                      </w:t>
      </w:r>
    </w:p>
    <w:p w14:paraId="6EC4BD5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邮政编码：</w:t>
      </w:r>
      <w:r>
        <w:rPr>
          <w:rFonts w:hint="eastAsia" w:ascii="宋体" w:hAnsi="宋体" w:cs="宋体"/>
          <w:color w:val="auto"/>
          <w:sz w:val="24"/>
          <w:highlight w:val="none"/>
          <w:u w:val="single"/>
        </w:rPr>
        <w:t xml:space="preserve">                    </w:t>
      </w:r>
    </w:p>
    <w:p w14:paraId="7B1512D1">
      <w:pPr>
        <w:spacing w:line="440" w:lineRule="exact"/>
        <w:rPr>
          <w:rFonts w:hint="eastAsia" w:ascii="宋体" w:hAnsi="宋体" w:cs="宋体"/>
          <w:color w:val="auto"/>
          <w:highlight w:val="none"/>
        </w:rPr>
      </w:pPr>
      <w:r>
        <w:rPr>
          <w:rFonts w:hint="eastAsia" w:ascii="宋体" w:hAnsi="宋体" w:cs="宋体"/>
          <w:b/>
          <w:color w:val="auto"/>
          <w:szCs w:val="21"/>
          <w:highlight w:val="none"/>
        </w:rPr>
        <w:br w:type="page"/>
      </w:r>
      <w:r>
        <w:rPr>
          <w:rFonts w:hint="eastAsia" w:ascii="宋体" w:hAnsi="宋体" w:cs="宋体"/>
          <w:b/>
          <w:bCs/>
          <w:color w:val="auto"/>
          <w:sz w:val="24"/>
          <w:szCs w:val="32"/>
          <w:highlight w:val="none"/>
        </w:rPr>
        <w:t>附件2：</w:t>
      </w:r>
    </w:p>
    <w:p w14:paraId="02369572">
      <w:pPr>
        <w:spacing w:before="120" w:beforeLines="50" w:after="120" w:afterLines="50" w:line="44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履约担保</w:t>
      </w:r>
    </w:p>
    <w:p w14:paraId="1C6A85E9">
      <w:pPr>
        <w:spacing w:line="440" w:lineRule="exact"/>
        <w:rPr>
          <w:rFonts w:hint="eastAsia" w:ascii="宋体" w:hAnsi="宋体" w:cs="宋体"/>
          <w:color w:val="auto"/>
          <w:sz w:val="24"/>
          <w:highlight w:val="none"/>
        </w:rPr>
      </w:pPr>
      <w:r>
        <w:rPr>
          <w:rFonts w:hint="eastAsia" w:ascii="宋体" w:hAnsi="宋体" w:cs="宋体"/>
          <w:color w:val="auto"/>
          <w:sz w:val="24"/>
          <w:highlight w:val="none"/>
          <w:u w:val="single"/>
        </w:rPr>
        <w:t>梧州学院</w:t>
      </w:r>
      <w:r>
        <w:rPr>
          <w:rFonts w:hint="eastAsia" w:ascii="宋体" w:hAnsi="宋体" w:cs="宋体"/>
          <w:color w:val="auto"/>
          <w:sz w:val="24"/>
          <w:highlight w:val="none"/>
        </w:rPr>
        <w:t>（发包人名称）：</w:t>
      </w:r>
    </w:p>
    <w:p w14:paraId="6CD827C1">
      <w:pPr>
        <w:spacing w:line="440" w:lineRule="exact"/>
        <w:rPr>
          <w:rFonts w:hint="eastAsia" w:ascii="宋体" w:hAnsi="宋体" w:cs="宋体"/>
          <w:color w:val="auto"/>
          <w:sz w:val="24"/>
          <w:highlight w:val="none"/>
        </w:rPr>
      </w:pPr>
    </w:p>
    <w:p w14:paraId="3E8E9B6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鉴于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（发包人名称，以下简称“发包人”）与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（承包人名称）（以下称“承包人”）于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（工程名称）施工及有关事项协商一致共同签订《建设工程施工合同》。我方愿意无条件地、不可撤销地就承包人履行与你方签订的合同</w:t>
      </w:r>
      <w:r>
        <w:rPr>
          <w:rFonts w:hint="eastAsia" w:ascii="宋体" w:hAnsi="宋体" w:cs="宋体"/>
          <w:color w:val="auto"/>
          <w:sz w:val="24"/>
          <w:highlight w:val="none"/>
          <w:lang w:eastAsia="zh-CN"/>
        </w:rPr>
        <w:t>，并</w:t>
      </w:r>
      <w:r>
        <w:rPr>
          <w:rFonts w:hint="eastAsia" w:ascii="宋体" w:hAnsi="宋体" w:cs="宋体"/>
          <w:color w:val="auto"/>
          <w:sz w:val="24"/>
          <w:highlight w:val="none"/>
        </w:rPr>
        <w:t xml:space="preserve">向你方提供连带责任担保。 </w:t>
      </w:r>
    </w:p>
    <w:p w14:paraId="56E7CD6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1.担保金额人民币（大写）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365FF7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2.担保有效期自你方与承包人签订的合同生效之日起至你方签发或应签发工程接收证书之日止。</w:t>
      </w:r>
    </w:p>
    <w:p w14:paraId="6B36463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3.在本担保有效期内，因承包人违反合同约定的义务给你方造成经济损失时，我方在收到你方以书面形式提出的在担保金额内的赔偿要求后，在7天内无条件支付。</w:t>
      </w:r>
    </w:p>
    <w:p w14:paraId="679BF32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4.你方和承包人按合同约定变更合同时，我方承担本担保规定的义务不变。</w:t>
      </w:r>
    </w:p>
    <w:p w14:paraId="6DA59E0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5.因本保函发生的纠纷，可由双方协商解决，协商不成的，任何一方均可提请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仲裁委员会仲裁。</w:t>
      </w:r>
    </w:p>
    <w:p w14:paraId="141A3A5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 本保函自我方法定代表人（或其授权代理人）签字并加盖公章之日起生效。</w:t>
      </w:r>
    </w:p>
    <w:p w14:paraId="758C78C0">
      <w:pPr>
        <w:spacing w:line="360" w:lineRule="auto"/>
        <w:rPr>
          <w:rFonts w:hint="eastAsia" w:ascii="宋体" w:hAnsi="宋体" w:cs="宋体"/>
          <w:color w:val="auto"/>
          <w:sz w:val="24"/>
          <w:highlight w:val="none"/>
        </w:rPr>
      </w:pPr>
    </w:p>
    <w:p w14:paraId="7C413CD0">
      <w:pPr>
        <w:spacing w:line="360" w:lineRule="auto"/>
        <w:rPr>
          <w:rFonts w:hint="eastAsia" w:ascii="宋体" w:hAnsi="宋体" w:cs="宋体"/>
          <w:color w:val="auto"/>
          <w:sz w:val="24"/>
          <w:highlight w:val="none"/>
        </w:rPr>
      </w:pPr>
      <w:r>
        <w:rPr>
          <w:rFonts w:hint="eastAsia" w:ascii="宋体" w:hAnsi="宋体" w:cs="宋体"/>
          <w:color w:val="auto"/>
          <w:sz w:val="24"/>
          <w:highlight w:val="none"/>
        </w:rPr>
        <w:t>担 保 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5C09DC98">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14:paraId="089C33C6">
      <w:pPr>
        <w:spacing w:line="360" w:lineRule="auto"/>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28A9FB6">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p>
    <w:p w14:paraId="4441C3D3">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40D5B052">
      <w:pPr>
        <w:spacing w:line="360" w:lineRule="auto"/>
        <w:rPr>
          <w:rFonts w:hint="eastAsia"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p>
    <w:p w14:paraId="35C3B4EC">
      <w:pPr>
        <w:spacing w:line="360" w:lineRule="auto"/>
        <w:jc w:val="left"/>
        <w:rPr>
          <w:rFonts w:hint="eastAsia" w:ascii="宋体" w:hAnsi="宋体" w:cs="宋体"/>
          <w:color w:val="auto"/>
          <w:sz w:val="24"/>
          <w:highlight w:val="none"/>
          <w:u w:val="single"/>
        </w:rPr>
      </w:pPr>
    </w:p>
    <w:p w14:paraId="3CCE7DDE">
      <w:pPr>
        <w:spacing w:line="360" w:lineRule="auto"/>
        <w:ind w:left="1519" w:hanging="1519" w:hangingChars="633"/>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BFB7A50">
      <w:pPr>
        <w:tabs>
          <w:tab w:val="left" w:pos="7380"/>
        </w:tabs>
        <w:spacing w:line="360" w:lineRule="auto"/>
        <w:jc w:val="center"/>
        <w:rPr>
          <w:rFonts w:hint="eastAsia" w:ascii="宋体" w:hAnsi="宋体" w:cs="宋体"/>
          <w:b/>
          <w:color w:val="auto"/>
          <w:sz w:val="44"/>
          <w:szCs w:val="44"/>
          <w:highlight w:val="none"/>
        </w:rPr>
      </w:pPr>
    </w:p>
    <w:p w14:paraId="534B74DC">
      <w:pPr>
        <w:tabs>
          <w:tab w:val="left" w:pos="3261"/>
        </w:tabs>
        <w:spacing w:line="360" w:lineRule="auto"/>
        <w:contextualSpacing/>
        <w:jc w:val="center"/>
        <w:rPr>
          <w:rFonts w:hint="eastAsia" w:ascii="宋体" w:hAnsi="宋体" w:cs="宋体"/>
          <w:b/>
          <w:color w:val="auto"/>
          <w:sz w:val="44"/>
          <w:szCs w:val="44"/>
          <w:highlight w:val="none"/>
        </w:rPr>
      </w:pPr>
    </w:p>
    <w:p w14:paraId="24CF84FB">
      <w:pPr>
        <w:tabs>
          <w:tab w:val="left" w:pos="3261"/>
        </w:tabs>
        <w:spacing w:line="360" w:lineRule="auto"/>
        <w:contextualSpacing/>
        <w:jc w:val="center"/>
        <w:rPr>
          <w:rFonts w:hint="eastAsia" w:ascii="宋体" w:hAnsi="宋体" w:cs="宋体"/>
          <w:b/>
          <w:color w:val="auto"/>
          <w:sz w:val="44"/>
          <w:szCs w:val="44"/>
          <w:highlight w:val="none"/>
        </w:rPr>
      </w:pPr>
    </w:p>
    <w:p w14:paraId="1DC22F0D">
      <w:pPr>
        <w:tabs>
          <w:tab w:val="left" w:pos="3261"/>
        </w:tabs>
        <w:spacing w:line="360" w:lineRule="auto"/>
        <w:contextualSpacing/>
        <w:jc w:val="center"/>
        <w:rPr>
          <w:rFonts w:hint="eastAsia" w:ascii="宋体" w:hAnsi="宋体" w:cs="宋体"/>
          <w:b/>
          <w:color w:val="auto"/>
          <w:sz w:val="44"/>
          <w:szCs w:val="44"/>
          <w:highlight w:val="none"/>
        </w:rPr>
      </w:pPr>
    </w:p>
    <w:p w14:paraId="68FD9213">
      <w:pPr>
        <w:pStyle w:val="3"/>
        <w:jc w:val="center"/>
        <w:rPr>
          <w:rFonts w:hint="eastAsia" w:ascii="宋体" w:hAnsi="宋体" w:cs="宋体"/>
          <w:b w:val="0"/>
          <w:color w:val="auto"/>
          <w:highlight w:val="none"/>
        </w:rPr>
      </w:pPr>
    </w:p>
    <w:p w14:paraId="1BF485DE">
      <w:pPr>
        <w:pStyle w:val="3"/>
        <w:spacing w:before="0" w:after="0" w:line="360" w:lineRule="auto"/>
        <w:jc w:val="center"/>
        <w:rPr>
          <w:rFonts w:hint="eastAsia" w:ascii="宋体" w:hAnsi="宋体" w:cs="宋体"/>
          <w:bCs w:val="0"/>
          <w:color w:val="auto"/>
          <w:sz w:val="32"/>
          <w:szCs w:val="32"/>
          <w:highlight w:val="none"/>
        </w:rPr>
        <w:sectPr>
          <w:pgSz w:w="11911" w:h="16838"/>
          <w:pgMar w:top="1338" w:right="1502" w:bottom="850" w:left="1678" w:header="1077" w:footer="720" w:gutter="0"/>
          <w:cols w:space="720" w:num="1"/>
        </w:sectPr>
      </w:pPr>
      <w:bookmarkStart w:id="516" w:name="_Toc6645"/>
      <w:r>
        <w:rPr>
          <w:rFonts w:hint="eastAsia" w:ascii="宋体" w:hAnsi="宋体" w:cs="宋体"/>
          <w:bCs w:val="0"/>
          <w:color w:val="auto"/>
          <w:sz w:val="32"/>
          <w:szCs w:val="32"/>
          <w:highlight w:val="none"/>
        </w:rPr>
        <w:t>第九章 质疑、投诉材料格式</w:t>
      </w:r>
      <w:bookmarkEnd w:id="516"/>
    </w:p>
    <w:p w14:paraId="7BA04F85">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3639BDCD">
      <w:pPr>
        <w:spacing w:line="360" w:lineRule="auto"/>
        <w:ind w:firstLine="482" w:firstLineChars="200"/>
        <w:contextualSpacing/>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一、质疑供应商基本信息：</w:t>
      </w:r>
    </w:p>
    <w:p w14:paraId="1854B040">
      <w:pPr>
        <w:spacing w:line="360" w:lineRule="auto"/>
        <w:ind w:firstLine="480" w:firstLineChars="200"/>
        <w:contextualSpacing/>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质疑供应商：</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70A9A0C2">
      <w:pPr>
        <w:spacing w:line="360" w:lineRule="auto"/>
        <w:ind w:firstLine="480" w:firstLineChars="200"/>
        <w:contextualSpacing/>
        <w:rPr>
          <w:rFonts w:hint="eastAsia" w:ascii="宋体" w:hAnsi="宋体" w:cs="宋体"/>
          <w:bCs/>
          <w:color w:val="auto"/>
          <w:kern w:val="0"/>
          <w:sz w:val="24"/>
          <w:highlight w:val="non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6EF177A3">
      <w:pPr>
        <w:spacing w:line="360" w:lineRule="auto"/>
        <w:ind w:firstLine="480" w:firstLineChars="200"/>
        <w:contextualSpacing/>
        <w:rPr>
          <w:rFonts w:hint="eastAsia" w:ascii="宋体" w:hAnsi="宋体" w:cs="宋体"/>
          <w:bCs/>
          <w:color w:val="auto"/>
          <w:kern w:val="0"/>
          <w:sz w:val="24"/>
          <w:highlight w:val="none"/>
        </w:rPr>
      </w:pPr>
      <w:r>
        <w:rPr>
          <w:rFonts w:hint="eastAsia" w:ascii="宋体" w:hAnsi="宋体" w:cs="宋体"/>
          <w:bCs/>
          <w:color w:val="auto"/>
          <w:kern w:val="0"/>
          <w:sz w:val="24"/>
          <w:highlight w:val="none"/>
        </w:rPr>
        <w:t>联系人：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14:paraId="2490EFC5">
      <w:pPr>
        <w:spacing w:line="360" w:lineRule="auto"/>
        <w:ind w:firstLine="480" w:firstLineChars="200"/>
        <w:contextualSpacing/>
        <w:rPr>
          <w:rFonts w:hint="eastAsia" w:ascii="宋体" w:hAnsi="宋体" w:cs="宋体"/>
          <w:bCs/>
          <w:color w:val="auto"/>
          <w:kern w:val="0"/>
          <w:sz w:val="24"/>
          <w:highlight w:val="none"/>
        </w:rPr>
      </w:pPr>
      <w:r>
        <w:rPr>
          <w:rFonts w:hint="eastAsia" w:ascii="宋体" w:hAnsi="宋体" w:cs="宋体"/>
          <w:bCs/>
          <w:color w:val="auto"/>
          <w:kern w:val="0"/>
          <w:sz w:val="24"/>
          <w:highlight w:val="none"/>
        </w:rPr>
        <w:t>授权代表：</w:t>
      </w:r>
      <w:r>
        <w:rPr>
          <w:rFonts w:hint="eastAsia" w:ascii="宋体" w:hAnsi="宋体" w:cs="宋体"/>
          <w:bCs/>
          <w:color w:val="auto"/>
          <w:kern w:val="0"/>
          <w:sz w:val="24"/>
          <w:highlight w:val="none"/>
          <w:u w:val="single"/>
        </w:rPr>
        <w:t xml:space="preserve">                      </w:t>
      </w:r>
    </w:p>
    <w:p w14:paraId="2ADF3852">
      <w:pPr>
        <w:spacing w:line="360" w:lineRule="auto"/>
        <w:ind w:firstLine="480" w:firstLineChars="200"/>
        <w:contextualSpacing/>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14:paraId="5583AA6E">
      <w:pPr>
        <w:spacing w:line="360" w:lineRule="auto"/>
        <w:ind w:firstLine="480" w:firstLineChars="200"/>
        <w:contextualSpacing/>
        <w:rPr>
          <w:rFonts w:hint="eastAsia" w:ascii="宋体" w:hAnsi="宋体" w:cs="宋体"/>
          <w:bCs/>
          <w:color w:val="auto"/>
          <w:kern w:val="0"/>
          <w:sz w:val="24"/>
          <w:highlight w:val="non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31472EBA">
      <w:pPr>
        <w:spacing w:line="360" w:lineRule="auto"/>
        <w:ind w:firstLine="482" w:firstLineChars="200"/>
        <w:contextualSpacing/>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二、质疑项目基本情况：</w:t>
      </w:r>
    </w:p>
    <w:p w14:paraId="027F80F8">
      <w:pPr>
        <w:spacing w:line="360" w:lineRule="auto"/>
        <w:ind w:firstLine="480" w:firstLineChars="200"/>
        <w:contextualSpacing/>
        <w:rPr>
          <w:rFonts w:hint="eastAsia" w:ascii="宋体" w:hAnsi="宋体" w:cs="宋体"/>
          <w:color w:val="auto"/>
          <w:kern w:val="0"/>
          <w:sz w:val="24"/>
          <w:highlight w:val="none"/>
        </w:rPr>
      </w:pPr>
      <w:r>
        <w:rPr>
          <w:rFonts w:hint="eastAsia" w:ascii="宋体" w:hAnsi="宋体" w:cs="宋体"/>
          <w:bCs/>
          <w:color w:val="auto"/>
          <w:kern w:val="0"/>
          <w:sz w:val="24"/>
          <w:highlight w:val="none"/>
        </w:rPr>
        <w:t>质疑</w:t>
      </w:r>
      <w:r>
        <w:rPr>
          <w:rFonts w:hint="eastAsia" w:ascii="宋体" w:hAnsi="宋体" w:cs="宋体"/>
          <w:color w:val="auto"/>
          <w:kern w:val="0"/>
          <w:sz w:val="24"/>
          <w:highlight w:val="none"/>
        </w:rPr>
        <w:t>项目的名称：</w:t>
      </w:r>
      <w:r>
        <w:rPr>
          <w:rFonts w:hint="eastAsia" w:ascii="宋体" w:hAnsi="宋体" w:cs="宋体"/>
          <w:bCs/>
          <w:color w:val="auto"/>
          <w:kern w:val="0"/>
          <w:sz w:val="24"/>
          <w:highlight w:val="none"/>
          <w:u w:val="single"/>
        </w:rPr>
        <w:t xml:space="preserve">                                     </w:t>
      </w:r>
    </w:p>
    <w:p w14:paraId="481A985F">
      <w:pPr>
        <w:spacing w:line="360" w:lineRule="auto"/>
        <w:ind w:firstLine="480" w:firstLineChars="200"/>
        <w:contextualSpacing/>
        <w:rPr>
          <w:rFonts w:hint="eastAsia" w:ascii="宋体" w:hAnsi="宋体" w:cs="宋体"/>
          <w:color w:val="auto"/>
          <w:kern w:val="0"/>
          <w:sz w:val="24"/>
          <w:highlight w:val="none"/>
        </w:rPr>
      </w:pPr>
      <w:r>
        <w:rPr>
          <w:rFonts w:hint="eastAsia" w:ascii="宋体" w:hAnsi="宋体" w:cs="宋体"/>
          <w:bCs/>
          <w:color w:val="auto"/>
          <w:kern w:val="0"/>
          <w:sz w:val="24"/>
          <w:highlight w:val="none"/>
        </w:rPr>
        <w:t>质疑</w:t>
      </w:r>
      <w:r>
        <w:rPr>
          <w:rFonts w:hint="eastAsia" w:ascii="宋体" w:hAnsi="宋体" w:cs="宋体"/>
          <w:color w:val="auto"/>
          <w:kern w:val="0"/>
          <w:sz w:val="24"/>
          <w:highlight w:val="none"/>
        </w:rPr>
        <w:t>项目的编号：</w:t>
      </w:r>
      <w:r>
        <w:rPr>
          <w:rFonts w:hint="eastAsia" w:ascii="宋体" w:hAnsi="宋体" w:cs="宋体"/>
          <w:bCs/>
          <w:color w:val="auto"/>
          <w:kern w:val="0"/>
          <w:sz w:val="24"/>
          <w:highlight w:val="none"/>
          <w:u w:val="single"/>
        </w:rPr>
        <w:t xml:space="preserve">                                     </w:t>
      </w:r>
    </w:p>
    <w:p w14:paraId="440215CB">
      <w:pPr>
        <w:spacing w:line="360" w:lineRule="auto"/>
        <w:ind w:firstLine="480" w:firstLineChars="200"/>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采购人名称：</w:t>
      </w:r>
      <w:r>
        <w:rPr>
          <w:rFonts w:hint="eastAsia" w:ascii="宋体" w:hAnsi="宋体" w:cs="宋体"/>
          <w:bCs/>
          <w:color w:val="auto"/>
          <w:kern w:val="0"/>
          <w:sz w:val="24"/>
          <w:highlight w:val="none"/>
          <w:u w:val="single"/>
        </w:rPr>
        <w:t xml:space="preserve">                                         </w:t>
      </w:r>
    </w:p>
    <w:p w14:paraId="2A491E02">
      <w:pPr>
        <w:spacing w:line="360" w:lineRule="auto"/>
        <w:ind w:firstLine="480" w:firstLineChars="200"/>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质疑事项：</w:t>
      </w:r>
    </w:p>
    <w:p w14:paraId="3B4DA8FB">
      <w:pPr>
        <w:spacing w:line="360" w:lineRule="auto"/>
        <w:ind w:firstLine="480" w:firstLineChars="200"/>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□采购文件   采购文件获取日期：</w:t>
      </w:r>
      <w:r>
        <w:rPr>
          <w:rFonts w:hint="eastAsia" w:ascii="宋体" w:hAnsi="宋体" w:cs="宋体"/>
          <w:bCs/>
          <w:color w:val="auto"/>
          <w:kern w:val="0"/>
          <w:sz w:val="24"/>
          <w:highlight w:val="none"/>
          <w:u w:val="single"/>
        </w:rPr>
        <w:t xml:space="preserve">                                   </w:t>
      </w:r>
    </w:p>
    <w:p w14:paraId="4ED77002">
      <w:pPr>
        <w:spacing w:line="360" w:lineRule="auto"/>
        <w:ind w:firstLine="480" w:firstLineChars="200"/>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□采购过程   </w:t>
      </w:r>
    </w:p>
    <w:p w14:paraId="40EED851">
      <w:pPr>
        <w:spacing w:line="360" w:lineRule="auto"/>
        <w:ind w:firstLine="480" w:firstLineChars="200"/>
        <w:contextualSpacing/>
        <w:rPr>
          <w:rFonts w:hint="eastAsia" w:ascii="宋体" w:hAnsi="宋体" w:cs="宋体"/>
          <w:bCs/>
          <w:color w:val="auto"/>
          <w:kern w:val="0"/>
          <w:sz w:val="24"/>
          <w:highlight w:val="none"/>
          <w:u w:val="single"/>
        </w:rPr>
      </w:pPr>
      <w:r>
        <w:rPr>
          <w:rFonts w:hint="eastAsia" w:ascii="宋体" w:hAnsi="宋体" w:cs="宋体"/>
          <w:color w:val="auto"/>
          <w:kern w:val="0"/>
          <w:sz w:val="24"/>
          <w:highlight w:val="none"/>
        </w:rPr>
        <w:t xml:space="preserve">□成交结果   </w:t>
      </w:r>
    </w:p>
    <w:p w14:paraId="70193164">
      <w:pPr>
        <w:spacing w:line="360" w:lineRule="auto"/>
        <w:ind w:firstLine="482" w:firstLineChars="200"/>
        <w:contextualSpacing/>
        <w:rPr>
          <w:rFonts w:hint="eastAsia" w:ascii="宋体" w:hAnsi="宋体" w:cs="宋体"/>
          <w:b/>
          <w:color w:val="auto"/>
          <w:kern w:val="0"/>
          <w:sz w:val="24"/>
          <w:highlight w:val="none"/>
        </w:rPr>
      </w:pPr>
      <w:r>
        <w:rPr>
          <w:rFonts w:hint="eastAsia" w:ascii="宋体" w:hAnsi="宋体" w:cs="宋体"/>
          <w:b/>
          <w:color w:val="auto"/>
          <w:kern w:val="0"/>
          <w:sz w:val="24"/>
          <w:highlight w:val="none"/>
        </w:rPr>
        <w:t>三、质疑事项具体内容</w:t>
      </w:r>
    </w:p>
    <w:p w14:paraId="55421358">
      <w:pPr>
        <w:spacing w:line="360" w:lineRule="auto"/>
        <w:ind w:firstLine="480" w:firstLineChars="200"/>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质疑事项1：</w:t>
      </w:r>
      <w:r>
        <w:rPr>
          <w:rFonts w:hint="eastAsia" w:ascii="宋体" w:hAnsi="宋体" w:cs="宋体"/>
          <w:bCs/>
          <w:color w:val="auto"/>
          <w:kern w:val="0"/>
          <w:sz w:val="24"/>
          <w:highlight w:val="none"/>
          <w:u w:val="single"/>
        </w:rPr>
        <w:t xml:space="preserve">                                                                    </w:t>
      </w:r>
    </w:p>
    <w:p w14:paraId="59DD3E53">
      <w:pPr>
        <w:spacing w:line="360" w:lineRule="auto"/>
        <w:ind w:firstLine="480" w:firstLineChars="200"/>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事实依据：</w:t>
      </w:r>
      <w:r>
        <w:rPr>
          <w:rFonts w:hint="eastAsia" w:ascii="宋体" w:hAnsi="宋体" w:cs="宋体"/>
          <w:bCs/>
          <w:color w:val="auto"/>
          <w:kern w:val="0"/>
          <w:sz w:val="24"/>
          <w:highlight w:val="none"/>
          <w:u w:val="single"/>
        </w:rPr>
        <w:t xml:space="preserve">                                                                      </w:t>
      </w:r>
    </w:p>
    <w:p w14:paraId="66AB0B5C">
      <w:pPr>
        <w:spacing w:line="360" w:lineRule="auto"/>
        <w:ind w:firstLine="480" w:firstLineChars="200"/>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法律依据：</w:t>
      </w:r>
      <w:r>
        <w:rPr>
          <w:rFonts w:hint="eastAsia" w:ascii="宋体" w:hAnsi="宋体" w:cs="宋体"/>
          <w:color w:val="auto"/>
          <w:kern w:val="0"/>
          <w:sz w:val="24"/>
          <w:highlight w:val="none"/>
          <w:u w:val="single"/>
        </w:rPr>
        <w:t xml:space="preserve">                                                        </w:t>
      </w:r>
      <w:r>
        <w:rPr>
          <w:rFonts w:hint="eastAsia" w:ascii="宋体" w:hAnsi="宋体" w:cs="宋体"/>
          <w:bCs/>
          <w:color w:val="auto"/>
          <w:kern w:val="0"/>
          <w:sz w:val="24"/>
          <w:highlight w:val="none"/>
          <w:u w:val="single"/>
        </w:rPr>
        <w:t xml:space="preserve">               </w:t>
      </w:r>
    </w:p>
    <w:p w14:paraId="1CC0A7BE">
      <w:pPr>
        <w:spacing w:line="360" w:lineRule="auto"/>
        <w:ind w:firstLine="480" w:firstLineChars="200"/>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质疑事项2</w:t>
      </w:r>
    </w:p>
    <w:p w14:paraId="2AC2CAB4">
      <w:pPr>
        <w:spacing w:line="360" w:lineRule="auto"/>
        <w:ind w:firstLine="480" w:firstLineChars="200"/>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1E661D60">
      <w:pPr>
        <w:spacing w:line="360" w:lineRule="auto"/>
        <w:ind w:firstLine="480" w:firstLineChars="200"/>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四、与质疑事项相关的质疑请求：</w:t>
      </w:r>
    </w:p>
    <w:p w14:paraId="12FD6C78">
      <w:pPr>
        <w:spacing w:line="360" w:lineRule="auto"/>
        <w:ind w:firstLine="480" w:firstLineChars="200"/>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bCs/>
          <w:color w:val="auto"/>
          <w:kern w:val="0"/>
          <w:sz w:val="24"/>
          <w:highlight w:val="none"/>
          <w:u w:val="single"/>
        </w:rPr>
        <w:t xml:space="preserve">                                                                </w:t>
      </w:r>
    </w:p>
    <w:p w14:paraId="23610186">
      <w:pPr>
        <w:spacing w:line="360" w:lineRule="auto"/>
        <w:ind w:left="25" w:leftChars="12" w:firstLine="352" w:firstLineChars="147"/>
        <w:contextualSpacing/>
        <w:rPr>
          <w:rFonts w:hint="eastAsia" w:ascii="宋体" w:hAnsi="宋体" w:cs="宋体"/>
          <w:color w:val="auto"/>
          <w:kern w:val="0"/>
          <w:sz w:val="24"/>
          <w:highlight w:val="none"/>
        </w:rPr>
      </w:pPr>
    </w:p>
    <w:p w14:paraId="6876BD9A">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签字（签章）：                                       公章：</w:t>
      </w:r>
    </w:p>
    <w:p w14:paraId="50EE61FB">
      <w:pPr>
        <w:spacing w:line="360" w:lineRule="auto"/>
        <w:ind w:left="25" w:leftChars="12" w:firstLine="352" w:firstLineChars="147"/>
        <w:contextualSpacing/>
        <w:rPr>
          <w:rFonts w:hint="eastAsia" w:ascii="宋体" w:hAnsi="宋体" w:cs="宋体"/>
          <w:color w:val="auto"/>
          <w:kern w:val="0"/>
          <w:sz w:val="24"/>
          <w:highlight w:val="none"/>
        </w:rPr>
      </w:pPr>
    </w:p>
    <w:p w14:paraId="5C09269C">
      <w:pPr>
        <w:spacing w:line="360" w:lineRule="auto"/>
        <w:ind w:left="25" w:leftChars="12" w:firstLine="472" w:firstLineChars="197"/>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日期：</w:t>
      </w:r>
    </w:p>
    <w:p w14:paraId="30D5CADF">
      <w:pPr>
        <w:spacing w:line="360" w:lineRule="auto"/>
        <w:contextualSpacing/>
        <w:rPr>
          <w:rFonts w:hint="eastAsia" w:ascii="宋体" w:hAnsi="宋体" w:cs="宋体"/>
          <w:b/>
          <w:color w:val="auto"/>
          <w:kern w:val="0"/>
          <w:sz w:val="24"/>
          <w:highlight w:val="none"/>
        </w:rPr>
      </w:pPr>
    </w:p>
    <w:p w14:paraId="297D8379">
      <w:pPr>
        <w:spacing w:line="360" w:lineRule="auto"/>
        <w:contextualSpacing/>
        <w:rPr>
          <w:rFonts w:hint="eastAsia" w:ascii="宋体" w:hAnsi="宋体" w:cs="宋体"/>
          <w:b/>
          <w:color w:val="auto"/>
          <w:kern w:val="0"/>
          <w:sz w:val="24"/>
          <w:highlight w:val="none"/>
        </w:rPr>
      </w:pPr>
    </w:p>
    <w:p w14:paraId="4A6D3C49">
      <w:pPr>
        <w:spacing w:line="360" w:lineRule="auto"/>
        <w:contextualSpacing/>
        <w:rPr>
          <w:rFonts w:hint="eastAsia" w:ascii="宋体" w:hAnsi="宋体" w:cs="宋体"/>
          <w:b/>
          <w:color w:val="auto"/>
          <w:kern w:val="0"/>
          <w:sz w:val="24"/>
          <w:highlight w:val="none"/>
        </w:rPr>
      </w:pPr>
      <w:r>
        <w:rPr>
          <w:rFonts w:hint="eastAsia" w:ascii="宋体" w:hAnsi="宋体" w:cs="宋体"/>
          <w:b/>
          <w:color w:val="auto"/>
          <w:kern w:val="0"/>
          <w:sz w:val="24"/>
          <w:highlight w:val="none"/>
        </w:rPr>
        <w:t>说明：</w:t>
      </w:r>
    </w:p>
    <w:p w14:paraId="518AFA44">
      <w:pPr>
        <w:spacing w:line="360" w:lineRule="auto"/>
        <w:ind w:left="25" w:leftChars="12" w:firstLine="354" w:firstLineChars="147"/>
        <w:contextualSpacing/>
        <w:rPr>
          <w:rFonts w:hint="eastAsia" w:ascii="宋体" w:hAnsi="宋体" w:cs="宋体"/>
          <w:b/>
          <w:bCs/>
          <w:color w:val="auto"/>
          <w:kern w:val="0"/>
          <w:sz w:val="24"/>
          <w:highlight w:val="none"/>
        </w:rPr>
      </w:pPr>
      <w:r>
        <w:rPr>
          <w:rFonts w:hint="eastAsia" w:ascii="宋体" w:hAnsi="宋体" w:cs="宋体"/>
          <w:b/>
          <w:color w:val="auto"/>
          <w:kern w:val="0"/>
          <w:sz w:val="24"/>
          <w:highlight w:val="none"/>
        </w:rPr>
        <w:t>1.供应商提出质疑时，应提交质疑函和必要的证明材料</w:t>
      </w:r>
      <w:r>
        <w:rPr>
          <w:rFonts w:hint="eastAsia" w:ascii="宋体" w:hAnsi="宋体" w:cs="宋体"/>
          <w:b/>
          <w:bCs/>
          <w:color w:val="auto"/>
          <w:kern w:val="0"/>
          <w:sz w:val="24"/>
          <w:highlight w:val="none"/>
        </w:rPr>
        <w:t>。</w:t>
      </w:r>
    </w:p>
    <w:p w14:paraId="3A976255">
      <w:pPr>
        <w:spacing w:line="360" w:lineRule="auto"/>
        <w:ind w:left="25" w:leftChars="12" w:firstLine="354" w:firstLineChars="147"/>
        <w:contextualSpacing/>
        <w:rPr>
          <w:rFonts w:hint="eastAsia" w:ascii="宋体" w:hAnsi="宋体" w:cs="宋体"/>
          <w:b/>
          <w:color w:val="auto"/>
          <w:kern w:val="0"/>
          <w:sz w:val="24"/>
          <w:highlight w:val="none"/>
        </w:rPr>
      </w:pPr>
      <w:r>
        <w:rPr>
          <w:rFonts w:hint="eastAsia" w:ascii="宋体" w:hAnsi="宋体" w:cs="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A8F6791">
      <w:pPr>
        <w:spacing w:line="360" w:lineRule="auto"/>
        <w:ind w:left="25" w:leftChars="12" w:firstLine="354" w:firstLineChars="147"/>
        <w:contextualSpacing/>
        <w:rPr>
          <w:rFonts w:hint="eastAsia" w:ascii="宋体" w:hAnsi="宋体" w:cs="宋体"/>
          <w:b/>
          <w:color w:val="auto"/>
          <w:kern w:val="0"/>
          <w:sz w:val="24"/>
          <w:highlight w:val="none"/>
        </w:rPr>
      </w:pPr>
      <w:r>
        <w:rPr>
          <w:rFonts w:hint="eastAsia" w:ascii="宋体" w:hAnsi="宋体" w:cs="宋体"/>
          <w:b/>
          <w:color w:val="auto"/>
          <w:kern w:val="0"/>
          <w:sz w:val="24"/>
          <w:highlight w:val="none"/>
        </w:rPr>
        <w:t>3.质疑函的质疑事项应具体、明确，并有必要的事实依据和法律依据。</w:t>
      </w:r>
    </w:p>
    <w:p w14:paraId="55B8FB7B">
      <w:pPr>
        <w:spacing w:line="360" w:lineRule="auto"/>
        <w:ind w:left="25" w:leftChars="12" w:firstLine="354" w:firstLineChars="147"/>
        <w:contextualSpacing/>
        <w:rPr>
          <w:rFonts w:hint="eastAsia" w:ascii="宋体" w:hAnsi="宋体" w:cs="宋体"/>
          <w:b/>
          <w:color w:val="auto"/>
          <w:kern w:val="0"/>
          <w:sz w:val="24"/>
          <w:highlight w:val="none"/>
        </w:rPr>
      </w:pPr>
      <w:r>
        <w:rPr>
          <w:rFonts w:hint="eastAsia" w:ascii="宋体" w:hAnsi="宋体" w:cs="宋体"/>
          <w:b/>
          <w:color w:val="auto"/>
          <w:kern w:val="0"/>
          <w:sz w:val="24"/>
          <w:highlight w:val="none"/>
        </w:rPr>
        <w:t>4.质疑函的质疑请求应与质疑事项相关。</w:t>
      </w:r>
    </w:p>
    <w:p w14:paraId="53911EBA">
      <w:pPr>
        <w:spacing w:line="360" w:lineRule="auto"/>
        <w:ind w:left="25" w:leftChars="12" w:firstLine="354" w:firstLineChars="147"/>
        <w:contextualSpacing/>
        <w:rPr>
          <w:rFonts w:hint="eastAsia" w:ascii="宋体" w:hAnsi="宋体" w:cs="宋体"/>
          <w:b/>
          <w:color w:val="auto"/>
          <w:kern w:val="0"/>
          <w:sz w:val="20"/>
          <w:szCs w:val="21"/>
          <w:highlight w:val="none"/>
        </w:rPr>
      </w:pPr>
      <w:r>
        <w:rPr>
          <w:rFonts w:hint="eastAsia" w:ascii="宋体" w:hAnsi="宋体" w:cs="宋体"/>
          <w:b/>
          <w:color w:val="auto"/>
          <w:kern w:val="0"/>
          <w:sz w:val="24"/>
          <w:highlight w:val="none"/>
        </w:rPr>
        <w:t>5.质疑供应商为法人或者其他组织的，质疑函应由法定代表人、主要负责人，或者其授权代表签字或者盖章，并加盖公章。</w:t>
      </w:r>
    </w:p>
    <w:p w14:paraId="2A562F9D">
      <w:pPr>
        <w:snapToGrid w:val="0"/>
        <w:rPr>
          <w:rFonts w:hint="eastAsia" w:ascii="宋体" w:hAnsi="宋体" w:cs="宋体"/>
          <w:b/>
          <w:color w:val="auto"/>
          <w:kern w:val="0"/>
          <w:sz w:val="24"/>
          <w:highlight w:val="none"/>
        </w:rPr>
      </w:pPr>
    </w:p>
    <w:p w14:paraId="5FF902F2">
      <w:pPr>
        <w:spacing w:line="460" w:lineRule="exact"/>
        <w:jc w:val="center"/>
        <w:rPr>
          <w:rFonts w:hint="eastAsia"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bCs/>
          <w:color w:val="auto"/>
          <w:sz w:val="32"/>
          <w:szCs w:val="32"/>
          <w:highlight w:val="none"/>
        </w:rPr>
        <w:t>投诉书（格式）</w:t>
      </w:r>
    </w:p>
    <w:p w14:paraId="47058969">
      <w:pPr>
        <w:snapToGrid w:val="0"/>
        <w:spacing w:before="120" w:beforeLines="50"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一、投诉相关主体基本情况：</w:t>
      </w:r>
    </w:p>
    <w:p w14:paraId="4263A4CB">
      <w:pPr>
        <w:snapToGrid w:val="0"/>
        <w:spacing w:line="360" w:lineRule="auto"/>
        <w:ind w:firstLine="480" w:firstLineChars="200"/>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供应商：</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44DA63ED">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66904076">
      <w:pPr>
        <w:snapToGrid w:val="0"/>
        <w:spacing w:line="360" w:lineRule="auto"/>
        <w:ind w:firstLine="480" w:firstLineChars="200"/>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法定代表人/主要负责人：</w:t>
      </w:r>
      <w:r>
        <w:rPr>
          <w:rFonts w:hint="eastAsia" w:ascii="宋体" w:hAnsi="宋体" w:cs="宋体"/>
          <w:bCs/>
          <w:color w:val="auto"/>
          <w:kern w:val="0"/>
          <w:sz w:val="24"/>
          <w:highlight w:val="none"/>
          <w:u w:val="single"/>
        </w:rPr>
        <w:t xml:space="preserve">                                                         </w:t>
      </w:r>
    </w:p>
    <w:p w14:paraId="26F383B5">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14:paraId="6F88D043">
      <w:pPr>
        <w:snapToGrid w:val="0"/>
        <w:spacing w:line="360" w:lineRule="auto"/>
        <w:ind w:firstLine="480" w:firstLineChars="200"/>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授权代表：</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14:paraId="28687DF2">
      <w:pPr>
        <w:snapToGrid w:val="0"/>
        <w:spacing w:line="360" w:lineRule="auto"/>
        <w:ind w:firstLine="480" w:firstLineChars="200"/>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p>
    <w:p w14:paraId="048286C1">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6E8CD631">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被投诉人1：</w:t>
      </w:r>
    </w:p>
    <w:p w14:paraId="76BFA914">
      <w:pPr>
        <w:snapToGrid w:val="0"/>
        <w:spacing w:line="360" w:lineRule="auto"/>
        <w:ind w:firstLine="480" w:firstLineChars="200"/>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p>
    <w:p w14:paraId="2A94B7F2">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54EC982F">
      <w:pPr>
        <w:snapToGrid w:val="0"/>
        <w:spacing w:line="360" w:lineRule="auto"/>
        <w:ind w:firstLine="480" w:firstLineChars="200"/>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联系人：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14:paraId="358EC585">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被投诉人2：</w:t>
      </w:r>
    </w:p>
    <w:p w14:paraId="57CAF113">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w:t>
      </w:r>
    </w:p>
    <w:p w14:paraId="39EADE8D">
      <w:pPr>
        <w:snapToGrid w:val="0"/>
        <w:spacing w:line="360" w:lineRule="auto"/>
        <w:ind w:firstLine="480" w:firstLineChars="200"/>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相关供应商：</w:t>
      </w:r>
      <w:r>
        <w:rPr>
          <w:rFonts w:hint="eastAsia" w:ascii="宋体" w:hAnsi="宋体" w:cs="宋体"/>
          <w:bCs/>
          <w:color w:val="auto"/>
          <w:kern w:val="0"/>
          <w:sz w:val="24"/>
          <w:highlight w:val="none"/>
          <w:u w:val="single"/>
        </w:rPr>
        <w:t xml:space="preserve">                                                                       </w:t>
      </w:r>
    </w:p>
    <w:p w14:paraId="793A8CD3">
      <w:pPr>
        <w:snapToGrid w:val="0"/>
        <w:spacing w:line="360" w:lineRule="auto"/>
        <w:ind w:firstLine="480" w:firstLineChars="200"/>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p>
    <w:p w14:paraId="0F2E8A9E">
      <w:pPr>
        <w:snapToGrid w:val="0"/>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联系人：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16F940DE">
      <w:pPr>
        <w:snapToGrid w:val="0"/>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二、投诉项目基本情况：</w:t>
      </w:r>
    </w:p>
    <w:p w14:paraId="4382FE6B">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bCs/>
          <w:color w:val="auto"/>
          <w:kern w:val="0"/>
          <w:sz w:val="24"/>
          <w:highlight w:val="none"/>
        </w:rPr>
        <w:t>采购</w:t>
      </w:r>
      <w:r>
        <w:rPr>
          <w:rFonts w:hint="eastAsia" w:ascii="宋体" w:hAnsi="宋体" w:cs="宋体"/>
          <w:color w:val="auto"/>
          <w:kern w:val="0"/>
          <w:sz w:val="24"/>
          <w:highlight w:val="none"/>
        </w:rPr>
        <w:t>项目的名称：</w:t>
      </w:r>
      <w:r>
        <w:rPr>
          <w:rFonts w:hint="eastAsia" w:ascii="宋体" w:hAnsi="宋体" w:cs="宋体"/>
          <w:bCs/>
          <w:color w:val="auto"/>
          <w:kern w:val="0"/>
          <w:sz w:val="24"/>
          <w:highlight w:val="none"/>
          <w:u w:val="single"/>
        </w:rPr>
        <w:t xml:space="preserve">                                                                   </w:t>
      </w:r>
    </w:p>
    <w:p w14:paraId="3CC73A28">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bCs/>
          <w:color w:val="auto"/>
          <w:kern w:val="0"/>
          <w:sz w:val="24"/>
          <w:highlight w:val="none"/>
        </w:rPr>
        <w:t>采购</w:t>
      </w:r>
      <w:r>
        <w:rPr>
          <w:rFonts w:hint="eastAsia" w:ascii="宋体" w:hAnsi="宋体" w:cs="宋体"/>
          <w:color w:val="auto"/>
          <w:kern w:val="0"/>
          <w:sz w:val="24"/>
          <w:highlight w:val="none"/>
        </w:rPr>
        <w:t>项目的编号：</w:t>
      </w:r>
      <w:r>
        <w:rPr>
          <w:rFonts w:hint="eastAsia" w:ascii="宋体" w:hAnsi="宋体" w:cs="宋体"/>
          <w:bCs/>
          <w:color w:val="auto"/>
          <w:kern w:val="0"/>
          <w:sz w:val="24"/>
          <w:highlight w:val="none"/>
          <w:u w:val="single"/>
        </w:rPr>
        <w:t xml:space="preserve">                                          </w:t>
      </w:r>
    </w:p>
    <w:p w14:paraId="749B2B3B">
      <w:pPr>
        <w:spacing w:line="360" w:lineRule="auto"/>
        <w:ind w:left="25" w:leftChars="12" w:firstLine="472" w:firstLineChars="197"/>
        <w:rPr>
          <w:rFonts w:hint="eastAsia" w:ascii="宋体" w:hAnsi="宋体" w:cs="宋体"/>
          <w:bCs/>
          <w:color w:val="auto"/>
          <w:kern w:val="0"/>
          <w:sz w:val="24"/>
          <w:highlight w:val="none"/>
          <w:u w:val="single"/>
        </w:rPr>
      </w:pPr>
      <w:r>
        <w:rPr>
          <w:rFonts w:hint="eastAsia" w:ascii="宋体" w:hAnsi="宋体" w:cs="宋体"/>
          <w:color w:val="auto"/>
          <w:kern w:val="0"/>
          <w:sz w:val="24"/>
          <w:highlight w:val="none"/>
        </w:rPr>
        <w:t>采购人名称：</w:t>
      </w:r>
      <w:r>
        <w:rPr>
          <w:rFonts w:hint="eastAsia" w:ascii="宋体" w:hAnsi="宋体" w:cs="宋体"/>
          <w:bCs/>
          <w:color w:val="auto"/>
          <w:kern w:val="0"/>
          <w:sz w:val="24"/>
          <w:highlight w:val="none"/>
          <w:u w:val="single"/>
        </w:rPr>
        <w:t xml:space="preserve">                                                                        </w:t>
      </w:r>
    </w:p>
    <w:p w14:paraId="3C25F99E">
      <w:pPr>
        <w:spacing w:line="360" w:lineRule="auto"/>
        <w:ind w:left="25" w:leftChars="12" w:firstLine="472" w:firstLineChars="197"/>
        <w:rPr>
          <w:rFonts w:hint="eastAsia" w:ascii="宋体" w:hAnsi="宋体" w:cs="宋体"/>
          <w:bCs/>
          <w:color w:val="auto"/>
          <w:kern w:val="0"/>
          <w:sz w:val="24"/>
          <w:highlight w:val="none"/>
          <w:u w:val="single"/>
        </w:rPr>
      </w:pPr>
      <w:r>
        <w:rPr>
          <w:rFonts w:hint="eastAsia" w:ascii="宋体" w:hAnsi="宋体" w:cs="宋体"/>
          <w:color w:val="auto"/>
          <w:kern w:val="0"/>
          <w:sz w:val="24"/>
          <w:highlight w:val="none"/>
        </w:rPr>
        <w:t>代理机构名称：</w:t>
      </w:r>
      <w:r>
        <w:rPr>
          <w:rFonts w:hint="eastAsia" w:ascii="宋体" w:hAnsi="宋体" w:cs="宋体"/>
          <w:bCs/>
          <w:color w:val="auto"/>
          <w:kern w:val="0"/>
          <w:sz w:val="24"/>
          <w:highlight w:val="none"/>
          <w:u w:val="single"/>
        </w:rPr>
        <w:t xml:space="preserve">                                                                      </w:t>
      </w:r>
    </w:p>
    <w:p w14:paraId="45688C55">
      <w:pPr>
        <w:spacing w:line="360" w:lineRule="auto"/>
        <w:ind w:left="25" w:leftChars="12" w:firstLine="472" w:firstLineChars="197"/>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采购文件公告：</w:t>
      </w:r>
      <w:r>
        <w:rPr>
          <w:rFonts w:hint="eastAsia" w:ascii="宋体" w:hAnsi="宋体" w:cs="宋体"/>
          <w:bCs/>
          <w:color w:val="auto"/>
          <w:kern w:val="0"/>
          <w:sz w:val="24"/>
          <w:highlight w:val="none"/>
          <w:u w:val="single"/>
        </w:rPr>
        <w:t>是/否</w:t>
      </w:r>
      <w:r>
        <w:rPr>
          <w:rFonts w:hint="eastAsia" w:ascii="宋体" w:hAnsi="宋体" w:cs="宋体"/>
          <w:bCs/>
          <w:color w:val="auto"/>
          <w:kern w:val="0"/>
          <w:sz w:val="24"/>
          <w:highlight w:val="none"/>
        </w:rPr>
        <w:t>公告期限：</w:t>
      </w:r>
      <w:r>
        <w:rPr>
          <w:rFonts w:hint="eastAsia" w:ascii="宋体" w:hAnsi="宋体" w:cs="宋体"/>
          <w:bCs/>
          <w:color w:val="auto"/>
          <w:kern w:val="0"/>
          <w:sz w:val="24"/>
          <w:highlight w:val="none"/>
          <w:u w:val="single"/>
        </w:rPr>
        <w:t xml:space="preserve">                                                       </w:t>
      </w:r>
    </w:p>
    <w:p w14:paraId="5D14895F">
      <w:pPr>
        <w:spacing w:line="360" w:lineRule="auto"/>
        <w:ind w:left="25" w:leftChars="12" w:firstLine="472" w:firstLineChars="197"/>
        <w:rPr>
          <w:rFonts w:hint="eastAsia" w:ascii="宋体" w:hAnsi="宋体" w:cs="宋体"/>
          <w:b/>
          <w:color w:val="auto"/>
          <w:kern w:val="0"/>
          <w:sz w:val="24"/>
          <w:highlight w:val="none"/>
        </w:rPr>
      </w:pPr>
      <w:r>
        <w:rPr>
          <w:rFonts w:hint="eastAsia" w:ascii="宋体" w:hAnsi="宋体" w:cs="宋体"/>
          <w:bCs/>
          <w:color w:val="auto"/>
          <w:kern w:val="0"/>
          <w:sz w:val="24"/>
          <w:highlight w:val="none"/>
        </w:rPr>
        <w:t>采购结果公告：</w:t>
      </w:r>
      <w:r>
        <w:rPr>
          <w:rFonts w:hint="eastAsia" w:ascii="宋体" w:hAnsi="宋体" w:cs="宋体"/>
          <w:bCs/>
          <w:color w:val="auto"/>
          <w:kern w:val="0"/>
          <w:sz w:val="24"/>
          <w:highlight w:val="none"/>
          <w:u w:val="single"/>
        </w:rPr>
        <w:t>是/否</w:t>
      </w:r>
      <w:r>
        <w:rPr>
          <w:rFonts w:hint="eastAsia" w:ascii="宋体" w:hAnsi="宋体" w:cs="宋体"/>
          <w:bCs/>
          <w:color w:val="auto"/>
          <w:kern w:val="0"/>
          <w:sz w:val="24"/>
          <w:highlight w:val="none"/>
        </w:rPr>
        <w:t>公告期限：</w:t>
      </w:r>
      <w:r>
        <w:rPr>
          <w:rFonts w:hint="eastAsia" w:ascii="宋体" w:hAnsi="宋体" w:cs="宋体"/>
          <w:bCs/>
          <w:color w:val="auto"/>
          <w:kern w:val="0"/>
          <w:sz w:val="24"/>
          <w:highlight w:val="none"/>
          <w:u w:val="single"/>
        </w:rPr>
        <w:t xml:space="preserve">                                                       </w:t>
      </w:r>
    </w:p>
    <w:p w14:paraId="15FCDE9D">
      <w:pPr>
        <w:spacing w:line="360" w:lineRule="auto"/>
        <w:ind w:left="25" w:leftChars="12"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三、质疑基本情况</w:t>
      </w:r>
    </w:p>
    <w:p w14:paraId="7AA59265">
      <w:pPr>
        <w:spacing w:line="360" w:lineRule="auto"/>
        <w:ind w:firstLine="480" w:firstLineChars="200"/>
        <w:rPr>
          <w:rFonts w:hint="eastAsia" w:ascii="宋体" w:hAnsi="宋体" w:cs="宋体"/>
          <w:bCs/>
          <w:color w:val="auto"/>
          <w:kern w:val="0"/>
          <w:sz w:val="24"/>
          <w:highlight w:val="none"/>
          <w:u w:val="single"/>
        </w:rPr>
      </w:pPr>
      <w:r>
        <w:rPr>
          <w:rFonts w:hint="eastAsia" w:ascii="宋体" w:hAnsi="宋体" w:cs="宋体"/>
          <w:color w:val="auto"/>
          <w:kern w:val="0"/>
          <w:sz w:val="24"/>
          <w:highlight w:val="none"/>
        </w:rPr>
        <w:t>投诉人于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提出质疑，质疑事项为：</w:t>
      </w:r>
      <w:r>
        <w:rPr>
          <w:rFonts w:hint="eastAsia" w:ascii="宋体" w:hAnsi="宋体" w:cs="宋体"/>
          <w:bCs/>
          <w:color w:val="auto"/>
          <w:kern w:val="0"/>
          <w:sz w:val="24"/>
          <w:highlight w:val="none"/>
          <w:u w:val="single"/>
        </w:rPr>
        <w:t xml:space="preserve">                                                                                      </w:t>
      </w:r>
    </w:p>
    <w:p w14:paraId="7F3B1C29">
      <w:pPr>
        <w:spacing w:line="360" w:lineRule="auto"/>
        <w:ind w:firstLine="480" w:firstLineChars="200"/>
        <w:rPr>
          <w:rFonts w:hint="eastAsia" w:ascii="宋体" w:hAnsi="宋体" w:cs="宋体"/>
          <w:color w:val="auto"/>
          <w:kern w:val="0"/>
          <w:sz w:val="24"/>
          <w:highlight w:val="none"/>
        </w:rPr>
      </w:pPr>
      <w:r>
        <w:rPr>
          <w:rFonts w:hint="eastAsia" w:ascii="宋体" w:hAnsi="宋体" w:cs="宋体"/>
          <w:bCs/>
          <w:color w:val="auto"/>
          <w:kern w:val="0"/>
          <w:sz w:val="24"/>
          <w:highlight w:val="none"/>
          <w:u w:val="single"/>
        </w:rPr>
        <w:t>采购人/代理机构</w:t>
      </w:r>
      <w:r>
        <w:rPr>
          <w:rFonts w:hint="eastAsia" w:ascii="宋体" w:hAnsi="宋体" w:cs="宋体"/>
          <w:bCs/>
          <w:color w:val="auto"/>
          <w:kern w:val="0"/>
          <w:sz w:val="24"/>
          <w:highlight w:val="none"/>
        </w:rPr>
        <w:t>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r>
        <w:rPr>
          <w:rFonts w:hint="eastAsia" w:ascii="宋体" w:hAnsi="宋体" w:cs="宋体"/>
          <w:bCs/>
          <w:color w:val="auto"/>
          <w:kern w:val="0"/>
          <w:sz w:val="24"/>
          <w:highlight w:val="none"/>
        </w:rPr>
        <w:t xml:space="preserve">就质疑事项作出了答复/没有在法定期限内作出答复。                                                                                             </w:t>
      </w:r>
    </w:p>
    <w:p w14:paraId="7B33AB5F">
      <w:pPr>
        <w:spacing w:line="360" w:lineRule="auto"/>
        <w:ind w:left="25" w:leftChars="12"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14:paraId="682F0CB8">
      <w:pPr>
        <w:spacing w:line="360" w:lineRule="auto"/>
        <w:ind w:left="25" w:leftChars="12" w:firstLine="472" w:firstLineChars="197"/>
        <w:rPr>
          <w:rFonts w:hint="eastAsia" w:ascii="宋体" w:hAnsi="宋体" w:cs="宋体"/>
          <w:bCs/>
          <w:color w:val="auto"/>
          <w:kern w:val="0"/>
          <w:sz w:val="24"/>
          <w:highlight w:val="none"/>
          <w:u w:val="single"/>
        </w:rPr>
      </w:pPr>
      <w:r>
        <w:rPr>
          <w:rFonts w:hint="eastAsia" w:ascii="宋体" w:hAnsi="宋体" w:cs="宋体"/>
          <w:color w:val="auto"/>
          <w:kern w:val="0"/>
          <w:sz w:val="24"/>
          <w:highlight w:val="none"/>
        </w:rPr>
        <w:t>投诉事项1：</w:t>
      </w:r>
      <w:r>
        <w:rPr>
          <w:rFonts w:hint="eastAsia" w:ascii="宋体" w:hAnsi="宋体" w:cs="宋体"/>
          <w:bCs/>
          <w:color w:val="auto"/>
          <w:kern w:val="0"/>
          <w:sz w:val="24"/>
          <w:highlight w:val="none"/>
          <w:u w:val="single"/>
        </w:rPr>
        <w:t xml:space="preserve">                                                                           </w:t>
      </w:r>
    </w:p>
    <w:p w14:paraId="1F970EC3">
      <w:pPr>
        <w:spacing w:line="360" w:lineRule="auto"/>
        <w:ind w:firstLine="480" w:firstLineChars="200"/>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事实依据：</w:t>
      </w: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u w:val="single"/>
        </w:rPr>
        <w:t xml:space="preserve">                                                                                      </w:t>
      </w:r>
    </w:p>
    <w:p w14:paraId="19DB0FE3">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bCs/>
          <w:color w:val="auto"/>
          <w:kern w:val="0"/>
          <w:sz w:val="24"/>
          <w:highlight w:val="none"/>
          <w:u w:val="single"/>
        </w:rPr>
        <w:t xml:space="preserve">                                                                                        </w:t>
      </w:r>
    </w:p>
    <w:p w14:paraId="2D9A1A5B">
      <w:pPr>
        <w:spacing w:line="360" w:lineRule="auto"/>
        <w:ind w:firstLine="480" w:firstLineChars="200"/>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法律依据：</w:t>
      </w: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u w:val="single"/>
        </w:rPr>
        <w:t xml:space="preserve">                                                                                      </w:t>
      </w:r>
    </w:p>
    <w:p w14:paraId="6E925646">
      <w:pPr>
        <w:spacing w:line="360" w:lineRule="auto"/>
        <w:ind w:left="25" w:leftChars="12" w:firstLine="352" w:firstLineChars="147"/>
        <w:rPr>
          <w:rFonts w:hint="eastAsia" w:ascii="宋体" w:hAnsi="宋体" w:cs="宋体"/>
          <w:bCs/>
          <w:color w:val="auto"/>
          <w:kern w:val="0"/>
          <w:sz w:val="24"/>
          <w:highlight w:val="none"/>
          <w:u w:val="single"/>
        </w:rPr>
      </w:pP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u w:val="single"/>
        </w:rPr>
        <w:t xml:space="preserve">                                                                                        </w:t>
      </w:r>
    </w:p>
    <w:p w14:paraId="5B499C09">
      <w:pPr>
        <w:spacing w:line="360" w:lineRule="auto"/>
        <w:ind w:left="25" w:leftChars="12" w:firstLine="472" w:firstLineChars="197"/>
        <w:rPr>
          <w:rFonts w:hint="eastAsia" w:ascii="宋体" w:hAnsi="宋体" w:cs="宋体"/>
          <w:bCs/>
          <w:color w:val="auto"/>
          <w:kern w:val="0"/>
          <w:sz w:val="24"/>
          <w:highlight w:val="none"/>
        </w:rPr>
      </w:pPr>
      <w:r>
        <w:rPr>
          <w:rFonts w:hint="eastAsia" w:ascii="宋体" w:hAnsi="宋体" w:cs="宋体"/>
          <w:color w:val="auto"/>
          <w:kern w:val="0"/>
          <w:sz w:val="24"/>
          <w:highlight w:val="none"/>
        </w:rPr>
        <w:t xml:space="preserve">投诉事项2  </w:t>
      </w:r>
      <w:r>
        <w:rPr>
          <w:rFonts w:hint="eastAsia" w:ascii="宋体" w:hAnsi="宋体" w:cs="宋体"/>
          <w:bCs/>
          <w:color w:val="auto"/>
          <w:kern w:val="0"/>
          <w:sz w:val="24"/>
          <w:highlight w:val="none"/>
        </w:rPr>
        <w:t xml:space="preserve">   </w:t>
      </w:r>
    </w:p>
    <w:p w14:paraId="3AD5A968">
      <w:pPr>
        <w:spacing w:line="360" w:lineRule="auto"/>
        <w:ind w:left="25" w:leftChars="12" w:firstLine="472" w:firstLineChars="197"/>
        <w:rPr>
          <w:rFonts w:hint="eastAsia" w:ascii="宋体" w:hAnsi="宋体" w:cs="宋体"/>
          <w:bCs/>
          <w:color w:val="auto"/>
          <w:kern w:val="0"/>
          <w:sz w:val="24"/>
          <w:highlight w:val="none"/>
        </w:rPr>
      </w:pPr>
      <w:r>
        <w:rPr>
          <w:rFonts w:hint="eastAsia" w:ascii="宋体" w:hAnsi="宋体" w:cs="宋体"/>
          <w:bCs/>
          <w:color w:val="auto"/>
          <w:kern w:val="0"/>
          <w:sz w:val="24"/>
          <w:highlight w:val="none"/>
        </w:rPr>
        <w:t>……</w:t>
      </w:r>
    </w:p>
    <w:p w14:paraId="61872F36">
      <w:pPr>
        <w:spacing w:line="360" w:lineRule="auto"/>
        <w:ind w:left="25" w:leftChars="12"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14:paraId="6E694ECF">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bCs/>
          <w:color w:val="auto"/>
          <w:kern w:val="0"/>
          <w:sz w:val="24"/>
          <w:highlight w:val="none"/>
          <w:u w:val="single"/>
        </w:rPr>
        <w:t xml:space="preserve">                                                                                 </w:t>
      </w:r>
    </w:p>
    <w:p w14:paraId="0DD6522C">
      <w:pPr>
        <w:spacing w:line="360" w:lineRule="auto"/>
        <w:ind w:left="25" w:leftChars="12" w:firstLine="352" w:firstLineChars="147"/>
        <w:rPr>
          <w:rFonts w:hint="eastAsia" w:ascii="宋体" w:hAnsi="宋体" w:cs="宋体"/>
          <w:color w:val="auto"/>
          <w:kern w:val="0"/>
          <w:sz w:val="24"/>
          <w:highlight w:val="none"/>
        </w:rPr>
      </w:pPr>
    </w:p>
    <w:p w14:paraId="2089ACFF">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签字（签章）：                                       公章：</w:t>
      </w:r>
    </w:p>
    <w:p w14:paraId="40E6E1CC">
      <w:pPr>
        <w:spacing w:line="360" w:lineRule="auto"/>
        <w:ind w:left="25" w:leftChars="12" w:firstLine="352" w:firstLineChars="147"/>
        <w:rPr>
          <w:rFonts w:hint="eastAsia" w:ascii="宋体" w:hAnsi="宋体" w:cs="宋体"/>
          <w:color w:val="auto"/>
          <w:kern w:val="0"/>
          <w:sz w:val="24"/>
          <w:highlight w:val="none"/>
        </w:rPr>
      </w:pPr>
    </w:p>
    <w:p w14:paraId="5E5B5683">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日期：</w:t>
      </w:r>
    </w:p>
    <w:p w14:paraId="239C22D8">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bCs/>
          <w:color w:val="auto"/>
          <w:kern w:val="0"/>
          <w:sz w:val="24"/>
          <w:highlight w:val="none"/>
        </w:rPr>
        <w:t xml:space="preserve">                                                                                 </w:t>
      </w:r>
    </w:p>
    <w:p w14:paraId="3793D2FE">
      <w:pPr>
        <w:snapToGrid w:val="0"/>
        <w:spacing w:line="360" w:lineRule="auto"/>
        <w:rPr>
          <w:rFonts w:hint="eastAsia" w:ascii="宋体" w:hAnsi="宋体" w:cs="宋体"/>
          <w:b/>
          <w:color w:val="auto"/>
          <w:kern w:val="0"/>
          <w:sz w:val="24"/>
          <w:highlight w:val="none"/>
        </w:rPr>
      </w:pPr>
    </w:p>
    <w:p w14:paraId="07AB9F7B">
      <w:pPr>
        <w:snapToGrid w:val="0"/>
        <w:spacing w:line="360" w:lineRule="auto"/>
        <w:rPr>
          <w:rFonts w:hint="eastAsia" w:ascii="宋体" w:hAnsi="宋体" w:cs="宋体"/>
          <w:b/>
          <w:color w:val="auto"/>
          <w:kern w:val="0"/>
          <w:sz w:val="24"/>
          <w:highlight w:val="none"/>
        </w:rPr>
      </w:pPr>
      <w:r>
        <w:rPr>
          <w:rFonts w:hint="eastAsia" w:ascii="宋体" w:hAnsi="宋体" w:cs="宋体"/>
          <w:b/>
          <w:color w:val="auto"/>
          <w:kern w:val="0"/>
          <w:sz w:val="24"/>
          <w:highlight w:val="none"/>
        </w:rPr>
        <w:t>说明：</w:t>
      </w:r>
    </w:p>
    <w:p w14:paraId="248E0BD1">
      <w:pPr>
        <w:spacing w:line="360" w:lineRule="auto"/>
        <w:ind w:left="25" w:leftChars="12" w:firstLine="354" w:firstLineChars="147"/>
        <w:rPr>
          <w:rFonts w:hint="eastAsia" w:ascii="宋体" w:hAnsi="宋体" w:cs="宋体"/>
          <w:b/>
          <w:bCs/>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highlight w:val="none"/>
        </w:rPr>
        <w:t>。</w:t>
      </w:r>
    </w:p>
    <w:p w14:paraId="3664C204">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F78ECE3">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14:paraId="613C24D6">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14:paraId="56BECB5D">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14:paraId="66384C98">
      <w:pPr>
        <w:spacing w:line="360" w:lineRule="auto"/>
        <w:ind w:left="25" w:leftChars="12" w:firstLine="354" w:firstLineChars="147"/>
        <w:rPr>
          <w:rFonts w:hint="eastAsia" w:ascii="宋体" w:hAnsi="宋体" w:cs="宋体"/>
          <w:b/>
          <w:color w:val="auto"/>
          <w:kern w:val="0"/>
          <w:sz w:val="20"/>
          <w:szCs w:val="21"/>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14:paraId="58914AE7">
      <w:pPr>
        <w:pStyle w:val="20"/>
        <w:spacing w:line="360" w:lineRule="auto"/>
        <w:rPr>
          <w:rFonts w:hint="eastAsia" w:hAnsi="宋体" w:cs="宋体"/>
          <w:b/>
          <w:color w:val="auto"/>
          <w:highlight w:val="none"/>
        </w:rPr>
      </w:pPr>
    </w:p>
    <w:sectPr>
      <w:pgSz w:w="11911" w:h="16838"/>
      <w:pgMar w:top="1338" w:right="1502" w:bottom="850" w:left="1678" w:header="1077"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Ìå">
    <w:altName w:val="Times New Roman"/>
    <w:panose1 w:val="00000000000000000000"/>
    <w:charset w:val="00"/>
    <w:family w:val="auto"/>
    <w:pitch w:val="default"/>
    <w:sig w:usb0="00000000" w:usb1="00000000" w:usb2="00000000" w:usb3="00000000" w:csb0="00000001" w:csb1="00000000"/>
  </w:font>
  <w:font w:name="方正大标宋简体">
    <w:panose1 w:val="02010601030101010101"/>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8B68D">
    <w:pPr>
      <w:pStyle w:val="24"/>
      <w:tabs>
        <w:tab w:val="center" w:pos="4439"/>
        <w:tab w:val="clear" w:pos="4153"/>
      </w:tabs>
      <w:jc w:val="both"/>
    </w:pPr>
  </w:p>
  <w:p w14:paraId="4418B1D9">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129C3">
    <w:pPr>
      <w:pStyle w:val="24"/>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2E6F1"/>
                      </w:txbxContent>
                    </wps:txbx>
                    <wps:bodyPr wrap="none" lIns="0" tIns="0" rIns="0" bIns="0" upright="0">
                      <a:spAutoFit/>
                    </wps:bodyPr>
                  </wps:wsp>
                </a:graphicData>
              </a:graphic>
            </wp:anchor>
          </w:drawing>
        </mc:Choice>
        <mc:Fallback>
          <w:pict>
            <v:shape id="文本框 51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eFz+ss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zylx3OLAL9+/XX78uvz8Sl4s&#10;V6+yQn2AGhPvAqam4Y0fcG9mP6AzEx9UtPmLlAjGUd/zVV85JCLyo/Vqva4wJDA2XxCf3T8PEdJb&#10;6S3JRkMjDrDoyk/vIY2pc0qu5vytNqYM0bi/HIiZPSz3PvaYrTTsh4nQ3rdn5NPj7BvqcNUpMe8c&#10;SpvXZDbibOxn4xiiPnRlj3I9CK+PCZsoveUKI+xUGIdW2E0Llrfiz3vJuv+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Xhc/rLAQAAnAMAAA4AAAAAAAAAAQAgAAAAHgEAAGRycy9lMm9E&#10;b2MueG1sUEsFBgAAAAAGAAYAWQEAAFsFAAAAAA==&#10;">
              <v:fill on="f" focussize="0,0"/>
              <v:stroke on="f"/>
              <v:imagedata o:title=""/>
              <o:lock v:ext="edit" aspectratio="f"/>
              <v:textbox inset="0mm,0mm,0mm,0mm" style="mso-fit-shape-to-text:t;">
                <w:txbxContent>
                  <w:p w14:paraId="25D2E6F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FDE28">
    <w:pPr>
      <w:pStyle w:val="24"/>
      <w:tabs>
        <w:tab w:val="center" w:pos="4439"/>
        <w:tab w:val="clear" w:pos="4153"/>
      </w:tabs>
      <w:jc w:val="both"/>
    </w:pPr>
  </w:p>
  <w:p w14:paraId="6E7EB38F">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8E8AA">
    <w:pPr>
      <w:pStyle w:val="24"/>
      <w:tabs>
        <w:tab w:val="center" w:pos="4365"/>
        <w:tab w:val="left" w:pos="4972"/>
        <w:tab w:val="clear" w:pos="4153"/>
        <w:tab w:val="clear" w:pos="8306"/>
      </w:tabs>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DEDF56">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1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wZPbvLAQAAnAMAAA4AAAAAAAAAAQAgAAAAHgEAAGRycy9lMm9E&#10;b2MueG1sUEsFBgAAAAAGAAYAWQEAAFsFAAAAAA==&#10;">
              <v:fill on="f" focussize="0,0"/>
              <v:stroke on="f"/>
              <v:imagedata o:title=""/>
              <o:lock v:ext="edit" aspectratio="f"/>
              <v:textbox inset="0mm,0mm,0mm,0mm" style="mso-fit-shape-to-text:t;">
                <w:txbxContent>
                  <w:p w14:paraId="37DEDF56">
                    <w:pPr>
                      <w:pStyle w:val="2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r>
      <w:rPr>
        <w:rFonts w:hint="eastAsia"/>
      </w:rPr>
      <w:tab/>
    </w:r>
  </w:p>
  <w:p w14:paraId="159F7F67">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D938D">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2F5066">
                          <w:pPr>
                            <w:pStyle w:val="24"/>
                            <w:jc w:val="center"/>
                          </w:pPr>
                          <w:r>
                            <w:fldChar w:fldCharType="begin"/>
                          </w:r>
                          <w:r>
                            <w:instrText xml:space="preserve"> PAGE  \* MERGEFORMAT </w:instrText>
                          </w:r>
                          <w:r>
                            <w:fldChar w:fldCharType="separate"/>
                          </w:r>
                          <w:r>
                            <w:t>101</w:t>
                          </w:r>
                          <w:r>
                            <w:fldChar w:fldCharType="end"/>
                          </w:r>
                        </w:p>
                      </w:txbxContent>
                    </wps:txbx>
                    <wps:bodyPr wrap="none" lIns="0" tIns="0" rIns="0" bIns="0" upright="0">
                      <a:spAutoFit/>
                    </wps:bodyPr>
                  </wps:wsp>
                </a:graphicData>
              </a:graphic>
            </wp:anchor>
          </w:drawing>
        </mc:Choice>
        <mc:Fallback>
          <w:pict>
            <v:shape id="文本框 51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i3I18wBAACcAwAADgAAAGRycy9lMm9Eb2MueG1srVPNjtMwEL4j7TtY&#10;vm+dZgW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WlJieUGB37+/u3849f551fy&#10;enlTJoV6DxUmPnhMjcM7N+DezH5AZyI+tMGkL1IiGEd9Txd95RCJSI9W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GLcjXzAEAAJwDAAAOAAAAAAAAAAEAIAAAAB4BAABkcnMvZTJv&#10;RG9jLnhtbFBLBQYAAAAABgAGAFkBAABcBQAAAAA=&#10;">
              <v:fill on="f" focussize="0,0"/>
              <v:stroke on="f"/>
              <v:imagedata o:title=""/>
              <o:lock v:ext="edit" aspectratio="f"/>
              <v:textbox inset="0mm,0mm,0mm,0mm" style="mso-fit-shape-to-text:t;">
                <w:txbxContent>
                  <w:p w14:paraId="282F5066">
                    <w:pPr>
                      <w:pStyle w:val="24"/>
                      <w:jc w:val="center"/>
                    </w:pPr>
                    <w:r>
                      <w:fldChar w:fldCharType="begin"/>
                    </w:r>
                    <w:r>
                      <w:instrText xml:space="preserve"> PAGE  \* MERGEFORMAT </w:instrText>
                    </w:r>
                    <w:r>
                      <w:fldChar w:fldCharType="separate"/>
                    </w:r>
                    <w:r>
                      <w:t>101</w:t>
                    </w:r>
                    <w:r>
                      <w:fldChar w:fldCharType="end"/>
                    </w:r>
                  </w:p>
                </w:txbxContent>
              </v:textbox>
            </v:shape>
          </w:pict>
        </mc:Fallback>
      </mc:AlternateContent>
    </w:r>
  </w:p>
  <w:p w14:paraId="6C986A72">
    <w:pPr>
      <w:pStyle w:val="2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190AA">
    <w:pPr>
      <w:pStyle w:val="2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96B605">
                          <w:pPr>
                            <w:pStyle w:val="24"/>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CnvccBAACZ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KUCnvccBAACZAwAADgAAAAAAAAABACAAAAAeAQAAZHJzL2Uyb0RvYy54&#10;bWxQSwUGAAAAAAYABgBZAQAAVwUAAAAA&#10;">
              <v:fill on="f" focussize="0,0"/>
              <v:stroke on="f"/>
              <v:imagedata o:title=""/>
              <o:lock v:ext="edit" aspectratio="f"/>
              <v:textbox inset="0mm,0mm,0mm,0mm" style="mso-fit-shape-to-text:t;">
                <w:txbxContent>
                  <w:p w14:paraId="1896B605">
                    <w:pPr>
                      <w:pStyle w:val="24"/>
                    </w:pPr>
                    <w:r>
                      <w:fldChar w:fldCharType="begin"/>
                    </w:r>
                    <w:r>
                      <w:instrText xml:space="preserve"> PAGE  \* MERGEFORMAT </w:instrText>
                    </w:r>
                    <w:r>
                      <w:fldChar w:fldCharType="separate"/>
                    </w:r>
                    <w:r>
                      <w:t>45</w:t>
                    </w:r>
                    <w:r>
                      <w:fldChar w:fldCharType="end"/>
                    </w:r>
                  </w:p>
                </w:txbxContent>
              </v:textbox>
            </v:shape>
          </w:pict>
        </mc:Fallback>
      </mc:AlternateContent>
    </w:r>
  </w:p>
  <w:p w14:paraId="08877CC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F20EE">
    <w:pPr>
      <w:pStyle w:val="25"/>
      <w:tabs>
        <w:tab w:val="center" w:pos="0"/>
        <w:tab w:val="clear" w:pos="4153"/>
      </w:tabs>
      <w:rPr>
        <w:rFonts w:hint="eastAsia" w:eastAsia="宋体"/>
        <w:lang w:eastAsia="zh-CN"/>
      </w:rPr>
    </w:pPr>
    <w:r>
      <w:rPr>
        <w:rFonts w:hint="eastAsia"/>
        <w:lang w:eastAsia="zh-CN"/>
      </w:rPr>
      <w:t>梧州学院图书馆空调工程（重）GXZC2025-J2-003764-GXSL</w:t>
    </w:r>
  </w:p>
  <w:p w14:paraId="16FFC2B3">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342C4">
    <w:pPr>
      <w:pStyle w:val="25"/>
      <w:tabs>
        <w:tab w:val="center" w:pos="0"/>
        <w:tab w:val="clear" w:pos="4153"/>
      </w:tabs>
      <w:rPr>
        <w:rFonts w:hint="eastAsia" w:eastAsia="宋体"/>
        <w:lang w:eastAsia="zh-CN"/>
      </w:rPr>
    </w:pPr>
    <w:r>
      <w:rPr>
        <w:rFonts w:hint="eastAsia"/>
        <w:lang w:eastAsia="zh-CN"/>
      </w:rPr>
      <w:t>梧州学院图书馆空调工程（重）GXZC2025-J2-003764-GXSL</w:t>
    </w:r>
  </w:p>
  <w:p w14:paraId="48149237">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8019">
    <w:pPr>
      <w:pStyle w:val="25"/>
      <w:tabs>
        <w:tab w:val="center" w:pos="0"/>
        <w:tab w:val="clear" w:pos="4153"/>
      </w:tabs>
      <w:rPr>
        <w:rFonts w:hint="eastAsia" w:eastAsia="宋体"/>
        <w:lang w:eastAsia="zh-CN"/>
      </w:rPr>
    </w:pPr>
    <w:r>
      <w:rPr>
        <w:rFonts w:hint="eastAsia"/>
        <w:lang w:eastAsia="zh-CN"/>
      </w:rPr>
      <w:t>梧州学院图书馆空调工程（重）GXZC2025-J2-003764-GXSL</w:t>
    </w:r>
  </w:p>
  <w:p w14:paraId="17F0E589">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19DA1"/>
    <w:multiLevelType w:val="singleLevel"/>
    <w:tmpl w:val="B7519DA1"/>
    <w:lvl w:ilvl="0" w:tentative="0">
      <w:start w:val="3"/>
      <w:numFmt w:val="decimal"/>
      <w:suff w:val="nothing"/>
      <w:lvlText w:val="（%1）"/>
      <w:lvlJc w:val="left"/>
    </w:lvl>
  </w:abstractNum>
  <w:abstractNum w:abstractNumId="1">
    <w:nsid w:val="6EDD6596"/>
    <w:multiLevelType w:val="singleLevel"/>
    <w:tmpl w:val="6EDD6596"/>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BC9"/>
    <w:rsid w:val="00012854"/>
    <w:rsid w:val="00012B5F"/>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4463"/>
    <w:rsid w:val="00025461"/>
    <w:rsid w:val="00025636"/>
    <w:rsid w:val="00025E36"/>
    <w:rsid w:val="00026855"/>
    <w:rsid w:val="00026886"/>
    <w:rsid w:val="00026CF4"/>
    <w:rsid w:val="0002785D"/>
    <w:rsid w:val="000329E0"/>
    <w:rsid w:val="00032DB3"/>
    <w:rsid w:val="00034B5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3E23"/>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8F7"/>
    <w:rsid w:val="00070949"/>
    <w:rsid w:val="000711E4"/>
    <w:rsid w:val="000724D9"/>
    <w:rsid w:val="00072AED"/>
    <w:rsid w:val="00073F47"/>
    <w:rsid w:val="0007492F"/>
    <w:rsid w:val="00074ED8"/>
    <w:rsid w:val="00075B7E"/>
    <w:rsid w:val="00075F83"/>
    <w:rsid w:val="00077ACA"/>
    <w:rsid w:val="00077C70"/>
    <w:rsid w:val="000813B5"/>
    <w:rsid w:val="00081BA3"/>
    <w:rsid w:val="00081D2E"/>
    <w:rsid w:val="00081F89"/>
    <w:rsid w:val="00082619"/>
    <w:rsid w:val="00082D02"/>
    <w:rsid w:val="00082D4B"/>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977BD"/>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387"/>
    <w:rsid w:val="000B2585"/>
    <w:rsid w:val="000B2BC6"/>
    <w:rsid w:val="000B2D03"/>
    <w:rsid w:val="000B3815"/>
    <w:rsid w:val="000B3C7B"/>
    <w:rsid w:val="000B4321"/>
    <w:rsid w:val="000B6A6B"/>
    <w:rsid w:val="000B6C95"/>
    <w:rsid w:val="000B79FC"/>
    <w:rsid w:val="000C02B1"/>
    <w:rsid w:val="000C1679"/>
    <w:rsid w:val="000C1EE3"/>
    <w:rsid w:val="000C3AE7"/>
    <w:rsid w:val="000C3CC9"/>
    <w:rsid w:val="000C6DE4"/>
    <w:rsid w:val="000C7202"/>
    <w:rsid w:val="000D0A89"/>
    <w:rsid w:val="000D1181"/>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85E"/>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2F16"/>
    <w:rsid w:val="00113678"/>
    <w:rsid w:val="00113C3E"/>
    <w:rsid w:val="00115E11"/>
    <w:rsid w:val="00115EEE"/>
    <w:rsid w:val="00115F56"/>
    <w:rsid w:val="00116CA9"/>
    <w:rsid w:val="00116F38"/>
    <w:rsid w:val="001170A4"/>
    <w:rsid w:val="00117AE7"/>
    <w:rsid w:val="00117CBD"/>
    <w:rsid w:val="0012006A"/>
    <w:rsid w:val="00121979"/>
    <w:rsid w:val="00122064"/>
    <w:rsid w:val="00122C12"/>
    <w:rsid w:val="00123A31"/>
    <w:rsid w:val="00124341"/>
    <w:rsid w:val="00124492"/>
    <w:rsid w:val="00124B12"/>
    <w:rsid w:val="001250A0"/>
    <w:rsid w:val="001263B8"/>
    <w:rsid w:val="0012763E"/>
    <w:rsid w:val="00130217"/>
    <w:rsid w:val="00130783"/>
    <w:rsid w:val="00130A47"/>
    <w:rsid w:val="00130D7C"/>
    <w:rsid w:val="001313DA"/>
    <w:rsid w:val="00131A6A"/>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6FE1"/>
    <w:rsid w:val="00187A14"/>
    <w:rsid w:val="0019171E"/>
    <w:rsid w:val="00192368"/>
    <w:rsid w:val="001923A0"/>
    <w:rsid w:val="001928B1"/>
    <w:rsid w:val="00193537"/>
    <w:rsid w:val="00193846"/>
    <w:rsid w:val="00195424"/>
    <w:rsid w:val="001955FF"/>
    <w:rsid w:val="001975B5"/>
    <w:rsid w:val="00197EDD"/>
    <w:rsid w:val="001A02B3"/>
    <w:rsid w:val="001A04BB"/>
    <w:rsid w:val="001A08D0"/>
    <w:rsid w:val="001A1B39"/>
    <w:rsid w:val="001A2120"/>
    <w:rsid w:val="001A28C6"/>
    <w:rsid w:val="001A2E69"/>
    <w:rsid w:val="001A3440"/>
    <w:rsid w:val="001A3C34"/>
    <w:rsid w:val="001A3EDE"/>
    <w:rsid w:val="001A4222"/>
    <w:rsid w:val="001A50EA"/>
    <w:rsid w:val="001A5E24"/>
    <w:rsid w:val="001A6B27"/>
    <w:rsid w:val="001A6D8B"/>
    <w:rsid w:val="001A6DAA"/>
    <w:rsid w:val="001A7717"/>
    <w:rsid w:val="001A793A"/>
    <w:rsid w:val="001B092B"/>
    <w:rsid w:val="001B125A"/>
    <w:rsid w:val="001B1EBA"/>
    <w:rsid w:val="001B2142"/>
    <w:rsid w:val="001B2F2B"/>
    <w:rsid w:val="001B327A"/>
    <w:rsid w:val="001B35DE"/>
    <w:rsid w:val="001B3A13"/>
    <w:rsid w:val="001B3F5C"/>
    <w:rsid w:val="001B59FF"/>
    <w:rsid w:val="001B5E60"/>
    <w:rsid w:val="001B6512"/>
    <w:rsid w:val="001B65D7"/>
    <w:rsid w:val="001B6752"/>
    <w:rsid w:val="001B6768"/>
    <w:rsid w:val="001B6F1F"/>
    <w:rsid w:val="001B7ECC"/>
    <w:rsid w:val="001C025B"/>
    <w:rsid w:val="001C115F"/>
    <w:rsid w:val="001C1EAB"/>
    <w:rsid w:val="001C25A7"/>
    <w:rsid w:val="001C2E56"/>
    <w:rsid w:val="001C318C"/>
    <w:rsid w:val="001C35C4"/>
    <w:rsid w:val="001C35E1"/>
    <w:rsid w:val="001C4287"/>
    <w:rsid w:val="001C433C"/>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9BE"/>
    <w:rsid w:val="001E3B63"/>
    <w:rsid w:val="001E5A94"/>
    <w:rsid w:val="001E5F6F"/>
    <w:rsid w:val="001E68B8"/>
    <w:rsid w:val="001F2001"/>
    <w:rsid w:val="001F2A2E"/>
    <w:rsid w:val="001F3356"/>
    <w:rsid w:val="001F3C63"/>
    <w:rsid w:val="001F4460"/>
    <w:rsid w:val="001F5262"/>
    <w:rsid w:val="001F711A"/>
    <w:rsid w:val="001F75B0"/>
    <w:rsid w:val="002008C6"/>
    <w:rsid w:val="00200CE5"/>
    <w:rsid w:val="00200F7C"/>
    <w:rsid w:val="002014DB"/>
    <w:rsid w:val="0020150B"/>
    <w:rsid w:val="00201E12"/>
    <w:rsid w:val="00202B13"/>
    <w:rsid w:val="002032DA"/>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3805"/>
    <w:rsid w:val="00254EAB"/>
    <w:rsid w:val="002557AF"/>
    <w:rsid w:val="0025589C"/>
    <w:rsid w:val="00255B62"/>
    <w:rsid w:val="002566B1"/>
    <w:rsid w:val="002575E3"/>
    <w:rsid w:val="00257A74"/>
    <w:rsid w:val="002603C1"/>
    <w:rsid w:val="002609A1"/>
    <w:rsid w:val="002612B1"/>
    <w:rsid w:val="00266165"/>
    <w:rsid w:val="002662FE"/>
    <w:rsid w:val="00266F2C"/>
    <w:rsid w:val="00270D48"/>
    <w:rsid w:val="0027125E"/>
    <w:rsid w:val="00271767"/>
    <w:rsid w:val="00272293"/>
    <w:rsid w:val="002723C8"/>
    <w:rsid w:val="002725C1"/>
    <w:rsid w:val="00273C2A"/>
    <w:rsid w:val="00273CBE"/>
    <w:rsid w:val="002746B1"/>
    <w:rsid w:val="00274BAD"/>
    <w:rsid w:val="00282D56"/>
    <w:rsid w:val="002835B0"/>
    <w:rsid w:val="002836F1"/>
    <w:rsid w:val="00283C74"/>
    <w:rsid w:val="0028407E"/>
    <w:rsid w:val="0028410F"/>
    <w:rsid w:val="00284572"/>
    <w:rsid w:val="00285221"/>
    <w:rsid w:val="00286FB5"/>
    <w:rsid w:val="00287763"/>
    <w:rsid w:val="00290606"/>
    <w:rsid w:val="002909B2"/>
    <w:rsid w:val="00291D6D"/>
    <w:rsid w:val="00291FF1"/>
    <w:rsid w:val="00292AA2"/>
    <w:rsid w:val="00292BF7"/>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17B"/>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C6"/>
    <w:rsid w:val="002D5BF5"/>
    <w:rsid w:val="002D5E95"/>
    <w:rsid w:val="002D5EE8"/>
    <w:rsid w:val="002D7150"/>
    <w:rsid w:val="002D7360"/>
    <w:rsid w:val="002D7648"/>
    <w:rsid w:val="002E109C"/>
    <w:rsid w:val="002E193E"/>
    <w:rsid w:val="002E1A94"/>
    <w:rsid w:val="002E1D55"/>
    <w:rsid w:val="002E1F3E"/>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1EC6"/>
    <w:rsid w:val="00302EFC"/>
    <w:rsid w:val="00303243"/>
    <w:rsid w:val="00303BCC"/>
    <w:rsid w:val="00303D4A"/>
    <w:rsid w:val="00303F2B"/>
    <w:rsid w:val="00303F8D"/>
    <w:rsid w:val="0030572D"/>
    <w:rsid w:val="0030586A"/>
    <w:rsid w:val="0030622D"/>
    <w:rsid w:val="00306811"/>
    <w:rsid w:val="00306F32"/>
    <w:rsid w:val="003074C5"/>
    <w:rsid w:val="00307A3C"/>
    <w:rsid w:val="00307FA4"/>
    <w:rsid w:val="00310290"/>
    <w:rsid w:val="0031083D"/>
    <w:rsid w:val="00310CC1"/>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4EC2"/>
    <w:rsid w:val="003255AF"/>
    <w:rsid w:val="003256EB"/>
    <w:rsid w:val="003259DB"/>
    <w:rsid w:val="003314D9"/>
    <w:rsid w:val="00331653"/>
    <w:rsid w:val="0033194F"/>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46E7F"/>
    <w:rsid w:val="00350458"/>
    <w:rsid w:val="00350E6C"/>
    <w:rsid w:val="003518A6"/>
    <w:rsid w:val="00351E7F"/>
    <w:rsid w:val="00351FCB"/>
    <w:rsid w:val="003525A7"/>
    <w:rsid w:val="00352953"/>
    <w:rsid w:val="00354062"/>
    <w:rsid w:val="0035459E"/>
    <w:rsid w:val="00354A03"/>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2DA"/>
    <w:rsid w:val="003A5728"/>
    <w:rsid w:val="003A60E7"/>
    <w:rsid w:val="003A7092"/>
    <w:rsid w:val="003A72A1"/>
    <w:rsid w:val="003A7611"/>
    <w:rsid w:val="003A7D1F"/>
    <w:rsid w:val="003B0B6A"/>
    <w:rsid w:val="003B22F7"/>
    <w:rsid w:val="003B29CF"/>
    <w:rsid w:val="003B3A90"/>
    <w:rsid w:val="003B53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2BE6"/>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001"/>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49C0"/>
    <w:rsid w:val="00424D17"/>
    <w:rsid w:val="00425DFD"/>
    <w:rsid w:val="004263A3"/>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60C8"/>
    <w:rsid w:val="00436FA4"/>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A9F"/>
    <w:rsid w:val="00450DC6"/>
    <w:rsid w:val="004516A5"/>
    <w:rsid w:val="00451E9C"/>
    <w:rsid w:val="0045280F"/>
    <w:rsid w:val="00452C81"/>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1FC4"/>
    <w:rsid w:val="00472429"/>
    <w:rsid w:val="004725E5"/>
    <w:rsid w:val="00472751"/>
    <w:rsid w:val="00473128"/>
    <w:rsid w:val="00475078"/>
    <w:rsid w:val="00475767"/>
    <w:rsid w:val="004765FB"/>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0B06"/>
    <w:rsid w:val="00491FA1"/>
    <w:rsid w:val="00492A25"/>
    <w:rsid w:val="004938A3"/>
    <w:rsid w:val="0049558B"/>
    <w:rsid w:val="00496350"/>
    <w:rsid w:val="0049797C"/>
    <w:rsid w:val="00497B25"/>
    <w:rsid w:val="004A0404"/>
    <w:rsid w:val="004A0943"/>
    <w:rsid w:val="004A1405"/>
    <w:rsid w:val="004A1FC6"/>
    <w:rsid w:val="004A2E5F"/>
    <w:rsid w:val="004A38C2"/>
    <w:rsid w:val="004A3C03"/>
    <w:rsid w:val="004A3DB7"/>
    <w:rsid w:val="004A5088"/>
    <w:rsid w:val="004A5255"/>
    <w:rsid w:val="004A6CB0"/>
    <w:rsid w:val="004A70FF"/>
    <w:rsid w:val="004A76D5"/>
    <w:rsid w:val="004A7EDE"/>
    <w:rsid w:val="004B0D93"/>
    <w:rsid w:val="004B1FA4"/>
    <w:rsid w:val="004B29AC"/>
    <w:rsid w:val="004B35DF"/>
    <w:rsid w:val="004B3627"/>
    <w:rsid w:val="004B4922"/>
    <w:rsid w:val="004B57DF"/>
    <w:rsid w:val="004B5976"/>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63EF"/>
    <w:rsid w:val="004F7160"/>
    <w:rsid w:val="00500258"/>
    <w:rsid w:val="00500B2D"/>
    <w:rsid w:val="00501A99"/>
    <w:rsid w:val="00503180"/>
    <w:rsid w:val="005038A4"/>
    <w:rsid w:val="00505450"/>
    <w:rsid w:val="005055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171C6"/>
    <w:rsid w:val="00520EF8"/>
    <w:rsid w:val="005210F7"/>
    <w:rsid w:val="00521753"/>
    <w:rsid w:val="0052239D"/>
    <w:rsid w:val="005224EE"/>
    <w:rsid w:val="00522879"/>
    <w:rsid w:val="00523BB1"/>
    <w:rsid w:val="00524839"/>
    <w:rsid w:val="0052570E"/>
    <w:rsid w:val="005260CD"/>
    <w:rsid w:val="00526265"/>
    <w:rsid w:val="0052655D"/>
    <w:rsid w:val="005265E0"/>
    <w:rsid w:val="00526BC3"/>
    <w:rsid w:val="00531761"/>
    <w:rsid w:val="00531820"/>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8D5"/>
    <w:rsid w:val="00567B5D"/>
    <w:rsid w:val="00570757"/>
    <w:rsid w:val="00573733"/>
    <w:rsid w:val="00573E3F"/>
    <w:rsid w:val="00573F8B"/>
    <w:rsid w:val="00574554"/>
    <w:rsid w:val="00574E06"/>
    <w:rsid w:val="005751BB"/>
    <w:rsid w:val="00576089"/>
    <w:rsid w:val="005764B1"/>
    <w:rsid w:val="00576852"/>
    <w:rsid w:val="00576D06"/>
    <w:rsid w:val="005779E4"/>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203C"/>
    <w:rsid w:val="005C30C7"/>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C8F"/>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69D"/>
    <w:rsid w:val="0062181E"/>
    <w:rsid w:val="0062211B"/>
    <w:rsid w:val="00622BB7"/>
    <w:rsid w:val="00622C1E"/>
    <w:rsid w:val="00623389"/>
    <w:rsid w:val="00623DAA"/>
    <w:rsid w:val="00623FAF"/>
    <w:rsid w:val="006265C4"/>
    <w:rsid w:val="0062678A"/>
    <w:rsid w:val="006270AF"/>
    <w:rsid w:val="00632D04"/>
    <w:rsid w:val="00634367"/>
    <w:rsid w:val="00640082"/>
    <w:rsid w:val="00640291"/>
    <w:rsid w:val="006408B6"/>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5EA"/>
    <w:rsid w:val="00673711"/>
    <w:rsid w:val="00673F82"/>
    <w:rsid w:val="00674F74"/>
    <w:rsid w:val="0067508F"/>
    <w:rsid w:val="00677576"/>
    <w:rsid w:val="0068051E"/>
    <w:rsid w:val="00680B9D"/>
    <w:rsid w:val="00681F13"/>
    <w:rsid w:val="0068231C"/>
    <w:rsid w:val="00682344"/>
    <w:rsid w:val="00682B23"/>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5AD"/>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61D8"/>
    <w:rsid w:val="006F62B7"/>
    <w:rsid w:val="006F70BC"/>
    <w:rsid w:val="006F7E7C"/>
    <w:rsid w:val="0070174E"/>
    <w:rsid w:val="007018DB"/>
    <w:rsid w:val="00701DE6"/>
    <w:rsid w:val="00702740"/>
    <w:rsid w:val="0070381B"/>
    <w:rsid w:val="0070796C"/>
    <w:rsid w:val="007109BB"/>
    <w:rsid w:val="00710EBF"/>
    <w:rsid w:val="007110B8"/>
    <w:rsid w:val="0071209F"/>
    <w:rsid w:val="007125A2"/>
    <w:rsid w:val="00712BAE"/>
    <w:rsid w:val="00713DD9"/>
    <w:rsid w:val="00713F79"/>
    <w:rsid w:val="007148A8"/>
    <w:rsid w:val="0071569F"/>
    <w:rsid w:val="00716AC8"/>
    <w:rsid w:val="00716E54"/>
    <w:rsid w:val="00717421"/>
    <w:rsid w:val="0072033C"/>
    <w:rsid w:val="00720B1B"/>
    <w:rsid w:val="00720B9C"/>
    <w:rsid w:val="00721062"/>
    <w:rsid w:val="00721E5D"/>
    <w:rsid w:val="007229D4"/>
    <w:rsid w:val="007230F8"/>
    <w:rsid w:val="007233F4"/>
    <w:rsid w:val="00724044"/>
    <w:rsid w:val="007248D3"/>
    <w:rsid w:val="00724DF8"/>
    <w:rsid w:val="00725137"/>
    <w:rsid w:val="00725378"/>
    <w:rsid w:val="00727A43"/>
    <w:rsid w:val="00727F2A"/>
    <w:rsid w:val="00727FF2"/>
    <w:rsid w:val="00730550"/>
    <w:rsid w:val="00730C2A"/>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57E5C"/>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98A"/>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4CD7"/>
    <w:rsid w:val="007B7490"/>
    <w:rsid w:val="007C0525"/>
    <w:rsid w:val="007C13F7"/>
    <w:rsid w:val="007C218D"/>
    <w:rsid w:val="007C2D28"/>
    <w:rsid w:val="007C3E22"/>
    <w:rsid w:val="007C49EE"/>
    <w:rsid w:val="007C5B90"/>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19A7"/>
    <w:rsid w:val="007F2C13"/>
    <w:rsid w:val="007F2CEC"/>
    <w:rsid w:val="007F3435"/>
    <w:rsid w:val="007F55DE"/>
    <w:rsid w:val="007F564B"/>
    <w:rsid w:val="007F762D"/>
    <w:rsid w:val="007F78F0"/>
    <w:rsid w:val="007F78FF"/>
    <w:rsid w:val="008001C5"/>
    <w:rsid w:val="00800F6C"/>
    <w:rsid w:val="00801065"/>
    <w:rsid w:val="00802C0B"/>
    <w:rsid w:val="008051FC"/>
    <w:rsid w:val="008055A9"/>
    <w:rsid w:val="008056C4"/>
    <w:rsid w:val="008057FD"/>
    <w:rsid w:val="00805D8B"/>
    <w:rsid w:val="0080773A"/>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A1A"/>
    <w:rsid w:val="00833B7F"/>
    <w:rsid w:val="00833E8E"/>
    <w:rsid w:val="00834906"/>
    <w:rsid w:val="00836075"/>
    <w:rsid w:val="00836417"/>
    <w:rsid w:val="00836A3E"/>
    <w:rsid w:val="00837526"/>
    <w:rsid w:val="00837CE8"/>
    <w:rsid w:val="008407A7"/>
    <w:rsid w:val="0084117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104"/>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49EE"/>
    <w:rsid w:val="008754E4"/>
    <w:rsid w:val="00876EAE"/>
    <w:rsid w:val="00880106"/>
    <w:rsid w:val="00880F95"/>
    <w:rsid w:val="00882B44"/>
    <w:rsid w:val="008838AD"/>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836"/>
    <w:rsid w:val="008A0FC9"/>
    <w:rsid w:val="008A17D6"/>
    <w:rsid w:val="008A1956"/>
    <w:rsid w:val="008A1A7C"/>
    <w:rsid w:val="008A2CE2"/>
    <w:rsid w:val="008A40D3"/>
    <w:rsid w:val="008A469C"/>
    <w:rsid w:val="008A51D1"/>
    <w:rsid w:val="008A5DCE"/>
    <w:rsid w:val="008A6AB1"/>
    <w:rsid w:val="008A75D3"/>
    <w:rsid w:val="008B05DD"/>
    <w:rsid w:val="008B07B8"/>
    <w:rsid w:val="008B17E8"/>
    <w:rsid w:val="008B2E7C"/>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5DFC"/>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0EC8"/>
    <w:rsid w:val="009321B1"/>
    <w:rsid w:val="00932ED7"/>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63E5"/>
    <w:rsid w:val="00947797"/>
    <w:rsid w:val="009478A2"/>
    <w:rsid w:val="00953808"/>
    <w:rsid w:val="009539A6"/>
    <w:rsid w:val="00954032"/>
    <w:rsid w:val="00954537"/>
    <w:rsid w:val="0095472D"/>
    <w:rsid w:val="00955098"/>
    <w:rsid w:val="00955FBB"/>
    <w:rsid w:val="0095694B"/>
    <w:rsid w:val="00956BD5"/>
    <w:rsid w:val="00956D84"/>
    <w:rsid w:val="009577B5"/>
    <w:rsid w:val="009608E6"/>
    <w:rsid w:val="00960F57"/>
    <w:rsid w:val="00961C90"/>
    <w:rsid w:val="00962AD6"/>
    <w:rsid w:val="00962E03"/>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6E1C"/>
    <w:rsid w:val="0097789E"/>
    <w:rsid w:val="00977CD6"/>
    <w:rsid w:val="0098048B"/>
    <w:rsid w:val="00980DF9"/>
    <w:rsid w:val="0098243D"/>
    <w:rsid w:val="00982D26"/>
    <w:rsid w:val="00983B6E"/>
    <w:rsid w:val="00983FE5"/>
    <w:rsid w:val="009849E9"/>
    <w:rsid w:val="009859E4"/>
    <w:rsid w:val="00987812"/>
    <w:rsid w:val="00990225"/>
    <w:rsid w:val="00992A13"/>
    <w:rsid w:val="00992B2E"/>
    <w:rsid w:val="00992C78"/>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5B14"/>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9F7CBA"/>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330"/>
    <w:rsid w:val="00A2244D"/>
    <w:rsid w:val="00A2253D"/>
    <w:rsid w:val="00A2267F"/>
    <w:rsid w:val="00A22CDB"/>
    <w:rsid w:val="00A247B8"/>
    <w:rsid w:val="00A2495A"/>
    <w:rsid w:val="00A24C7A"/>
    <w:rsid w:val="00A24D8F"/>
    <w:rsid w:val="00A25B8B"/>
    <w:rsid w:val="00A25C5D"/>
    <w:rsid w:val="00A2689F"/>
    <w:rsid w:val="00A26C1A"/>
    <w:rsid w:val="00A26ECA"/>
    <w:rsid w:val="00A27461"/>
    <w:rsid w:val="00A27D67"/>
    <w:rsid w:val="00A30ABC"/>
    <w:rsid w:val="00A32415"/>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2F3B"/>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2B3C"/>
    <w:rsid w:val="00A637EC"/>
    <w:rsid w:val="00A6410C"/>
    <w:rsid w:val="00A647B1"/>
    <w:rsid w:val="00A64DEF"/>
    <w:rsid w:val="00A654D2"/>
    <w:rsid w:val="00A665DF"/>
    <w:rsid w:val="00A671E0"/>
    <w:rsid w:val="00A67FCC"/>
    <w:rsid w:val="00A7064F"/>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7A7"/>
    <w:rsid w:val="00A85930"/>
    <w:rsid w:val="00A863F7"/>
    <w:rsid w:val="00A86604"/>
    <w:rsid w:val="00A87519"/>
    <w:rsid w:val="00A92040"/>
    <w:rsid w:val="00A9246D"/>
    <w:rsid w:val="00A92CCA"/>
    <w:rsid w:val="00A93BD0"/>
    <w:rsid w:val="00A93CC2"/>
    <w:rsid w:val="00A974CC"/>
    <w:rsid w:val="00AA2001"/>
    <w:rsid w:val="00AA2B5C"/>
    <w:rsid w:val="00AA32D2"/>
    <w:rsid w:val="00AA4016"/>
    <w:rsid w:val="00AA4C1F"/>
    <w:rsid w:val="00AA5328"/>
    <w:rsid w:val="00AA5393"/>
    <w:rsid w:val="00AA63D4"/>
    <w:rsid w:val="00AA796E"/>
    <w:rsid w:val="00AB03FD"/>
    <w:rsid w:val="00AB2000"/>
    <w:rsid w:val="00AB38CB"/>
    <w:rsid w:val="00AB3BEC"/>
    <w:rsid w:val="00AB44E4"/>
    <w:rsid w:val="00AB4AEB"/>
    <w:rsid w:val="00AB4E5F"/>
    <w:rsid w:val="00AB5352"/>
    <w:rsid w:val="00AB56AE"/>
    <w:rsid w:val="00AB5B8F"/>
    <w:rsid w:val="00AB62D5"/>
    <w:rsid w:val="00AB65B5"/>
    <w:rsid w:val="00AB6DCD"/>
    <w:rsid w:val="00AB6EE0"/>
    <w:rsid w:val="00AB775A"/>
    <w:rsid w:val="00AB7871"/>
    <w:rsid w:val="00AC17A2"/>
    <w:rsid w:val="00AC40B7"/>
    <w:rsid w:val="00AC531F"/>
    <w:rsid w:val="00AC5B36"/>
    <w:rsid w:val="00AC6377"/>
    <w:rsid w:val="00AC66A4"/>
    <w:rsid w:val="00AC6A4E"/>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7280"/>
    <w:rsid w:val="00AF033A"/>
    <w:rsid w:val="00AF0696"/>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761"/>
    <w:rsid w:val="00B13859"/>
    <w:rsid w:val="00B13EC9"/>
    <w:rsid w:val="00B14319"/>
    <w:rsid w:val="00B14A06"/>
    <w:rsid w:val="00B1581D"/>
    <w:rsid w:val="00B158E1"/>
    <w:rsid w:val="00B16715"/>
    <w:rsid w:val="00B1768E"/>
    <w:rsid w:val="00B17910"/>
    <w:rsid w:val="00B20F18"/>
    <w:rsid w:val="00B21516"/>
    <w:rsid w:val="00B21669"/>
    <w:rsid w:val="00B21A37"/>
    <w:rsid w:val="00B21D23"/>
    <w:rsid w:val="00B21F62"/>
    <w:rsid w:val="00B22CE0"/>
    <w:rsid w:val="00B23685"/>
    <w:rsid w:val="00B23738"/>
    <w:rsid w:val="00B23BEF"/>
    <w:rsid w:val="00B247BB"/>
    <w:rsid w:val="00B2504A"/>
    <w:rsid w:val="00B25EE6"/>
    <w:rsid w:val="00B266DF"/>
    <w:rsid w:val="00B3115A"/>
    <w:rsid w:val="00B31825"/>
    <w:rsid w:val="00B31A5C"/>
    <w:rsid w:val="00B33B06"/>
    <w:rsid w:val="00B33C19"/>
    <w:rsid w:val="00B35A15"/>
    <w:rsid w:val="00B35B45"/>
    <w:rsid w:val="00B36A99"/>
    <w:rsid w:val="00B42264"/>
    <w:rsid w:val="00B434B2"/>
    <w:rsid w:val="00B43D45"/>
    <w:rsid w:val="00B45B3F"/>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81"/>
    <w:rsid w:val="00B662FF"/>
    <w:rsid w:val="00B66679"/>
    <w:rsid w:val="00B67136"/>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0D1"/>
    <w:rsid w:val="00B821E4"/>
    <w:rsid w:val="00B823E0"/>
    <w:rsid w:val="00B8260D"/>
    <w:rsid w:val="00B82B78"/>
    <w:rsid w:val="00B845B4"/>
    <w:rsid w:val="00B84662"/>
    <w:rsid w:val="00B84C74"/>
    <w:rsid w:val="00B85191"/>
    <w:rsid w:val="00B858A1"/>
    <w:rsid w:val="00B85FEC"/>
    <w:rsid w:val="00B864A3"/>
    <w:rsid w:val="00B8667D"/>
    <w:rsid w:val="00B86C2A"/>
    <w:rsid w:val="00B878BE"/>
    <w:rsid w:val="00B902A5"/>
    <w:rsid w:val="00B90420"/>
    <w:rsid w:val="00B90848"/>
    <w:rsid w:val="00B91146"/>
    <w:rsid w:val="00B913E4"/>
    <w:rsid w:val="00B91DB9"/>
    <w:rsid w:val="00B91FF3"/>
    <w:rsid w:val="00B93B29"/>
    <w:rsid w:val="00B93EFE"/>
    <w:rsid w:val="00B944B9"/>
    <w:rsid w:val="00B94956"/>
    <w:rsid w:val="00B94C7F"/>
    <w:rsid w:val="00B94E93"/>
    <w:rsid w:val="00B956B5"/>
    <w:rsid w:val="00B96DF2"/>
    <w:rsid w:val="00B96E18"/>
    <w:rsid w:val="00B96F5A"/>
    <w:rsid w:val="00BA0B39"/>
    <w:rsid w:val="00BA0CB2"/>
    <w:rsid w:val="00BA0E26"/>
    <w:rsid w:val="00BA138B"/>
    <w:rsid w:val="00BA13F3"/>
    <w:rsid w:val="00BA305B"/>
    <w:rsid w:val="00BA31BF"/>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C7A0F"/>
    <w:rsid w:val="00BD0014"/>
    <w:rsid w:val="00BD01D8"/>
    <w:rsid w:val="00BD191B"/>
    <w:rsid w:val="00BD255F"/>
    <w:rsid w:val="00BD2895"/>
    <w:rsid w:val="00BD4236"/>
    <w:rsid w:val="00BD483B"/>
    <w:rsid w:val="00BD5CD4"/>
    <w:rsid w:val="00BD65D9"/>
    <w:rsid w:val="00BD6DF3"/>
    <w:rsid w:val="00BD6E09"/>
    <w:rsid w:val="00BD6EF9"/>
    <w:rsid w:val="00BD7616"/>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45A"/>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21F"/>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653"/>
    <w:rsid w:val="00C37B19"/>
    <w:rsid w:val="00C413CB"/>
    <w:rsid w:val="00C42752"/>
    <w:rsid w:val="00C42973"/>
    <w:rsid w:val="00C445E8"/>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6DEC"/>
    <w:rsid w:val="00C67223"/>
    <w:rsid w:val="00C707B8"/>
    <w:rsid w:val="00C712AC"/>
    <w:rsid w:val="00C71C15"/>
    <w:rsid w:val="00C71F3D"/>
    <w:rsid w:val="00C72F53"/>
    <w:rsid w:val="00C7313D"/>
    <w:rsid w:val="00C73BA7"/>
    <w:rsid w:val="00C74035"/>
    <w:rsid w:val="00C748EA"/>
    <w:rsid w:val="00C77818"/>
    <w:rsid w:val="00C8063F"/>
    <w:rsid w:val="00C81282"/>
    <w:rsid w:val="00C827B4"/>
    <w:rsid w:val="00C83214"/>
    <w:rsid w:val="00C8329F"/>
    <w:rsid w:val="00C84F8A"/>
    <w:rsid w:val="00C85603"/>
    <w:rsid w:val="00C85BA4"/>
    <w:rsid w:val="00C8618F"/>
    <w:rsid w:val="00C8625D"/>
    <w:rsid w:val="00C8753A"/>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0901"/>
    <w:rsid w:val="00CB19D7"/>
    <w:rsid w:val="00CB19FE"/>
    <w:rsid w:val="00CB1C3F"/>
    <w:rsid w:val="00CB21F6"/>
    <w:rsid w:val="00CB2364"/>
    <w:rsid w:val="00CB304C"/>
    <w:rsid w:val="00CB3933"/>
    <w:rsid w:val="00CB53E8"/>
    <w:rsid w:val="00CB594A"/>
    <w:rsid w:val="00CB5CB2"/>
    <w:rsid w:val="00CB6979"/>
    <w:rsid w:val="00CB6E7D"/>
    <w:rsid w:val="00CB7DDE"/>
    <w:rsid w:val="00CC0A3D"/>
    <w:rsid w:val="00CC0E22"/>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646"/>
    <w:rsid w:val="00CF2BE2"/>
    <w:rsid w:val="00CF3DEB"/>
    <w:rsid w:val="00CF55F9"/>
    <w:rsid w:val="00CF7074"/>
    <w:rsid w:val="00CF7495"/>
    <w:rsid w:val="00D0033D"/>
    <w:rsid w:val="00D01CF9"/>
    <w:rsid w:val="00D0334D"/>
    <w:rsid w:val="00D0374D"/>
    <w:rsid w:val="00D03A2D"/>
    <w:rsid w:val="00D06D7B"/>
    <w:rsid w:val="00D06DA5"/>
    <w:rsid w:val="00D07191"/>
    <w:rsid w:val="00D07F1D"/>
    <w:rsid w:val="00D10558"/>
    <w:rsid w:val="00D106EB"/>
    <w:rsid w:val="00D114EB"/>
    <w:rsid w:val="00D11D4D"/>
    <w:rsid w:val="00D126DC"/>
    <w:rsid w:val="00D129E1"/>
    <w:rsid w:val="00D12B03"/>
    <w:rsid w:val="00D13CEB"/>
    <w:rsid w:val="00D13E70"/>
    <w:rsid w:val="00D15FCD"/>
    <w:rsid w:val="00D16C58"/>
    <w:rsid w:val="00D17019"/>
    <w:rsid w:val="00D17FC8"/>
    <w:rsid w:val="00D20B44"/>
    <w:rsid w:val="00D21168"/>
    <w:rsid w:val="00D2438C"/>
    <w:rsid w:val="00D2585A"/>
    <w:rsid w:val="00D259B0"/>
    <w:rsid w:val="00D26C3F"/>
    <w:rsid w:val="00D27185"/>
    <w:rsid w:val="00D30EF8"/>
    <w:rsid w:val="00D32518"/>
    <w:rsid w:val="00D33488"/>
    <w:rsid w:val="00D33AB3"/>
    <w:rsid w:val="00D33F24"/>
    <w:rsid w:val="00D34160"/>
    <w:rsid w:val="00D346B8"/>
    <w:rsid w:val="00D34DCA"/>
    <w:rsid w:val="00D35AC8"/>
    <w:rsid w:val="00D36F87"/>
    <w:rsid w:val="00D37E4E"/>
    <w:rsid w:val="00D40DEF"/>
    <w:rsid w:val="00D417D8"/>
    <w:rsid w:val="00D41F78"/>
    <w:rsid w:val="00D42E6C"/>
    <w:rsid w:val="00D4351C"/>
    <w:rsid w:val="00D43B80"/>
    <w:rsid w:val="00D44988"/>
    <w:rsid w:val="00D45B4C"/>
    <w:rsid w:val="00D45BA4"/>
    <w:rsid w:val="00D465D0"/>
    <w:rsid w:val="00D471AF"/>
    <w:rsid w:val="00D4724F"/>
    <w:rsid w:val="00D50519"/>
    <w:rsid w:val="00D51601"/>
    <w:rsid w:val="00D51ECB"/>
    <w:rsid w:val="00D522B9"/>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78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85A"/>
    <w:rsid w:val="00DE0A1D"/>
    <w:rsid w:val="00DE15B2"/>
    <w:rsid w:val="00DE1A9A"/>
    <w:rsid w:val="00DE3D2C"/>
    <w:rsid w:val="00DE5E82"/>
    <w:rsid w:val="00DE5F9B"/>
    <w:rsid w:val="00DE5FA6"/>
    <w:rsid w:val="00DE660A"/>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37F"/>
    <w:rsid w:val="00DF6608"/>
    <w:rsid w:val="00DF6CCC"/>
    <w:rsid w:val="00DF6D0C"/>
    <w:rsid w:val="00DF6F64"/>
    <w:rsid w:val="00DF721E"/>
    <w:rsid w:val="00DF7B8A"/>
    <w:rsid w:val="00DF7C87"/>
    <w:rsid w:val="00E009B0"/>
    <w:rsid w:val="00E00A12"/>
    <w:rsid w:val="00E00C49"/>
    <w:rsid w:val="00E00E9A"/>
    <w:rsid w:val="00E01C9C"/>
    <w:rsid w:val="00E0219D"/>
    <w:rsid w:val="00E04C0F"/>
    <w:rsid w:val="00E0570B"/>
    <w:rsid w:val="00E10913"/>
    <w:rsid w:val="00E10B87"/>
    <w:rsid w:val="00E121CE"/>
    <w:rsid w:val="00E1478B"/>
    <w:rsid w:val="00E14FAC"/>
    <w:rsid w:val="00E15007"/>
    <w:rsid w:val="00E16277"/>
    <w:rsid w:val="00E16BDE"/>
    <w:rsid w:val="00E16EC7"/>
    <w:rsid w:val="00E219C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3054"/>
    <w:rsid w:val="00E43655"/>
    <w:rsid w:val="00E44440"/>
    <w:rsid w:val="00E46013"/>
    <w:rsid w:val="00E47099"/>
    <w:rsid w:val="00E47284"/>
    <w:rsid w:val="00E4730A"/>
    <w:rsid w:val="00E477C3"/>
    <w:rsid w:val="00E51E16"/>
    <w:rsid w:val="00E530D0"/>
    <w:rsid w:val="00E53730"/>
    <w:rsid w:val="00E5438D"/>
    <w:rsid w:val="00E54511"/>
    <w:rsid w:val="00E54E50"/>
    <w:rsid w:val="00E55288"/>
    <w:rsid w:val="00E55332"/>
    <w:rsid w:val="00E57577"/>
    <w:rsid w:val="00E62043"/>
    <w:rsid w:val="00E626B9"/>
    <w:rsid w:val="00E627C9"/>
    <w:rsid w:val="00E630F3"/>
    <w:rsid w:val="00E6332F"/>
    <w:rsid w:val="00E637C9"/>
    <w:rsid w:val="00E6402D"/>
    <w:rsid w:val="00E658BE"/>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15A"/>
    <w:rsid w:val="00E8395F"/>
    <w:rsid w:val="00E8410F"/>
    <w:rsid w:val="00E849D7"/>
    <w:rsid w:val="00E85E41"/>
    <w:rsid w:val="00E85EA1"/>
    <w:rsid w:val="00E86703"/>
    <w:rsid w:val="00E91044"/>
    <w:rsid w:val="00E910D3"/>
    <w:rsid w:val="00E92154"/>
    <w:rsid w:val="00E923CF"/>
    <w:rsid w:val="00E93685"/>
    <w:rsid w:val="00E93B65"/>
    <w:rsid w:val="00E93C8C"/>
    <w:rsid w:val="00E94DBC"/>
    <w:rsid w:val="00E95111"/>
    <w:rsid w:val="00E95E1F"/>
    <w:rsid w:val="00E95FDF"/>
    <w:rsid w:val="00EA14C8"/>
    <w:rsid w:val="00EA2110"/>
    <w:rsid w:val="00EA283A"/>
    <w:rsid w:val="00EA2C90"/>
    <w:rsid w:val="00EA2E07"/>
    <w:rsid w:val="00EA383B"/>
    <w:rsid w:val="00EA48F3"/>
    <w:rsid w:val="00EA511B"/>
    <w:rsid w:val="00EA60BF"/>
    <w:rsid w:val="00EA7365"/>
    <w:rsid w:val="00EA763F"/>
    <w:rsid w:val="00EA77E9"/>
    <w:rsid w:val="00EB05D0"/>
    <w:rsid w:val="00EB1151"/>
    <w:rsid w:val="00EB1D49"/>
    <w:rsid w:val="00EB234C"/>
    <w:rsid w:val="00EB23D9"/>
    <w:rsid w:val="00EB39A0"/>
    <w:rsid w:val="00EB4507"/>
    <w:rsid w:val="00EB559F"/>
    <w:rsid w:val="00EB566C"/>
    <w:rsid w:val="00EB5F3D"/>
    <w:rsid w:val="00EB6D01"/>
    <w:rsid w:val="00EC1CEB"/>
    <w:rsid w:val="00EC1DC0"/>
    <w:rsid w:val="00EC1DC2"/>
    <w:rsid w:val="00EC21EC"/>
    <w:rsid w:val="00EC24B8"/>
    <w:rsid w:val="00EC268C"/>
    <w:rsid w:val="00EC3753"/>
    <w:rsid w:val="00EC4E71"/>
    <w:rsid w:val="00EC5F1C"/>
    <w:rsid w:val="00ED0365"/>
    <w:rsid w:val="00ED0865"/>
    <w:rsid w:val="00ED1C60"/>
    <w:rsid w:val="00ED2084"/>
    <w:rsid w:val="00ED2EB9"/>
    <w:rsid w:val="00ED3722"/>
    <w:rsid w:val="00ED3A31"/>
    <w:rsid w:val="00ED4469"/>
    <w:rsid w:val="00ED5424"/>
    <w:rsid w:val="00ED5F23"/>
    <w:rsid w:val="00ED6DC0"/>
    <w:rsid w:val="00ED7A7A"/>
    <w:rsid w:val="00EE0327"/>
    <w:rsid w:val="00EE038C"/>
    <w:rsid w:val="00EE2243"/>
    <w:rsid w:val="00EE28C5"/>
    <w:rsid w:val="00EE2F09"/>
    <w:rsid w:val="00EE2F13"/>
    <w:rsid w:val="00EE3654"/>
    <w:rsid w:val="00EE46C0"/>
    <w:rsid w:val="00EE47C5"/>
    <w:rsid w:val="00EE490C"/>
    <w:rsid w:val="00EE4E57"/>
    <w:rsid w:val="00EE5738"/>
    <w:rsid w:val="00EE58BD"/>
    <w:rsid w:val="00EE5E59"/>
    <w:rsid w:val="00EE6549"/>
    <w:rsid w:val="00EE73D0"/>
    <w:rsid w:val="00EE7CB0"/>
    <w:rsid w:val="00EF08A8"/>
    <w:rsid w:val="00EF167B"/>
    <w:rsid w:val="00EF41A8"/>
    <w:rsid w:val="00EF44FB"/>
    <w:rsid w:val="00EF4895"/>
    <w:rsid w:val="00EF5122"/>
    <w:rsid w:val="00EF5554"/>
    <w:rsid w:val="00EF5AD8"/>
    <w:rsid w:val="00EF6B90"/>
    <w:rsid w:val="00EF7807"/>
    <w:rsid w:val="00EF79F7"/>
    <w:rsid w:val="00F006C0"/>
    <w:rsid w:val="00F0125F"/>
    <w:rsid w:val="00F019AA"/>
    <w:rsid w:val="00F0267E"/>
    <w:rsid w:val="00F02686"/>
    <w:rsid w:val="00F028B7"/>
    <w:rsid w:val="00F030C0"/>
    <w:rsid w:val="00F03291"/>
    <w:rsid w:val="00F0459B"/>
    <w:rsid w:val="00F04E15"/>
    <w:rsid w:val="00F05DF3"/>
    <w:rsid w:val="00F069EA"/>
    <w:rsid w:val="00F070E5"/>
    <w:rsid w:val="00F07DDE"/>
    <w:rsid w:val="00F11675"/>
    <w:rsid w:val="00F12557"/>
    <w:rsid w:val="00F13599"/>
    <w:rsid w:val="00F13B28"/>
    <w:rsid w:val="00F13DB6"/>
    <w:rsid w:val="00F14E01"/>
    <w:rsid w:val="00F156A0"/>
    <w:rsid w:val="00F15730"/>
    <w:rsid w:val="00F164B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634"/>
    <w:rsid w:val="00F35D17"/>
    <w:rsid w:val="00F35DA7"/>
    <w:rsid w:val="00F36A6A"/>
    <w:rsid w:val="00F40101"/>
    <w:rsid w:val="00F404F7"/>
    <w:rsid w:val="00F40CCA"/>
    <w:rsid w:val="00F41069"/>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9EA"/>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1C67"/>
    <w:rsid w:val="00F9203B"/>
    <w:rsid w:val="00F93251"/>
    <w:rsid w:val="00F93ABB"/>
    <w:rsid w:val="00F94D79"/>
    <w:rsid w:val="00F9658C"/>
    <w:rsid w:val="00F97A7F"/>
    <w:rsid w:val="00FA0889"/>
    <w:rsid w:val="00FA16E7"/>
    <w:rsid w:val="00FA31C7"/>
    <w:rsid w:val="00FA472D"/>
    <w:rsid w:val="00FB0CBF"/>
    <w:rsid w:val="00FB18F6"/>
    <w:rsid w:val="00FB23E5"/>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22A"/>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0AE8"/>
    <w:rsid w:val="00FF1C9B"/>
    <w:rsid w:val="00FF1D49"/>
    <w:rsid w:val="00FF203B"/>
    <w:rsid w:val="00FF2562"/>
    <w:rsid w:val="00FF3A41"/>
    <w:rsid w:val="00FF3E5B"/>
    <w:rsid w:val="00FF57E4"/>
    <w:rsid w:val="00FF72B5"/>
    <w:rsid w:val="00FF78E5"/>
    <w:rsid w:val="01241366"/>
    <w:rsid w:val="01A1683A"/>
    <w:rsid w:val="01AF3D99"/>
    <w:rsid w:val="01E803F8"/>
    <w:rsid w:val="02511F9D"/>
    <w:rsid w:val="03A314B8"/>
    <w:rsid w:val="03D82B98"/>
    <w:rsid w:val="03E83272"/>
    <w:rsid w:val="03F83E8B"/>
    <w:rsid w:val="040A371D"/>
    <w:rsid w:val="041F679F"/>
    <w:rsid w:val="046E69C2"/>
    <w:rsid w:val="05C56868"/>
    <w:rsid w:val="061F02F9"/>
    <w:rsid w:val="065D5A7C"/>
    <w:rsid w:val="06E04BAD"/>
    <w:rsid w:val="0749321E"/>
    <w:rsid w:val="076201B0"/>
    <w:rsid w:val="07B3102F"/>
    <w:rsid w:val="07B72767"/>
    <w:rsid w:val="07F60A52"/>
    <w:rsid w:val="08077E72"/>
    <w:rsid w:val="08381BDD"/>
    <w:rsid w:val="08882DD0"/>
    <w:rsid w:val="09CC2AAC"/>
    <w:rsid w:val="09D26E76"/>
    <w:rsid w:val="0A652D3E"/>
    <w:rsid w:val="0B326F2A"/>
    <w:rsid w:val="0BBC50B6"/>
    <w:rsid w:val="0C1E2888"/>
    <w:rsid w:val="0C92213C"/>
    <w:rsid w:val="0D84032B"/>
    <w:rsid w:val="0E1106BD"/>
    <w:rsid w:val="0F2A74C4"/>
    <w:rsid w:val="108243D9"/>
    <w:rsid w:val="10A27F31"/>
    <w:rsid w:val="10D17073"/>
    <w:rsid w:val="11927058"/>
    <w:rsid w:val="11C20C65"/>
    <w:rsid w:val="12303B69"/>
    <w:rsid w:val="12814C79"/>
    <w:rsid w:val="139707D2"/>
    <w:rsid w:val="13AF4F03"/>
    <w:rsid w:val="13C73A9E"/>
    <w:rsid w:val="14736E66"/>
    <w:rsid w:val="147F458F"/>
    <w:rsid w:val="149F5675"/>
    <w:rsid w:val="14D958EC"/>
    <w:rsid w:val="1534169A"/>
    <w:rsid w:val="15C03E03"/>
    <w:rsid w:val="162A25EB"/>
    <w:rsid w:val="167631F1"/>
    <w:rsid w:val="16A962C3"/>
    <w:rsid w:val="16FD2A55"/>
    <w:rsid w:val="17067C1A"/>
    <w:rsid w:val="17366761"/>
    <w:rsid w:val="1774709D"/>
    <w:rsid w:val="177C01F0"/>
    <w:rsid w:val="17AF0B3E"/>
    <w:rsid w:val="17B453A6"/>
    <w:rsid w:val="17CE6630"/>
    <w:rsid w:val="183D4FEE"/>
    <w:rsid w:val="1AEB2ED1"/>
    <w:rsid w:val="1AFF0AFE"/>
    <w:rsid w:val="1B4F19F8"/>
    <w:rsid w:val="1BC2131D"/>
    <w:rsid w:val="1BC670A8"/>
    <w:rsid w:val="1C226F03"/>
    <w:rsid w:val="1D620B27"/>
    <w:rsid w:val="1DF561F9"/>
    <w:rsid w:val="1ECC44FA"/>
    <w:rsid w:val="1EF06408"/>
    <w:rsid w:val="1F063325"/>
    <w:rsid w:val="1FBC5DF5"/>
    <w:rsid w:val="1FE27326"/>
    <w:rsid w:val="1FF90588"/>
    <w:rsid w:val="200A2051"/>
    <w:rsid w:val="20322F5E"/>
    <w:rsid w:val="20C3623F"/>
    <w:rsid w:val="21781212"/>
    <w:rsid w:val="21B83F86"/>
    <w:rsid w:val="221178A8"/>
    <w:rsid w:val="221213CF"/>
    <w:rsid w:val="22327A92"/>
    <w:rsid w:val="22647C61"/>
    <w:rsid w:val="23123E6C"/>
    <w:rsid w:val="231D53A2"/>
    <w:rsid w:val="236D5383"/>
    <w:rsid w:val="23981227"/>
    <w:rsid w:val="23B7504C"/>
    <w:rsid w:val="23EB3467"/>
    <w:rsid w:val="24571307"/>
    <w:rsid w:val="25062EA6"/>
    <w:rsid w:val="25110A2A"/>
    <w:rsid w:val="25325513"/>
    <w:rsid w:val="2546432E"/>
    <w:rsid w:val="25537BFE"/>
    <w:rsid w:val="256C0944"/>
    <w:rsid w:val="25A942D5"/>
    <w:rsid w:val="25B70C9D"/>
    <w:rsid w:val="26446DE3"/>
    <w:rsid w:val="269669E7"/>
    <w:rsid w:val="26D7699F"/>
    <w:rsid w:val="27EB0A55"/>
    <w:rsid w:val="28B33F1B"/>
    <w:rsid w:val="28E94C74"/>
    <w:rsid w:val="29832529"/>
    <w:rsid w:val="29AC6CED"/>
    <w:rsid w:val="2B043ED6"/>
    <w:rsid w:val="2B774624"/>
    <w:rsid w:val="2BDA6A9D"/>
    <w:rsid w:val="2C0E14B8"/>
    <w:rsid w:val="2C7A72BE"/>
    <w:rsid w:val="2C8005ED"/>
    <w:rsid w:val="2C9A7D75"/>
    <w:rsid w:val="2CC17412"/>
    <w:rsid w:val="2DA02A7D"/>
    <w:rsid w:val="2E2646D8"/>
    <w:rsid w:val="2E9976CE"/>
    <w:rsid w:val="2EAD6628"/>
    <w:rsid w:val="2EBC6814"/>
    <w:rsid w:val="2F0F7711"/>
    <w:rsid w:val="2F401D3C"/>
    <w:rsid w:val="2F5B24E1"/>
    <w:rsid w:val="2FA95C88"/>
    <w:rsid w:val="301E705B"/>
    <w:rsid w:val="3041370F"/>
    <w:rsid w:val="304545E8"/>
    <w:rsid w:val="304A3336"/>
    <w:rsid w:val="30926CF5"/>
    <w:rsid w:val="312B50A3"/>
    <w:rsid w:val="31E50689"/>
    <w:rsid w:val="32453A27"/>
    <w:rsid w:val="3263064A"/>
    <w:rsid w:val="32A43132"/>
    <w:rsid w:val="32AC0C06"/>
    <w:rsid w:val="33344EF5"/>
    <w:rsid w:val="33A829D0"/>
    <w:rsid w:val="3537750C"/>
    <w:rsid w:val="3537798C"/>
    <w:rsid w:val="35C13FC9"/>
    <w:rsid w:val="364257B6"/>
    <w:rsid w:val="365E0D0B"/>
    <w:rsid w:val="372E4267"/>
    <w:rsid w:val="37700F16"/>
    <w:rsid w:val="37EA5922"/>
    <w:rsid w:val="38276B93"/>
    <w:rsid w:val="3893649F"/>
    <w:rsid w:val="38AB14F1"/>
    <w:rsid w:val="38AC3431"/>
    <w:rsid w:val="392F2E16"/>
    <w:rsid w:val="395E7E53"/>
    <w:rsid w:val="39CB4D8C"/>
    <w:rsid w:val="39E00529"/>
    <w:rsid w:val="3A0B64A7"/>
    <w:rsid w:val="3A574DDA"/>
    <w:rsid w:val="3AD3075A"/>
    <w:rsid w:val="3AF74C02"/>
    <w:rsid w:val="3B6E05C1"/>
    <w:rsid w:val="3BD11D17"/>
    <w:rsid w:val="3C0059A5"/>
    <w:rsid w:val="3C134E78"/>
    <w:rsid w:val="3DEC7285"/>
    <w:rsid w:val="3DF6345D"/>
    <w:rsid w:val="3E2B5515"/>
    <w:rsid w:val="3E4D4F28"/>
    <w:rsid w:val="3EE13701"/>
    <w:rsid w:val="3F1A4BB3"/>
    <w:rsid w:val="3F3D5C9D"/>
    <w:rsid w:val="40192BA6"/>
    <w:rsid w:val="401B130B"/>
    <w:rsid w:val="41766EA9"/>
    <w:rsid w:val="417B2D63"/>
    <w:rsid w:val="41973A5C"/>
    <w:rsid w:val="41FA1823"/>
    <w:rsid w:val="42550A18"/>
    <w:rsid w:val="425D7556"/>
    <w:rsid w:val="429D496A"/>
    <w:rsid w:val="42F473A1"/>
    <w:rsid w:val="441E62C0"/>
    <w:rsid w:val="443F73E3"/>
    <w:rsid w:val="44561741"/>
    <w:rsid w:val="44947025"/>
    <w:rsid w:val="45325D14"/>
    <w:rsid w:val="45811B0D"/>
    <w:rsid w:val="45811C7C"/>
    <w:rsid w:val="45906116"/>
    <w:rsid w:val="4684250F"/>
    <w:rsid w:val="468B3EFB"/>
    <w:rsid w:val="46DE3158"/>
    <w:rsid w:val="470A6193"/>
    <w:rsid w:val="47385210"/>
    <w:rsid w:val="47C72F42"/>
    <w:rsid w:val="47D84E68"/>
    <w:rsid w:val="47DC4F5C"/>
    <w:rsid w:val="482644BF"/>
    <w:rsid w:val="48B40671"/>
    <w:rsid w:val="48E45A10"/>
    <w:rsid w:val="495D4F33"/>
    <w:rsid w:val="499B5738"/>
    <w:rsid w:val="499F244D"/>
    <w:rsid w:val="49CC4DEC"/>
    <w:rsid w:val="4A973F3F"/>
    <w:rsid w:val="4AF96BC7"/>
    <w:rsid w:val="4B5A416B"/>
    <w:rsid w:val="4B63146A"/>
    <w:rsid w:val="4B862A85"/>
    <w:rsid w:val="4CEF36E2"/>
    <w:rsid w:val="4CEF4DC5"/>
    <w:rsid w:val="4DFF0486"/>
    <w:rsid w:val="4E257655"/>
    <w:rsid w:val="4E8E7871"/>
    <w:rsid w:val="4F372380"/>
    <w:rsid w:val="4F372FFB"/>
    <w:rsid w:val="4F3817A0"/>
    <w:rsid w:val="4FA84B42"/>
    <w:rsid w:val="4FB11713"/>
    <w:rsid w:val="500E01E6"/>
    <w:rsid w:val="5025116D"/>
    <w:rsid w:val="507B2BDD"/>
    <w:rsid w:val="518E167E"/>
    <w:rsid w:val="51987CEC"/>
    <w:rsid w:val="52395ECD"/>
    <w:rsid w:val="52AB6DA6"/>
    <w:rsid w:val="52C10D75"/>
    <w:rsid w:val="534A3D46"/>
    <w:rsid w:val="53C27FF8"/>
    <w:rsid w:val="549E1A80"/>
    <w:rsid w:val="54C658F4"/>
    <w:rsid w:val="550C4BD7"/>
    <w:rsid w:val="554C1D56"/>
    <w:rsid w:val="55572986"/>
    <w:rsid w:val="55866D69"/>
    <w:rsid w:val="55C062DD"/>
    <w:rsid w:val="565340FA"/>
    <w:rsid w:val="5717642E"/>
    <w:rsid w:val="5723343E"/>
    <w:rsid w:val="573B1259"/>
    <w:rsid w:val="573D7EAB"/>
    <w:rsid w:val="59A0053D"/>
    <w:rsid w:val="59F11F01"/>
    <w:rsid w:val="5A2F2CC8"/>
    <w:rsid w:val="5BA26962"/>
    <w:rsid w:val="5C10702D"/>
    <w:rsid w:val="5C152601"/>
    <w:rsid w:val="5C591F03"/>
    <w:rsid w:val="5C8A1B2F"/>
    <w:rsid w:val="5D551762"/>
    <w:rsid w:val="5D914004"/>
    <w:rsid w:val="5DAC384B"/>
    <w:rsid w:val="5E5E5C9D"/>
    <w:rsid w:val="5E940C20"/>
    <w:rsid w:val="5ED62F5E"/>
    <w:rsid w:val="5F561B72"/>
    <w:rsid w:val="606007BB"/>
    <w:rsid w:val="60AC7F66"/>
    <w:rsid w:val="618260C3"/>
    <w:rsid w:val="61BF10D9"/>
    <w:rsid w:val="61DA3D4C"/>
    <w:rsid w:val="620B0D64"/>
    <w:rsid w:val="62247491"/>
    <w:rsid w:val="626977FF"/>
    <w:rsid w:val="62AC22DC"/>
    <w:rsid w:val="637833E8"/>
    <w:rsid w:val="645A1AD6"/>
    <w:rsid w:val="64C50A9B"/>
    <w:rsid w:val="64E45EF7"/>
    <w:rsid w:val="65C07C91"/>
    <w:rsid w:val="65F7192C"/>
    <w:rsid w:val="6664097F"/>
    <w:rsid w:val="668840EF"/>
    <w:rsid w:val="6691014E"/>
    <w:rsid w:val="66C87CCE"/>
    <w:rsid w:val="677435B2"/>
    <w:rsid w:val="67E62116"/>
    <w:rsid w:val="67EF75F1"/>
    <w:rsid w:val="68B406B1"/>
    <w:rsid w:val="68C97800"/>
    <w:rsid w:val="68F7078E"/>
    <w:rsid w:val="69124F16"/>
    <w:rsid w:val="694A5205"/>
    <w:rsid w:val="69981595"/>
    <w:rsid w:val="69CD5C14"/>
    <w:rsid w:val="69CF0D33"/>
    <w:rsid w:val="6B9946B3"/>
    <w:rsid w:val="6BD8455D"/>
    <w:rsid w:val="6BFE0288"/>
    <w:rsid w:val="6C2C29A8"/>
    <w:rsid w:val="6C662189"/>
    <w:rsid w:val="6C7007C7"/>
    <w:rsid w:val="6C7B1C49"/>
    <w:rsid w:val="6CB32267"/>
    <w:rsid w:val="6D02799F"/>
    <w:rsid w:val="6D0E75BB"/>
    <w:rsid w:val="6DE76850"/>
    <w:rsid w:val="6F7FF723"/>
    <w:rsid w:val="6FB20BD4"/>
    <w:rsid w:val="6FB650F7"/>
    <w:rsid w:val="6FBA59BE"/>
    <w:rsid w:val="70296B3E"/>
    <w:rsid w:val="70324462"/>
    <w:rsid w:val="70611204"/>
    <w:rsid w:val="70D43728"/>
    <w:rsid w:val="71140DB1"/>
    <w:rsid w:val="713B4D36"/>
    <w:rsid w:val="71B40B44"/>
    <w:rsid w:val="7323280B"/>
    <w:rsid w:val="73445350"/>
    <w:rsid w:val="736425A4"/>
    <w:rsid w:val="7366631C"/>
    <w:rsid w:val="74D71567"/>
    <w:rsid w:val="74D74DCC"/>
    <w:rsid w:val="74FA2C30"/>
    <w:rsid w:val="754D5C4B"/>
    <w:rsid w:val="75AA625F"/>
    <w:rsid w:val="76B77EED"/>
    <w:rsid w:val="76C240A7"/>
    <w:rsid w:val="77232424"/>
    <w:rsid w:val="775246B7"/>
    <w:rsid w:val="780675BB"/>
    <w:rsid w:val="781E69D1"/>
    <w:rsid w:val="796B18D2"/>
    <w:rsid w:val="7A124B07"/>
    <w:rsid w:val="7A263B6B"/>
    <w:rsid w:val="7A651CE6"/>
    <w:rsid w:val="7AF46346"/>
    <w:rsid w:val="7AFC18FB"/>
    <w:rsid w:val="7B0F5EBF"/>
    <w:rsid w:val="7B130FB9"/>
    <w:rsid w:val="7B18524F"/>
    <w:rsid w:val="7BF64EDE"/>
    <w:rsid w:val="7C400C1E"/>
    <w:rsid w:val="7D6B01DB"/>
    <w:rsid w:val="7DD11708"/>
    <w:rsid w:val="7EBD579E"/>
    <w:rsid w:val="7EC167BD"/>
    <w:rsid w:val="7F272D9E"/>
    <w:rsid w:val="AF7F5223"/>
    <w:rsid w:val="F3BFE6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qFormat="1" w:uiPriority="99" w:semiHidden="0"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6"/>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7"/>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48"/>
    <w:qFormat/>
    <w:uiPriority w:val="9"/>
    <w:pPr>
      <w:keepNext/>
      <w:keepLines/>
      <w:spacing w:before="280" w:after="290" w:line="376" w:lineRule="auto"/>
      <w:outlineLvl w:val="4"/>
    </w:pPr>
    <w:rPr>
      <w:b/>
      <w:bCs/>
      <w:sz w:val="28"/>
      <w:szCs w:val="28"/>
    </w:rPr>
  </w:style>
  <w:style w:type="paragraph" w:styleId="9">
    <w:name w:val="heading 8"/>
    <w:basedOn w:val="1"/>
    <w:next w:val="1"/>
    <w:link w:val="49"/>
    <w:qFormat/>
    <w:uiPriority w:val="9"/>
    <w:pPr>
      <w:keepNext/>
      <w:keepLines/>
      <w:spacing w:before="240" w:after="64" w:line="320" w:lineRule="auto"/>
      <w:outlineLvl w:val="7"/>
    </w:pPr>
    <w:rPr>
      <w:rFonts w:ascii="等线 Light" w:hAnsi="等线 Light" w:eastAsia="等线 Light"/>
      <w:sz w:val="24"/>
    </w:rPr>
  </w:style>
  <w:style w:type="paragraph" w:styleId="10">
    <w:name w:val="heading 9"/>
    <w:basedOn w:val="1"/>
    <w:next w:val="1"/>
    <w:link w:val="50"/>
    <w:qFormat/>
    <w:uiPriority w:val="9"/>
    <w:pPr>
      <w:keepNext/>
      <w:keepLines/>
      <w:spacing w:before="240" w:after="64" w:line="320" w:lineRule="auto"/>
      <w:outlineLvl w:val="8"/>
    </w:pPr>
    <w:rPr>
      <w:rFonts w:ascii="Cambria" w:hAnsi="Cambria"/>
      <w:szCs w:val="21"/>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Body Text"/>
    <w:basedOn w:val="1"/>
    <w:link w:val="44"/>
    <w:unhideWhenUsed/>
    <w:qFormat/>
    <w:uiPriority w:val="0"/>
    <w:pPr>
      <w:spacing w:after="120"/>
    </w:pPr>
  </w:style>
  <w:style w:type="paragraph" w:styleId="8">
    <w:name w:val="Normal Indent"/>
    <w:basedOn w:val="1"/>
    <w:qFormat/>
    <w:uiPriority w:val="0"/>
    <w:pPr>
      <w:ind w:firstLine="420"/>
    </w:pPr>
    <w:rPr>
      <w:szCs w:val="20"/>
    </w:rPr>
  </w:style>
  <w:style w:type="paragraph" w:styleId="11">
    <w:name w:val="index 8"/>
    <w:basedOn w:val="1"/>
    <w:next w:val="1"/>
    <w:qFormat/>
    <w:uiPriority w:val="0"/>
    <w:pPr>
      <w:spacing w:line="360" w:lineRule="auto"/>
    </w:pPr>
    <w:rPr>
      <w:rFonts w:ascii="Times New Roman" w:hAnsi="Times New Roman" w:eastAsia="宋体" w:cs="Times New Roman"/>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toa heading"/>
    <w:basedOn w:val="1"/>
    <w:next w:val="1"/>
    <w:unhideWhenUsed/>
    <w:qFormat/>
    <w:uiPriority w:val="99"/>
    <w:pPr>
      <w:spacing w:before="120"/>
    </w:pPr>
    <w:rPr>
      <w:rFonts w:ascii="Cambria" w:hAnsi="Cambria"/>
      <w:sz w:val="24"/>
    </w:rPr>
  </w:style>
  <w:style w:type="paragraph" w:styleId="14">
    <w:name w:val="annotation text"/>
    <w:basedOn w:val="1"/>
    <w:link w:val="51"/>
    <w:qFormat/>
    <w:uiPriority w:val="0"/>
    <w:pPr>
      <w:jc w:val="left"/>
    </w:pPr>
  </w:style>
  <w:style w:type="paragraph" w:styleId="15">
    <w:name w:val="Body Text 3"/>
    <w:basedOn w:val="1"/>
    <w:link w:val="52"/>
    <w:unhideWhenUsed/>
    <w:qFormat/>
    <w:uiPriority w:val="99"/>
    <w:pPr>
      <w:spacing w:after="120"/>
    </w:pPr>
    <w:rPr>
      <w:sz w:val="16"/>
      <w:szCs w:val="16"/>
    </w:rPr>
  </w:style>
  <w:style w:type="paragraph" w:styleId="16">
    <w:name w:val="Body Text Indent"/>
    <w:basedOn w:val="1"/>
    <w:link w:val="53"/>
    <w:qFormat/>
    <w:uiPriority w:val="0"/>
    <w:pPr>
      <w:ind w:firstLine="830" w:firstLineChars="352"/>
    </w:pPr>
    <w:rPr>
      <w:rFonts w:ascii="仿宋_GB2312" w:eastAsia="仿宋_GB2312"/>
      <w:kern w:val="0"/>
      <w:sz w:val="32"/>
      <w:szCs w:val="20"/>
    </w:rPr>
  </w:style>
  <w:style w:type="paragraph" w:styleId="17">
    <w:name w:val="List 2"/>
    <w:basedOn w:val="1"/>
    <w:unhideWhenUsed/>
    <w:qFormat/>
    <w:uiPriority w:val="99"/>
    <w:pPr>
      <w:ind w:left="100" w:leftChars="200" w:hanging="200" w:hangingChars="200"/>
      <w:contextualSpacing/>
    </w:pPr>
  </w:style>
  <w:style w:type="paragraph" w:styleId="18">
    <w:name w:val="Block Text"/>
    <w:basedOn w:val="1"/>
    <w:qFormat/>
    <w:uiPriority w:val="0"/>
    <w:pPr>
      <w:widowControl w:val="0"/>
      <w:snapToGrid/>
      <w:spacing w:after="0"/>
      <w:ind w:left="420" w:right="33"/>
      <w:textAlignment w:val="baseline"/>
    </w:pPr>
    <w:rPr>
      <w:rFonts w:ascii="Times New Roman" w:hAnsi="Times New Roman" w:eastAsia="宋体" w:cs="Times New Roman"/>
      <w:sz w:val="24"/>
      <w:szCs w:val="20"/>
    </w:rPr>
  </w:style>
  <w:style w:type="paragraph" w:styleId="19">
    <w:name w:val="toc 3"/>
    <w:basedOn w:val="1"/>
    <w:next w:val="1"/>
    <w:unhideWhenUsed/>
    <w:qFormat/>
    <w:uiPriority w:val="39"/>
    <w:pPr>
      <w:ind w:left="840" w:leftChars="400"/>
    </w:pPr>
  </w:style>
  <w:style w:type="paragraph" w:styleId="20">
    <w:name w:val="Plain Text"/>
    <w:basedOn w:val="1"/>
    <w:link w:val="54"/>
    <w:qFormat/>
    <w:uiPriority w:val="0"/>
    <w:rPr>
      <w:rFonts w:ascii="宋体" w:hAnsi="Courier New"/>
      <w:kern w:val="0"/>
      <w:sz w:val="20"/>
      <w:szCs w:val="21"/>
    </w:rPr>
  </w:style>
  <w:style w:type="paragraph" w:styleId="21">
    <w:name w:val="Date"/>
    <w:basedOn w:val="1"/>
    <w:next w:val="1"/>
    <w:link w:val="55"/>
    <w:unhideWhenUsed/>
    <w:qFormat/>
    <w:uiPriority w:val="99"/>
    <w:pPr>
      <w:ind w:left="100" w:leftChars="2500"/>
    </w:pPr>
  </w:style>
  <w:style w:type="paragraph" w:styleId="22">
    <w:name w:val="Body Text Indent 2"/>
    <w:basedOn w:val="1"/>
    <w:qFormat/>
    <w:uiPriority w:val="0"/>
    <w:pPr>
      <w:spacing w:after="120" w:afterLines="0" w:line="480" w:lineRule="auto"/>
      <w:ind w:left="420" w:leftChars="200"/>
    </w:pPr>
  </w:style>
  <w:style w:type="paragraph" w:styleId="23">
    <w:name w:val="Balloon Text"/>
    <w:basedOn w:val="1"/>
    <w:semiHidden/>
    <w:qFormat/>
    <w:uiPriority w:val="0"/>
    <w:rPr>
      <w:sz w:val="18"/>
      <w:szCs w:val="18"/>
    </w:rPr>
  </w:style>
  <w:style w:type="paragraph" w:styleId="24">
    <w:name w:val="footer"/>
    <w:basedOn w:val="1"/>
    <w:link w:val="56"/>
    <w:unhideWhenUsed/>
    <w:qFormat/>
    <w:uiPriority w:val="0"/>
    <w:pPr>
      <w:tabs>
        <w:tab w:val="center" w:pos="4153"/>
        <w:tab w:val="right" w:pos="8306"/>
      </w:tabs>
      <w:snapToGrid w:val="0"/>
      <w:jc w:val="left"/>
    </w:pPr>
    <w:rPr>
      <w:kern w:val="0"/>
      <w:sz w:val="18"/>
      <w:szCs w:val="18"/>
    </w:rPr>
  </w:style>
  <w:style w:type="paragraph" w:styleId="25">
    <w:name w:val="header"/>
    <w:basedOn w:val="1"/>
    <w:link w:val="5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unhideWhenUsed/>
    <w:qFormat/>
    <w:uiPriority w:val="39"/>
  </w:style>
  <w:style w:type="paragraph" w:styleId="27">
    <w:name w:val="List"/>
    <w:basedOn w:val="1"/>
    <w:unhideWhenUsed/>
    <w:qFormat/>
    <w:uiPriority w:val="99"/>
    <w:pPr>
      <w:ind w:left="200" w:hanging="200" w:hangingChars="200"/>
      <w:contextualSpacing/>
    </w:pPr>
  </w:style>
  <w:style w:type="paragraph" w:styleId="28">
    <w:name w:val="Body Text Indent 3"/>
    <w:basedOn w:val="1"/>
    <w:qFormat/>
    <w:uiPriority w:val="0"/>
    <w:pPr>
      <w:spacing w:after="120"/>
      <w:ind w:left="420" w:leftChars="200"/>
    </w:pPr>
    <w:rPr>
      <w:rFonts w:ascii="Times New Roman" w:hAnsi="Times New Roman"/>
      <w:sz w:val="16"/>
      <w:szCs w:val="16"/>
    </w:rPr>
  </w:style>
  <w:style w:type="paragraph" w:styleId="29">
    <w:name w:val="toc 2"/>
    <w:basedOn w:val="1"/>
    <w:next w:val="1"/>
    <w:unhideWhenUsed/>
    <w:qFormat/>
    <w:uiPriority w:val="39"/>
    <w:pPr>
      <w:tabs>
        <w:tab w:val="right" w:leader="dot" w:pos="8296"/>
      </w:tabs>
      <w:ind w:left="420" w:leftChars="200"/>
    </w:pPr>
  </w:style>
  <w:style w:type="paragraph" w:styleId="30">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31">
    <w:name w:val="Title"/>
    <w:basedOn w:val="1"/>
    <w:link w:val="58"/>
    <w:qFormat/>
    <w:uiPriority w:val="10"/>
    <w:pPr>
      <w:widowControl/>
      <w:overflowPunct w:val="0"/>
      <w:autoSpaceDE w:val="0"/>
      <w:autoSpaceDN w:val="0"/>
      <w:adjustRightInd w:val="0"/>
      <w:jc w:val="center"/>
      <w:textAlignment w:val="baseline"/>
    </w:pPr>
    <w:rPr>
      <w:rFonts w:ascii="Cambria" w:hAnsi="Cambria"/>
      <w:b/>
      <w:bCs/>
      <w:sz w:val="32"/>
      <w:szCs w:val="32"/>
    </w:rPr>
  </w:style>
  <w:style w:type="paragraph" w:styleId="32">
    <w:name w:val="annotation subject"/>
    <w:basedOn w:val="14"/>
    <w:next w:val="14"/>
    <w:link w:val="59"/>
    <w:qFormat/>
    <w:uiPriority w:val="99"/>
    <w:rPr>
      <w:b/>
      <w:bCs/>
    </w:rPr>
  </w:style>
  <w:style w:type="paragraph" w:styleId="33">
    <w:name w:val="Body Text First Indent"/>
    <w:basedOn w:val="2"/>
    <w:next w:val="1"/>
    <w:qFormat/>
    <w:uiPriority w:val="0"/>
    <w:pPr>
      <w:spacing w:after="120" w:afterLines="0" w:line="240" w:lineRule="auto"/>
      <w:ind w:firstLine="420" w:firstLineChars="100"/>
    </w:pPr>
    <w:rPr>
      <w:sz w:val="21"/>
    </w:rPr>
  </w:style>
  <w:style w:type="paragraph" w:styleId="34">
    <w:name w:val="Body Text First Indent 2"/>
    <w:basedOn w:val="16"/>
    <w:link w:val="60"/>
    <w:unhideWhenUsed/>
    <w:qFormat/>
    <w:uiPriority w:val="99"/>
    <w:pPr>
      <w:spacing w:after="120"/>
      <w:ind w:left="420" w:leftChars="200" w:firstLine="420" w:firstLineChars="200"/>
    </w:pPr>
    <w:rPr>
      <w:rFonts w:ascii="Times New Roman" w:eastAsia="宋体"/>
      <w:kern w:val="2"/>
      <w:sz w:val="21"/>
      <w:szCs w:val="24"/>
    </w:rPr>
  </w:style>
  <w:style w:type="table" w:styleId="36">
    <w:name w:val="Table Grid"/>
    <w:basedOn w:val="3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qFormat/>
    <w:uiPriority w:val="22"/>
    <w:rPr>
      <w:b/>
    </w:rPr>
  </w:style>
  <w:style w:type="character" w:styleId="39">
    <w:name w:val="endnote reference"/>
    <w:unhideWhenUsed/>
    <w:qFormat/>
    <w:uiPriority w:val="99"/>
    <w:rPr>
      <w:vertAlign w:val="superscript"/>
    </w:rPr>
  </w:style>
  <w:style w:type="character" w:styleId="40">
    <w:name w:val="page number"/>
    <w:qFormat/>
    <w:uiPriority w:val="0"/>
    <w:rPr>
      <w:rFonts w:ascii="Arial" w:hAnsi="Arial" w:eastAsia="黑体" w:cs="Arial"/>
      <w:snapToGrid w:val="0"/>
      <w:kern w:val="0"/>
      <w:szCs w:val="21"/>
    </w:rPr>
  </w:style>
  <w:style w:type="character" w:styleId="41">
    <w:name w:val="FollowedHyperlink"/>
    <w:unhideWhenUsed/>
    <w:qFormat/>
    <w:uiPriority w:val="99"/>
    <w:rPr>
      <w:color w:val="800080"/>
      <w:u w:val="single"/>
    </w:rPr>
  </w:style>
  <w:style w:type="character" w:styleId="42">
    <w:name w:val="Hyperlink"/>
    <w:unhideWhenUsed/>
    <w:qFormat/>
    <w:uiPriority w:val="99"/>
    <w:rPr>
      <w:color w:val="0000FF"/>
      <w:u w:val="single"/>
    </w:rPr>
  </w:style>
  <w:style w:type="character" w:styleId="43">
    <w:name w:val="annotation reference"/>
    <w:qFormat/>
    <w:uiPriority w:val="99"/>
    <w:rPr>
      <w:sz w:val="21"/>
      <w:szCs w:val="21"/>
    </w:rPr>
  </w:style>
  <w:style w:type="character" w:customStyle="1" w:styleId="44">
    <w:name w:val="正文文本 字符1"/>
    <w:link w:val="2"/>
    <w:qFormat/>
    <w:uiPriority w:val="0"/>
    <w:rPr>
      <w:rFonts w:ascii="Times New Roman" w:hAnsi="Times New Roman"/>
      <w:kern w:val="2"/>
      <w:sz w:val="21"/>
      <w:szCs w:val="24"/>
    </w:rPr>
  </w:style>
  <w:style w:type="character" w:customStyle="1" w:styleId="45">
    <w:name w:val="标题 1 字符"/>
    <w:link w:val="3"/>
    <w:qFormat/>
    <w:uiPriority w:val="9"/>
    <w:rPr>
      <w:b/>
      <w:bCs/>
      <w:kern w:val="44"/>
      <w:sz w:val="44"/>
      <w:szCs w:val="44"/>
    </w:rPr>
  </w:style>
  <w:style w:type="character" w:customStyle="1" w:styleId="46">
    <w:name w:val="标题 2 字符"/>
    <w:link w:val="4"/>
    <w:qFormat/>
    <w:uiPriority w:val="9"/>
    <w:rPr>
      <w:rFonts w:ascii="Cambria" w:hAnsi="Cambria" w:eastAsia="宋体" w:cs="Times New Roman"/>
      <w:b/>
      <w:bCs/>
      <w:kern w:val="2"/>
      <w:sz w:val="32"/>
      <w:szCs w:val="32"/>
    </w:rPr>
  </w:style>
  <w:style w:type="character" w:customStyle="1" w:styleId="47">
    <w:name w:val="标题 3 字符"/>
    <w:link w:val="5"/>
    <w:semiHidden/>
    <w:qFormat/>
    <w:uiPriority w:val="9"/>
    <w:rPr>
      <w:b/>
      <w:bCs/>
      <w:kern w:val="2"/>
      <w:sz w:val="32"/>
      <w:szCs w:val="32"/>
    </w:rPr>
  </w:style>
  <w:style w:type="character" w:customStyle="1" w:styleId="48">
    <w:name w:val="标题 5 字符"/>
    <w:link w:val="7"/>
    <w:qFormat/>
    <w:uiPriority w:val="9"/>
    <w:rPr>
      <w:rFonts w:ascii="Times New Roman" w:hAnsi="Times New Roman"/>
      <w:b/>
      <w:bCs/>
      <w:kern w:val="2"/>
      <w:sz w:val="28"/>
      <w:szCs w:val="28"/>
    </w:rPr>
  </w:style>
  <w:style w:type="character" w:customStyle="1" w:styleId="49">
    <w:name w:val="标题 8 字符"/>
    <w:link w:val="9"/>
    <w:semiHidden/>
    <w:qFormat/>
    <w:uiPriority w:val="9"/>
    <w:rPr>
      <w:rFonts w:ascii="等线 Light" w:hAnsi="等线 Light" w:eastAsia="等线 Light" w:cs="Times New Roman"/>
      <w:kern w:val="2"/>
      <w:sz w:val="24"/>
      <w:szCs w:val="24"/>
    </w:rPr>
  </w:style>
  <w:style w:type="character" w:customStyle="1" w:styleId="50">
    <w:name w:val="标题 9 字符"/>
    <w:link w:val="10"/>
    <w:semiHidden/>
    <w:qFormat/>
    <w:uiPriority w:val="9"/>
    <w:rPr>
      <w:rFonts w:ascii="Cambria" w:hAnsi="Cambria" w:eastAsia="宋体" w:cs="Times New Roman"/>
      <w:kern w:val="2"/>
      <w:sz w:val="21"/>
      <w:szCs w:val="21"/>
    </w:rPr>
  </w:style>
  <w:style w:type="character" w:customStyle="1" w:styleId="51">
    <w:name w:val="批注文字 字符2"/>
    <w:link w:val="14"/>
    <w:qFormat/>
    <w:uiPriority w:val="0"/>
    <w:rPr>
      <w:rFonts w:ascii="Times New Roman" w:hAnsi="Times New Roman"/>
      <w:kern w:val="2"/>
      <w:sz w:val="21"/>
      <w:szCs w:val="24"/>
    </w:rPr>
  </w:style>
  <w:style w:type="character" w:customStyle="1" w:styleId="52">
    <w:name w:val="正文文本 3 字符"/>
    <w:link w:val="15"/>
    <w:semiHidden/>
    <w:qFormat/>
    <w:uiPriority w:val="99"/>
    <w:rPr>
      <w:kern w:val="2"/>
      <w:sz w:val="16"/>
      <w:szCs w:val="16"/>
    </w:rPr>
  </w:style>
  <w:style w:type="character" w:customStyle="1" w:styleId="53">
    <w:name w:val="正文文本缩进 字符1"/>
    <w:link w:val="16"/>
    <w:qFormat/>
    <w:uiPriority w:val="0"/>
    <w:rPr>
      <w:rFonts w:ascii="仿宋_GB2312" w:hAnsi="Times New Roman" w:eastAsia="仿宋_GB2312" w:cs="Times New Roman"/>
      <w:sz w:val="32"/>
      <w:szCs w:val="20"/>
    </w:rPr>
  </w:style>
  <w:style w:type="character" w:customStyle="1" w:styleId="54">
    <w:name w:val="纯文本 字符3"/>
    <w:link w:val="20"/>
    <w:qFormat/>
    <w:uiPriority w:val="0"/>
    <w:rPr>
      <w:rFonts w:ascii="宋体" w:hAnsi="Courier New" w:eastAsia="宋体" w:cs="Courier New"/>
      <w:szCs w:val="21"/>
    </w:rPr>
  </w:style>
  <w:style w:type="character" w:customStyle="1" w:styleId="55">
    <w:name w:val="日期 字符"/>
    <w:link w:val="21"/>
    <w:semiHidden/>
    <w:qFormat/>
    <w:uiPriority w:val="99"/>
    <w:rPr>
      <w:rFonts w:ascii="Times New Roman" w:hAnsi="Times New Roman"/>
      <w:kern w:val="2"/>
      <w:sz w:val="21"/>
      <w:szCs w:val="24"/>
    </w:rPr>
  </w:style>
  <w:style w:type="character" w:customStyle="1" w:styleId="56">
    <w:name w:val="页脚 字符"/>
    <w:link w:val="24"/>
    <w:qFormat/>
    <w:uiPriority w:val="0"/>
    <w:rPr>
      <w:sz w:val="18"/>
      <w:szCs w:val="18"/>
    </w:rPr>
  </w:style>
  <w:style w:type="character" w:customStyle="1" w:styleId="57">
    <w:name w:val="页眉 字符"/>
    <w:link w:val="25"/>
    <w:qFormat/>
    <w:uiPriority w:val="0"/>
    <w:rPr>
      <w:sz w:val="18"/>
      <w:szCs w:val="18"/>
    </w:rPr>
  </w:style>
  <w:style w:type="character" w:customStyle="1" w:styleId="58">
    <w:name w:val="标题 字符"/>
    <w:link w:val="31"/>
    <w:qFormat/>
    <w:uiPriority w:val="10"/>
    <w:rPr>
      <w:rFonts w:ascii="Cambria" w:hAnsi="Cambria" w:cs="Times New Roman"/>
      <w:b/>
      <w:bCs/>
      <w:kern w:val="2"/>
      <w:sz w:val="32"/>
      <w:szCs w:val="32"/>
    </w:rPr>
  </w:style>
  <w:style w:type="character" w:customStyle="1" w:styleId="59">
    <w:name w:val="批注主题 字符"/>
    <w:link w:val="32"/>
    <w:qFormat/>
    <w:uiPriority w:val="99"/>
    <w:rPr>
      <w:rFonts w:ascii="Times New Roman" w:hAnsi="Times New Roman"/>
      <w:b/>
      <w:bCs/>
      <w:kern w:val="2"/>
      <w:sz w:val="21"/>
      <w:szCs w:val="24"/>
    </w:rPr>
  </w:style>
  <w:style w:type="character" w:customStyle="1" w:styleId="60">
    <w:name w:val="正文文本首行缩进 2 字符"/>
    <w:link w:val="34"/>
    <w:semiHidden/>
    <w:qFormat/>
    <w:uiPriority w:val="99"/>
    <w:rPr>
      <w:kern w:val="2"/>
      <w:sz w:val="21"/>
      <w:szCs w:val="24"/>
    </w:rPr>
  </w:style>
  <w:style w:type="character" w:customStyle="1" w:styleId="61">
    <w:name w:val="纯文本 字符2"/>
    <w:qFormat/>
    <w:uiPriority w:val="0"/>
    <w:rPr>
      <w:rFonts w:ascii="宋体" w:hAnsi="Courier New" w:eastAsia="宋体" w:cs="Courier New"/>
      <w:szCs w:val="21"/>
    </w:rPr>
  </w:style>
  <w:style w:type="character" w:customStyle="1" w:styleId="62">
    <w:name w:val="标题 Char1"/>
    <w:qFormat/>
    <w:uiPriority w:val="0"/>
    <w:rPr>
      <w:rFonts w:ascii="Calibri" w:hAnsi="Calibri"/>
      <w:b/>
      <w:sz w:val="24"/>
      <w:lang w:val="en-GB"/>
    </w:rPr>
  </w:style>
  <w:style w:type="character" w:customStyle="1" w:styleId="63">
    <w:name w:val="标题 8 Char"/>
    <w:qFormat/>
    <w:uiPriority w:val="0"/>
    <w:rPr>
      <w:rFonts w:ascii="Arial" w:hAnsi="Arial" w:eastAsia="黑体"/>
      <w:kern w:val="2"/>
      <w:sz w:val="24"/>
      <w:szCs w:val="24"/>
    </w:rPr>
  </w:style>
  <w:style w:type="character" w:customStyle="1" w:styleId="64">
    <w:name w:val="批注文字 字符"/>
    <w:qFormat/>
    <w:uiPriority w:val="0"/>
    <w:rPr>
      <w:rFonts w:ascii="Times New Roman" w:hAnsi="Times New Roman"/>
      <w:kern w:val="2"/>
      <w:sz w:val="21"/>
      <w:szCs w:val="24"/>
    </w:rPr>
  </w:style>
  <w:style w:type="character" w:customStyle="1" w:styleId="65">
    <w:name w:val="textcontents"/>
    <w:qFormat/>
    <w:uiPriority w:val="0"/>
  </w:style>
  <w:style w:type="character" w:customStyle="1" w:styleId="66">
    <w:name w:val="批注文字 Char"/>
    <w:qFormat/>
    <w:uiPriority w:val="0"/>
    <w:rPr>
      <w:rFonts w:ascii="Times New Roman" w:hAnsi="Times New Roman"/>
      <w:kern w:val="2"/>
      <w:sz w:val="21"/>
      <w:szCs w:val="24"/>
    </w:rPr>
  </w:style>
  <w:style w:type="character" w:customStyle="1" w:styleId="67">
    <w:name w:val="批注文字 字符1"/>
    <w:qFormat/>
    <w:uiPriority w:val="0"/>
    <w:rPr>
      <w:rFonts w:ascii="Times New Roman" w:hAnsi="Times New Roman"/>
      <w:kern w:val="2"/>
      <w:sz w:val="21"/>
      <w:szCs w:val="24"/>
    </w:rPr>
  </w:style>
  <w:style w:type="character" w:customStyle="1" w:styleId="6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9">
    <w:name w:val="apple-style-span"/>
    <w:qFormat/>
    <w:uiPriority w:val="0"/>
  </w:style>
  <w:style w:type="character" w:customStyle="1" w:styleId="70">
    <w:name w:val="纯文本 字符"/>
    <w:qFormat/>
    <w:uiPriority w:val="0"/>
    <w:rPr>
      <w:rFonts w:ascii="宋体" w:hAnsi="Courier New" w:eastAsia="宋体" w:cs="Courier New"/>
      <w:szCs w:val="21"/>
    </w:rPr>
  </w:style>
  <w:style w:type="character" w:customStyle="1" w:styleId="71">
    <w:name w:val="NormalCharacter"/>
    <w:qFormat/>
    <w:uiPriority w:val="0"/>
  </w:style>
  <w:style w:type="character" w:customStyle="1" w:styleId="72">
    <w:name w:val="正文文本 字符"/>
    <w:qFormat/>
    <w:uiPriority w:val="0"/>
    <w:rPr>
      <w:rFonts w:ascii="Times New Roman" w:hAnsi="Times New Roman"/>
      <w:kern w:val="2"/>
      <w:sz w:val="21"/>
      <w:szCs w:val="24"/>
    </w:rPr>
  </w:style>
  <w:style w:type="character" w:customStyle="1" w:styleId="73">
    <w:name w:val="标题 1 字符1"/>
    <w:qFormat/>
    <w:uiPriority w:val="0"/>
    <w:rPr>
      <w:b/>
      <w:bCs/>
      <w:kern w:val="44"/>
      <w:sz w:val="44"/>
      <w:szCs w:val="44"/>
    </w:rPr>
  </w:style>
  <w:style w:type="character" w:customStyle="1" w:styleId="74">
    <w:name w:val="正文2 Char Char"/>
    <w:link w:val="75"/>
    <w:qFormat/>
    <w:uiPriority w:val="0"/>
    <w:rPr>
      <w:sz w:val="24"/>
    </w:rPr>
  </w:style>
  <w:style w:type="paragraph" w:customStyle="1" w:styleId="75">
    <w:name w:val="正文2"/>
    <w:basedOn w:val="1"/>
    <w:link w:val="74"/>
    <w:qFormat/>
    <w:uiPriority w:val="0"/>
    <w:pPr>
      <w:adjustRightInd w:val="0"/>
      <w:spacing w:before="156" w:line="360" w:lineRule="auto"/>
      <w:ind w:firstLine="510" w:firstLineChars="200"/>
    </w:pPr>
    <w:rPr>
      <w:kern w:val="0"/>
      <w:sz w:val="24"/>
      <w:szCs w:val="20"/>
    </w:rPr>
  </w:style>
  <w:style w:type="character" w:customStyle="1" w:styleId="76">
    <w:name w:val="标题 2 Char"/>
    <w:qFormat/>
    <w:uiPriority w:val="9"/>
    <w:rPr>
      <w:rFonts w:ascii="Cambria" w:hAnsi="Cambria" w:eastAsia="宋体" w:cs="Times New Roman"/>
      <w:b/>
      <w:bCs/>
      <w:kern w:val="2"/>
      <w:sz w:val="32"/>
      <w:szCs w:val="32"/>
    </w:rPr>
  </w:style>
  <w:style w:type="character" w:customStyle="1" w:styleId="77">
    <w:name w:val="_Style 76"/>
    <w:unhideWhenUsed/>
    <w:qFormat/>
    <w:uiPriority w:val="99"/>
    <w:rPr>
      <w:color w:val="605E5C"/>
      <w:shd w:val="clear" w:color="auto" w:fill="E1DFDD"/>
    </w:rPr>
  </w:style>
  <w:style w:type="character" w:customStyle="1" w:styleId="78">
    <w:name w:val="纯文本 Char"/>
    <w:qFormat/>
    <w:uiPriority w:val="0"/>
    <w:rPr>
      <w:rFonts w:ascii="宋体" w:hAnsi="Courier New" w:eastAsia="宋体" w:cs="Courier New"/>
      <w:szCs w:val="21"/>
    </w:rPr>
  </w:style>
  <w:style w:type="character" w:customStyle="1" w:styleId="79">
    <w:name w:val="正文文本 Char"/>
    <w:qFormat/>
    <w:uiPriority w:val="0"/>
    <w:rPr>
      <w:rFonts w:ascii="Times New Roman" w:hAnsi="Times New Roman"/>
      <w:kern w:val="2"/>
      <w:sz w:val="21"/>
      <w:szCs w:val="24"/>
    </w:rPr>
  </w:style>
  <w:style w:type="character" w:customStyle="1" w:styleId="80">
    <w:name w:val="纯文本 字符1"/>
    <w:qFormat/>
    <w:uiPriority w:val="0"/>
    <w:rPr>
      <w:rFonts w:ascii="宋体" w:hAnsi="Courier New"/>
    </w:rPr>
  </w:style>
  <w:style w:type="character" w:customStyle="1" w:styleId="81">
    <w:name w:val="正文文本缩进 字符"/>
    <w:qFormat/>
    <w:uiPriority w:val="0"/>
    <w:rPr>
      <w:rFonts w:ascii="仿宋_GB2312" w:hAnsi="Times New Roman" w:eastAsia="仿宋_GB2312" w:cs="Times New Roman"/>
      <w:sz w:val="32"/>
      <w:szCs w:val="20"/>
    </w:rPr>
  </w:style>
  <w:style w:type="character" w:customStyle="1" w:styleId="82">
    <w:name w:val="纯文本 Char2"/>
    <w:qFormat/>
    <w:uiPriority w:val="0"/>
    <w:rPr>
      <w:rFonts w:ascii="宋体" w:hAnsi="Courier New" w:cs="Arial"/>
      <w:snapToGrid w:val="0"/>
      <w:szCs w:val="21"/>
    </w:rPr>
  </w:style>
  <w:style w:type="character" w:customStyle="1" w:styleId="83">
    <w:name w:val="页眉 Char"/>
    <w:qFormat/>
    <w:uiPriority w:val="99"/>
    <w:rPr>
      <w:lang w:eastAsia="zh-CN"/>
    </w:rPr>
  </w:style>
  <w:style w:type="paragraph" w:customStyle="1" w:styleId="84">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85">
    <w:name w:val="默认段落字体 Para Char Char Char Char Char Char Char Char Char1 Char Char Char Char"/>
    <w:basedOn w:val="1"/>
    <w:qFormat/>
    <w:uiPriority w:val="0"/>
    <w:rPr>
      <w:rFonts w:ascii="Tahoma" w:hAnsi="Tahoma"/>
      <w:sz w:val="24"/>
      <w:szCs w:val="20"/>
    </w:rPr>
  </w:style>
  <w:style w:type="paragraph" w:customStyle="1" w:styleId="8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87">
    <w:name w:val="List Paragraph"/>
    <w:basedOn w:val="1"/>
    <w:qFormat/>
    <w:uiPriority w:val="34"/>
    <w:pPr>
      <w:ind w:firstLine="420" w:firstLineChars="200"/>
    </w:pPr>
  </w:style>
  <w:style w:type="paragraph" w:customStyle="1" w:styleId="88">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9">
    <w:name w:val="Table Paragraph"/>
    <w:basedOn w:val="1"/>
    <w:qFormat/>
    <w:uiPriority w:val="1"/>
    <w:pPr>
      <w:jc w:val="left"/>
    </w:pPr>
    <w:rPr>
      <w:rFonts w:ascii="Calibri" w:hAnsi="Calibri"/>
      <w:kern w:val="0"/>
      <w:sz w:val="22"/>
      <w:szCs w:val="22"/>
      <w:lang w:eastAsia="en-US"/>
    </w:rPr>
  </w:style>
  <w:style w:type="paragraph" w:customStyle="1" w:styleId="90">
    <w:name w:val="表格文字"/>
    <w:basedOn w:val="1"/>
    <w:next w:val="2"/>
    <w:qFormat/>
    <w:uiPriority w:val="0"/>
    <w:pPr>
      <w:adjustRightInd w:val="0"/>
      <w:spacing w:line="420" w:lineRule="atLeast"/>
      <w:jc w:val="left"/>
      <w:textAlignment w:val="baseline"/>
    </w:pPr>
    <w:rPr>
      <w:kern w:val="0"/>
    </w:rPr>
  </w:style>
  <w:style w:type="paragraph" w:customStyle="1" w:styleId="91">
    <w:name w:val="_Style 90"/>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92">
    <w:name w:val="Char Char Char Char"/>
    <w:basedOn w:val="1"/>
    <w:qFormat/>
    <w:uiPriority w:val="0"/>
    <w:pPr>
      <w:widowControl/>
      <w:spacing w:after="160" w:line="240" w:lineRule="exact"/>
      <w:jc w:val="left"/>
    </w:pPr>
  </w:style>
  <w:style w:type="paragraph" w:customStyle="1" w:styleId="93">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customStyle="1" w:styleId="94">
    <w:name w:val="列出段落1"/>
    <w:basedOn w:val="1"/>
    <w:qFormat/>
    <w:uiPriority w:val="99"/>
    <w:pPr>
      <w:ind w:firstLine="420" w:firstLineChars="200"/>
    </w:pPr>
    <w:rPr>
      <w:rFonts w:ascii="等线" w:hAnsi="等线" w:eastAsia="等线" w:cs="Times New Roman"/>
    </w:rPr>
  </w:style>
  <w:style w:type="paragraph" w:customStyle="1" w:styleId="9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96">
    <w:name w:val="font11"/>
    <w:qFormat/>
    <w:uiPriority w:val="0"/>
    <w:rPr>
      <w:rFonts w:hint="eastAsia" w:ascii="宋体" w:hAnsi="宋体" w:eastAsia="宋体" w:cs="宋体"/>
      <w:color w:val="000000"/>
      <w:sz w:val="20"/>
      <w:szCs w:val="20"/>
      <w:u w:val="none"/>
      <w:vertAlign w:val="superscript"/>
    </w:rPr>
  </w:style>
  <w:style w:type="character" w:customStyle="1" w:styleId="97">
    <w:name w:val="font41"/>
    <w:qFormat/>
    <w:uiPriority w:val="0"/>
    <w:rPr>
      <w:rFonts w:hint="eastAsia" w:ascii="宋体" w:hAnsi="宋体" w:eastAsia="宋体" w:cs="宋体"/>
      <w:color w:val="000000"/>
      <w:sz w:val="20"/>
      <w:szCs w:val="20"/>
      <w:u w:val="none"/>
    </w:rPr>
  </w:style>
  <w:style w:type="table" w:customStyle="1" w:styleId="98">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99">
    <w:name w:val="_Style 1"/>
    <w:basedOn w:val="1"/>
    <w:qFormat/>
    <w:uiPriority w:val="34"/>
    <w:pPr>
      <w:ind w:firstLine="420" w:firstLineChars="200"/>
    </w:pPr>
  </w:style>
  <w:style w:type="paragraph" w:customStyle="1" w:styleId="100">
    <w:name w:val="5仿宋_GB2312加粗"/>
    <w:next w:val="101"/>
    <w:link w:val="102"/>
    <w:qFormat/>
    <w:uiPriority w:val="0"/>
    <w:pPr>
      <w:spacing w:line="560" w:lineRule="exact"/>
      <w:ind w:firstLine="1680" w:firstLineChars="200"/>
    </w:pPr>
    <w:rPr>
      <w:rFonts w:ascii="Times New Roman" w:hAnsi="Times New Roman" w:eastAsia="仿宋_GB2312" w:cs="Times New Roman"/>
      <w:b/>
      <w:bCs/>
      <w:sz w:val="32"/>
      <w:szCs w:val="32"/>
      <w:lang w:val="en-US" w:eastAsia="zh-CN" w:bidi="ar-SA"/>
    </w:rPr>
  </w:style>
  <w:style w:type="paragraph" w:customStyle="1" w:styleId="101">
    <w:name w:val="6仿宋_GB2312"/>
    <w:qFormat/>
    <w:uiPriority w:val="0"/>
    <w:pPr>
      <w:widowControl w:val="0"/>
      <w:spacing w:line="560" w:lineRule="exact"/>
      <w:ind w:firstLine="1680" w:firstLineChars="200"/>
    </w:pPr>
    <w:rPr>
      <w:rFonts w:ascii="Times New Roman" w:hAnsi="Times New Roman" w:eastAsia="仿宋_GB2312" w:cs="Times New Roman"/>
      <w:sz w:val="32"/>
      <w:szCs w:val="32"/>
      <w:lang w:val="en-US" w:eastAsia="zh-CN" w:bidi="ar-SA"/>
    </w:rPr>
  </w:style>
  <w:style w:type="character" w:customStyle="1" w:styleId="102">
    <w:name w:val="5仿宋_GB2312加粗 Char"/>
    <w:link w:val="100"/>
    <w:qFormat/>
    <w:uiPriority w:val="0"/>
    <w:rPr>
      <w:rFonts w:ascii="Times New Roman" w:hAnsi="Times New Roman" w:eastAsia="仿宋_GB2312" w:cs="Times New Roman"/>
      <w:b/>
      <w:bCs/>
      <w:sz w:val="32"/>
      <w:szCs w:val="32"/>
    </w:rPr>
  </w:style>
  <w:style w:type="paragraph" w:customStyle="1" w:styleId="103">
    <w:name w:val="BodyText2"/>
    <w:qFormat/>
    <w:uiPriority w:val="0"/>
    <w:pPr>
      <w:spacing w:after="120" w:line="480" w:lineRule="auto"/>
      <w:jc w:val="both"/>
      <w:textAlignment w:val="baseline"/>
    </w:pPr>
    <w:rPr>
      <w:rFonts w:ascii="Times New Roman" w:hAnsi="Times New Roman" w:eastAsia="宋体" w:cs="Times New Roman"/>
      <w:kern w:val="2"/>
      <w:sz w:val="32"/>
      <w:szCs w:val="24"/>
      <w:lang w:val="en-US" w:eastAsia="zh-CN" w:bidi="ar-SA"/>
    </w:rPr>
  </w:style>
  <w:style w:type="paragraph" w:customStyle="1" w:styleId="104">
    <w:name w:val="6 仿宋_GB2312"/>
    <w:basedOn w:val="1"/>
    <w:qFormat/>
    <w:uiPriority w:val="0"/>
    <w:pPr>
      <w:spacing w:line="560" w:lineRule="exact"/>
      <w:ind w:firstLine="420" w:firstLineChars="200"/>
    </w:pPr>
    <w:rPr>
      <w:rFonts w:ascii="Times New Roman" w:hAnsi="Times New Roman" w:eastAsia="仿宋_GB2312" w:cs="Times New Roman"/>
      <w:sz w:val="32"/>
      <w:szCs w:val="32"/>
    </w:rPr>
  </w:style>
  <w:style w:type="character" w:customStyle="1" w:styleId="105">
    <w:name w:val="3 楷体_GB2312加粗 Char"/>
    <w:link w:val="106"/>
    <w:qFormat/>
    <w:uiPriority w:val="0"/>
    <w:rPr>
      <w:rFonts w:ascii="Times New Roman" w:hAnsi="Times New Roman" w:eastAsia="楷体_GB2312"/>
      <w:b/>
      <w:bCs/>
    </w:rPr>
  </w:style>
  <w:style w:type="paragraph" w:customStyle="1" w:styleId="106">
    <w:name w:val="3 楷体_GB2312加粗"/>
    <w:basedOn w:val="104"/>
    <w:next w:val="104"/>
    <w:link w:val="105"/>
    <w:qFormat/>
    <w:uiPriority w:val="0"/>
    <w:rPr>
      <w:rFonts w:ascii="Times New Roman" w:hAnsi="Times New Roman" w:eastAsia="楷体_GB2312"/>
      <w:b/>
      <w:bCs/>
    </w:rPr>
  </w:style>
  <w:style w:type="paragraph" w:customStyle="1" w:styleId="107">
    <w:name w:val="2黑体"/>
    <w:next w:val="101"/>
    <w:qFormat/>
    <w:uiPriority w:val="0"/>
    <w:pPr>
      <w:widowControl w:val="0"/>
      <w:spacing w:line="560" w:lineRule="exact"/>
      <w:ind w:firstLine="640" w:firstLineChars="200"/>
    </w:pPr>
    <w:rPr>
      <w:rFonts w:ascii="Times New Roman" w:hAnsi="Times New Roman" w:eastAsia="黑体" w:cs="Times New Roman"/>
      <w:sz w:val="32"/>
      <w:szCs w:val="32"/>
      <w:lang w:val="en-US" w:eastAsia="zh-CN" w:bidi="ar-SA"/>
    </w:rPr>
  </w:style>
  <w:style w:type="paragraph" w:customStyle="1" w:styleId="108">
    <w:name w:val="列出段落"/>
    <w:basedOn w:val="1"/>
    <w:qFormat/>
    <w:uiPriority w:val="34"/>
    <w:pPr>
      <w:ind w:firstLine="420" w:firstLineChars="200"/>
    </w:pPr>
  </w:style>
  <w:style w:type="paragraph" w:customStyle="1" w:styleId="109">
    <w:name w:val="样式29"/>
    <w:basedOn w:val="110"/>
    <w:qFormat/>
    <w:uiPriority w:val="0"/>
    <w:rPr>
      <w:rFonts w:eastAsia="楷体_GB2312"/>
    </w:rPr>
  </w:style>
  <w:style w:type="paragraph" w:customStyle="1" w:styleId="110">
    <w:name w:val="样式9 Char"/>
    <w:basedOn w:val="1"/>
    <w:qFormat/>
    <w:uiPriority w:val="0"/>
    <w:pPr>
      <w:spacing w:line="440" w:lineRule="exact"/>
      <w:ind w:firstLine="200" w:firstLineChars="200"/>
    </w:pPr>
    <w:rPr>
      <w:spacing w:val="6"/>
      <w:sz w:val="24"/>
    </w:rPr>
  </w:style>
  <w:style w:type="paragraph" w:customStyle="1" w:styleId="111">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2">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113">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114">
    <w:name w:val="样式7"/>
    <w:basedOn w:val="1"/>
    <w:qFormat/>
    <w:uiPriority w:val="0"/>
    <w:pPr>
      <w:spacing w:line="480" w:lineRule="exact"/>
      <w:jc w:val="center"/>
    </w:pPr>
    <w:rPr>
      <w:rFonts w:eastAsia="方正大标宋简体"/>
      <w:spacing w:val="6"/>
      <w:sz w:val="44"/>
    </w:rPr>
  </w:style>
  <w:style w:type="paragraph" w:styleId="115">
    <w:name w:val="No Spacing"/>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efc39aa5-4aa1-4921-89d2-0bda9d0e09fb</errorID>
      <errorWord>）。</errorWord>
      <group>L1_Format</group>
      <groupName>格式问题</groupName>
      <ability>L2_HalfPunc</ability>
      <abilityName>全半角检查</abilityName>
      <candidateList>
        <item>).</item>
      </candidateList>
      <explain>文本全半角错误。</explain>
      <paraID>720824C0</paraID>
      <start>129</start>
      <end>131</end>
      <status>ignored</status>
      <modifiedWord/>
      <trackRevisions>false</trackRevisions>
    </reviewItem>
    <reviewItem>
      <errorID>d5d9d084-36e8-423c-ae1b-c57c86478146</errorID>
      <errorWord>，</errorWord>
      <group>L1_Word</group>
      <groupName>字词问题</groupName>
      <ability>L2_Typo</ability>
      <abilityName>字词错误</abilityName>
      <candidateList>
        <item>，在</item>
      </candidateList>
      <explain/>
      <paraID>73F28663</paraID>
      <start>270</start>
      <end>271</end>
      <status>ignored</status>
      <modifiedWord/>
      <trackRevisions>false</trackRevisions>
    </reviewItem>
    <reviewItem>
      <errorID>8c8a9e28-fad7-464a-852b-925e10579bf2</errorID>
      <errorWord>＜</errorWord>
      <group>L1_Format</group>
      <groupName>格式问题</groupName>
      <ability>L2_HalfPunc</ability>
      <abilityName>全半角检查</abilityName>
      <candidateList>
        <item>&lt;</item>
      </candidateList>
      <explain>文本全半角错误。</explain>
      <paraID> AF39703</paraID>
      <start>5</start>
      <end>6</end>
      <status>ignored</status>
      <modifiedWord/>
      <trackRevisions>false</trackRevisions>
    </reviewItem>
    <reviewItem>
      <errorID>a4368212-2588-4d38-9ba5-15e5cf850415</errorID>
      <errorWord>＜</errorWord>
      <group>L1_Format</group>
      <groupName>格式问题</groupName>
      <ability>L2_HalfPunc</ability>
      <abilityName>全半角检查</abilityName>
      <candidateList>
        <item>&lt;</item>
      </candidateList>
      <explain>文本全半角错误。</explain>
      <paraID>42420392</paraID>
      <start>4</start>
      <end>5</end>
      <status>ignored</status>
      <modifiedWord/>
      <trackRevisions>false</trackRevisions>
    </reviewItem>
    <reviewItem>
      <errorID>be9e0821-0a71-4eec-af7a-944475d4549b</errorID>
      <errorWord>＜</errorWord>
      <group>L1_Format</group>
      <groupName>格式问题</groupName>
      <ability>L2_HalfPunc</ability>
      <abilityName>全半角检查</abilityName>
      <candidateList>
        <item>&lt;</item>
      </candidateList>
      <explain>文本全半角错误。</explain>
      <paraID>2EC8FEDA</paraID>
      <start>1</start>
      <end>2</end>
      <status>ignored</status>
      <modifiedWord/>
      <trackRevisions>false</trackRevisions>
    </reviewItem>
    <reviewItem>
      <errorID>aace86bc-c123-4b5e-9259-bf1e4869054c</errorID>
      <errorWord>＜</errorWord>
      <group>L1_Format</group>
      <groupName>格式问题</groupName>
      <ability>L2_HalfPunc</ability>
      <abilityName>全半角检查</abilityName>
      <candidateList>
        <item>&lt;</item>
      </candidateList>
      <explain>文本全半角错误。</explain>
      <paraID>5F6AEA99</paraID>
      <start>5</start>
      <end>6</end>
      <status>ignored</status>
      <modifiedWord/>
      <trackRevisions>false</trackRevisions>
    </reviewItem>
    <reviewItem>
      <errorID>611e2f1d-4c03-4729-8ae3-0eca41395af2</errorID>
      <errorWord>＜</errorWord>
      <group>L1_Format</group>
      <groupName>格式问题</groupName>
      <ability>L2_HalfPunc</ability>
      <abilityName>全半角检查</abilityName>
      <candidateList>
        <item>&lt;</item>
      </candidateList>
      <explain>文本全半角错误。</explain>
      <paraID>7C98537B</paraID>
      <start>4</start>
      <end>5</end>
      <status>ignored</status>
      <modifiedWord/>
      <trackRevisions>false</trackRevisions>
    </reviewItem>
    <reviewItem>
      <errorID>2a597ec9-bf64-4271-9ae9-ea6a782d205f</errorID>
      <errorWord>＜</errorWord>
      <group>L1_Format</group>
      <groupName>格式问题</groupName>
      <ability>L2_HalfPunc</ability>
      <abilityName>全半角检查</abilityName>
      <candidateList>
        <item>&lt;</item>
      </candidateList>
      <explain>文本全半角错误。</explain>
      <paraID>210E0470</paraID>
      <start>1</start>
      <end>2</end>
      <status>ignored</status>
      <modifiedWord/>
      <trackRevisions>false</trackRevisions>
    </reviewItem>
    <reviewItem>
      <errorID>166d6bb4-a209-4d71-adc9-c97082a41470</errorID>
      <errorWord>＜</errorWord>
      <group>L1_Format</group>
      <groupName>格式问题</groupName>
      <ability>L2_HalfPunc</ability>
      <abilityName>全半角检查</abilityName>
      <candidateList>
        <item>&lt;</item>
      </candidateList>
      <explain>文本全半角错误。</explain>
      <paraID>65DA65AF</paraID>
      <start>6</start>
      <end>7</end>
      <status>ignored</status>
      <modifiedWord/>
      <trackRevisions>false</trackRevisions>
    </reviewItem>
    <reviewItem>
      <errorID>63f8e541-66cc-4584-980d-04c512326653</errorID>
      <errorWord>＜</errorWord>
      <group>L1_Format</group>
      <groupName>格式问题</groupName>
      <ability>L2_HalfPunc</ability>
      <abilityName>全半角检查</abilityName>
      <candidateList>
        <item>&lt;</item>
      </candidateList>
      <explain>文本全半角错误。</explain>
      <paraID>3E0B3288</paraID>
      <start>5</start>
      <end>6</end>
      <status>ignored</status>
      <modifiedWord/>
      <trackRevisions>false</trackRevisions>
    </reviewItem>
    <reviewItem>
      <errorID>9def1f57-67ae-4b1c-8de2-56c1fca7c83f</errorID>
      <errorWord>＜</errorWord>
      <group>L1_Format</group>
      <groupName>格式问题</groupName>
      <ability>L2_HalfPunc</ability>
      <abilityName>全半角检查</abilityName>
      <candidateList>
        <item>&lt;</item>
      </candidateList>
      <explain>文本全半角错误。</explain>
      <paraID>1C854379</paraID>
      <start>1</start>
      <end>2</end>
      <status>ignored</status>
      <modifiedWord/>
      <trackRevisions>false</trackRevisions>
    </reviewItem>
    <reviewItem>
      <errorID>62b9680a-1bff-470a-b85b-25d787aa36f1</errorID>
      <errorWord>＜</errorWord>
      <group>L1_Format</group>
      <groupName>格式问题</groupName>
      <ability>L2_HalfPunc</ability>
      <abilityName>全半角检查</abilityName>
      <candidateList>
        <item>&lt;</item>
      </candidateList>
      <explain>文本全半角错误。</explain>
      <paraID>1D9BB798</paraID>
      <start>6</start>
      <end>7</end>
      <status>ignored</status>
      <modifiedWord/>
      <trackRevisions>false</trackRevisions>
    </reviewItem>
    <reviewItem>
      <errorID>6b42b169-1cf1-48c3-86af-c71348cbca5e</errorID>
      <errorWord>＜</errorWord>
      <group>L1_Format</group>
      <groupName>格式问题</groupName>
      <ability>L2_HalfPunc</ability>
      <abilityName>全半角检查</abilityName>
      <candidateList>
        <item>&lt;</item>
      </candidateList>
      <explain>文本全半角错误。</explain>
      <paraID>4A31BC1E</paraID>
      <start>5</start>
      <end>6</end>
      <status>ignored</status>
      <modifiedWord/>
      <trackRevisions>false</trackRevisions>
    </reviewItem>
    <reviewItem>
      <errorID>7c958509-0796-411c-8eec-b7d46f3483c7</errorID>
      <errorWord>＜</errorWord>
      <group>L1_Format</group>
      <groupName>格式问题</groupName>
      <ability>L2_HalfPunc</ability>
      <abilityName>全半角检查</abilityName>
      <candidateList>
        <item>&lt;</item>
      </candidateList>
      <explain>文本全半角错误。</explain>
      <paraID>1FA5371E</paraID>
      <start>1</start>
      <end>2</end>
      <status>ignored</status>
      <modifiedWord/>
      <trackRevisions>false</trackRevisions>
    </reviewItem>
    <reviewItem>
      <errorID>b4cff401-4e68-42b2-8f0d-16689df37fc3</errorID>
      <errorWord>＜</errorWord>
      <group>L1_Format</group>
      <groupName>格式问题</groupName>
      <ability>L2_HalfPunc</ability>
      <abilityName>全半角检查</abilityName>
      <candidateList>
        <item>&lt;</item>
      </candidateList>
      <explain>文本全半角错误。</explain>
      <paraID>4CF0F6ED</paraID>
      <start>6</start>
      <end>7</end>
      <status>ignored</status>
      <modifiedWord/>
      <trackRevisions>false</trackRevisions>
    </reviewItem>
    <reviewItem>
      <errorID>85262f8e-d63a-424b-87bf-a2540e7bf4ed</errorID>
      <errorWord>＜</errorWord>
      <group>L1_Format</group>
      <groupName>格式问题</groupName>
      <ability>L2_HalfPunc</ability>
      <abilityName>全半角检查</abilityName>
      <candidateList>
        <item>&lt;</item>
      </candidateList>
      <explain>文本全半角错误。</explain>
      <paraID>2549DEE4</paraID>
      <start>5</start>
      <end>6</end>
      <status>ignored</status>
      <modifiedWord/>
      <trackRevisions>false</trackRevisions>
    </reviewItem>
    <reviewItem>
      <errorID>873254ee-e3b8-4645-9329-162ae26fc614</errorID>
      <errorWord>＜</errorWord>
      <group>L1_Format</group>
      <groupName>格式问题</groupName>
      <ability>L2_HalfPunc</ability>
      <abilityName>全半角检查</abilityName>
      <candidateList>
        <item>&lt;</item>
      </candidateList>
      <explain>文本全半角错误。</explain>
      <paraID>6D4229FB</paraID>
      <start>1</start>
      <end>2</end>
      <status>ignored</status>
      <modifiedWord/>
      <trackRevisions>false</trackRevisions>
    </reviewItem>
    <reviewItem>
      <errorID>29d2583a-69ff-4167-811e-c654cbb34bd6</errorID>
      <errorWord>＜</errorWord>
      <group>L1_Format</group>
      <groupName>格式问题</groupName>
      <ability>L2_HalfPunc</ability>
      <abilityName>全半角检查</abilityName>
      <candidateList>
        <item>&lt;</item>
      </candidateList>
      <explain>文本全半角错误。</explain>
      <paraID>7E88F78A</paraID>
      <start>4</start>
      <end>5</end>
      <status>ignored</status>
      <modifiedWord/>
      <trackRevisions>false</trackRevisions>
    </reviewItem>
    <reviewItem>
      <errorID>25b4289e-5406-4912-8302-3bfc38f00f3e</errorID>
      <errorWord>＜</errorWord>
      <group>L1_Format</group>
      <groupName>格式问题</groupName>
      <ability>L2_HalfPunc</ability>
      <abilityName>全半角检查</abilityName>
      <candidateList>
        <item>&lt;</item>
      </candidateList>
      <explain>文本全半角错误。</explain>
      <paraID> 7B8B174</paraID>
      <start>3</start>
      <end>4</end>
      <status>ignored</status>
      <modifiedWord/>
      <trackRevisions>false</trackRevisions>
    </reviewItem>
    <reviewItem>
      <errorID>fca25b8e-d0bb-4819-b734-56de9530c8c8</errorID>
      <errorWord>＜</errorWord>
      <group>L1_Format</group>
      <groupName>格式问题</groupName>
      <ability>L2_HalfPunc</ability>
      <abilityName>全半角检查</abilityName>
      <candidateList>
        <item>&lt;</item>
      </candidateList>
      <explain>文本全半角错误。</explain>
      <paraID>751ECF3A</paraID>
      <start>1</start>
      <end>2</end>
      <status>ignored</status>
      <modifiedWord/>
      <trackRevisions>false</trackRevisions>
    </reviewItem>
    <reviewItem>
      <errorID>dddb6798-da7b-408f-a372-cb87b9a1c3ba</errorID>
      <errorWord>＜</errorWord>
      <group>L1_Format</group>
      <groupName>格式问题</groupName>
      <ability>L2_HalfPunc</ability>
      <abilityName>全半角检查</abilityName>
      <candidateList>
        <item>&lt;</item>
      </candidateList>
      <explain>文本全半角错误。</explain>
      <paraID>28977E89</paraID>
      <start>6</start>
      <end>7</end>
      <status>ignored</status>
      <modifiedWord/>
      <trackRevisions>false</trackRevisions>
    </reviewItem>
    <reviewItem>
      <errorID>fe7975ba-cd8f-4cd4-a590-6a826f5eb84e</errorID>
      <errorWord>＜</errorWord>
      <group>L1_Format</group>
      <groupName>格式问题</groupName>
      <ability>L2_HalfPunc</ability>
      <abilityName>全半角检查</abilityName>
      <candidateList>
        <item>&lt;</item>
      </candidateList>
      <explain>文本全半角错误。</explain>
      <paraID>546C5484</paraID>
      <start>6</start>
      <end>7</end>
      <status>ignored</status>
      <modifiedWord/>
      <trackRevisions>false</trackRevisions>
    </reviewItem>
    <reviewItem>
      <errorID>7a54e5d9-fd62-4750-9aea-ff64e671f59f</errorID>
      <errorWord>＜</errorWord>
      <group>L1_Format</group>
      <groupName>格式问题</groupName>
      <ability>L2_HalfPunc</ability>
      <abilityName>全半角检查</abilityName>
      <candidateList>
        <item>&lt;</item>
      </candidateList>
      <explain>文本全半角错误。</explain>
      <paraID>38F06222</paraID>
      <start>1</start>
      <end>2</end>
      <status>ignored</status>
      <modifiedWord/>
      <trackRevisions>false</trackRevisions>
    </reviewItem>
    <reviewItem>
      <errorID>bb7de617-bc64-46c1-a175-d913971d2380</errorID>
      <errorWord>＜</errorWord>
      <group>L1_Format</group>
      <groupName>格式问题</groupName>
      <ability>L2_HalfPunc</ability>
      <abilityName>全半角检查</abilityName>
      <candidateList>
        <item>&lt;</item>
      </candidateList>
      <explain>文本全半角错误。</explain>
      <paraID>3B884366</paraID>
      <start>4</start>
      <end>5</end>
      <status>ignored</status>
      <modifiedWord/>
      <trackRevisions>false</trackRevisions>
    </reviewItem>
    <reviewItem>
      <errorID>c512fa7d-dd45-446b-9f11-90211ecfad8a</errorID>
      <errorWord>＜</errorWord>
      <group>L1_Format</group>
      <groupName>格式问题</groupName>
      <ability>L2_HalfPunc</ability>
      <abilityName>全半角检查</abilityName>
      <candidateList>
        <item>&lt;</item>
      </candidateList>
      <explain>文本全半角错误。</explain>
      <paraID>3554DEC8</paraID>
      <start>4</start>
      <end>5</end>
      <status>ignored</status>
      <modifiedWord/>
      <trackRevisions>false</trackRevisions>
    </reviewItem>
    <reviewItem>
      <errorID>cfe05098-875f-45de-83d0-9c7933e7e063</errorID>
      <errorWord>＜</errorWord>
      <group>L1_Format</group>
      <groupName>格式问题</groupName>
      <ability>L2_HalfPunc</ability>
      <abilityName>全半角检查</abilityName>
      <candidateList>
        <item>&lt;</item>
      </candidateList>
      <explain>文本全半角错误。</explain>
      <paraID>4FFEB333</paraID>
      <start>1</start>
      <end>2</end>
      <status>ignored</status>
      <modifiedWord/>
      <trackRevisions>false</trackRevisions>
    </reviewItem>
    <reviewItem>
      <errorID>f9af2b34-7511-4a7c-a720-8d11c45bf8b8</errorID>
      <errorWord>＜</errorWord>
      <group>L1_Format</group>
      <groupName>格式问题</groupName>
      <ability>L2_HalfPunc</ability>
      <abilityName>全半角检查</abilityName>
      <candidateList>
        <item>&lt;</item>
      </candidateList>
      <explain>文本全半角错误。</explain>
      <paraID>14183CA7</paraID>
      <start>5</start>
      <end>6</end>
      <status>ignored</status>
      <modifiedWord/>
      <trackRevisions>false</trackRevisions>
    </reviewItem>
    <reviewItem>
      <errorID>c6c0dd65-a23f-4bd3-9378-1ce90aefe661</errorID>
      <errorWord>＜</errorWord>
      <group>L1_Format</group>
      <groupName>格式问题</groupName>
      <ability>L2_HalfPunc</ability>
      <abilityName>全半角检查</abilityName>
      <candidateList>
        <item>&lt;</item>
      </candidateList>
      <explain>文本全半角错误。</explain>
      <paraID>432B00F9</paraID>
      <start>5</start>
      <end>6</end>
      <status>ignored</status>
      <modifiedWord/>
      <trackRevisions>false</trackRevisions>
    </reviewItem>
    <reviewItem>
      <errorID>d4378ed1-8d03-4e56-8ae1-5db21d30ef05</errorID>
      <errorWord>＜</errorWord>
      <group>L1_Format</group>
      <groupName>格式问题</groupName>
      <ability>L2_HalfPunc</ability>
      <abilityName>全半角检查</abilityName>
      <candidateList>
        <item>&lt;</item>
      </candidateList>
      <explain>文本全半角错误。</explain>
      <paraID>1BA12431</paraID>
      <start>1</start>
      <end>2</end>
      <status>ignored</status>
      <modifiedWord/>
      <trackRevisions>false</trackRevisions>
    </reviewItem>
    <reviewItem>
      <errorID>2dde04aa-702d-4586-b8d3-d4d8834774cb</errorID>
      <errorWord>＜</errorWord>
      <group>L1_Format</group>
      <groupName>格式问题</groupName>
      <ability>L2_HalfPunc</ability>
      <abilityName>全半角检查</abilityName>
      <candidateList>
        <item>&lt;</item>
      </candidateList>
      <explain>文本全半角错误。</explain>
      <paraID>75AD56A6</paraID>
      <start>5</start>
      <end>6</end>
      <status>ignored</status>
      <modifiedWord/>
      <trackRevisions>false</trackRevisions>
    </reviewItem>
    <reviewItem>
      <errorID>93a33c4d-db24-4c30-9473-e6fad389c2bc</errorID>
      <errorWord>＜</errorWord>
      <group>L1_Format</group>
      <groupName>格式问题</groupName>
      <ability>L2_HalfPunc</ability>
      <abilityName>全半角检查</abilityName>
      <candidateList>
        <item>&lt;</item>
      </candidateList>
      <explain>文本全半角错误。</explain>
      <paraID>36A9938D</paraID>
      <start>4</start>
      <end>5</end>
      <status>ignored</status>
      <modifiedWord/>
      <trackRevisions>false</trackRevisions>
    </reviewItem>
    <reviewItem>
      <errorID>1ed9b4ba-7e23-47c4-98b2-8acb5719ce47</errorID>
      <errorWord>＜</errorWord>
      <group>L1_Format</group>
      <groupName>格式问题</groupName>
      <ability>L2_HalfPunc</ability>
      <abilityName>全半角检查</abilityName>
      <candidateList>
        <item>&lt;</item>
      </candidateList>
      <explain>文本全半角错误。</explain>
      <paraID>42C70B95</paraID>
      <start>1</start>
      <end>2</end>
      <status>ignored</status>
      <modifiedWord/>
      <trackRevisions>false</trackRevisions>
    </reviewItem>
    <reviewItem>
      <errorID>e13bff42-811c-461e-a8a0-ae085c319957</errorID>
      <errorWord>＜</errorWord>
      <group>L1_Format</group>
      <groupName>格式问题</groupName>
      <ability>L2_HalfPunc</ability>
      <abilityName>全半角检查</abilityName>
      <candidateList>
        <item>&lt;</item>
      </candidateList>
      <explain>文本全半角错误。</explain>
      <paraID>1AC1650D</paraID>
      <start>6</start>
      <end>7</end>
      <status>ignored</status>
      <modifiedWord/>
      <trackRevisions>false</trackRevisions>
    </reviewItem>
    <reviewItem>
      <errorID>53f514eb-f403-43b2-9609-0992c51de390</errorID>
      <errorWord>＜</errorWord>
      <group>L1_Format</group>
      <groupName>格式问题</groupName>
      <ability>L2_HalfPunc</ability>
      <abilityName>全半角检查</abilityName>
      <candidateList>
        <item>&lt;</item>
      </candidateList>
      <explain>文本全半角错误。</explain>
      <paraID>79DC1FAE</paraID>
      <start>5</start>
      <end>6</end>
      <status>ignored</status>
      <modifiedWord/>
      <trackRevisions>false</trackRevisions>
    </reviewItem>
    <reviewItem>
      <errorID>90a6035a-0960-4ab4-805b-5ed99e34d07a</errorID>
      <errorWord>＜</errorWord>
      <group>L1_Format</group>
      <groupName>格式问题</groupName>
      <ability>L2_HalfPunc</ability>
      <abilityName>全半角检查</abilityName>
      <candidateList>
        <item>&lt;</item>
      </candidateList>
      <explain>文本全半角错误。</explain>
      <paraID>2E1D8C9D</paraID>
      <start>1</start>
      <end>2</end>
      <status>ignored</status>
      <modifiedWord/>
      <trackRevisions>false</trackRevisions>
    </reviewItem>
    <reviewItem>
      <errorID>4a12c1ef-f0fe-430f-9228-39454184d319</errorID>
      <errorWord>＜</errorWord>
      <group>L1_Format</group>
      <groupName>格式问题</groupName>
      <ability>L2_HalfPunc</ability>
      <abilityName>全半角检查</abilityName>
      <candidateList>
        <item>&lt;</item>
      </candidateList>
      <explain>文本全半角错误。</explain>
      <paraID>45128C8C</paraID>
      <start>5</start>
      <end>6</end>
      <status>ignored</status>
      <modifiedWord/>
      <trackRevisions>false</trackRevisions>
    </reviewItem>
    <reviewItem>
      <errorID>7dfa4916-3b16-45f5-a72b-39cb088e09bb</errorID>
      <errorWord>＜</errorWord>
      <group>L1_Format</group>
      <groupName>格式问题</groupName>
      <ability>L2_HalfPunc</ability>
      <abilityName>全半角检查</abilityName>
      <candidateList>
        <item>&lt;</item>
      </candidateList>
      <explain>文本全半角错误。</explain>
      <paraID>75E5EF4A</paraID>
      <start>4</start>
      <end>5</end>
      <status>ignored</status>
      <modifiedWord/>
      <trackRevisions>false</trackRevisions>
    </reviewItem>
    <reviewItem>
      <errorID>f2cfcee7-55b9-4fba-b239-cbe0c97cb2f0</errorID>
      <errorWord>＜</errorWord>
      <group>L1_Format</group>
      <groupName>格式问题</groupName>
      <ability>L2_HalfPunc</ability>
      <abilityName>全半角检查</abilityName>
      <candidateList>
        <item>&lt;</item>
      </candidateList>
      <explain>文本全半角错误。</explain>
      <paraID>362B8D69</paraID>
      <start>1</start>
      <end>2</end>
      <status>ignored</status>
      <modifiedWord/>
      <trackRevisions>false</trackRevisions>
    </reviewItem>
    <reviewItem>
      <errorID>94a866bd-810e-419b-8b40-2466e0560b52</errorID>
      <errorWord>＜</errorWord>
      <group>L1_Format</group>
      <groupName>格式问题</groupName>
      <ability>L2_HalfPunc</ability>
      <abilityName>全半角检查</abilityName>
      <candidateList>
        <item>&lt;</item>
      </candidateList>
      <explain>文本全半角错误。</explain>
      <paraID>362450B5</paraID>
      <start>6</start>
      <end>7</end>
      <status>ignored</status>
      <modifiedWord/>
      <trackRevisions>false</trackRevisions>
    </reviewItem>
    <reviewItem>
      <errorID>5ed7ab98-436f-4af0-be68-6cf091524dae</errorID>
      <errorWord>＜</errorWord>
      <group>L1_Format</group>
      <groupName>格式问题</groupName>
      <ability>L2_HalfPunc</ability>
      <abilityName>全半角检查</abilityName>
      <candidateList>
        <item>&lt;</item>
      </candidateList>
      <explain>文本全半角错误。</explain>
      <paraID>55495424</paraID>
      <start>5</start>
      <end>6</end>
      <status>ignored</status>
      <modifiedWord/>
      <trackRevisions>false</trackRevisions>
    </reviewItem>
    <reviewItem>
      <errorID>374e8471-fecc-4c03-8368-aad6bd789fa2</errorID>
      <errorWord>＜</errorWord>
      <group>L1_Format</group>
      <groupName>格式问题</groupName>
      <ability>L2_HalfPunc</ability>
      <abilityName>全半角检查</abilityName>
      <candidateList>
        <item>&lt;</item>
      </candidateList>
      <explain>文本全半角错误。</explain>
      <paraID>1B340D28</paraID>
      <start>1</start>
      <end>2</end>
      <status>ignored</status>
      <modifiedWord/>
      <trackRevisions>false</trackRevisions>
    </reviewItem>
    <reviewItem>
      <errorID>99d98462-5de3-4442-8921-73cd21810bad</errorID>
      <errorWord>＜</errorWord>
      <group>L1_Format</group>
      <groupName>格式问题</groupName>
      <ability>L2_HalfPunc</ability>
      <abilityName>全半角检查</abilityName>
      <candidateList>
        <item>&lt;</item>
      </candidateList>
      <explain>文本全半角错误。</explain>
      <paraID>7B89B97E</paraID>
      <start>5</start>
      <end>6</end>
      <status>ignored</status>
      <modifiedWord/>
      <trackRevisions>false</trackRevisions>
    </reviewItem>
    <reviewItem>
      <errorID>c60cae0f-8ce8-4635-a2bd-474172bf7a86</errorID>
      <errorWord>＜</errorWord>
      <group>L1_Format</group>
      <groupName>格式问题</groupName>
      <ability>L2_HalfPunc</ability>
      <abilityName>全半角检查</abilityName>
      <candidateList>
        <item>&lt;</item>
      </candidateList>
      <explain>文本全半角错误。</explain>
      <paraID>6DCB071C</paraID>
      <start>4</start>
      <end>5</end>
      <status>ignored</status>
      <modifiedWord/>
      <trackRevisions>false</trackRevisions>
    </reviewItem>
    <reviewItem>
      <errorID>115985b1-6016-4311-82f8-ee08fde79408</errorID>
      <errorWord>＜</errorWord>
      <group>L1_Format</group>
      <groupName>格式问题</groupName>
      <ability>L2_HalfPunc</ability>
      <abilityName>全半角检查</abilityName>
      <candidateList>
        <item>&lt;</item>
      </candidateList>
      <explain>文本全半角错误。</explain>
      <paraID>2449D8BC</paraID>
      <start>1</start>
      <end>2</end>
      <status>ignored</status>
      <modifiedWord/>
      <trackRevisions>false</trackRevisions>
    </reviewItem>
    <reviewItem>
      <errorID>97a54a46-3179-4242-a6c8-acab16a17ca8</errorID>
      <errorWord>＜</errorWord>
      <group>L1_Format</group>
      <groupName>格式问题</groupName>
      <ability>L2_HalfPunc</ability>
      <abilityName>全半角检查</abilityName>
      <candidateList>
        <item>&lt;</item>
      </candidateList>
      <explain>文本全半角错误。</explain>
      <paraID>48D48C70</paraID>
      <start>6</start>
      <end>7</end>
      <status>ignored</status>
      <modifiedWord/>
      <trackRevisions>false</trackRevisions>
    </reviewItem>
    <reviewItem>
      <errorID>a2e3dcfe-2d82-4e98-84d8-cb9d074d87ce</errorID>
      <errorWord>＜</errorWord>
      <group>L1_Format</group>
      <groupName>格式问题</groupName>
      <ability>L2_HalfPunc</ability>
      <abilityName>全半角检查</abilityName>
      <candidateList>
        <item>&lt;</item>
      </candidateList>
      <explain>文本全半角错误。</explain>
      <paraID>74FAD8E2</paraID>
      <start>5</start>
      <end>6</end>
      <status>ignored</status>
      <modifiedWord/>
      <trackRevisions>false</trackRevisions>
    </reviewItem>
    <reviewItem>
      <errorID>02e21ffa-3890-45eb-a445-8bad006799e7</errorID>
      <errorWord>＜</errorWord>
      <group>L1_Format</group>
      <groupName>格式问题</groupName>
      <ability>L2_HalfPunc</ability>
      <abilityName>全半角检查</abilityName>
      <candidateList>
        <item>&lt;</item>
      </candidateList>
      <explain>文本全半角错误。</explain>
      <paraID>24410383</paraID>
      <start>1</start>
      <end>2</end>
      <status>ignored</status>
      <modifiedWord/>
      <trackRevisions>false</trackRevisions>
    </reviewItem>
    <reviewItem>
      <errorID>3e600ddd-0794-4b09-bec6-212caec26984</errorID>
      <errorWord>＜</errorWord>
      <group>L1_Format</group>
      <groupName>格式问题</groupName>
      <ability>L2_HalfPunc</ability>
      <abilityName>全半角检查</abilityName>
      <candidateList>
        <item>&lt;</item>
      </candidateList>
      <explain>文本全半角错误。</explain>
      <paraID>6CC258E2</paraID>
      <start>5</start>
      <end>6</end>
      <status>ignored</status>
      <modifiedWord/>
      <trackRevisions>false</trackRevisions>
    </reviewItem>
    <reviewItem>
      <errorID>a83082e3-5c03-46a8-97e0-a5a53ea54680</errorID>
      <errorWord>＜</errorWord>
      <group>L1_Format</group>
      <groupName>格式问题</groupName>
      <ability>L2_HalfPunc</ability>
      <abilityName>全半角检查</abilityName>
      <candidateList>
        <item>&lt;</item>
      </candidateList>
      <explain>文本全半角错误。</explain>
      <paraID>3B49AE1D</paraID>
      <start>4</start>
      <end>5</end>
      <status>ignored</status>
      <modifiedWord/>
      <trackRevisions>false</trackRevisions>
    </reviewItem>
    <reviewItem>
      <errorID>ac2f96d9-ac1b-47b9-a89d-c2a934149f71</errorID>
      <errorWord>＜</errorWord>
      <group>L1_Format</group>
      <groupName>格式问题</groupName>
      <ability>L2_HalfPunc</ability>
      <abilityName>全半角检查</abilityName>
      <candidateList>
        <item>&lt;</item>
      </candidateList>
      <explain>文本全半角错误。</explain>
      <paraID>658DC866</paraID>
      <start>1</start>
      <end>2</end>
      <status>ignored</status>
      <modifiedWord/>
      <trackRevisions>false</trackRevisions>
    </reviewItem>
    <reviewItem>
      <errorID>5198b2ee-edad-4c2a-9af8-d46793c08e08</errorID>
      <errorWord>＜</errorWord>
      <group>L1_Format</group>
      <groupName>格式问题</groupName>
      <ability>L2_HalfPunc</ability>
      <abilityName>全半角检查</abilityName>
      <candidateList>
        <item>&lt;</item>
      </candidateList>
      <explain>文本全半角错误。</explain>
      <paraID>4D5165F7</paraID>
      <start>6</start>
      <end>7</end>
      <status>ignored</status>
      <modifiedWord/>
      <trackRevisions>false</trackRevisions>
    </reviewItem>
    <reviewItem>
      <errorID>eaae390a-22a3-42cf-8923-02bcd23f6649</errorID>
      <errorWord>＜</errorWord>
      <group>L1_Format</group>
      <groupName>格式问题</groupName>
      <ability>L2_HalfPunc</ability>
      <abilityName>全半角检查</abilityName>
      <candidateList>
        <item>&lt;</item>
      </candidateList>
      <explain>文本全半角错误。</explain>
      <paraID>18A17AC2</paraID>
      <start>5</start>
      <end>6</end>
      <status>ignored</status>
      <modifiedWord/>
      <trackRevisions>false</trackRevisions>
    </reviewItem>
    <reviewItem>
      <errorID>6c890931-cee2-4b20-ad42-f245514a8cda</errorID>
      <errorWord>＜</errorWord>
      <group>L1_Format</group>
      <groupName>格式问题</groupName>
      <ability>L2_HalfPunc</ability>
      <abilityName>全半角检查</abilityName>
      <candidateList>
        <item>&lt;</item>
      </candidateList>
      <explain>文本全半角错误。</explain>
      <paraID>1ADF28DE</paraID>
      <start>1</start>
      <end>2</end>
      <status>ignored</status>
      <modifiedWord/>
      <trackRevisions>false</trackRevisions>
    </reviewItem>
    <reviewItem>
      <errorID>27ba3e29-a9b0-464f-b2cf-e9c5ba7c7017</errorID>
      <errorWord>＜</errorWord>
      <group>L1_Format</group>
      <groupName>格式问题</groupName>
      <ability>L2_HalfPunc</ability>
      <abilityName>全半角检查</abilityName>
      <candidateList>
        <item>&lt;</item>
      </candidateList>
      <explain>文本全半角错误。</explain>
      <paraID>34B563FE</paraID>
      <start>5</start>
      <end>6</end>
      <status>ignored</status>
      <modifiedWord/>
      <trackRevisions>false</trackRevisions>
    </reviewItem>
    <reviewItem>
      <errorID>7d3299e1-40ba-41c7-bacc-1527a3dd51b1</errorID>
      <errorWord>＜</errorWord>
      <group>L1_Format</group>
      <groupName>格式问题</groupName>
      <ability>L2_HalfPunc</ability>
      <abilityName>全半角检查</abilityName>
      <candidateList>
        <item>&lt;</item>
      </candidateList>
      <explain>文本全半角错误。</explain>
      <paraID>4AA0B8A0</paraID>
      <start>4</start>
      <end>5</end>
      <status>ignored</status>
      <modifiedWord/>
      <trackRevisions>false</trackRevisions>
    </reviewItem>
    <reviewItem>
      <errorID>5cb93bad-513c-4fee-bbeb-0cfea111993d</errorID>
      <errorWord>＜</errorWord>
      <group>L1_Format</group>
      <groupName>格式问题</groupName>
      <ability>L2_HalfPunc</ability>
      <abilityName>全半角检查</abilityName>
      <candidateList>
        <item>&lt;</item>
      </candidateList>
      <explain>文本全半角错误。</explain>
      <paraID>7EDF1DF5</paraID>
      <start>1</start>
      <end>2</end>
      <status>ignored</status>
      <modifiedWord/>
      <trackRevisions>false</trackRevisions>
    </reviewItem>
    <reviewItem>
      <errorID>187ac87f-d0f0-478e-b282-ff6ff1da57b9</errorID>
      <errorWord>＜</errorWord>
      <group>L1_Format</group>
      <groupName>格式问题</groupName>
      <ability>L2_HalfPunc</ability>
      <abilityName>全半角检查</abilityName>
      <candidateList>
        <item>&lt;</item>
      </candidateList>
      <explain>文本全半角错误。</explain>
      <paraID> F252F93</paraID>
      <start>6</start>
      <end>7</end>
      <status>ignored</status>
      <modifiedWord/>
      <trackRevisions>false</trackRevisions>
    </reviewItem>
    <reviewItem>
      <errorID>2594b094-a5d5-456b-bdb0-fbce893ee412</errorID>
      <errorWord>＜</errorWord>
      <group>L1_Format</group>
      <groupName>格式问题</groupName>
      <ability>L2_HalfPunc</ability>
      <abilityName>全半角检查</abilityName>
      <candidateList>
        <item>&lt;</item>
      </candidateList>
      <explain>文本全半角错误。</explain>
      <paraID>5797CA7F</paraID>
      <start>5</start>
      <end>6</end>
      <status>ignored</status>
      <modifiedWord/>
      <trackRevisions>false</trackRevisions>
    </reviewItem>
    <reviewItem>
      <errorID>aa0cae99-b38b-48c6-9380-9653633bd270</errorID>
      <errorWord>＜</errorWord>
      <group>L1_Format</group>
      <groupName>格式问题</groupName>
      <ability>L2_HalfPunc</ability>
      <abilityName>全半角检查</abilityName>
      <candidateList>
        <item>&lt;</item>
      </candidateList>
      <explain>文本全半角错误。</explain>
      <paraID> 181E998</paraID>
      <start>1</start>
      <end>2</end>
      <status>ignored</status>
      <modifiedWord/>
      <trackRevisions>false</trackRevisions>
    </reviewItem>
    <reviewItem>
      <errorID>3dc897c2-d442-48cb-a3ee-2e0a3cabbd4c</errorID>
      <errorWord>＜</errorWord>
      <group>L1_Format</group>
      <groupName>格式问题</groupName>
      <ability>L2_HalfPunc</ability>
      <abilityName>全半角检查</abilityName>
      <candidateList>
        <item>&lt;</item>
      </candidateList>
      <explain>文本全半角错误。</explain>
      <paraID>20B98CD4</paraID>
      <start>5</start>
      <end>6</end>
      <status>ignored</status>
      <modifiedWord/>
      <trackRevisions>false</trackRevisions>
    </reviewItem>
    <reviewItem>
      <errorID>c54c1d29-f867-47ef-93e0-927dfae7c0c9</errorID>
      <errorWord>＜</errorWord>
      <group>L1_Format</group>
      <groupName>格式问题</groupName>
      <ability>L2_HalfPunc</ability>
      <abilityName>全半角检查</abilityName>
      <candidateList>
        <item>&lt;</item>
      </candidateList>
      <explain>文本全半角错误。</explain>
      <paraID>1C4C1DC5</paraID>
      <start>4</start>
      <end>5</end>
      <status>ignored</status>
      <modifiedWord/>
      <trackRevisions>false</trackRevisions>
    </reviewItem>
    <reviewItem>
      <errorID>b8e8fe21-76c2-4c6e-b6fc-7d0c31a5bd9f</errorID>
      <errorWord>＜</errorWord>
      <group>L1_Format</group>
      <groupName>格式问题</groupName>
      <ability>L2_HalfPunc</ability>
      <abilityName>全半角检查</abilityName>
      <candidateList>
        <item>&lt;</item>
      </candidateList>
      <explain>文本全半角错误。</explain>
      <paraID>4B255137</paraID>
      <start>1</start>
      <end>2</end>
      <status>ignored</status>
      <modifiedWord/>
      <trackRevisions>false</trackRevisions>
    </reviewItem>
    <reviewItem>
      <errorID>37f8e6d3-f989-4bb3-ae23-79559986f44b</errorID>
      <errorWord>＜</errorWord>
      <group>L1_Format</group>
      <groupName>格式问题</groupName>
      <ability>L2_HalfPunc</ability>
      <abilityName>全半角检查</abilityName>
      <candidateList>
        <item>&lt;</item>
      </candidateList>
      <explain>文本全半角错误。</explain>
      <paraID>42760068</paraID>
      <start>6</start>
      <end>7</end>
      <status>ignored</status>
      <modifiedWord/>
      <trackRevisions>false</trackRevisions>
    </reviewItem>
    <reviewItem>
      <errorID>dfa22a53-2155-4a5c-9c51-3f00f8412887</errorID>
      <errorWord>＜</errorWord>
      <group>L1_Format</group>
      <groupName>格式问题</groupName>
      <ability>L2_HalfPunc</ability>
      <abilityName>全半角检查</abilityName>
      <candidateList>
        <item>&lt;</item>
      </candidateList>
      <explain>文本全半角错误。</explain>
      <paraID> A0B661A</paraID>
      <start>5</start>
      <end>6</end>
      <status>ignored</status>
      <modifiedWord/>
      <trackRevisions>false</trackRevisions>
    </reviewItem>
    <reviewItem>
      <errorID>58ce1c59-ce57-43ac-9206-8afa5d2b13b2</errorID>
      <errorWord>＜</errorWord>
      <group>L1_Format</group>
      <groupName>格式问题</groupName>
      <ability>L2_HalfPunc</ability>
      <abilityName>全半角检查</abilityName>
      <candidateList>
        <item>&lt;</item>
      </candidateList>
      <explain>文本全半角错误。</explain>
      <paraID>2898DE5D</paraID>
      <start>1</start>
      <end>2</end>
      <status>ignored</status>
      <modifiedWord/>
      <trackRevisions>false</trackRevisions>
    </reviewItem>
    <reviewItem>
      <errorID>7622d007-6d8c-4b5f-8ebc-73961f146754</errorID>
      <errorWord>＜</errorWord>
      <group>L1_Format</group>
      <groupName>格式问题</groupName>
      <ability>L2_HalfPunc</ability>
      <abilityName>全半角检查</abilityName>
      <candidateList>
        <item>&lt;</item>
      </candidateList>
      <explain>文本全半角错误。</explain>
      <paraID>35BAE896</paraID>
      <start>5</start>
      <end>6</end>
      <status>ignored</status>
      <modifiedWord/>
      <trackRevisions>false</trackRevisions>
    </reviewItem>
    <reviewItem>
      <errorID>20d7d42e-bb4c-4afb-aabc-1ca0fff24554</errorID>
      <errorWord>＜</errorWord>
      <group>L1_Format</group>
      <groupName>格式问题</groupName>
      <ability>L2_HalfPunc</ability>
      <abilityName>全半角检查</abilityName>
      <candidateList>
        <item>&lt;</item>
      </candidateList>
      <explain>文本全半角错误。</explain>
      <paraID>7100560C</paraID>
      <start>4</start>
      <end>5</end>
      <status>ignored</status>
      <modifiedWord/>
      <trackRevisions>false</trackRevisions>
    </reviewItem>
    <reviewItem>
      <errorID>3598141c-41d7-4d1f-8058-35cfb2a9fb62</errorID>
      <errorWord>＜</errorWord>
      <group>L1_Format</group>
      <groupName>格式问题</groupName>
      <ability>L2_HalfPunc</ability>
      <abilityName>全半角检查</abilityName>
      <candidateList>
        <item>&lt;</item>
      </candidateList>
      <explain>文本全半角错误。</explain>
      <paraID>60131C34</paraID>
      <start>1</start>
      <end>2</end>
      <status>ignored</status>
      <modifiedWord/>
      <trackRevisions>false</trackRevisions>
    </reviewItem>
    <reviewItem>
      <errorID>16962dcf-38a6-462c-b851-7c53f306bf17</errorID>
      <errorWord>＜</errorWord>
      <group>L1_Format</group>
      <groupName>格式问题</groupName>
      <ability>L2_HalfPunc</ability>
      <abilityName>全半角检查</abilityName>
      <candidateList>
        <item>&lt;</item>
      </candidateList>
      <explain>文本全半角错误。</explain>
      <paraID>23484B74</paraID>
      <start>6</start>
      <end>7</end>
      <status>ignored</status>
      <modifiedWord/>
      <trackRevisions>false</trackRevisions>
    </reviewItem>
    <reviewItem>
      <errorID>23dd22df-24a0-4475-bea7-0a48d8a620d7</errorID>
      <errorWord>＜</errorWord>
      <group>L1_Format</group>
      <groupName>格式问题</groupName>
      <ability>L2_HalfPunc</ability>
      <abilityName>全半角检查</abilityName>
      <candidateList>
        <item>&lt;</item>
      </candidateList>
      <explain>文本全半角错误。</explain>
      <paraID>162BF8D2</paraID>
      <start>4</start>
      <end>5</end>
      <status>ignored</status>
      <modifiedWord/>
      <trackRevisions>false</trackRevisions>
    </reviewItem>
    <reviewItem>
      <errorID>d71b9115-8025-41e7-a77a-b0beb2e7ab58</errorID>
      <errorWord>＜</errorWord>
      <group>L1_Format</group>
      <groupName>格式问题</groupName>
      <ability>L2_HalfPunc</ability>
      <abilityName>全半角检查</abilityName>
      <candidateList>
        <item>&lt;</item>
      </candidateList>
      <explain>文本全半角错误。</explain>
      <paraID>6CFD1775</paraID>
      <start>1</start>
      <end>2</end>
      <status>ignored</status>
      <modifiedWord/>
      <trackRevisions>false</trackRevisions>
    </reviewItem>
    <reviewItem>
      <errorID>38448cc1-0fed-4606-af51-3b824a0f18ce</errorID>
      <errorWord>＜</errorWord>
      <group>L1_Format</group>
      <groupName>格式问题</groupName>
      <ability>L2_HalfPunc</ability>
      <abilityName>全半角检查</abilityName>
      <candidateList>
        <item>&lt;</item>
      </candidateList>
      <explain>文本全半角错误。</explain>
      <paraID>5F8899EA</paraID>
      <start>6</start>
      <end>7</end>
      <status>ignored</status>
      <modifiedWord/>
      <trackRevisions>false</trackRevisions>
    </reviewItem>
    <reviewItem>
      <errorID>323f5dec-e3a8-480f-9fee-e138d29a5aac</errorID>
      <errorWord>＜</errorWord>
      <group>L1_Format</group>
      <groupName>格式问题</groupName>
      <ability>L2_HalfPunc</ability>
      <abilityName>全半角检查</abilityName>
      <candidateList>
        <item>&lt;</item>
      </candidateList>
      <explain>文本全半角错误。</explain>
      <paraID>62432E81</paraID>
      <start>5</start>
      <end>6</end>
      <status>ignored</status>
      <modifiedWord/>
      <trackRevisions>false</trackRevisions>
    </reviewItem>
    <reviewItem>
      <errorID>50891e9b-18b8-438b-aaa8-2afb6d106a3f</errorID>
      <errorWord>＜</errorWord>
      <group>L1_Format</group>
      <groupName>格式问题</groupName>
      <ability>L2_HalfPunc</ability>
      <abilityName>全半角检查</abilityName>
      <candidateList>
        <item>&lt;</item>
      </candidateList>
      <explain>文本全半角错误。</explain>
      <paraID>18B9F796</paraID>
      <start>1</start>
      <end>2</end>
      <status>ignored</status>
      <modifiedWord/>
      <trackRevisions>false</trackRevisions>
    </reviewItem>
    <reviewItem>
      <errorID>7732c4b4-a7d2-470b-a690-9c4cdcd9580c</errorID>
      <errorWord>＜</errorWord>
      <group>L1_Format</group>
      <groupName>格式问题</groupName>
      <ability>L2_HalfPunc</ability>
      <abilityName>全半角检查</abilityName>
      <candidateList>
        <item>&lt;</item>
      </candidateList>
      <explain>文本全半角错误。</explain>
      <paraID>4232CF5C</paraID>
      <start>6</start>
      <end>7</end>
      <status>ignored</status>
      <modifiedWord/>
      <trackRevisions>false</trackRevisions>
    </reviewItem>
    <reviewItem>
      <errorID>afd7d38b-5e47-4138-94ed-32d6e4fc5a47</errorID>
      <errorWord>＜</errorWord>
      <group>L1_Format</group>
      <groupName>格式问题</groupName>
      <ability>L2_HalfPunc</ability>
      <abilityName>全半角检查</abilityName>
      <candidateList>
        <item>&lt;</item>
      </candidateList>
      <explain>文本全半角错误。</explain>
      <paraID>65EDB6D2</paraID>
      <start>6</start>
      <end>7</end>
      <status>ignored</status>
      <modifiedWord/>
      <trackRevisions>false</trackRevisions>
    </reviewItem>
    <reviewItem>
      <errorID>7166b0b1-e209-4c20-8533-0147d794fb65</errorID>
      <errorWord>＜</errorWord>
      <group>L1_Format</group>
      <groupName>格式问题</groupName>
      <ability>L2_HalfPunc</ability>
      <abilityName>全半角检查</abilityName>
      <candidateList>
        <item>&lt;</item>
      </candidateList>
      <explain>文本全半角错误。</explain>
      <paraID>79D3FB37</paraID>
      <start>1</start>
      <end>2</end>
      <status>ignored</status>
      <modifiedWord/>
      <trackRevisions>false</trackRevisions>
    </reviewItem>
    <reviewItem>
      <errorID>f0686e63-00f9-42bf-9380-bfa96faf2511</errorID>
      <errorWord>＜</errorWord>
      <group>L1_Format</group>
      <groupName>格式问题</groupName>
      <ability>L2_HalfPunc</ability>
      <abilityName>全半角检查</abilityName>
      <candidateList>
        <item>&lt;</item>
      </candidateList>
      <explain>文本全半角错误。</explain>
      <paraID>42190204</paraID>
      <start>5</start>
      <end>6</end>
      <status>ignored</status>
      <modifiedWord/>
      <trackRevisions>false</trackRevisions>
    </reviewItem>
    <reviewItem>
      <errorID>ea94b41d-ab75-4b35-90e0-0d4576236b0b</errorID>
      <errorWord>＜</errorWord>
      <group>L1_Format</group>
      <groupName>格式问题</groupName>
      <ability>L2_HalfPunc</ability>
      <abilityName>全半角检查</abilityName>
      <candidateList>
        <item>&lt;</item>
      </candidateList>
      <explain>文本全半角错误。</explain>
      <paraID>683D3EDB</paraID>
      <start>5</start>
      <end>6</end>
      <status>ignored</status>
      <modifiedWord/>
      <trackRevisions>false</trackRevisions>
    </reviewItem>
    <reviewItem>
      <errorID>713c30a5-1ff4-4ac3-b3dc-c85d6d7fa70e</errorID>
      <errorWord>＜</errorWord>
      <group>L1_Format</group>
      <groupName>格式问题</groupName>
      <ability>L2_HalfPunc</ability>
      <abilityName>全半角检查</abilityName>
      <candidateList>
        <item>&lt;</item>
      </candidateList>
      <explain>文本全半角错误。</explain>
      <paraID>77753536</paraID>
      <start>1</start>
      <end>2</end>
      <status>ignored</status>
      <modifiedWord/>
      <trackRevisions>false</trackRevisions>
    </reviewItem>
    <reviewItem>
      <errorID>235c3cf9-ace2-4f2a-9b6e-1f4f783596b3</errorID>
      <errorWord>＜</errorWord>
      <group>L1_Format</group>
      <groupName>格式问题</groupName>
      <ability>L2_HalfPunc</ability>
      <abilityName>全半角检查</abilityName>
      <candidateList>
        <item>&lt;</item>
      </candidateList>
      <explain>文本全半角错误。</explain>
      <paraID>61AD8D2F</paraID>
      <start>6</start>
      <end>7</end>
      <status>ignored</status>
      <modifiedWord/>
      <trackRevisions>false</trackRevisions>
    </reviewItem>
    <reviewItem>
      <errorID>48b0b6cf-2847-4a2b-9955-6f88a5fc434a</errorID>
      <errorWord>＜</errorWord>
      <group>L1_Format</group>
      <groupName>格式问题</groupName>
      <ability>L2_HalfPunc</ability>
      <abilityName>全半角检查</abilityName>
      <candidateList>
        <item>&lt;</item>
      </candidateList>
      <explain>文本全半角错误。</explain>
      <paraID> 89727FB</paraID>
      <start>5</start>
      <end>6</end>
      <status>ignored</status>
      <modifiedWord/>
      <trackRevisions>false</trackRevisions>
    </reviewItem>
    <reviewItem>
      <errorID>95acef4d-0fe7-49c2-b2c1-308049e5e1b0</errorID>
      <errorWord>＜</errorWord>
      <group>L1_Format</group>
      <groupName>格式问题</groupName>
      <ability>L2_HalfPunc</ability>
      <abilityName>全半角检查</abilityName>
      <candidateList>
        <item>&lt;</item>
      </candidateList>
      <explain>文本全半角错误。</explain>
      <paraID>76EC7162</paraID>
      <start>1</start>
      <end>2</end>
      <status>ignored</status>
      <modifiedWord/>
      <trackRevisions>false</trackRevisions>
    </reviewItem>
    <reviewItem>
      <errorID>efd22607-2f93-4a25-8bf5-ec71d297c969</errorID>
      <errorWord>＜</errorWord>
      <group>L1_Format</group>
      <groupName>格式问题</groupName>
      <ability>L2_HalfPunc</ability>
      <abilityName>全半角检查</abilityName>
      <candidateList>
        <item>&lt;</item>
      </candidateList>
      <explain>文本全半角错误。</explain>
      <paraID>2965E902</paraID>
      <start>5</start>
      <end>6</end>
      <status>ignored</status>
      <modifiedWord/>
      <trackRevisions>false</trackRevisions>
    </reviewItem>
    <reviewItem>
      <errorID>aadfac1b-1ccb-4418-a8b6-49185feee48e</errorID>
      <errorWord>＜</errorWord>
      <group>L1_Format</group>
      <groupName>格式问题</groupName>
      <ability>L2_HalfPunc</ability>
      <abilityName>全半角检查</abilityName>
      <candidateList>
        <item>&lt;</item>
      </candidateList>
      <explain>文本全半角错误。</explain>
      <paraID>3E3BF053</paraID>
      <start>4</start>
      <end>5</end>
      <status>ignored</status>
      <modifiedWord/>
      <trackRevisions>false</trackRevisions>
    </reviewItem>
    <reviewItem>
      <errorID>efead856-8059-4cbc-90bb-736bfa461ce0</errorID>
      <errorWord>＜</errorWord>
      <group>L1_Format</group>
      <groupName>格式问题</groupName>
      <ability>L2_HalfPunc</ability>
      <abilityName>全半角检查</abilityName>
      <candidateList>
        <item>&lt;</item>
      </candidateList>
      <explain>文本全半角错误。</explain>
      <paraID>6D338E90</paraID>
      <start>1</start>
      <end>2</end>
      <status>ignored</status>
      <modifiedWord/>
      <trackRevisions>false</trackRevisions>
    </reviewItem>
    <reviewItem>
      <errorID>93f4a283-bda9-4935-885a-bf332798b69a</errorID>
      <errorWord>＜</errorWord>
      <group>L1_Format</group>
      <groupName>格式问题</groupName>
      <ability>L2_HalfPunc</ability>
      <abilityName>全半角检查</abilityName>
      <candidateList>
        <item>&lt;</item>
      </candidateList>
      <explain>文本全半角错误。</explain>
      <paraID>69669B7A</paraID>
      <start>6</start>
      <end>7</end>
      <status>ignored</status>
      <modifiedWord/>
      <trackRevisions>false</trackRevisions>
    </reviewItem>
    <reviewItem>
      <errorID>8a539cc8-1cda-48d3-8099-dbf0ef4c54f2</errorID>
      <errorWord>＜</errorWord>
      <group>L1_Format</group>
      <groupName>格式问题</groupName>
      <ability>L2_HalfPunc</ability>
      <abilityName>全半角检查</abilityName>
      <candidateList>
        <item>&lt;</item>
      </candidateList>
      <explain>文本全半角错误。</explain>
      <paraID>51592215</paraID>
      <start>5</start>
      <end>6</end>
      <status>ignored</status>
      <modifiedWord/>
      <trackRevisions>false</trackRevisions>
    </reviewItem>
    <reviewItem>
      <errorID>5ca91030-12fc-4f69-88c8-f9f13345aab9</errorID>
      <errorWord>＜</errorWord>
      <group>L1_Format</group>
      <groupName>格式问题</groupName>
      <ability>L2_HalfPunc</ability>
      <abilityName>全半角检查</abilityName>
      <candidateList>
        <item>&lt;</item>
      </candidateList>
      <explain>文本全半角错误。</explain>
      <paraID>1BAB34A9</paraID>
      <start>1</start>
      <end>2</end>
      <status>ignored</status>
      <modifiedWord/>
      <trackRevisions>false</trackRevisions>
    </reviewItem>
    <reviewItem>
      <errorID>436d6bc8-10ab-4769-9f42-45c2ce93522b</errorID>
      <errorWord>＜</errorWord>
      <group>L1_Format</group>
      <groupName>格式问题</groupName>
      <ability>L2_HalfPunc</ability>
      <abilityName>全半角检查</abilityName>
      <candidateList>
        <item>&lt;</item>
      </candidateList>
      <explain>文本全半角错误。</explain>
      <paraID>156156C0</paraID>
      <start>5</start>
      <end>6</end>
      <status>ignored</status>
      <modifiedWord/>
      <trackRevisions>false</trackRevisions>
    </reviewItem>
    <reviewItem>
      <errorID>045e19e2-a23e-4787-b375-831ba8524108</errorID>
      <errorWord>＜</errorWord>
      <group>L1_Format</group>
      <groupName>格式问题</groupName>
      <ability>L2_HalfPunc</ability>
      <abilityName>全半角检查</abilityName>
      <candidateList>
        <item>&lt;</item>
      </candidateList>
      <explain>文本全半角错误。</explain>
      <paraID>562B3609</paraID>
      <start>4</start>
      <end>5</end>
      <status>ignored</status>
      <modifiedWord/>
      <trackRevisions>false</trackRevisions>
    </reviewItem>
    <reviewItem>
      <errorID>31c4f87c-c7e8-4856-93fe-008689c462a0</errorID>
      <errorWord>＜</errorWord>
      <group>L1_Format</group>
      <groupName>格式问题</groupName>
      <ability>L2_HalfPunc</ability>
      <abilityName>全半角检查</abilityName>
      <candidateList>
        <item>&lt;</item>
      </candidateList>
      <explain>文本全半角错误。</explain>
      <paraID>5A319A3D</paraID>
      <start>1</start>
      <end>2</end>
      <status>ignored</status>
      <modifiedWord/>
      <trackRevisions>false</trackRevisions>
    </reviewItem>
    <reviewItem>
      <errorID>45eda53a-0e68-4b4b-9fa7-05320b0735d0</errorID>
      <errorWord>。</errorWord>
      <group>L1_Format</group>
      <groupName>格式问题</groupName>
      <ability>L2_HalfPunc</ability>
      <abilityName>全半角检查</abilityName>
      <candidateList>
        <item>.</item>
      </candidateList>
      <explain>文本全半角错误。</explain>
      <paraID>754A61B4</paraID>
      <start>306</start>
      <end>307</end>
      <status>ignored</status>
      <modifiedWord/>
      <trackRevisions>false</trackRevisions>
    </reviewItem>
    <reviewItem>
      <errorID>fd03c6d3-1a2c-4e55-8e7f-7b9979d630e5</errorID>
      <errorWord>行为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654D82ED</paraID>
      <start>56</start>
      <end>58</end>
      <status>ignored</status>
      <modifiedWord/>
      <trackRevisions>false</trackRevisions>
    </reviewItem>
    <reviewItem>
      <errorID>4ba0c107-df21-48f0-9321-c0c3cf4fd3d5</errorID>
      <errorWord>受</errorWord>
      <group>L1_Word</group>
      <groupName>字词问题</groupName>
      <ability>L2_Typo</ability>
      <abilityName>字词错误</abilityName>
      <candidateList>
        <item>受到</item>
      </candidateList>
      <explain/>
      <paraID>66F0CD90</paraID>
      <start>36</start>
      <end>37</end>
      <status>ignored</status>
      <modifiedWord/>
      <trackRevisions>false</trackRevisions>
    </reviewItem>
    <reviewItem>
      <errorID>a8064e67-b6d1-4ed6-b532-096ad2fb16d5</errorID>
      <errorWord>不能负</errorWord>
      <group>L1_Word</group>
      <groupName>字词问题</groupName>
      <ability>L2_Typo</ability>
      <abilityName>字词错误</abilityName>
      <candidateList>
        <item>不能</item>
      </candidateList>
      <explain/>
      <paraID>2E142847</paraID>
      <start>26</start>
      <end>29</end>
      <status>ignored</status>
      <modifiedWord/>
      <trackRevisions>false</trackRevisions>
    </reviewItem>
    <reviewItem>
      <errorID>967cd0ba-d37d-4aa2-8221-c0cc12807d5e</errorID>
      <errorWord>，</errorWord>
      <group>L1_Word</group>
      <groupName>字词问题</groupName>
      <ability>L2_Typo</ability>
      <abilityName>字词错误</abilityName>
      <candidateList>
        <item>，对</item>
      </candidateList>
      <explain/>
      <paraID>38CA6F1C</paraID>
      <start>20</start>
      <end>21</end>
      <status>ignored</status>
      <modifiedWord/>
      <trackRevisions>false</trackRevisions>
    </reviewItem>
    <reviewItem>
      <errorID>cf25f753-4e55-475a-b4b9-40eaf8893585</errorID>
      <errorWord>理</errorWord>
      <group>L1_Word</group>
      <groupName>字词问题</groupName>
      <ability>L2_Typo</ability>
      <abilityName>字词错误</abilityName>
      <candidateList>
        <item>理人</item>
      </candidateList>
      <explain/>
      <paraID>43ADB931</paraID>
      <start>20</start>
      <end>21</end>
      <status>ignored</status>
      <modifiedWord/>
      <trackRevisions>false</trackRevisions>
    </reviewItem>
    <reviewItem>
      <errorID>eccf9cb5-6c5d-46b4-9b18-7b493409b5e1</errorID>
      <errorWord>操作合</errorWord>
      <group>L1_Word</group>
      <groupName>字词问题</groupName>
      <ability>L2_Typo</ability>
      <abilityName>字词错误</abilityName>
      <candidateList>
        <item>操作台</item>
      </candidateList>
      <explain/>
      <paraID> 10AFD5D</paraID>
      <start>9</start>
      <end>12</end>
      <status>ignored</status>
      <modifiedWord/>
      <trackRevisions>false</trackRevisions>
    </reviewItem>
    <reviewItem>
      <errorID>e3b207e3-c624-4747-8141-06af4f4be2ab</errorID>
      <errorWord>，</errorWord>
      <group>L1_Word</group>
      <groupName>字词问题</groupName>
      <ability>L2_Typo</ability>
      <abilityName>字词错误</abilityName>
      <candidateList>
        <item>，在</item>
      </candidateList>
      <explain/>
      <paraID>57379BEB</paraID>
      <start>50</start>
      <end>51</end>
      <status>ignored</status>
      <modifiedWord/>
      <trackRevisions>false</trackRevisions>
    </reviewItem>
    <reviewItem>
      <errorID>56fce7b9-21c0-4370-a731-358a767d9e1e</errorID>
      <errorWord>合同中</errorWord>
      <group>L1_Word</group>
      <groupName>字词问题</groupName>
      <ability>L2_Typo</ability>
      <abilityName>字词错误</abilityName>
      <candidateList>
        <item>合同</item>
      </candidateList>
      <explain/>
      <paraID>2ED2B1D7</paraID>
      <start>93</start>
      <end>96</end>
      <status>ignored</status>
      <modifiedWord/>
      <trackRevisions>false</trackRevisions>
    </reviewItem>
    <reviewItem>
      <errorID>20140903-730b-4b4c-b770-26c372302440</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4DAB0351</paraID>
      <start>0</start>
      <end>8</end>
      <status>ignored</status>
      <modifiedWord/>
      <trackRevisions>false</trackRevisions>
    </reviewItem>
    <reviewItem>
      <errorID>7c66ad99-2394-4751-a623-d56921ac5edd</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D76F6D3</paraID>
      <start>0</start>
      <end>9</end>
      <status>ignored</status>
      <modifiedWord/>
      <trackRevisions>false</trackRevisions>
    </reviewItem>
    <reviewItem>
      <errorID>9689d27d-1bb6-4954-b4fa-48659a488741</errorID>
      <errorWord>作最后</errorWord>
      <group>L1_Word</group>
      <groupName>字词问题</groupName>
      <ability>L2_Typo</ability>
      <abilityName>字词错误</abilityName>
      <candidateList>
        <item>做最后</item>
      </candidateList>
      <explain/>
      <paraID>56830C54</paraID>
      <start>36</start>
      <end>39</end>
      <status>ignored</status>
      <modifiedWord/>
      <trackRevisions>false</trackRevisions>
    </reviewItem>
    <reviewItem>
      <errorID>12f672c9-00c3-41de-90c8-5930f2d19938</errorID>
      <errorWord>股东大会</errorWord>
      <group>L1_Word</group>
      <groupName>字词问题</groupName>
      <ability>L2_Typo</ability>
      <abilityName>字词错误</abilityName>
      <candidateList>
        <item>股东会</item>
      </candidateList>
      <explain/>
      <paraID> CC4968F</paraID>
      <start>113</start>
      <end>117</end>
      <status>ignored</status>
      <modifiedWord/>
      <trackRevisions>false</trackRevisions>
    </reviewItem>
    <reviewItem>
      <errorID>b4e86de0-0ae8-44a6-9b49-7b955568c24a</errorID>
      <errorWord>设有本</errorWord>
      <group>L1_Word</group>
      <groupName>字词问题</groupName>
      <ability>L2_Typo</ability>
      <abilityName>字词错误</abilityName>
      <candidateList>
        <item>设有</item>
      </candidateList>
      <explain/>
      <paraID>6E1323A0</paraID>
      <start>8</start>
      <end>11</end>
      <status>ignored</status>
      <modifiedWord/>
      <trackRevisions>false</trackRevisions>
    </reviewItem>
    <reviewItem>
      <errorID>da50c8cf-690e-4f77-8faa-394d6180ec6a</errorID>
      <errorWord>理</errorWord>
      <group>L1_Word</group>
      <groupName>字词问题</groupName>
      <ability>L2_Typo</ability>
      <abilityName>字词错误</abilityName>
      <candidateList>
        <item>理人</item>
      </candidateList>
      <explain/>
      <paraID>622605FD</paraID>
      <start>19</start>
      <end>20</end>
      <status>ignored</status>
      <modifiedWord/>
      <trackRevisions>false</trackRevisions>
    </reviewItem>
    <reviewItem>
      <errorID>de715c2f-f922-4009-8bfc-2cbc6ef84b64</errorID>
      <errorWord>噪音</errorWord>
      <group>L1_Word</group>
      <groupName>字词问题</groupName>
      <ability>L2_Alias</ability>
      <abilityName>也作/曾用词</abilityName>
      <candidateList>
        <item>噪声</item>
      </candidateList>
      <explain>词汇[噪音]为不规范表述或旧称，其规范书面表述为[噪声]。</explain>
      <paraID>2FDE010D</paraID>
      <start>156</start>
      <end>158</end>
      <status>ignored</status>
      <modifiedWord/>
      <trackRevisions>false</trackRevisions>
    </reviewItem>
    <reviewItem>
      <errorID>5f0c6e04-df9f-491a-9575-ea47ba55247e</errorID>
      <errorWord>（</errorWord>
      <group>L1_Format</group>
      <groupName>格式问题</groupName>
      <ability>L2_HalfPunc</ability>
      <abilityName>全半角检查</abilityName>
      <candidateList>
        <item>(</item>
      </candidateList>
      <explain>文本全半角错误。</explain>
      <paraID>21324024</paraID>
      <start>0</start>
      <end>1</end>
      <status>unmodified</status>
      <modifiedWord/>
      <trackRevisions>false</trackRevisions>
    </reviewItem>
    <reviewItem>
      <errorID>a7203dee-11f2-443f-9022-1a038a71e74a</errorID>
      <errorWord>）</errorWord>
      <group>L1_Format</group>
      <groupName>格式问题</groupName>
      <ability>L2_HalfPunc</ability>
      <abilityName>全半角检查</abilityName>
      <candidateList>
        <item>)</item>
      </candidateList>
      <explain>文本全半角错误。</explain>
      <paraID>21324024</paraID>
      <start>3</start>
      <end>4</end>
      <status>ignored</status>
      <modifiedWord/>
      <trackRevisions>false</trackRevisions>
    </reviewItem>
    <reviewItem>
      <errorID>06a1a7b2-c38b-4fca-99e9-25b4e827b817</errorID>
      <errorWord>税</errorWord>
      <group>L1_Word</group>
      <groupName>字词问题</groupName>
      <ability>L2_Typo</ability>
      <abilityName>字词错误</abilityName>
      <candidateList>
        <item>税方</item>
      </candidateList>
      <explain/>
      <paraID>2044AA57</paraID>
      <start>5</start>
      <end>6</end>
      <status>unmodified</status>
      <modifiedWord/>
      <trackRevisions>false</trackRevisions>
    </reviewItem>
    <reviewItem>
      <errorID>8c0dee3b-81cf-4cb3-bd7d-27fd9ced9319</errorID>
      <errorWord>一类</errorWord>
      <group>L1_Knowledge</group>
      <groupName>知识性问题</groupName>
      <ability>L2_Knowledge</ability>
      <abilityName>其他知识</abilityName>
      <candidateList>
        <item>一项</item>
      </candidateList>
      <explain/>
      <paraID>165626DC</paraID>
      <start>35</start>
      <end>37</end>
      <status>unmodified</status>
      <modifiedWord/>
      <trackRevisions>false</trackRevisions>
    </reviewItem>
    <reviewItem>
      <errorID>50c9a916-11e5-46d6-9704-d810b783c301</errorID>
      <errorWord>交纳</errorWord>
      <group>L1_Word</group>
      <groupName>字词问题</groupName>
      <ability>L2_Typo</ability>
      <abilityName>字词错误</abilityName>
      <candidateList>
        <item>缴纳</item>
      </candidateList>
      <explain>〈动〉交纳：～税款。</explain>
      <paraID>5A7E2561</paraID>
      <start>87</start>
      <end>89</end>
      <status>unmodified</status>
      <modifiedWord/>
      <trackRevisions>false</trackRevisions>
    </reviewItem>
    <reviewItem>
      <errorID>ba045bd2-a02a-4546-b006-83a39bc02631</errorID>
      <errorWord>（</errorWord>
      <group>L1_Format</group>
      <groupName>格式问题</groupName>
      <ability>L2_HalfPunc</ability>
      <abilityName>全半角检查</abilityName>
      <candidateList>
        <item>(</item>
      </candidateList>
      <explain>文本全半角错误。</explain>
      <paraID>78DA78B9</paraID>
      <start>0</start>
      <end>1</end>
      <status>unmodified</status>
      <modifiedWord/>
      <trackRevisions>false</trackRevisions>
    </reviewItem>
    <reviewItem>
      <errorID>5401b396-d23a-4dde-bddc-4633d535efc0</errorID>
      <errorWord>）</errorWord>
      <group>L1_Format</group>
      <groupName>格式问题</groupName>
      <ability>L2_HalfPunc</ability>
      <abilityName>全半角检查</abilityName>
      <candidateList>
        <item>)</item>
      </candidateList>
      <explain>文本全半角错误。</explain>
      <paraID>78DA78B9</paraID>
      <start>2</start>
      <end>3</end>
      <status>ignored</status>
      <modifiedWord/>
      <trackRevisions>false</trackRevisions>
    </reviewItem>
    <reviewItem>
      <errorID>4eac4148-1ada-4c2e-969f-f9c85edd59fa</errorID>
      <errorWord>；</errorWord>
      <group>L1_Format</group>
      <groupName>格式问题</groupName>
      <ability>L2_HalfPunc</ability>
      <abilityName>全半角检查</abilityName>
      <candidateList>
        <item>;</item>
      </candidateList>
      <explain>文本全半角错误。</explain>
      <paraID>78DA78B9</paraID>
      <start>38</start>
      <end>39</end>
      <status>unmodified</status>
      <modifiedWord/>
      <trackRevisions>false</trackRevisions>
    </reviewItem>
    <reviewItem>
      <errorID>a25d61b8-a6dc-4bef-9052-9fed7b2774c3</errorID>
      <errorWord>（</errorWord>
      <group>L1_Format</group>
      <groupName>格式问题</groupName>
      <ability>L2_HalfPunc</ability>
      <abilityName>全半角检查</abilityName>
      <candidateList>
        <item>(</item>
      </candidateList>
      <explain>文本全半角错误。</explain>
      <paraID>198B7855</paraID>
      <start>0</start>
      <end>1</end>
      <status>unmodified</status>
      <modifiedWord/>
      <trackRevisions>false</trackRevisions>
    </reviewItem>
    <reviewItem>
      <errorID>7004958f-81be-4978-a5a2-e1e9ddf8e507</errorID>
      <errorWord>）</errorWord>
      <group>L1_Format</group>
      <groupName>格式问题</groupName>
      <ability>L2_HalfPunc</ability>
      <abilityName>全半角检查</abilityName>
      <candidateList>
        <item>)</item>
      </candidateList>
      <explain>文本全半角错误。</explain>
      <paraID>198B7855</paraID>
      <start>2</start>
      <end>3</end>
      <status>ignored</status>
      <modifiedWord/>
      <trackRevisions>false</trackRevisions>
    </reviewItem>
    <reviewItem>
      <errorID>4ea95a57-5ff1-4747-8553-872a4e506ea2</errorID>
      <errorWord>；</errorWord>
      <group>L1_Format</group>
      <groupName>格式问题</groupName>
      <ability>L2_HalfPunc</ability>
      <abilityName>全半角检查</abilityName>
      <candidateList>
        <item>;</item>
      </candidateList>
      <explain>文本全半角错误。</explain>
      <paraID>198B7855</paraID>
      <start>38</start>
      <end>39</end>
      <status>unmodified</status>
      <modifiedWord/>
      <trackRevisions>false</trackRevisions>
    </reviewItem>
    <reviewItem>
      <errorID>e738b528-f080-4f19-ad23-908012319a0d</errorID>
      <errorWord>（</errorWord>
      <group>L1_Format</group>
      <groupName>格式问题</groupName>
      <ability>L2_HalfPunc</ability>
      <abilityName>全半角检查</abilityName>
      <candidateList>
        <item>(</item>
      </candidateList>
      <explain>文本全半角错误。</explain>
      <paraID>559350CE</paraID>
      <start>0</start>
      <end>1</end>
      <status>unmodified</status>
      <modifiedWord/>
      <trackRevisions>false</trackRevisions>
    </reviewItem>
    <reviewItem>
      <errorID>0b2865b2-caaf-48c0-8a21-623e8e6be10d</errorID>
      <errorWord>）</errorWord>
      <group>L1_Format</group>
      <groupName>格式问题</groupName>
      <ability>L2_HalfPunc</ability>
      <abilityName>全半角检查</abilityName>
      <candidateList>
        <item>)</item>
      </candidateList>
      <explain>文本全半角错误。</explain>
      <paraID>559350CE</paraID>
      <start>2</start>
      <end>3</end>
      <status>ignored</status>
      <modifiedWord/>
      <trackRevisions>false</trackRevisions>
    </reviewItem>
    <reviewItem>
      <errorID>6f510702-39e4-4aca-8995-f0a68fb86c0f</errorID>
      <errorWord>。</errorWord>
      <group>L1_Format</group>
      <groupName>格式问题</groupName>
      <ability>L2_HalfPunc</ability>
      <abilityName>全半角检查</abilityName>
      <candidateList>
        <item>.</item>
      </candidateList>
      <explain>文本全半角错误。</explain>
      <paraID>559350CE</paraID>
      <start>38</start>
      <end>39</end>
      <status>unmodified</status>
      <modifiedWord/>
      <trackRevisions>false</trackRevisions>
    </reviewItem>
    <reviewItem>
      <errorID>3896cf5a-b82a-408d-ac26-46dff30ddb3f</errorID>
      <errorWord>变更的</errorWord>
      <group>L1_Word</group>
      <groupName>字词问题</groupName>
      <ability>L2_Typo</ability>
      <abilityName>字词错误</abilityName>
      <candidateList>
        <item>变更</item>
      </candidateList>
      <explain>〈动〉改变；变动：～原定赛程｜修订版的内容有些～。</explain>
      <paraID>5605D9E8</paraID>
      <start>2</start>
      <end>5</end>
      <status>unmodified</status>
      <modifiedWord/>
      <trackRevisions>false</trackRevisions>
    </reviewItem>
    <reviewItem>
      <errorID>85acf1ab-5f24-47b9-b2d4-7041250e5728</errorID>
      <errorWord>类似于</errorWord>
      <group>L1_Word</group>
      <groupName>字词问题</groupName>
      <ability>L2_Typo</ability>
      <abilityName>字词错误</abilityName>
      <candidateList>
        <item>类似</item>
      </candidateList>
      <explain/>
      <paraID>294313A6</paraID>
      <start>8</start>
      <end>11</end>
      <status>unmodified</status>
      <modifiedWord/>
      <trackRevisions>false</trackRevisions>
    </reviewItem>
    <reviewItem>
      <errorID>71997a0a-b1fe-4fd9-8669-64d814721224</errorID>
      <errorWord>提出质疑</errorWord>
      <group>L1_Word</group>
      <groupName>字词问题</groupName>
      <ability>L2_Typo</ability>
      <abilityName>字词错误</abilityName>
      <candidateList>
        <item>质疑</item>
      </candidateList>
      <explain>〈动〉提出疑问：～问难。</explain>
      <paraID>7AA59265</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f943b6-5f09-4db4-bfe1-f8caaa0502d0}">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107</Pages>
  <Words>6553</Words>
  <Characters>7996</Characters>
  <Lines>2268</Lines>
  <Paragraphs>2362</Paragraphs>
  <TotalTime>2</TotalTime>
  <ScaleCrop>false</ScaleCrop>
  <LinksUpToDate>false</LinksUpToDate>
  <CharactersWithSpaces>8126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2023-05-12T23:44:00Z</dcterms:created>
  <dc:creator>唐冰</dc:creator>
  <cp:lastModifiedBy>lenovo</cp:lastModifiedBy>
  <cp:lastPrinted>2023-05-12T00:26:00Z</cp:lastPrinted>
  <dcterms:modified xsi:type="dcterms:W3CDTF">2025-12-04T01:58:58Z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C11423CC3289456193D58F0EC14E6DE1_13</vt:lpwstr>
  </property>
  <property fmtid="{D5CDD505-2E9C-101B-9397-08002B2CF9AE}" pid="4" name="KSOTemplateDocerSaveRecord">
    <vt:lpwstr>eyJoZGlkIjoiZjI1ODljY2NiNzk2NzEwMGJkYTE1ZGRhZTg2ZmVjZTMiLCJ1c2VySWQiOiIyMDI0MTUzNzYifQ==</vt:lpwstr>
  </property>
</Properties>
</file>